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Kicker"/>
      </w:pPr>
      <w:r>
        <w:t>ABC CRUISE LINES | VOYAGE COMMAND</w:t>
      </w:r>
    </w:p>
    <w:p>
      <w:pPr>
        <w:pStyle w:val="Title"/>
        <w:keepNext/>
      </w:pPr>
      <w:r>
        <w:t>ABC Cruise DSS Presentation Recommendations</w:t>
      </w:r>
    </w:p>
    <w:p>
      <w:pPr>
        <w:pStyle w:val="Subtitle"/>
        <w:keepNext/>
      </w:pPr>
      <w:r>
        <w:t>Minimal, high-impact corrections for the live DSS close</w:t>
      </w:r>
    </w:p>
    <w:p>
      <w:pPr>
        <w:pStyle w:val="Meta"/>
      </w:pPr>
      <w:r>
        <w:t>Version 1.0 | June 28, 2026 | Based on the assignment brief, current report, 19-slide deck, and implemented Streamlit DSS</w:t>
      </w:r>
    </w:p>
    <w:p>
      <w:pPr>
        <w:pStyle w:val="Callout"/>
        <w:shd w:val="clear" w:color="auto" w:fill="F4F7FB"/>
        <w:pBdr>
          <w:left w:val="single" w:sz="18" w:space="8" w:color="2E74B5"/>
        </w:pBdr>
        <w:ind w:left="200" w:right="200"/>
      </w:pPr>
      <w:r>
        <w:t>Recommended final structure: keep slides 1-18, replace slide 19 with a forecast-to-decision bridge, and add one recommendation/closing slide 20. This preserves the team's work while making the live demonstration accurate and purposeful.</w:t>
      </w:r>
    </w:p>
    <w:p>
      <w:pPr>
        <w:pStyle w:val="Heading1"/>
        <w:keepNext/>
      </w:pPr>
      <w:r>
        <w:t>Mandatory Corrections</w:t>
      </w:r>
    </w:p>
    <w:p>
      <w:pPr>
        <w:pStyle w:val="ListBullet"/>
        <w:numPr>
          <w:ilvl w:val="0"/>
          <w:numId w:val="1"/>
        </w:numPr>
      </w:pPr>
      <w:r>
        <w:t>Slide 1: replace 'eliminates travel-agent commissions' with 'reduces reliance on travel-agent commissions.' The target is 50 percent direct capture, not complete elimination.</w:t>
      </w:r>
    </w:p>
    <w:p>
      <w:pPr>
        <w:pStyle w:val="ListBullet"/>
        <w:numPr>
          <w:ilvl w:val="0"/>
          <w:numId w:val="1"/>
        </w:numPr>
      </w:pPr>
      <w:r>
        <w:t>Slides 3 and 16: standardize the economics as $10M current annual commission expense, $5M gross commission avoided at 50 percent direct capture, and $4M net annual benefit after the assumed $1M annual DSS/direct-channel operating cost.</w:t>
      </w:r>
    </w:p>
    <w:p>
      <w:pPr>
        <w:pStyle w:val="ListBullet"/>
        <w:numPr>
          <w:ilvl w:val="0"/>
          <w:numId w:val="1"/>
        </w:numPr>
      </w:pPr>
      <w:r>
        <w:t>Slide 15: distinguish the two forecast horizons. The reservation analytics prototype uses monthly regression and seasonal decomposition; Voyage Command uses a four-week weighted category forecast plus Monte Carlo uncertainty for the next weekly staffing decision.</w:t>
      </w:r>
    </w:p>
    <w:p>
      <w:pPr>
        <w:pStyle w:val="ListBullet"/>
        <w:numPr>
          <w:ilvl w:val="0"/>
          <w:numId w:val="1"/>
        </w:numPr>
      </w:pPr>
      <w:r>
        <w:t>Slide 19: remove the generic closing paragraph and the isolated 'Live demo: Voyage Command' label. Replace the slide with the exact forecast-to-decision copy below.</w:t>
      </w:r>
    </w:p>
    <w:p>
      <w:pPr>
        <w:pStyle w:val="ListBullet"/>
        <w:numPr>
          <w:ilvl w:val="0"/>
          <w:numId w:val="1"/>
        </w:numPr>
      </w:pPr>
      <w:r>
        <w:t>Add slide 20: close with a phased implementation recommendation and one memorable final line.</w:t>
      </w:r>
    </w:p>
    <w:p>
      <w:r>
        <w:br w:type="page"/>
      </w:r>
    </w:p>
    <w:p>
      <w:pPr>
        <w:pStyle w:val="Heading1"/>
        <w:keepNext/>
      </w:pPr>
      <w:r>
        <w:t>Replacement Slide 19</w:t>
      </w:r>
    </w:p>
    <w:p>
      <w:pPr>
        <w:pStyle w:val="Normal"/>
      </w:pPr>
      <w:r>
        <w:rPr>
          <w:b/>
        </w:rPr>
        <w:t xml:space="preserve">Design intent: </w:t>
      </w:r>
      <w:r>
        <w:t>Use the existing deck typography and colors. Show a simple left-to-right or top-to-bottom process with four stages and one baseline metric strip. Avoid screenshots or dense prose.</w:t>
      </w:r>
    </w:p>
    <w:p>
      <w:pPr>
        <w:pStyle w:val="SlideEmphasis"/>
        <w:shd w:val="clear" w:color="auto" w:fill="F2F4F7"/>
      </w:pPr>
      <w:r>
        <w:t>VOYAGE COMMAND DSS</w:t>
      </w:r>
    </w:p>
    <w:p>
      <w:pPr>
        <w:pStyle w:val="SlideEmphasis"/>
        <w:shd w:val="clear" w:color="auto" w:fill="F2F4F7"/>
      </w:pPr>
      <w:r>
        <w:t>From forecast to an auditable weekly decision</w:t>
      </w:r>
    </w:p>
    <w:p>
      <w:pPr>
        <w:pStyle w:val="SlideCopy"/>
        <w:shd w:val="clear" w:color="auto" w:fill="F2F4F7"/>
      </w:pPr>
      <w:r>
        <w:t>RECENT BOOKING HISTORY</w:t>
      </w:r>
    </w:p>
    <w:p>
      <w:pPr>
        <w:pStyle w:val="SlideCopy"/>
        <w:shd w:val="clear" w:color="auto" w:fill="F2F4F7"/>
      </w:pPr>
      <w:r>
        <w:t>40 / 30 / 20 / 10 category forecast</w:t>
      </w:r>
    </w:p>
    <w:p>
      <w:pPr>
        <w:pStyle w:val="SlideCopy"/>
        <w:shd w:val="clear" w:color="auto" w:fill="F2F4F7"/>
      </w:pPr>
      <w:r>
        <w:t>5,000 DEMAND SCENARIOS</w:t>
      </w:r>
    </w:p>
    <w:p>
      <w:pPr>
        <w:pStyle w:val="SlideCopy"/>
        <w:shd w:val="clear" w:color="auto" w:fill="F2F4F7"/>
      </w:pPr>
      <w:r>
        <w:t>Workload, coverage and overflow risk</w:t>
      </w:r>
    </w:p>
    <w:p>
      <w:pPr>
        <w:pStyle w:val="SlideCopy"/>
        <w:shd w:val="clear" w:color="auto" w:fill="F2F4F7"/>
      </w:pPr>
      <w:r>
        <w:t>STAFFING DECISION</w:t>
      </w:r>
    </w:p>
    <w:p>
      <w:pPr>
        <w:pStyle w:val="SlideCopy"/>
        <w:shd w:val="clear" w:color="auto" w:fill="F2F4F7"/>
      </w:pPr>
      <w:r>
        <w:t>Lowest total cost meeting the coverage target</w:t>
      </w:r>
    </w:p>
    <w:p>
      <w:pPr>
        <w:pStyle w:val="SlideCopy"/>
        <w:shd w:val="clear" w:color="auto" w:fill="F2F4F7"/>
      </w:pPr>
      <w:r>
        <w:t>COMMERCIAL ACTION</w:t>
      </w:r>
    </w:p>
    <w:p>
      <w:pPr>
        <w:pStyle w:val="SlideCopy"/>
        <w:shd w:val="clear" w:color="auto" w:fill="F2F4F7"/>
      </w:pPr>
      <w:r>
        <w:t>Protect Yield, Hold or Promote under capacity guardrails</w:t>
      </w:r>
    </w:p>
    <w:p>
      <w:pPr>
        <w:pStyle w:val="SlideEmphasis"/>
        <w:shd w:val="clear" w:color="auto" w:fill="F2F4F7"/>
      </w:pPr>
      <w:r>
        <w:t>12 AGENTS | 85.6% COVERAGE | $11.5K WEEKLY OPERATING COST</w:t>
      </w:r>
    </w:p>
    <w:p>
      <w:pPr>
        <w:pStyle w:val="SlideCopy"/>
        <w:shd w:val="clear" w:color="auto" w:fill="F2F4F7"/>
      </w:pPr>
      <w:r>
        <w:t>Live demonstration: Command Deck -&gt; Workforce Planner -&gt; Commercial Strategy -&gt; Scenarios &amp; Evidence</w:t>
      </w:r>
    </w:p>
    <w:p>
      <w:pPr>
        <w:pStyle w:val="Heading1"/>
        <w:keepNext/>
      </w:pPr>
      <w:r>
        <w:t>New Slide 20</w:t>
      </w:r>
    </w:p>
    <w:p>
      <w:pPr>
        <w:pStyle w:val="Normal"/>
      </w:pPr>
      <w:r>
        <w:rPr>
          <w:b/>
        </w:rPr>
        <w:t xml:space="preserve">Design intent: </w:t>
      </w:r>
      <w:r>
        <w:t>Use a quiet recommendation slide with three short actions and one strong closing line. Do not add another dashboard screenshot.</w:t>
      </w:r>
    </w:p>
    <w:p>
      <w:pPr>
        <w:pStyle w:val="SlideEmphasis"/>
        <w:shd w:val="clear" w:color="auto" w:fill="F2F4F7"/>
      </w:pPr>
      <w:r>
        <w:t>RECOMMENDATION</w:t>
      </w:r>
    </w:p>
    <w:p>
      <w:pPr>
        <w:pStyle w:val="SlideEmphasis"/>
        <w:shd w:val="clear" w:color="auto" w:fill="F2F4F7"/>
      </w:pPr>
      <w:r>
        <w:t>Pilot the direct-booking channel and Voyage Command together</w:t>
      </w:r>
    </w:p>
    <w:p>
      <w:pPr>
        <w:pStyle w:val="SlideCopy"/>
        <w:shd w:val="clear" w:color="auto" w:fill="F2F4F7"/>
      </w:pPr>
      <w:r>
        <w:t>Phase direct capture toward 50% and validate adoption and commission savings.</w:t>
      </w:r>
    </w:p>
    <w:p>
      <w:pPr>
        <w:pStyle w:val="SlideCopy"/>
        <w:shd w:val="clear" w:color="auto" w:fill="F2F4F7"/>
      </w:pPr>
      <w:r>
        <w:t>Use the DSS weekly to set staffing, compare the manager plan and align promotion with capacity.</w:t>
      </w:r>
    </w:p>
    <w:p>
      <w:pPr>
        <w:pStyle w:val="SlideCopy"/>
        <w:shd w:val="clear" w:color="auto" w:fill="F2F4F7"/>
      </w:pPr>
      <w:r>
        <w:t>Track forecast error, coverage, overflow commission and direct capture; recalibrate before production scaling.</w:t>
      </w:r>
    </w:p>
    <w:p>
      <w:pPr>
        <w:pStyle w:val="SlideEmphasis"/>
        <w:shd w:val="clear" w:color="auto" w:fill="F2F4F7"/>
      </w:pPr>
      <w:r>
        <w:t>OWN THE BOOKING. OWN THE DATA. IMPROVE THE DECISION.</w:t>
      </w:r>
    </w:p>
    <w:p>
      <w:pPr>
        <w:pStyle w:val="SlideCopy"/>
        <w:shd w:val="clear" w:color="auto" w:fill="F2F4F7"/>
      </w:pPr>
      <w:r>
        <w:t>Thank you. Questions welcome.</w:t>
      </w:r>
    </w:p>
    <w:p>
      <w:pPr>
        <w:pStyle w:val="Heading1"/>
        <w:keepNext/>
      </w:pPr>
      <w:r>
        <w:t>Small Earlier-Slide Edits</w:t>
      </w:r>
    </w:p>
    <w:p>
      <w:pPr>
        <w:pStyle w:val="Heading2"/>
        <w:keepNext/>
      </w:pPr>
      <w:r>
        <w:t>Slide 2 | Roadmap</w:t>
      </w:r>
    </w:p>
    <w:p>
      <w:pPr>
        <w:pStyle w:val="ListBullet"/>
        <w:numPr>
          <w:ilvl w:val="0"/>
          <w:numId w:val="1"/>
        </w:numPr>
      </w:pPr>
      <w:r>
        <w:t>Change item 7 to 'Forecast-to-decision methodology' and item 8 to 'Live DSS demonstration and recommendation.' This previews the actual ending.</w:t>
      </w:r>
    </w:p>
    <w:p>
      <w:pPr>
        <w:pStyle w:val="Heading2"/>
        <w:keepNext/>
      </w:pPr>
      <w:r>
        <w:t>Slides 6-7 | Solution and DSS Anatomy</w:t>
      </w:r>
    </w:p>
    <w:p>
      <w:pPr>
        <w:pStyle w:val="ListBullet"/>
        <w:numPr>
          <w:ilvl w:val="0"/>
          <w:numId w:val="1"/>
        </w:numPr>
      </w:pPr>
      <w:r>
        <w:t>Identify the HTML reservation/admin prototype as the transaction and analytics layer, and Voyage Command as the Streamlit operational decision layer. Replace the model line with: 'Monthly business forecasts plus weekly weighted forecast, Monte Carlo staffing and direct-channel scenarios.'</w:t>
      </w:r>
    </w:p>
    <w:p>
      <w:pPr>
        <w:pStyle w:val="Heading2"/>
        <w:keepNext/>
      </w:pPr>
      <w:r>
        <w:t>Slide 13 | Dashboard</w:t>
      </w:r>
    </w:p>
    <w:p>
      <w:pPr>
        <w:pStyle w:val="ListBullet"/>
        <w:numPr>
          <w:ilvl w:val="0"/>
          <w:numId w:val="1"/>
        </w:numPr>
      </w:pPr>
      <w:r>
        <w:t>Retitle it 'Reservation Operations Dashboard' if possible. This prevents the audience from confusing the six-tool admin dashboard with the Voyage Command DSS shown at the end.</w:t>
      </w:r>
    </w:p>
    <w:p>
      <w:pPr>
        <w:pStyle w:val="Heading2"/>
        <w:keepNext/>
      </w:pPr>
      <w:r>
        <w:t>Slide 15 | Forecasting</w:t>
      </w:r>
    </w:p>
    <w:p>
      <w:pPr>
        <w:pStyle w:val="ListBullet"/>
        <w:numPr>
          <w:ilvl w:val="0"/>
          <w:numId w:val="1"/>
        </w:numPr>
      </w:pPr>
      <w:r>
        <w:t>Add one footer sentence: 'Voyage Command uses a separate short-horizon weekly forecast: 40/30/20/10 recent history by category, followed by 5,000 demand simulations.'</w:t>
      </w:r>
    </w:p>
    <w:p>
      <w:pPr>
        <w:pStyle w:val="Heading2"/>
        <w:keepNext/>
      </w:pPr>
      <w:r>
        <w:t>Slide 17 | Worked Case Study</w:t>
      </w:r>
    </w:p>
    <w:p>
      <w:pPr>
        <w:pStyle w:val="ListBullet"/>
        <w:numPr>
          <w:ilvl w:val="0"/>
          <w:numId w:val="1"/>
        </w:numPr>
      </w:pPr>
      <w:r>
        <w:t>Keep the family-booking example, but add: 'Operational continuation: the confirmed booking enters the weekly forecast and staffing DSS.' This ties the transaction case to the live decision case.</w:t>
      </w:r>
    </w:p>
    <w:p>
      <w:pPr>
        <w:pStyle w:val="Heading2"/>
        <w:keepNext/>
      </w:pPr>
      <w:r>
        <w:t>Slide 18 | Limitations</w:t>
      </w:r>
    </w:p>
    <w:p>
      <w:pPr>
        <w:pStyle w:val="ListBullet"/>
        <w:numPr>
          <w:ilvl w:val="0"/>
          <w:numId w:val="1"/>
        </w:numPr>
      </w:pPr>
      <w:r>
        <w:t>Add that Voyage Command uses synthetic weekly history and deterministic commercial scenario assumptions; it requires calibration with real booking data and does not issue production pricing orders.</w:t>
      </w:r>
    </w:p>
    <w:p>
      <w:pPr>
        <w:pStyle w:val="Heading1"/>
        <w:keepNext/>
      </w:pPr>
      <w:r>
        <w:t>Assignment and Report Alignment</w:t>
      </w:r>
    </w:p>
    <w:p>
      <w:pPr>
        <w:pStyle w:val="ListBullet"/>
        <w:numPr>
          <w:ilvl w:val="0"/>
          <w:numId w:val="1"/>
        </w:numPr>
      </w:pPr>
      <w:r>
        <w:t>Working prototype: demonstrate an actual input, recommendation, comparison, scenario, and export rather than scrolling through every page.</w:t>
      </w:r>
    </w:p>
    <w:p>
      <w:pPr>
        <w:pStyle w:val="ListBullet"/>
        <w:numPr>
          <w:ilvl w:val="0"/>
          <w:numId w:val="1"/>
        </w:numPr>
      </w:pPr>
      <w:r>
        <w:t>Realistic and robust: name the operating floor/cap, coverage policy, fixed simulation seed, fallback warning, manager override, and evidence export.</w:t>
      </w:r>
    </w:p>
    <w:p>
      <w:pPr>
        <w:pStyle w:val="ListBullet"/>
        <w:numPr>
          <w:ilvl w:val="0"/>
          <w:numId w:val="1"/>
        </w:numPr>
      </w:pPr>
      <w:r>
        <w:t>Inputs and outputs: state them explicitly during Workforce Planner and Command Deck.</w:t>
      </w:r>
    </w:p>
    <w:p>
      <w:pPr>
        <w:pStyle w:val="ListBullet"/>
        <w:numPr>
          <w:ilvl w:val="0"/>
          <w:numId w:val="1"/>
        </w:numPr>
      </w:pPr>
      <w:r>
        <w:t>Process flow: use revised slide 19 as the required forecast-to-decision flow figure.</w:t>
      </w:r>
    </w:p>
    <w:p>
      <w:pPr>
        <w:pStyle w:val="ListBullet"/>
        <w:numPr>
          <w:ilvl w:val="0"/>
          <w:numId w:val="1"/>
        </w:numPr>
      </w:pPr>
      <w:r>
        <w:t>Case study: use the 12-agent baseline and the verified 15 percent handling-time sensitivity as the operational DSS case.</w:t>
      </w:r>
    </w:p>
    <w:p>
      <w:pPr>
        <w:pStyle w:val="ListBullet"/>
        <w:numPr>
          <w:ilvl w:val="0"/>
          <w:numId w:val="1"/>
        </w:numPr>
      </w:pPr>
      <w:r>
        <w:t>Report page 1: change '$4M in gross annually' to '$5M gross commission avoided and $4M net annual benefit after $1M annual operating cost.'</w:t>
      </w:r>
    </w:p>
    <w:p>
      <w:pPr>
        <w:pStyle w:val="ListBullet"/>
        <w:numPr>
          <w:ilvl w:val="0"/>
          <w:numId w:val="1"/>
        </w:numPr>
      </w:pPr>
      <w:r>
        <w:t>Report Sections 5-6: identify the current peak/low examples as deterministic illustrations, or replace their staffing claims with the probabilistic case so the report and live DSS do not appear to use conflicting decision rules.</w:t>
      </w:r>
    </w:p>
    <w:p>
      <w:pPr>
        <w:pStyle w:val="Heading1"/>
        <w:keepNext/>
      </w:pPr>
      <w:r>
        <w:t>Delivery Guidance</w:t>
      </w:r>
    </w:p>
    <w:p>
      <w:pPr>
        <w:pStyle w:val="ListBullet"/>
        <w:numPr>
          <w:ilvl w:val="0"/>
          <w:numId w:val="1"/>
        </w:numPr>
      </w:pPr>
      <w:r>
        <w:t>Use slide 19 for no more than 20-30 seconds before opening the application. Its purpose is to tell the audience what to watch for.</w:t>
      </w:r>
    </w:p>
    <w:p>
      <w:pPr>
        <w:pStyle w:val="ListBullet"/>
        <w:numPr>
          <w:ilvl w:val="0"/>
          <w:numId w:val="1"/>
        </w:numPr>
      </w:pPr>
      <w:r>
        <w:t>Spend the most time on the model-versus-manager comparison; it is the clearest proof that the DSS changes a decision.</w:t>
      </w:r>
    </w:p>
    <w:p>
      <w:pPr>
        <w:pStyle w:val="ListBullet"/>
        <w:numPr>
          <w:ilvl w:val="0"/>
          <w:numId w:val="1"/>
        </w:numPr>
      </w:pPr>
      <w:r>
        <w:t>Do not live-edit several controls. The five-minute close is stronger when the reasoning remains visible and the application remains stable.</w:t>
      </w:r>
    </w:p>
    <w:p>
      <w:pPr>
        <w:pStyle w:val="ListBullet"/>
        <w:numPr>
          <w:ilvl w:val="0"/>
          <w:numId w:val="1"/>
        </w:numPr>
      </w:pPr>
      <w:r>
        <w:t>Say 'modeled coverage,' 'expected cost,' and 'scenario estimate.' Avoid 'guarantee,' 'prediction of actual revenue,' or 'optimal price.'</w:t>
      </w:r>
    </w:p>
    <w:p>
      <w:pPr>
        <w:pStyle w:val="ListBullet"/>
        <w:numPr>
          <w:ilvl w:val="0"/>
          <w:numId w:val="1"/>
        </w:numPr>
      </w:pPr>
      <w:r>
        <w:t>Close on slide 20 immediately after the evidence page. The final recommendation should sound managerial, not technical.</w:t>
      </w:r>
    </w:p>
    <w:sectPr>
      <w:headerReference w:type="default" r:id="rId4"/>
      <w:footerReference w:type="default" r:id="rId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tabs>
        <w:tab w:val="right" w:pos="9360"/>
      </w:tabs>
    </w:pPr>
    <w:r>
      <w:rPr>
        <w:rFonts w:ascii="Calibri" w:hAnsi="Calibri"/>
        <w:sz w:val="17"/>
        <w:color w:val="6B7280"/>
      </w:rPr>
      <w:t>Presentation Recommendations</w:t>
    </w:r>
    <w:r>
      <w:tab/>
    </w:r>
    <w:fldSimple w:instr="PAGE">
      <w:r>
        <w:rPr>
          <w:sz w:val="17"/>
          <w:color w:val="6B7280"/>
        </w:rPr>
        <w:t>1</w:t>
      </w:r>
    </w:fldSimple>
  </w:p>
</w:ftr>
</file>

<file path=word/header1.xml><?xml version="1.0" encoding="utf-8"?>
<w:hdr xmlns:w="http://schemas.openxmlformats.org/wordprocessingml/2006/main">
  <w:p>
    <w:pPr>
      <w:pBdr>
        <w:bottom w:val="single" w:sz="6" w:space="4" w:color="D1D5DB"/>
      </w:pBdr>
    </w:pPr>
    <w:r>
      <w:rPr>
        <w:rFonts w:ascii="Calibri" w:hAnsi="Calibri"/>
        <w:b/>
        <w:sz w:val="17"/>
        <w:color w:val="6B7280"/>
      </w:rPr>
      <w:t>ABC CRUISE LINES DSS  |  SSIE 510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B2545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sz w:val="22"/>
      <w:szCs w:val="22"/>
      <w:color w:val="0B2545"/>
    </w:rPr>
  </w:style>
  <w:style w:type="paragraph" w:styleId="Title">
    <w:name w:val="Title"/>
    <w:basedOn w:val="Normal"/>
    <w:next w:val="Normal"/>
    <w:qFormat/>
    <w:pPr>
      <w:keepNext/>
      <w:spacing w:before="0" w:after="80"/>
    </w:pPr>
    <w:rPr>
      <w:b/>
      <w:sz w:val="52"/>
      <w:szCs w:val="52"/>
      <w:color w:val="0B2545"/>
    </w:rPr>
  </w:style>
  <w:style w:type="paragraph" w:styleId="Subtitle">
    <w:name w:val="Subtitle"/>
    <w:basedOn w:val="Normal"/>
    <w:next w:val="Normal"/>
    <w:qFormat/>
    <w:pPr>
      <w:keepNext/>
      <w:spacing w:after="280"/>
    </w:pPr>
    <w:rPr>
      <w:sz w:val="24"/>
      <w:szCs w:val="24"/>
      <w:color w:val="6B7280"/>
    </w:rPr>
  </w:style>
  <w:style w:type="paragraph" w:styleId="Kicker">
    <w:name w:val="Kicker"/>
    <w:basedOn w:val="Normal"/>
    <w:next w:val="Title"/>
    <w:pPr>
      <w:spacing w:after="60"/>
    </w:pPr>
    <w:rPr>
      <w:b/>
      <w:sz w:val="18"/>
      <w:szCs w:val="18"/>
      <w:color w:val="2E74B5"/>
      <w:caps/>
    </w:rPr>
  </w:style>
  <w:style w:type="paragraph" w:styleId="Meta">
    <w:name w:val="Meta"/>
    <w:basedOn w:val="Normal"/>
    <w:pPr>
      <w:spacing w:after="240"/>
      <w:pBdr>
        <w:bottom w:val="single" w:sz="12" w:space="8" w:color="D6A23E"/>
      </w:pBdr>
    </w:pPr>
    <w:rPr>
      <w:sz w:val="19"/>
      <w:szCs w:val="19"/>
      <w:color w:val="6B7280"/>
    </w:rPr>
  </w:style>
  <w:style w:type="paragraph" w:styleId="Heading1">
    <w:name w:val="heading 1"/>
    <w:basedOn w:val="Normal"/>
    <w:next w:val="Normal"/>
    <w:qFormat/>
    <w:pPr>
      <w:keepNext/>
      <w:keepLines/>
      <w:spacing w:before="320" w:after="160"/>
    </w:pPr>
    <w:rPr>
      <w:b/>
      <w:sz w:val="32"/>
      <w:szCs w:val="32"/>
      <w:color w:val="2E74B5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</w:pPr>
    <w:rPr>
      <w:b/>
      <w:sz w:val="26"/>
      <w:szCs w:val="26"/>
      <w:color w:val="2E74B5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80"/>
    </w:pPr>
    <w:rPr>
      <w:b/>
      <w:sz w:val="24"/>
      <w:szCs w:val="24"/>
      <w:color w:val="1F4D78"/>
    </w:rPr>
  </w:style>
  <w:style w:type="paragraph" w:styleId="ListBullet">
    <w:name w:val="List Bullet"/>
    <w:basedOn w:val="Normal"/>
    <w:pPr>
      <w:spacing w:after="120" w:line="280" w:lineRule="auto"/>
      <w:ind w:left="720" w:hanging="360"/>
    </w:pPr>
  </w:style>
  <w:style w:type="paragraph" w:styleId="Callout">
    <w:name w:val="Callout"/>
    <w:basedOn w:val="Normal"/>
    <w:pPr>
      <w:spacing w:before="120" w:after="200" w:line="264" w:lineRule="auto"/>
    </w:pPr>
    <w:rPr>
      <w:b/>
      <w:color w:val="1F4D78"/>
    </w:rPr>
  </w:style>
  <w:style w:type="paragraph" w:styleId="SlideCopy">
    <w:name w:val="Slide Copy"/>
    <w:basedOn w:val="Normal"/>
    <w:pPr>
      <w:spacing w:after="80"/>
      <w:ind w:left="280" w:right="280"/>
    </w:pPr>
  </w:style>
  <w:style w:type="paragraph" w:styleId="SlideEmphasis">
    <w:name w:val="Slide Emphasis"/>
    <w:basedOn w:val="SlideCopy"/>
    <w:pPr>
      <w:spacing w:before="80" w:after="80"/>
      <w:ind w:left="280" w:right="280"/>
    </w:pPr>
    <w:rPr>
      <w:b/>
      <w:sz w:val="26"/>
      <w:szCs w:val="26"/>
      <w:color w:val="2E74B5"/>
    </w:rPr>
  </w:style>
  <w:style w:type="paragraph" w:styleId="ReportHeading">
    <w:name w:val="Report Heading"/>
    <w:basedOn w:val="Normal"/>
    <w:next w:val="ReportBody"/>
    <w:pPr>
      <w:keepNext/>
      <w:spacing w:before="0" w:after="0" w:line="480" w:lineRule="auto"/>
    </w:pPr>
    <w:rPr>
      <w:rFonts w:ascii="Arial" w:hAnsi="Arial"/>
      <w:b/>
      <w:sz w:val="24"/>
      <w:szCs w:val="24"/>
      <w:color w:val="000000"/>
    </w:rPr>
  </w:style>
  <w:style w:type="paragraph" w:styleId="ReportBody">
    <w:name w:val="Report Body"/>
    <w:basedOn w:val="Normal"/>
    <w:next w:val="ReportBody"/>
    <w:pPr>
      <w:spacing w:before="0" w:after="0" w:line="480" w:lineRule="auto"/>
    </w:pPr>
    <w:rPr>
      <w:rFonts w:ascii="Arial" w:hAnsi="Arial"/>
      <w:sz w:val="24"/>
      <w:szCs w:val="24"/>
      <w:color w:val="00000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header" Target="header1.xml"/>
<Relationship Id="rId5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ABC Cruise Lines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ABC Cruise DSS Presentation Recommendations</dc:title>
  <dc:creator>ABC Cruise Lines Project Team</dc:creator>
  <cp:lastModifiedBy>ABC Cruise Lines Project Team</cp:lastModifiedBy>
  <dcterms:created xsi:type="dcterms:W3CDTF">2026-06-28T09:57:24Z</dcterms:created>
  <dcterms:modified xsi:type="dcterms:W3CDTF">2026-06-28T09:57:24Z</dcterms:modified>
</cp:coreProperties>
</file>