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Kicker"/>
      </w:pPr>
      <w:r>
        <w:t>ABC CRUISE LINES | VOYAGE COMMAND</w:t>
      </w:r>
    </w:p>
    <w:p>
      <w:pPr>
        <w:pStyle w:val="Title"/>
        <w:keepNext/>
      </w:pPr>
      <w:r>
        <w:t>Voyage Command: Five-Minute Demo Script</w:t>
      </w:r>
    </w:p>
    <w:p>
      <w:pPr>
        <w:pStyle w:val="Subtitle"/>
        <w:keepNext/>
      </w:pPr>
      <w:r>
        <w:t>A presentation-ready close and report-ready DSS methodology section</w:t>
      </w:r>
    </w:p>
    <w:p>
      <w:pPr>
        <w:pStyle w:val="Meta"/>
      </w:pPr>
      <w:r>
        <w:t>Version 1.0 | June 28, 2026 | Prepared for the SSIE 510 final presentation</w:t>
      </w:r>
    </w:p>
    <w:p>
      <w:pPr>
        <w:pStyle w:val="Callout"/>
        <w:shd w:val="clear" w:color="auto" w:fill="F4F7FB"/>
        <w:pBdr>
          <w:left w:val="single" w:sz="18" w:space="8" w:color="2E74B5"/>
        </w:pBdr>
        <w:ind w:left="200" w:right="200"/>
      </w:pPr>
      <w:r>
        <w:t>Purpose: present Voyage Command as the culmination of the project - the layer that converts reservation data into a forecast, carries uncertainty into staffing and cost decisions, and aligns the weekly commercial action with operating capacity.</w:t>
      </w:r>
    </w:p>
    <w:p>
      <w:pPr>
        <w:pStyle w:val="Heading1"/>
        <w:keepNext/>
      </w:pPr>
      <w:r>
        <w:t>Five-Minute Live Demonstration</w:t>
      </w:r>
    </w:p>
    <w:p>
      <w:pPr>
        <w:pStyle w:val="Heading2"/>
        <w:keepNext/>
      </w:pPr>
      <w:r>
        <w:t>0:00-0:30 | Set up the decision</w:t>
      </w:r>
    </w:p>
    <w:p>
      <w:pPr>
        <w:pStyle w:val="Normal"/>
      </w:pPr>
      <w:r>
        <w:rPr>
          <w:b/>
        </w:rPr>
        <w:t xml:space="preserve">On screen: </w:t>
      </w:r>
      <w:r>
        <w:t>Begin on revised slide 19, then switch to the Streamlit application.</w:t>
      </w:r>
    </w:p>
    <w:p>
      <w:pPr>
        <w:pStyle w:val="Normal"/>
      </w:pPr>
      <w:r>
        <w:t>Everything we have shown leads to one recurring management question: given what we expect customers to book next week, how many reservation agents should ABC schedule, how much overflow risk should we accept, and what commercial posture fits that capacity? Voyage Command is the decision-support layer that closes that loop. It takes booking history and operating assumptions, produces a transparent recommendation, and still leaves the final decision with the manager.</w:t>
      </w:r>
    </w:p>
    <w:p>
      <w:pPr>
        <w:pStyle w:val="Heading2"/>
        <w:keepNext/>
      </w:pPr>
      <w:r>
        <w:t>0:30-1:15 | Command Deck: start with the answer</w:t>
      </w:r>
    </w:p>
    <w:p>
      <w:pPr>
        <w:pStyle w:val="Normal"/>
      </w:pPr>
      <w:r>
        <w:rPr>
          <w:b/>
        </w:rPr>
        <w:t xml:space="preserve">On screen: </w:t>
      </w:r>
      <w:r>
        <w:t>Command Deck. Point briefly to the version badge, recommendation, coverage, forecast bookings, weekly cost, and Decision Signals.</w:t>
      </w:r>
    </w:p>
    <w:p>
      <w:pPr>
        <w:pStyle w:val="Normal"/>
      </w:pPr>
      <w:r>
        <w:t>The top-left version badge identifies the exact build being demonstrated. The Command Deck begins with the decision, not the machinery behind it. Under the reproducible baseline, the model recommends 12 in-house agents. That plan provides about 85.6 percent modeled in-house coverage for 478.5 forecast bookings, with expected total weekly operating cost of about $11,532. The Decision Signals compare this recommendation with the same forecast evaluated at last week's staffing level, so the comparison is like-for-like rather than an accounting comparison between different weeks.</w:t>
      </w:r>
    </w:p>
    <w:p>
      <w:pPr>
        <w:pStyle w:val="Heading2"/>
        <w:keepNext/>
      </w:pPr>
      <w:r>
        <w:t>1:15-2:30 | Workforce Planner: show how the answer is produced</w:t>
      </w:r>
    </w:p>
    <w:p>
      <w:pPr>
        <w:pStyle w:val="Normal"/>
      </w:pPr>
      <w:r>
        <w:rPr>
          <w:b/>
        </w:rPr>
        <w:t xml:space="preserve">On screen: </w:t>
      </w:r>
      <w:r>
        <w:t>Workforce Planner. Show the coverage target, manager proposal, forecast controls, category assumptions, and the model-versus-manager comparison.</w:t>
      </w:r>
    </w:p>
    <w:p>
      <w:pPr>
        <w:pStyle w:val="Normal"/>
      </w:pPr>
      <w:r>
        <w:t>The forecast is built separately for day cruises, seven-night cruises, and nine-night cruises because each product creates a different reservation workload. The central forecast weights the latest four weeks 40, 30, 20, and 10 percent. In the baseline, that produces 235 day-cruise bookings, 153.5 seven-night bookings, and 90 nine-night bookings. The model converts those bookings into workload using handling times of 8, 22, and 28 minutes.</w:t>
      </w:r>
    </w:p>
    <w:p>
      <w:pPr>
        <w:pStyle w:val="Normal"/>
      </w:pPr>
      <w:r>
        <w:t>A single forecast is not enough for a staffing decision, so the DSS runs 5,000 demand trials using the observed category variability and a fixed seed of 510. It evaluates every feasible whole-agent level from 8 through 12, calculates coverage, expected overflow commission, regular labor cost, and total weekly operating cost, and then selects the lowest-cost plan that meets the manager's 85 percent coverage target.</w:t>
      </w:r>
    </w:p>
    <w:p>
      <w:pPr>
        <w:pStyle w:val="Normal"/>
      </w:pPr>
      <w:r>
        <w:t>The manager proposal remains visible rather than being overwritten. Here, the 10-agent proposal lowers regular labor by $1,760, but it adds about $6,072 in expected overflow commission. The result is approximately $4,312 more total weekly cost than the 12-agent recommendation. That is the core value of the DSS: it makes the tradeoff visible before a staffing decision is committed. Managers can adjust the coverage target, enter their own staffing plan, override any category forecast, or revise assumptions, then select Run Analysis to apply the draft.</w:t>
      </w:r>
    </w:p>
    <w:p>
      <w:pPr>
        <w:pStyle w:val="Heading2"/>
        <w:keepNext/>
      </w:pPr>
      <w:r>
        <w:t>2:30-3:35 | Commercial Strategy: connect capacity to channel economics</w:t>
      </w:r>
    </w:p>
    <w:p>
      <w:pPr>
        <w:pStyle w:val="Normal"/>
      </w:pPr>
      <w:r>
        <w:rPr>
          <w:b/>
        </w:rPr>
        <w:t xml:space="preserve">On screen: </w:t>
      </w:r>
      <w:r>
        <w:t>Commercial Strategy. Show Direct-Channel Business Case, Weekly Commercial Action, and Live Control Impact.</w:t>
      </w:r>
    </w:p>
    <w:p>
      <w:pPr>
        <w:pStyle w:val="Normal"/>
      </w:pPr>
      <w:r>
        <w:t>The same decision chain continues into commercial strategy. At the annual level, $80 million of commissionable revenue at a 12.5 percent blended commission represents a $10 million baseline commission expense. Moving from zero to 50 percent direct capture avoids $5 million gross; after the assumed $1 million annual operating cost of the direct channel and DSS, the modeled net annual benefit is $4 million.</w:t>
      </w:r>
    </w:p>
    <w:p>
      <w:pPr>
        <w:pStyle w:val="Normal"/>
      </w:pPr>
      <w:r>
        <w:t>At the weekly level, the system compares Protect Yield, Hold, and Promote. These are deterministic planning scenarios, not a second demand forecast. Weekly direct capture changes channel cost, elasticity estimates the booking response to a fare change, and promotion cost is charged only to Promote. The headline action is governed by capacity: Protect Yield when overflow risk is at least 20 percent, Promote when overflow risk is below 10 percent and spare capacity is sufficient, and Hold otherwise. With baseline overflow risk near 14.4 percent, the recommendation is Hold. The live impact cards show how the assumptions change the economics even when the capacity guardrail keeps the headline action unchanged.</w:t>
      </w:r>
    </w:p>
    <w:p>
      <w:pPr>
        <w:pStyle w:val="Heading2"/>
        <w:keepNext/>
      </w:pPr>
      <w:r>
        <w:t>3:35-4:30 | Scenarios &amp; Evidence: prove the recommendation</w:t>
      </w:r>
    </w:p>
    <w:p>
      <w:pPr>
        <w:pStyle w:val="Normal"/>
      </w:pPr>
      <w:r>
        <w:rPr>
          <w:b/>
        </w:rPr>
        <w:t xml:space="preserve">On screen: </w:t>
      </w:r>
      <w:r>
        <w:t>Scenarios &amp; Evidence. Show P25, P50, and P90 cards, the staffing risk-cost table, Methodology, and export controls.</w:t>
      </w:r>
    </w:p>
    <w:p>
      <w:pPr>
        <w:pStyle w:val="Normal"/>
      </w:pPr>
      <w:r>
        <w:t>The evidence page is what makes this a verifiable DSS rather than a black-box dashboard. The P25, P50, and P90 cards are coherent simulated weeks selected by total workload, not unrelated percentile values pasted together. The staffing table exposes the entire 8-to-12-agent decision frontier and marks the model recommendation, manager proposal, and previous-week level. The Methodology section states the formulas and selection rule, while the CSV and JSON exports preserve the applied inputs and results for review.</w:t>
      </w:r>
    </w:p>
    <w:p>
      <w:pPr>
        <w:pStyle w:val="Heading2"/>
        <w:keepNext/>
      </w:pPr>
      <w:r>
        <w:t>4:30-5:00 | Close on a demonstrated improvement</w:t>
      </w:r>
    </w:p>
    <w:p>
      <w:pPr>
        <w:pStyle w:val="Normal"/>
      </w:pPr>
      <w:r>
        <w:rPr>
          <w:b/>
        </w:rPr>
        <w:t xml:space="preserve">On screen: </w:t>
      </w:r>
      <w:r>
        <w:t>Return to the revised recommendation slide 20.</w:t>
      </w:r>
    </w:p>
    <w:p>
      <w:pPr>
        <w:pStyle w:val="Normal"/>
      </w:pPr>
      <w:r>
        <w:t>The DSS also supports sensitivity analysis. In our reproducible case, reducing reservation handling times by 15 percent changes the recommendation from 12 agents to 11, raises modeled coverage from 85.6 percent to 95.5 percent, and reduces expected weekly operating cost by about $1,595. The point is not that the model replaces the manager. The point is that ABC can now test a process improvement, see its operational and financial effect, and make a documented decision. Our recommendation is a phased direct-booking pilot, weekly use of Voyage Command, and continuous recalibration as real data accumulates. ABC should own the booking, own the data, and improve the decision. Thank you.</w:t>
      </w:r>
    </w:p>
    <w:p>
      <w:pPr>
        <w:pStyle w:val="Heading1"/>
        <w:keepNext/>
      </w:pPr>
      <w:r>
        <w:t>Demo Safety Checklist</w:t>
      </w:r>
    </w:p>
    <w:p>
      <w:pPr>
        <w:pStyle w:val="ListBullet"/>
        <w:numPr>
          <w:ilvl w:val="0"/>
          <w:numId w:val="1"/>
        </w:numPr>
      </w:pPr>
      <w:r>
        <w:t>Open the application before presenting and confirm the top-left version badge shows the expected build.</w:t>
      </w:r>
    </w:p>
    <w:p>
      <w:pPr>
        <w:pStyle w:val="ListBullet"/>
        <w:numPr>
          <w:ilvl w:val="0"/>
          <w:numId w:val="1"/>
        </w:numPr>
      </w:pPr>
      <w:r>
        <w:t>Begin from Reset to Baseline so the displayed values match the script and the fixed random seed reproduces the same result.</w:t>
      </w:r>
    </w:p>
    <w:p>
      <w:pPr>
        <w:pStyle w:val="ListBullet"/>
        <w:numPr>
          <w:ilvl w:val="0"/>
          <w:numId w:val="1"/>
        </w:numPr>
      </w:pPr>
      <w:r>
        <w:t>Do not change several controls during the five-minute close. Show the existing manager comparison and live commercial controls; narrate the verified 15 percent handling-time sensitivity instead of rebuilding it on stage.</w:t>
      </w:r>
    </w:p>
    <w:p>
      <w:pPr>
        <w:pStyle w:val="ListBullet"/>
        <w:numPr>
          <w:ilvl w:val="0"/>
          <w:numId w:val="1"/>
        </w:numPr>
      </w:pPr>
      <w:r>
        <w:t>Call the commercial outputs scenario estimates, not causal forecasts or automatic pricing instructions.</w:t>
      </w:r>
    </w:p>
    <w:p>
      <w:pPr>
        <w:pStyle w:val="ListBullet"/>
        <w:numPr>
          <w:ilvl w:val="0"/>
          <w:numId w:val="1"/>
        </w:numPr>
      </w:pPr>
      <w:r>
        <w:t>If a value differs, describe the decision logic and read the current value from the screen rather than forcing the script's baseline number.</w:t>
      </w:r>
    </w:p>
    <w:p>
      <w:r>
        <w:br w:type="page"/>
      </w:r>
    </w:p>
    <w:p>
      <w:pPr>
        <w:pStyle w:val="ReportHeading"/>
        <w:keepNext/>
      </w:pPr>
      <w:r>
        <w:t>5.2 Voyage Command: Forecast-to-Decision Decision Support System</w:t>
      </w:r>
    </w:p>
    <w:p>
      <w:pPr>
        <w:pStyle w:val="ReportBody"/>
      </w:pPr>
      <w:r>
        <w:t>Voyage Command connects ABC's reservation data to weekly staffing, overflow, and commercial decisions. Inputs include recent bookings by cruise category, handling times and values, agent capacity and wages, commission, and manager policy controls. Outputs include recommended staffing, modeled coverage, overflow commission, weekly cost, direct-channel economics, commercial posture, and exportable evidence.</w:t>
      </w:r>
    </w:p>
    <w:p>
      <w:pPr>
        <w:pStyle w:val="ReportBody"/>
      </w:pPr>
      <w:r>
        <w:t>The category forecast weights the latest four weeks 40, 30, 20, and 10 percent, with visible manager overrides. The DSS then uses observed variability to run 5,000 normal-distribution demand trials with fixed seed 510, making unchanged inputs reproducible. Each simulated week becomes workload by multiplying bookings by category handling time and dividing by 60.</w:t>
      </w:r>
    </w:p>
    <w:p>
      <w:pPr>
        <w:pStyle w:val="ReportBody"/>
      </w:pPr>
      <w:r>
        <w:t>For each feasible whole-agent level, the model calculates coverage, expected overflow commission, labor cost, and total weekly operating cost. It recommends the lowest-cost level meeting the manager's coverage target; if the target is impossible, it returns the maximum-coverage fallback with a warning. The manager's proposal remains a separate comparison, so judgment is supported rather than replaced.</w:t>
      </w:r>
    </w:p>
    <w:p>
      <w:pPr>
        <w:pStyle w:val="ReportBody"/>
      </w:pPr>
      <w:r>
        <w:t>The commercial module links capacity to the business case. Annual scenarios report commission paid, avoided, and net benefit. Weekly Protect Yield, Hold, and Promote scenarios estimate booking, revenue, commission, and campaign-cost effects. Capacity guardrails choose the headline posture; these are planning scenarios, not production pricing orders.</w:t>
      </w:r>
    </w:p>
    <w:p>
      <w:pPr>
        <w:pStyle w:val="ReportBody"/>
      </w:pPr>
      <w:r>
        <w:t>The baseline recommends 12 agents at 85.6 percent modeled coverage and about $11,532 weekly cost. A verified 15 percent handling-time improvement changes the recommendation to 11 agents and reduces cost by about $1,595. Percentile scenarios, the risk-cost table, formulas, warnings, and exports make the result reviewable. Synthetic data requires recalibration before production use.</w:t>
      </w:r>
    </w:p>
    <w:sectPr>
      <w:headerReference w:type="default" r:id="rId4"/>
      <w:footerReference w:type="default" r:id="rId5"/>
      <w:pgSz w:w="12240" w:h="15840"/>
      <w:pgMar w:top="1440" w:right="1440" w:bottom="1440" w:left="1440" w:header="708" w:footer="708" w:gutter="0"/>
      <w:cols w:space="720"/>
      <w:docGrid w:linePitch="360"/>
    </w:sectPr>
  </w:body>
</w:document>
</file>

<file path=word/footer1.xml><?xml version="1.0" encoding="utf-8"?>
<w:ftr xmlns:w="http://schemas.openxmlformats.org/wordprocessingml/2006/main">
  <w:p>
    <w:pPr>
      <w:tabs>
        <w:tab w:val="right" w:pos="9360"/>
      </w:tabs>
    </w:pPr>
    <w:r>
      <w:rPr>
        <w:rFonts w:ascii="Calibri" w:hAnsi="Calibri"/>
        <w:sz w:val="17"/>
        <w:color w:val="6B7280"/>
      </w:rPr>
      <w:t>Demo Script and Report Insert</w:t>
    </w:r>
    <w:r>
      <w:tab/>
    </w:r>
    <w:fldSimple w:instr="PAGE">
      <w:r>
        <w:rPr>
          <w:sz w:val="17"/>
          <w:color w:val="6B7280"/>
        </w:rPr>
        <w:t>1</w:t>
      </w:r>
    </w:fldSimple>
  </w:p>
</w:ftr>
</file>

<file path=word/header1.xml><?xml version="1.0" encoding="utf-8"?>
<w:hdr xmlns:w="http://schemas.openxmlformats.org/wordprocessingml/2006/main">
  <w:p>
    <w:pPr>
      <w:pBdr>
        <w:bottom w:val="single" w:sz="6" w:space="4" w:color="D1D5DB"/>
      </w:pBdr>
    </w:pPr>
    <w:r>
      <w:rPr>
        <w:rFonts w:ascii="Calibri" w:hAnsi="Calibri"/>
        <w:b/>
        <w:sz w:val="17"/>
        <w:color w:val="6B7280"/>
      </w:rPr>
      <w:t>ABC CRUISE LINES DSS  |  SSIE 510</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720"/>
        </w:tabs>
        <w:ind w:left="720" w:hanging="360"/>
      </w:pPr>
      <w:rPr>
        <w:rFonts w:ascii="Symbol" w:hAnsi="Symbol"/>
      </w:rPr>
    </w:lvl>
  </w:abstractNum>
  <w:num w:numId="1">
    <w:abstractNumId w:val="0"/>
  </w:num>
</w:numbering>
</file>

<file path=word/settings.xml><?xml version="1.0" encoding="utf-8"?>
<w:settings xmlns:w="http://schemas.openxmlformats.org/wordprocessingml/2006/main">
  <w:zoom w:percent="100"/>
  <w:defaultTabStop w:val="720"/>
  <w:updateFields w:val="true"/>
</w:settings>
</file>

<file path=word/styles.xml><?xml version="1.0" encoding="utf-8"?>
<w:styles xmlns:w="http://schemas.openxmlformats.org/wordprocessingml/2006/main">
  <w:docDefaults>
    <w:rPrDefault>
      <w:rPr>
        <w:rFonts w:ascii="Calibri" w:hAnsi="Calibri"/>
        <w:sz w:val="22"/>
        <w:szCs w:val="22"/>
        <w:color w:val="0B2545"/>
      </w:rPr>
    </w:rPrDefault>
    <w:pPrDefault>
      <w:pPr>
        <w:spacing w:after="120" w:line="264" w:lineRule="auto"/>
      </w:pPr>
    </w:pPrDefault>
  </w:docDefaults>
  <w:style w:type="paragraph" w:default="1" w:styleId="Normal">
    <w:name w:val="Normal"/>
    <w:qFormat/>
    <w:pPr>
      <w:spacing w:before="0" w:after="120" w:line="264" w:lineRule="auto"/>
    </w:pPr>
    <w:rPr>
      <w:rFonts w:ascii="Calibri" w:hAnsi="Calibri"/>
      <w:sz w:val="22"/>
      <w:szCs w:val="22"/>
      <w:color w:val="0B2545"/>
    </w:rPr>
  </w:style>
  <w:style w:type="paragraph" w:styleId="Title">
    <w:name w:val="Title"/>
    <w:basedOn w:val="Normal"/>
    <w:next w:val="Normal"/>
    <w:qFormat/>
    <w:pPr>
      <w:keepNext/>
      <w:spacing w:before="0" w:after="80"/>
    </w:pPr>
    <w:rPr>
      <w:b/>
      <w:sz w:val="52"/>
      <w:szCs w:val="52"/>
      <w:color w:val="0B2545"/>
    </w:rPr>
  </w:style>
  <w:style w:type="paragraph" w:styleId="Subtitle">
    <w:name w:val="Subtitle"/>
    <w:basedOn w:val="Normal"/>
    <w:next w:val="Normal"/>
    <w:qFormat/>
    <w:pPr>
      <w:keepNext/>
      <w:spacing w:after="280"/>
    </w:pPr>
    <w:rPr>
      <w:sz w:val="24"/>
      <w:szCs w:val="24"/>
      <w:color w:val="6B7280"/>
    </w:rPr>
  </w:style>
  <w:style w:type="paragraph" w:styleId="Kicker">
    <w:name w:val="Kicker"/>
    <w:basedOn w:val="Normal"/>
    <w:next w:val="Title"/>
    <w:pPr>
      <w:spacing w:after="60"/>
    </w:pPr>
    <w:rPr>
      <w:b/>
      <w:sz w:val="18"/>
      <w:szCs w:val="18"/>
      <w:color w:val="2E74B5"/>
      <w:caps/>
    </w:rPr>
  </w:style>
  <w:style w:type="paragraph" w:styleId="Meta">
    <w:name w:val="Meta"/>
    <w:basedOn w:val="Normal"/>
    <w:pPr>
      <w:spacing w:after="240"/>
      <w:pBdr>
        <w:bottom w:val="single" w:sz="12" w:space="8" w:color="D6A23E"/>
      </w:pBdr>
    </w:pPr>
    <w:rPr>
      <w:sz w:val="19"/>
      <w:szCs w:val="19"/>
      <w:color w:val="6B7280"/>
    </w:rPr>
  </w:style>
  <w:style w:type="paragraph" w:styleId="Heading1">
    <w:name w:val="heading 1"/>
    <w:basedOn w:val="Normal"/>
    <w:next w:val="Normal"/>
    <w:qFormat/>
    <w:pPr>
      <w:keepNext/>
      <w:keepLines/>
      <w:spacing w:before="320" w:after="160"/>
    </w:pPr>
    <w:rPr>
      <w:b/>
      <w:sz w:val="32"/>
      <w:szCs w:val="32"/>
      <w:color w:val="2E74B5"/>
    </w:rPr>
  </w:style>
  <w:style w:type="paragraph" w:styleId="Heading2">
    <w:name w:val="heading 2"/>
    <w:basedOn w:val="Normal"/>
    <w:next w:val="Normal"/>
    <w:qFormat/>
    <w:pPr>
      <w:keepNext/>
      <w:keepLines/>
      <w:spacing w:before="240" w:after="120"/>
    </w:pPr>
    <w:rPr>
      <w:b/>
      <w:sz w:val="26"/>
      <w:szCs w:val="26"/>
      <w:color w:val="2E74B5"/>
    </w:rPr>
  </w:style>
  <w:style w:type="paragraph" w:styleId="Heading3">
    <w:name w:val="heading 3"/>
    <w:basedOn w:val="Normal"/>
    <w:next w:val="Normal"/>
    <w:qFormat/>
    <w:pPr>
      <w:keepNext/>
      <w:keepLines/>
      <w:spacing w:before="160" w:after="80"/>
    </w:pPr>
    <w:rPr>
      <w:b/>
      <w:sz w:val="24"/>
      <w:szCs w:val="24"/>
      <w:color w:val="1F4D78"/>
    </w:rPr>
  </w:style>
  <w:style w:type="paragraph" w:styleId="ListBullet">
    <w:name w:val="List Bullet"/>
    <w:basedOn w:val="Normal"/>
    <w:pPr>
      <w:spacing w:after="120" w:line="280" w:lineRule="auto"/>
      <w:ind w:left="720" w:hanging="360"/>
    </w:pPr>
  </w:style>
  <w:style w:type="paragraph" w:styleId="Callout">
    <w:name w:val="Callout"/>
    <w:basedOn w:val="Normal"/>
    <w:pPr>
      <w:spacing w:before="120" w:after="200" w:line="264" w:lineRule="auto"/>
    </w:pPr>
    <w:rPr>
      <w:b/>
      <w:color w:val="1F4D78"/>
    </w:rPr>
  </w:style>
  <w:style w:type="paragraph" w:styleId="SlideCopy">
    <w:name w:val="Slide Copy"/>
    <w:basedOn w:val="Normal"/>
    <w:pPr>
      <w:spacing w:after="80"/>
      <w:ind w:left="280" w:right="280"/>
    </w:pPr>
  </w:style>
  <w:style w:type="paragraph" w:styleId="SlideEmphasis">
    <w:name w:val="Slide Emphasis"/>
    <w:basedOn w:val="SlideCopy"/>
    <w:pPr>
      <w:spacing w:before="80" w:after="80"/>
      <w:ind w:left="280" w:right="280"/>
    </w:pPr>
    <w:rPr>
      <w:b/>
      <w:sz w:val="26"/>
      <w:szCs w:val="26"/>
      <w:color w:val="2E74B5"/>
    </w:rPr>
  </w:style>
  <w:style w:type="paragraph" w:styleId="ReportHeading">
    <w:name w:val="Report Heading"/>
    <w:basedOn w:val="Normal"/>
    <w:next w:val="ReportBody"/>
    <w:pPr>
      <w:keepNext/>
      <w:spacing w:before="0" w:after="0" w:line="480" w:lineRule="auto"/>
    </w:pPr>
    <w:rPr>
      <w:rFonts w:ascii="Arial" w:hAnsi="Arial"/>
      <w:b/>
      <w:sz w:val="24"/>
      <w:szCs w:val="24"/>
      <w:color w:val="000000"/>
    </w:rPr>
  </w:style>
  <w:style w:type="paragraph" w:styleId="ReportBody">
    <w:name w:val="Report Body"/>
    <w:basedOn w:val="Normal"/>
    <w:next w:val="ReportBody"/>
    <w:pPr>
      <w:spacing w:before="0" w:after="0" w:line="480" w:lineRule="auto"/>
    </w:pPr>
    <w:rPr>
      <w:rFonts w:ascii="Arial" w:hAnsi="Arial"/>
      <w:sz w:val="24"/>
      <w:szCs w:val="24"/>
      <w:color w:val="00000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4" Type="http://schemas.openxmlformats.org/officeDocument/2006/relationships/header" Target="header1.xml"/>
<Relationship Id="rId5"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ABC Cruise Lines</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Voyage Command: Five-Minute Demo Script</dc:title>
  <dc:creator>ABC Cruise Lines Project Team</dc:creator>
  <cp:lastModifiedBy>ABC Cruise Lines Project Team</cp:lastModifiedBy>
  <dcterms:created xsi:type="dcterms:W3CDTF">2026-06-28T09:57:24Z</dcterms:created>
  <dcterms:modified xsi:type="dcterms:W3CDTF">2026-06-28T09:57:24Z</dcterms:modified>
</cp:coreProperties>
</file>