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mc:Ignorable="wps">
  <w:body>
    <w:p>
      <w:r>
        <w:t xml:space="preserve">太 </w:t>
      </w:r>
      <w:r>
        <mc:AlternateContent>
          <mc:Choice Requires="wps">
            <w:drawing>
              <wp:inline distT="0" distB="0" distL="0" distR="0">
                <wp:extent cx="914400" cy="457200"/>
                <wp:docPr id="1" name="Text Box 1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 xml:space="preserve">吗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inline>
            </w:drawing>
          </mc:Choice>
          <mc:Fallback>
            <w:pict>
              <v:shape style="width:72pt;height:36pt">
                <v:textbox>
                  <w:txbxContent>
                    <w:p>
                      <w:r>
                        <w:t xml:space="preserve">吗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t xml:space="preserve">对</w:t>
      </w:r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>
<Relationship Id="rIdLink" Type="http://schemas.openxmlformats.org/officeDocument/2006/relationships/hyperlink" Target="https://example.com/" TargetMode="External"/>
<Relationship Id="rIdImage" Type="http://schemas.openxmlformats.org/officeDocument/2006/relationships/image" Target="media/image1.png"/>
</Relationships>
</file>