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A72" w:rsidRPr="002B0F0A" w:rsidRDefault="00644A72" w:rsidP="00644A72">
      <w:pPr>
        <w:jc w:val="both"/>
        <w:rPr>
          <w:b/>
          <w:sz w:val="24"/>
          <w:szCs w:val="21"/>
        </w:rPr>
      </w:pPr>
      <w:r w:rsidRPr="002B0F0A">
        <w:rPr>
          <w:b/>
          <w:sz w:val="24"/>
          <w:szCs w:val="21"/>
        </w:rPr>
        <w:t xml:space="preserve">Identifying highly discriminative interaction </w:t>
      </w:r>
      <w:proofErr w:type="spellStart"/>
      <w:r w:rsidRPr="002B0F0A">
        <w:rPr>
          <w:b/>
          <w:sz w:val="24"/>
          <w:szCs w:val="21"/>
        </w:rPr>
        <w:t>subnetworks</w:t>
      </w:r>
      <w:proofErr w:type="spellEnd"/>
      <w:r w:rsidRPr="002B0F0A">
        <w:rPr>
          <w:b/>
          <w:sz w:val="24"/>
          <w:szCs w:val="21"/>
        </w:rPr>
        <w:t xml:space="preserve"> from seed link communities</w:t>
      </w:r>
    </w:p>
    <w:p w:rsidR="00644A72" w:rsidRDefault="00AB4D0C" w:rsidP="00644A72">
      <w:pPr>
        <w:jc w:val="both"/>
        <w:rPr>
          <w:szCs w:val="21"/>
        </w:rPr>
      </w:pPr>
      <w:r>
        <w:rPr>
          <w:szCs w:val="21"/>
        </w:rPr>
        <w:t xml:space="preserve">James A. Eddy, </w:t>
      </w:r>
      <w:proofErr w:type="spellStart"/>
      <w:r>
        <w:rPr>
          <w:szCs w:val="21"/>
        </w:rPr>
        <w:t>Bobak</w:t>
      </w:r>
      <w:proofErr w:type="spellEnd"/>
      <w:r>
        <w:rPr>
          <w:szCs w:val="21"/>
        </w:rPr>
        <w:t xml:space="preserve"> </w:t>
      </w:r>
      <w:proofErr w:type="spellStart"/>
      <w:r>
        <w:rPr>
          <w:szCs w:val="21"/>
        </w:rPr>
        <w:t>Hadidi</w:t>
      </w:r>
      <w:proofErr w:type="spellEnd"/>
      <w:r>
        <w:rPr>
          <w:szCs w:val="21"/>
        </w:rPr>
        <w:t>, Nathan D. Price</w:t>
      </w:r>
    </w:p>
    <w:p w:rsidR="00AB4D0C" w:rsidRPr="002B0F0A" w:rsidRDefault="00AB4D0C" w:rsidP="00644A72">
      <w:pPr>
        <w:jc w:val="both"/>
        <w:rPr>
          <w:szCs w:val="21"/>
        </w:rPr>
      </w:pPr>
    </w:p>
    <w:p w:rsidR="002B0F0A" w:rsidRPr="002B0F0A" w:rsidRDefault="002B0F0A" w:rsidP="002B0F0A">
      <w:pPr>
        <w:jc w:val="both"/>
        <w:rPr>
          <w:b/>
          <w:szCs w:val="21"/>
        </w:rPr>
      </w:pPr>
      <w:r w:rsidRPr="002B0F0A">
        <w:rPr>
          <w:b/>
          <w:szCs w:val="21"/>
        </w:rPr>
        <w:t>Abstract</w:t>
      </w:r>
    </w:p>
    <w:p w:rsidR="002B0F0A" w:rsidRPr="002B0F0A" w:rsidRDefault="002B0F0A" w:rsidP="002B0F0A">
      <w:pPr>
        <w:jc w:val="both"/>
        <w:rPr>
          <w:szCs w:val="21"/>
        </w:rPr>
      </w:pPr>
    </w:p>
    <w:p w:rsidR="002B0F0A" w:rsidRPr="002B0F0A" w:rsidRDefault="00090AE4" w:rsidP="002B0F0A">
      <w:pPr>
        <w:jc w:val="both"/>
        <w:rPr>
          <w:szCs w:val="21"/>
        </w:rPr>
      </w:pPr>
      <w:r>
        <w:rPr>
          <w:szCs w:val="21"/>
        </w:rPr>
        <w:t>We present a</w:t>
      </w:r>
      <w:bookmarkStart w:id="0" w:name="_GoBack"/>
      <w:bookmarkEnd w:id="0"/>
      <w:r w:rsidR="002B0F0A" w:rsidRPr="002B0F0A">
        <w:rPr>
          <w:szCs w:val="21"/>
        </w:rPr>
        <w:t xml:space="preserve">n extension to DIRAC that offers two advantageous features: (i) instead of </w:t>
      </w:r>
      <w:r w:rsidR="002B0F0A" w:rsidRPr="002B0F0A">
        <w:rPr>
          <w:i/>
          <w:szCs w:val="21"/>
        </w:rPr>
        <w:t>a priori</w:t>
      </w:r>
      <w:r w:rsidR="002B0F0A" w:rsidRPr="002B0F0A">
        <w:rPr>
          <w:szCs w:val="21"/>
        </w:rPr>
        <w:t xml:space="preserve"> defined database networks, the method instead operates on specific regions (</w:t>
      </w:r>
      <w:proofErr w:type="spellStart"/>
      <w:r w:rsidR="002B0F0A" w:rsidRPr="002B0F0A">
        <w:rPr>
          <w:szCs w:val="21"/>
        </w:rPr>
        <w:t>subnetworks</w:t>
      </w:r>
      <w:proofErr w:type="spellEnd"/>
      <w:r w:rsidR="002B0F0A" w:rsidRPr="002B0F0A">
        <w:rPr>
          <w:szCs w:val="21"/>
        </w:rPr>
        <w:t>) within protein-protein interaction (PPI) networks generated by high-throughput data; (ii) based on the links between genes in the PPI network, the method is able to adaptively grow and shrink networks to identify more discriminative signatures for classification.</w:t>
      </w:r>
    </w:p>
    <w:p w:rsidR="002B0F0A" w:rsidRPr="002B0F0A" w:rsidRDefault="002B0F0A" w:rsidP="00644A72">
      <w:pPr>
        <w:jc w:val="both"/>
        <w:rPr>
          <w:szCs w:val="21"/>
        </w:rPr>
      </w:pPr>
    </w:p>
    <w:p w:rsidR="002B0F0A" w:rsidRPr="002B0F0A" w:rsidRDefault="002B0F0A" w:rsidP="00644A72">
      <w:pPr>
        <w:jc w:val="both"/>
        <w:rPr>
          <w:b/>
          <w:szCs w:val="21"/>
        </w:rPr>
      </w:pPr>
      <w:r w:rsidRPr="002B0F0A">
        <w:rPr>
          <w:b/>
          <w:szCs w:val="21"/>
        </w:rPr>
        <w:t>Introduction</w:t>
      </w:r>
    </w:p>
    <w:p w:rsidR="002B0F0A" w:rsidRPr="002B0F0A" w:rsidRDefault="002B0F0A" w:rsidP="00644A72">
      <w:pPr>
        <w:jc w:val="both"/>
        <w:rPr>
          <w:szCs w:val="21"/>
        </w:rPr>
      </w:pPr>
    </w:p>
    <w:p w:rsidR="002B0F0A" w:rsidRPr="002B0F0A" w:rsidRDefault="002B0F0A" w:rsidP="00644A72">
      <w:pPr>
        <w:jc w:val="both"/>
        <w:rPr>
          <w:b/>
          <w:szCs w:val="21"/>
        </w:rPr>
      </w:pPr>
      <w:r w:rsidRPr="002B0F0A">
        <w:rPr>
          <w:b/>
          <w:szCs w:val="21"/>
        </w:rPr>
        <w:t>Methods</w:t>
      </w:r>
    </w:p>
    <w:p w:rsidR="002B0F0A" w:rsidRPr="002B0F0A" w:rsidRDefault="002B0F0A" w:rsidP="00644A72">
      <w:pPr>
        <w:jc w:val="both"/>
        <w:rPr>
          <w:szCs w:val="21"/>
        </w:rPr>
      </w:pPr>
    </w:p>
    <w:p w:rsidR="00644A72" w:rsidRPr="002B0F0A" w:rsidRDefault="00644A72" w:rsidP="00644A72">
      <w:pPr>
        <w:jc w:val="both"/>
        <w:rPr>
          <w:szCs w:val="21"/>
        </w:rPr>
      </w:pPr>
      <w:r w:rsidRPr="002B0F0A">
        <w:rPr>
          <w:szCs w:val="21"/>
        </w:rPr>
        <w:t>Methods overview:</w:t>
      </w:r>
    </w:p>
    <w:p w:rsidR="00644A72" w:rsidRPr="002B0F0A" w:rsidRDefault="002B0F0A" w:rsidP="002B0F0A">
      <w:pPr>
        <w:pStyle w:val="ListParagraph"/>
        <w:numPr>
          <w:ilvl w:val="0"/>
          <w:numId w:val="1"/>
        </w:numPr>
        <w:jc w:val="both"/>
        <w:rPr>
          <w:szCs w:val="21"/>
        </w:rPr>
      </w:pPr>
      <w:r w:rsidRPr="002B0F0A">
        <w:rPr>
          <w:szCs w:val="21"/>
        </w:rPr>
        <w:t>Protein-protein interaction networks constructed from interaction databases</w:t>
      </w:r>
    </w:p>
    <w:p w:rsidR="002B0F0A" w:rsidRPr="002B0F0A" w:rsidRDefault="002B0F0A" w:rsidP="002B0F0A">
      <w:pPr>
        <w:pStyle w:val="ListParagraph"/>
        <w:numPr>
          <w:ilvl w:val="0"/>
          <w:numId w:val="1"/>
        </w:numPr>
        <w:jc w:val="both"/>
        <w:rPr>
          <w:szCs w:val="21"/>
        </w:rPr>
      </w:pPr>
      <w:r w:rsidRPr="002B0F0A">
        <w:rPr>
          <w:szCs w:val="21"/>
        </w:rPr>
        <w:t xml:space="preserve">Link communities clustering used to define </w:t>
      </w:r>
      <w:proofErr w:type="spellStart"/>
      <w:r w:rsidRPr="002B0F0A">
        <w:rPr>
          <w:szCs w:val="21"/>
        </w:rPr>
        <w:t>subnetworks</w:t>
      </w:r>
      <w:proofErr w:type="spellEnd"/>
    </w:p>
    <w:p w:rsidR="002B0F0A" w:rsidRPr="002B0F0A" w:rsidRDefault="002B0F0A" w:rsidP="002B0F0A">
      <w:pPr>
        <w:pStyle w:val="ListParagraph"/>
        <w:numPr>
          <w:ilvl w:val="0"/>
          <w:numId w:val="1"/>
        </w:numPr>
        <w:jc w:val="both"/>
        <w:rPr>
          <w:szCs w:val="21"/>
        </w:rPr>
      </w:pPr>
      <w:r w:rsidRPr="002B0F0A">
        <w:rPr>
          <w:szCs w:val="21"/>
        </w:rPr>
        <w:t xml:space="preserve">DIRAC used to identify most variably expressed </w:t>
      </w:r>
      <w:proofErr w:type="spellStart"/>
      <w:r w:rsidRPr="002B0F0A">
        <w:rPr>
          <w:szCs w:val="21"/>
        </w:rPr>
        <w:t>subnetworks</w:t>
      </w:r>
      <w:proofErr w:type="spellEnd"/>
      <w:r w:rsidRPr="002B0F0A">
        <w:rPr>
          <w:szCs w:val="21"/>
        </w:rPr>
        <w:t xml:space="preserve">; top k </w:t>
      </w:r>
      <w:proofErr w:type="spellStart"/>
      <w:r w:rsidRPr="002B0F0A">
        <w:rPr>
          <w:szCs w:val="21"/>
        </w:rPr>
        <w:t>subnetworks</w:t>
      </w:r>
      <w:proofErr w:type="spellEnd"/>
      <w:r w:rsidRPr="002B0F0A">
        <w:rPr>
          <w:szCs w:val="21"/>
        </w:rPr>
        <w:t xml:space="preserve"> are seeds for adaptive search (SFFS)</w:t>
      </w:r>
    </w:p>
    <w:p w:rsidR="00644A72" w:rsidRPr="002B0F0A" w:rsidRDefault="002B0F0A" w:rsidP="00644A72">
      <w:pPr>
        <w:pStyle w:val="ListParagraph"/>
        <w:numPr>
          <w:ilvl w:val="0"/>
          <w:numId w:val="1"/>
        </w:numPr>
        <w:jc w:val="both"/>
        <w:rPr>
          <w:szCs w:val="21"/>
        </w:rPr>
      </w:pPr>
      <w:r w:rsidRPr="002B0F0A">
        <w:rPr>
          <w:szCs w:val="21"/>
        </w:rPr>
        <w:t xml:space="preserve">Seed networks adaptively modified with SFFS to identify more accurate classifier </w:t>
      </w:r>
      <w:proofErr w:type="spellStart"/>
      <w:r w:rsidRPr="002B0F0A">
        <w:rPr>
          <w:szCs w:val="21"/>
        </w:rPr>
        <w:t>subnetworks</w:t>
      </w:r>
      <w:proofErr w:type="spellEnd"/>
    </w:p>
    <w:p w:rsidR="00644A72" w:rsidRPr="002B0F0A" w:rsidRDefault="00644A72" w:rsidP="00644A72">
      <w:pPr>
        <w:jc w:val="both"/>
        <w:rPr>
          <w:b/>
          <w:i/>
          <w:szCs w:val="21"/>
        </w:rPr>
      </w:pPr>
    </w:p>
    <w:p w:rsidR="002B0F0A" w:rsidRPr="002B0F0A" w:rsidRDefault="002B0F0A" w:rsidP="00644A72">
      <w:pPr>
        <w:jc w:val="both"/>
        <w:rPr>
          <w:i/>
          <w:szCs w:val="21"/>
        </w:rPr>
      </w:pPr>
      <w:r w:rsidRPr="002B0F0A">
        <w:rPr>
          <w:i/>
          <w:szCs w:val="21"/>
        </w:rPr>
        <w:t>PPI network construction</w:t>
      </w:r>
    </w:p>
    <w:p w:rsidR="002B0F0A" w:rsidRPr="002B0F0A" w:rsidRDefault="002B0F0A" w:rsidP="00644A72">
      <w:pPr>
        <w:jc w:val="both"/>
        <w:rPr>
          <w:szCs w:val="21"/>
        </w:rPr>
      </w:pPr>
    </w:p>
    <w:p w:rsidR="002B0F0A" w:rsidRPr="002B0F0A" w:rsidRDefault="00644A72" w:rsidP="00644A72">
      <w:pPr>
        <w:jc w:val="both"/>
        <w:rPr>
          <w:szCs w:val="21"/>
        </w:rPr>
      </w:pPr>
      <w:r w:rsidRPr="002B0F0A">
        <w:rPr>
          <w:szCs w:val="21"/>
        </w:rPr>
        <w:t>Protein-protein interaction (PPI) information is obtained from public, manually curated databases including the Biological General Repository for Interaction Datasets (</w:t>
      </w:r>
      <w:proofErr w:type="spellStart"/>
      <w:r w:rsidRPr="002B0F0A">
        <w:rPr>
          <w:szCs w:val="21"/>
        </w:rPr>
        <w:t>BioGRID</w:t>
      </w:r>
      <w:proofErr w:type="spellEnd"/>
      <w:r w:rsidRPr="002B0F0A">
        <w:rPr>
          <w:szCs w:val="21"/>
        </w:rPr>
        <w:t xml:space="preserve">), the Human Protein Reference Database (HPRD), and the Database of Interacting Proteins (DIP), and used to construct PPI networks. These PPI networks serve as inputs to the computational analyses used here. </w:t>
      </w:r>
    </w:p>
    <w:p w:rsidR="002B0F0A" w:rsidRPr="002B0F0A" w:rsidRDefault="002B0F0A" w:rsidP="00644A72">
      <w:pPr>
        <w:jc w:val="both"/>
        <w:rPr>
          <w:szCs w:val="21"/>
        </w:rPr>
      </w:pPr>
    </w:p>
    <w:p w:rsidR="002B0F0A" w:rsidRPr="002B0F0A" w:rsidRDefault="002B0F0A" w:rsidP="00644A72">
      <w:pPr>
        <w:jc w:val="both"/>
        <w:rPr>
          <w:i/>
          <w:szCs w:val="21"/>
        </w:rPr>
      </w:pPr>
      <w:r w:rsidRPr="002B0F0A">
        <w:rPr>
          <w:i/>
          <w:szCs w:val="21"/>
        </w:rPr>
        <w:t>Link communities clustering</w:t>
      </w:r>
    </w:p>
    <w:p w:rsidR="002B0F0A" w:rsidRPr="002B0F0A" w:rsidRDefault="002B0F0A" w:rsidP="00644A72">
      <w:pPr>
        <w:jc w:val="both"/>
        <w:rPr>
          <w:szCs w:val="21"/>
        </w:rPr>
      </w:pPr>
    </w:p>
    <w:p w:rsidR="00644A72" w:rsidRPr="002B0F0A" w:rsidRDefault="00644A72" w:rsidP="00644A72">
      <w:pPr>
        <w:jc w:val="both"/>
        <w:rPr>
          <w:szCs w:val="21"/>
        </w:rPr>
      </w:pPr>
      <w:r w:rsidRPr="002B0F0A">
        <w:rPr>
          <w:szCs w:val="21"/>
        </w:rPr>
        <w:t xml:space="preserve">Link Communities is a hierarchical clustering method based on the similarity of links rather than nodes in the graph </w:t>
      </w:r>
      <w:r w:rsidRPr="002B0F0A">
        <w:rPr>
          <w:szCs w:val="21"/>
        </w:rPr>
        <w:fldChar w:fldCharType="begin"/>
      </w:r>
      <w:r w:rsidRPr="002B0F0A">
        <w:rPr>
          <w:szCs w:val="21"/>
        </w:rPr>
        <w:instrText xml:space="preserve"> ADDIN EN.CITE &lt;EndNote&gt;&lt;Cite&gt;&lt;Author&gt;Ahn&lt;/Author&gt;&lt;Year&gt;2010&lt;/Year&gt;&lt;RecNum&gt;115&lt;/RecNum&gt;&lt;record&gt;&lt;rec-number&gt;115&lt;/rec-number&gt;&lt;foreign-keys&gt;&lt;key app="EN" db-id="5dfe2dzempxexoe5xwdvxesks0v2wtv95rda"&gt;115&lt;/key&gt;&lt;/foreign-keys&gt;&lt;ref-type name="Journal Article"&gt;17&lt;/ref-type&gt;&lt;contributors&gt;&lt;authors&gt;&lt;author&gt;Ahn, Y. Y.&lt;/author&gt;&lt;author&gt;Bagrow, J. P.&lt;/author&gt;&lt;author&gt;Lehmann, S.&lt;/author&gt;&lt;/authors&gt;&lt;/contributors&gt;&lt;auth-address&gt;Center for Complex Network Research, Department of Physics, Northeastern University, Boston, Massachusetts 02115, USA.&lt;/auth-address&gt;&lt;titles&gt;&lt;title&gt;Link communities reveal multiscale complexity in networks&lt;/title&gt;&lt;secondary-title&gt;Nature&lt;/secondary-title&gt;&lt;/titles&gt;&lt;periodical&gt;&lt;full-title&gt;Nature&lt;/full-title&gt;&lt;/periodical&gt;&lt;pages&gt;761-4&lt;/pages&gt;&lt;volume&gt;466&lt;/volume&gt;&lt;number&gt;7307&lt;/number&gt;&lt;edition&gt;2010/06/22&lt;/edition&gt;&lt;keywords&gt;&lt;keyword&gt;Cellular Phone/utilization&lt;/keyword&gt;&lt;keyword&gt;Cities&lt;/keyword&gt;&lt;keyword&gt;Community Networks/statistics &amp;amp; numerical data&lt;/keyword&gt;&lt;keyword&gt;Humans&lt;/keyword&gt;&lt;keyword&gt;Metabolic Networks and Pathways&lt;/keyword&gt;&lt;keyword&gt;Models, Biological&lt;/keyword&gt;&lt;keyword&gt;Protein Interaction Mapping&lt;/keyword&gt;&lt;/keywords&gt;&lt;dates&gt;&lt;year&gt;2010&lt;/year&gt;&lt;pub-dates&gt;&lt;date&gt;Aug 5&lt;/date&gt;&lt;/pub-dates&gt;&lt;/dates&gt;&lt;isbn&gt;1476-4687 (Electronic)&amp;#xD;0028-0836 (Linking)&lt;/isbn&gt;&lt;accession-num&gt;20562860&lt;/accession-num&gt;&lt;urls&gt;&lt;/urls&gt;&lt;electronic-resource-num&gt;nature09182 [pii]&amp;#xD;10.1038/nature09182 [doi]&lt;/electronic-resource-num&gt;&lt;language&gt;eng&lt;/language&gt;&lt;/record&gt;&lt;/Cite&gt;&lt;/EndNote&gt;</w:instrText>
      </w:r>
      <w:r w:rsidRPr="002B0F0A">
        <w:rPr>
          <w:szCs w:val="21"/>
        </w:rPr>
        <w:fldChar w:fldCharType="separate"/>
      </w:r>
      <w:r w:rsidRPr="002B0F0A">
        <w:rPr>
          <w:szCs w:val="21"/>
        </w:rPr>
        <w:t>[63]</w:t>
      </w:r>
      <w:r w:rsidRPr="002B0F0A">
        <w:rPr>
          <w:szCs w:val="21"/>
        </w:rPr>
        <w:fldChar w:fldCharType="end"/>
      </w:r>
      <w:r w:rsidRPr="002B0F0A">
        <w:rPr>
          <w:szCs w:val="21"/>
        </w:rPr>
        <w:t xml:space="preserve">. In the resulting </w:t>
      </w:r>
      <w:proofErr w:type="spellStart"/>
      <w:r w:rsidRPr="002B0F0A">
        <w:rPr>
          <w:szCs w:val="21"/>
        </w:rPr>
        <w:t>dendrogram</w:t>
      </w:r>
      <w:proofErr w:type="spellEnd"/>
      <w:r w:rsidRPr="002B0F0A">
        <w:rPr>
          <w:szCs w:val="21"/>
        </w:rPr>
        <w:t xml:space="preserve">, nodes may occupy multiple agglomerations due to their links; this is important because it allows genes to be grouped into multiple </w:t>
      </w:r>
      <w:proofErr w:type="spellStart"/>
      <w:r w:rsidRPr="002B0F0A">
        <w:rPr>
          <w:szCs w:val="21"/>
        </w:rPr>
        <w:t>subnetworks</w:t>
      </w:r>
      <w:proofErr w:type="spellEnd"/>
      <w:r w:rsidRPr="002B0F0A">
        <w:rPr>
          <w:szCs w:val="21"/>
        </w:rPr>
        <w:t>.</w:t>
      </w:r>
    </w:p>
    <w:p w:rsidR="00644A72" w:rsidRPr="002B0F0A" w:rsidRDefault="00644A72" w:rsidP="00644A72">
      <w:pPr>
        <w:jc w:val="both"/>
        <w:rPr>
          <w:b/>
          <w:i/>
          <w:szCs w:val="21"/>
        </w:rPr>
      </w:pPr>
    </w:p>
    <w:p w:rsidR="002B0F0A" w:rsidRPr="002B0F0A" w:rsidRDefault="002B0F0A" w:rsidP="00644A72">
      <w:pPr>
        <w:jc w:val="both"/>
        <w:rPr>
          <w:szCs w:val="21"/>
        </w:rPr>
      </w:pPr>
      <w:r w:rsidRPr="002B0F0A">
        <w:rPr>
          <w:i/>
          <w:szCs w:val="21"/>
        </w:rPr>
        <w:t>DIRAC classification</w:t>
      </w:r>
    </w:p>
    <w:p w:rsidR="002B0F0A" w:rsidRPr="002B0F0A" w:rsidRDefault="002B0F0A" w:rsidP="00644A72">
      <w:pPr>
        <w:jc w:val="both"/>
        <w:rPr>
          <w:szCs w:val="21"/>
        </w:rPr>
      </w:pPr>
    </w:p>
    <w:p w:rsidR="002B0F0A" w:rsidRPr="002B0F0A" w:rsidRDefault="002B0F0A" w:rsidP="00644A72">
      <w:pPr>
        <w:jc w:val="both"/>
        <w:rPr>
          <w:szCs w:val="21"/>
        </w:rPr>
      </w:pPr>
      <w:r w:rsidRPr="002B0F0A">
        <w:rPr>
          <w:szCs w:val="21"/>
        </w:rPr>
        <w:t>[</w:t>
      </w:r>
      <w:proofErr w:type="gramStart"/>
      <w:r w:rsidRPr="002B0F0A">
        <w:rPr>
          <w:szCs w:val="21"/>
        </w:rPr>
        <w:t>brief</w:t>
      </w:r>
      <w:proofErr w:type="gramEnd"/>
      <w:r w:rsidRPr="002B0F0A">
        <w:rPr>
          <w:szCs w:val="21"/>
        </w:rPr>
        <w:t xml:space="preserve"> description here]</w:t>
      </w:r>
    </w:p>
    <w:p w:rsidR="002B0F0A" w:rsidRPr="002B0F0A" w:rsidRDefault="002B0F0A" w:rsidP="00644A72">
      <w:pPr>
        <w:jc w:val="both"/>
        <w:rPr>
          <w:szCs w:val="21"/>
        </w:rPr>
      </w:pPr>
    </w:p>
    <w:p w:rsidR="002B0F0A" w:rsidRPr="002B0F0A" w:rsidRDefault="002B0F0A" w:rsidP="00644A72">
      <w:pPr>
        <w:jc w:val="both"/>
        <w:rPr>
          <w:i/>
          <w:szCs w:val="21"/>
        </w:rPr>
      </w:pPr>
      <w:r w:rsidRPr="002B0F0A">
        <w:rPr>
          <w:i/>
          <w:szCs w:val="21"/>
        </w:rPr>
        <w:t xml:space="preserve">Adaptive </w:t>
      </w:r>
      <w:proofErr w:type="spellStart"/>
      <w:r w:rsidRPr="002B0F0A">
        <w:rPr>
          <w:i/>
          <w:szCs w:val="21"/>
        </w:rPr>
        <w:t>subnetwork</w:t>
      </w:r>
      <w:proofErr w:type="spellEnd"/>
      <w:r w:rsidRPr="002B0F0A">
        <w:rPr>
          <w:i/>
          <w:szCs w:val="21"/>
        </w:rPr>
        <w:t xml:space="preserve"> modification</w:t>
      </w:r>
    </w:p>
    <w:p w:rsidR="002B0F0A" w:rsidRPr="002B0F0A" w:rsidRDefault="002B0F0A" w:rsidP="00644A72">
      <w:pPr>
        <w:jc w:val="both"/>
        <w:rPr>
          <w:b/>
          <w:i/>
          <w:szCs w:val="21"/>
        </w:rPr>
      </w:pPr>
    </w:p>
    <w:p w:rsidR="00644A72" w:rsidRPr="002B0F0A" w:rsidRDefault="00644A72" w:rsidP="00644A72">
      <w:pPr>
        <w:jc w:val="both"/>
        <w:rPr>
          <w:szCs w:val="21"/>
        </w:rPr>
      </w:pPr>
      <w:r w:rsidRPr="002B0F0A">
        <w:rPr>
          <w:szCs w:val="21"/>
        </w:rPr>
        <w:t xml:space="preserve">The initial pool of networks used as the search space DIRAC may not yield the best signatures for distinguishing between two phenotypes. Networks defined </w:t>
      </w:r>
      <w:r w:rsidRPr="002B0F0A">
        <w:rPr>
          <w:i/>
          <w:szCs w:val="21"/>
        </w:rPr>
        <w:t>a priori</w:t>
      </w:r>
      <w:r w:rsidRPr="002B0F0A">
        <w:rPr>
          <w:szCs w:val="21"/>
        </w:rPr>
        <w:t xml:space="preserve"> in pathway databases—regardless of the level of </w:t>
      </w:r>
      <w:proofErr w:type="spellStart"/>
      <w:r w:rsidRPr="002B0F0A">
        <w:rPr>
          <w:szCs w:val="21"/>
        </w:rPr>
        <w:t>curation</w:t>
      </w:r>
      <w:proofErr w:type="spellEnd"/>
      <w:r w:rsidRPr="002B0F0A">
        <w:rPr>
          <w:szCs w:val="21"/>
        </w:rPr>
        <w:t xml:space="preserve">—may not be representative of functioning sets of genes in a particular phenotype, and therefore would be unlikely to serve as accurate classifiers. While interaction networks represent mechanistic links between genes, they may also not be specific to the phenotypes being studied; furthermore, </w:t>
      </w:r>
      <w:proofErr w:type="spellStart"/>
      <w:r w:rsidRPr="002B0F0A">
        <w:rPr>
          <w:szCs w:val="21"/>
        </w:rPr>
        <w:t>subnetworks</w:t>
      </w:r>
      <w:proofErr w:type="spellEnd"/>
      <w:r w:rsidRPr="002B0F0A">
        <w:rPr>
          <w:szCs w:val="21"/>
        </w:rPr>
        <w:t xml:space="preserve"> defined according to network structure may not necessarily correspond to informative differential expression of genes. We are using a sequential forward floating search algorithm </w:t>
      </w:r>
      <w:r w:rsidRPr="002B0F0A">
        <w:rPr>
          <w:szCs w:val="21"/>
        </w:rPr>
        <w:fldChar w:fldCharType="begin"/>
      </w:r>
      <w:r w:rsidRPr="002B0F0A">
        <w:rPr>
          <w:szCs w:val="21"/>
        </w:rPr>
        <w:instrText xml:space="preserve"> ADDIN EN.CITE &lt;EndNote&gt;&lt;Cite&gt;&lt;Author&gt;Pudil&lt;/Author&gt;&lt;Year&gt;1994&lt;/Year&gt;&lt;RecNum&gt;114&lt;/RecNum&gt;&lt;record&gt;&lt;rec-number&gt;114&lt;/rec-number&gt;&lt;foreign-keys&gt;&lt;key app="EN" db-id="5dfe2dzempxexoe5xwdvxesks0v2wtv95rda"&gt;114&lt;/key&gt;&lt;/foreign-keys&gt;&lt;ref-type name="Journal Article"&gt;17&lt;/ref-type&gt;&lt;contributors&gt;&lt;authors&gt;&lt;author&gt;Pudil, P.&lt;/author&gt;&lt;author&gt;Novovicová, J.&lt;/author&gt;&lt;author&gt;Kittler, J.&lt;/author&gt;&lt;/authors&gt;&lt;/contributors&gt;&lt;titles&gt;&lt;title&gt;Floating search methods in feature selection&lt;/title&gt;&lt;secondary-title&gt;Pattern recognition letters&lt;/secondary-title&gt;&lt;/titles&gt;&lt;periodical&gt;&lt;full-title&gt;Pattern recognition letters&lt;/full-title&gt;&lt;/periodical&gt;&lt;pages&gt;1119-1125&lt;/pages&gt;&lt;volume&gt;15&lt;/volume&gt;&lt;number&gt;11&lt;/number&gt;&lt;dates&gt;&lt;year&gt;1994&lt;/year&gt;&lt;/dates&gt;&lt;isbn&gt;0167-8655&lt;/isbn&gt;&lt;urls&gt;&lt;/urls&gt;&lt;/record&gt;&lt;/Cite&gt;&lt;/EndNote&gt;</w:instrText>
      </w:r>
      <w:r w:rsidRPr="002B0F0A">
        <w:rPr>
          <w:szCs w:val="21"/>
        </w:rPr>
        <w:fldChar w:fldCharType="separate"/>
      </w:r>
      <w:r w:rsidRPr="002B0F0A">
        <w:rPr>
          <w:szCs w:val="21"/>
        </w:rPr>
        <w:t>[64]</w:t>
      </w:r>
      <w:r w:rsidRPr="002B0F0A">
        <w:rPr>
          <w:szCs w:val="21"/>
        </w:rPr>
        <w:fldChar w:fldCharType="end"/>
      </w:r>
      <w:r w:rsidRPr="002B0F0A">
        <w:rPr>
          <w:szCs w:val="21"/>
        </w:rPr>
        <w:t xml:space="preserve"> to grow and shrink </w:t>
      </w:r>
      <w:proofErr w:type="spellStart"/>
      <w:r w:rsidRPr="002B0F0A">
        <w:rPr>
          <w:szCs w:val="21"/>
        </w:rPr>
        <w:t>subnetworks</w:t>
      </w:r>
      <w:proofErr w:type="spellEnd"/>
      <w:r w:rsidRPr="002B0F0A">
        <w:rPr>
          <w:szCs w:val="21"/>
        </w:rPr>
        <w:t xml:space="preserve"> identified as variably expressed, in an effort to improve classification accuracy. </w:t>
      </w:r>
    </w:p>
    <w:p w:rsidR="006E03CC" w:rsidRDefault="006E03CC">
      <w:pPr>
        <w:rPr>
          <w:sz w:val="24"/>
        </w:rPr>
      </w:pPr>
    </w:p>
    <w:p w:rsidR="00AB4D0C" w:rsidRPr="00AB4D0C" w:rsidRDefault="00AB4D0C">
      <w:pPr>
        <w:rPr>
          <w:b/>
        </w:rPr>
      </w:pPr>
      <w:r w:rsidRPr="00AB4D0C">
        <w:rPr>
          <w:b/>
        </w:rPr>
        <w:lastRenderedPageBreak/>
        <w:t>Results and Discussion</w:t>
      </w:r>
    </w:p>
    <w:sectPr w:rsidR="00AB4D0C" w:rsidRPr="00AB4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34F7C"/>
    <w:multiLevelType w:val="hybridMultilevel"/>
    <w:tmpl w:val="24A8A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A72"/>
    <w:rsid w:val="00090AE4"/>
    <w:rsid w:val="002B0F0A"/>
    <w:rsid w:val="00644A72"/>
    <w:rsid w:val="006E03CC"/>
    <w:rsid w:val="00726F74"/>
    <w:rsid w:val="008425D9"/>
    <w:rsid w:val="00AB4D0C"/>
    <w:rsid w:val="00C03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A72"/>
    <w:pPr>
      <w:spacing w:after="0" w:line="240" w:lineRule="auto"/>
    </w:pPr>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3B5E"/>
    <w:pPr>
      <w:spacing w:after="0" w:line="240" w:lineRule="auto"/>
    </w:pPr>
    <w:rPr>
      <w:rFonts w:ascii="Times New Roman" w:hAnsi="Times New Roman" w:cs="Times New Roman"/>
    </w:rPr>
  </w:style>
  <w:style w:type="paragraph" w:styleId="ListParagraph">
    <w:name w:val="List Paragraph"/>
    <w:basedOn w:val="Normal"/>
    <w:uiPriority w:val="34"/>
    <w:qFormat/>
    <w:rsid w:val="002B0F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A72"/>
    <w:pPr>
      <w:spacing w:after="0" w:line="240" w:lineRule="auto"/>
    </w:pPr>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3B5E"/>
    <w:pPr>
      <w:spacing w:after="0" w:line="240" w:lineRule="auto"/>
    </w:pPr>
    <w:rPr>
      <w:rFonts w:ascii="Times New Roman" w:hAnsi="Times New Roman" w:cs="Times New Roman"/>
    </w:rPr>
  </w:style>
  <w:style w:type="paragraph" w:styleId="ListParagraph">
    <w:name w:val="List Paragraph"/>
    <w:basedOn w:val="Normal"/>
    <w:uiPriority w:val="34"/>
    <w:qFormat/>
    <w:rsid w:val="002B0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Eddy</dc:creator>
  <cp:lastModifiedBy>James Eddy</cp:lastModifiedBy>
  <cp:revision>2</cp:revision>
  <dcterms:created xsi:type="dcterms:W3CDTF">2011-07-05T16:12:00Z</dcterms:created>
  <dcterms:modified xsi:type="dcterms:W3CDTF">2011-07-05T16:35:00Z</dcterms:modified>
</cp:coreProperties>
</file>