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766E"/>
          <w:sz w:val="60"/>
          <w:szCs w:val="60"/>
        </w:rPr>
        <w:t xml:space="preserve">BetaCredit</w:t>
      </w:r>
    </w:p>
    <w:p>
      <w:pPr>
        <w:spacing w:after="60"/>
      </w:pPr>
      <w:r>
        <w:rPr>
          <w:rFonts w:ascii="Arial" w:cs="Arial" w:eastAsia="Arial" w:hAnsi="Arial"/>
          <w:color w:val="475569"/>
          <w:sz w:val="32"/>
          <w:szCs w:val="32"/>
        </w:rPr>
        <w:t xml:space="preserve">User Guide</w:t>
      </w:r>
    </w:p>
    <w:p>
      <w:pPr>
        <w:spacing w:after="60"/>
      </w:pPr>
      <w:r>
        <w:rPr>
          <w:rFonts w:ascii="Arial" w:cs="Arial" w:eastAsia="Arial" w:hAnsi="Arial"/>
          <w:i/>
          <w:iCs/>
          <w:color w:val="0F766E"/>
          <w:sz w:val="22"/>
          <w:szCs w:val="22"/>
        </w:rPr>
        <w:t xml:space="preserve">v1.2</w:t>
      </w:r>
    </w:p>
    <w:p>
      <w:pPr>
        <w:spacing w:after="480"/>
      </w:pPr>
      <w:r>
        <w:rPr>
          <w:rFonts w:ascii="Arial" w:cs="Arial" w:eastAsia="Arial" w:hAnsi="Arial"/>
          <w:i/>
          <w:iCs/>
          <w:color w:val="475569"/>
          <w:sz w:val="22"/>
          <w:szCs w:val="22"/>
        </w:rPr>
        <w:t xml:space="preserve">A credit risk modelling suite for UK lending — PD, LGD, EAD, IFRS 9 staging, fairness diagnostics, and portfolio ECL with Basel capital.</w:t>
      </w:r>
    </w:p>
    <w:p>
      <w:pPr>
        <w:pStyle w:val="Heading2"/>
        <w:spacing w:after="140" w:before="320"/>
      </w:pPr>
      <w:r>
        <w:rPr>
          <w:rFonts w:ascii="Arial" w:cs="Arial" w:eastAsia="Arial" w:hAnsi="Arial"/>
          <w:b/>
          <w:bCs/>
          <w:color w:val="0F766E"/>
          <w:sz w:val="28"/>
          <w:szCs w:val="28"/>
        </w:rPr>
        <w:t xml:space="preserve">Contents</w:t>
      </w:r>
    </w:p>
    <w:p>
      <w:pPr>
        <w:spacing w:after="60"/>
      </w:pPr>
      <w:r>
        <w:rPr>
          <w:rFonts w:ascii="Arial" w:cs="Arial" w:eastAsia="Arial" w:hAnsi="Arial"/>
          <w:sz w:val="22"/>
          <w:szCs w:val="22"/>
        </w:rPr>
        <w:t xml:space="preserve">1.   What BetaCredit does</w:t>
      </w:r>
    </w:p>
    <w:p>
      <w:pPr>
        <w:spacing w:after="60"/>
      </w:pPr>
      <w:r>
        <w:rPr>
          <w:rFonts w:ascii="Arial" w:cs="Arial" w:eastAsia="Arial" w:hAnsi="Arial"/>
          <w:sz w:val="22"/>
          <w:szCs w:val="22"/>
        </w:rPr>
        <w:t xml:space="preserve">2.   The eight asset classes</w:t>
      </w:r>
    </w:p>
    <w:p>
      <w:pPr>
        <w:spacing w:after="60"/>
      </w:pPr>
      <w:r>
        <w:rPr>
          <w:rFonts w:ascii="Arial" w:cs="Arial" w:eastAsia="Arial" w:hAnsi="Arial"/>
          <w:sz w:val="22"/>
          <w:szCs w:val="22"/>
        </w:rPr>
        <w:t xml:space="preserve">3.   The pipeline at a glance</w:t>
      </w:r>
    </w:p>
    <w:p>
      <w:pPr>
        <w:spacing w:after="60"/>
      </w:pPr>
      <w:r>
        <w:rPr>
          <w:rFonts w:ascii="Arial" w:cs="Arial" w:eastAsia="Arial" w:hAnsi="Arial"/>
          <w:sz w:val="22"/>
          <w:szCs w:val="22"/>
        </w:rPr>
        <w:t xml:space="preserve">4.   Getting set up</w:t>
      </w:r>
    </w:p>
    <w:p>
      <w:pPr>
        <w:spacing w:after="60"/>
      </w:pPr>
      <w:r>
        <w:rPr>
          <w:rFonts w:ascii="Arial" w:cs="Arial" w:eastAsia="Arial" w:hAnsi="Arial"/>
          <w:sz w:val="22"/>
          <w:szCs w:val="22"/>
        </w:rPr>
        <w:t xml:space="preserve">5.   Notebook 00 — bringing your data in</w:t>
      </w:r>
    </w:p>
    <w:p>
      <w:pPr>
        <w:spacing w:after="60"/>
      </w:pPr>
      <w:r>
        <w:rPr>
          <w:rFonts w:ascii="Arial" w:cs="Arial" w:eastAsia="Arial" w:hAnsi="Arial"/>
          <w:sz w:val="22"/>
          <w:szCs w:val="22"/>
        </w:rPr>
        <w:t xml:space="preserve">6.   The canonical schema</w:t>
      </w:r>
    </w:p>
    <w:p>
      <w:pPr>
        <w:spacing w:after="60"/>
      </w:pPr>
      <w:r>
        <w:rPr>
          <w:rFonts w:ascii="Arial" w:cs="Arial" w:eastAsia="Arial" w:hAnsi="Arial"/>
          <w:sz w:val="22"/>
          <w:szCs w:val="22"/>
        </w:rPr>
        <w:t xml:space="preserve">7.   Notebook 01 — exploratory analysis</w:t>
      </w:r>
    </w:p>
    <w:p>
      <w:pPr>
        <w:spacing w:after="60"/>
      </w:pPr>
      <w:r>
        <w:rPr>
          <w:rFonts w:ascii="Arial" w:cs="Arial" w:eastAsia="Arial" w:hAnsi="Arial"/>
          <w:sz w:val="22"/>
          <w:szCs w:val="22"/>
        </w:rPr>
        <w:t xml:space="preserve">8.   Notebook 02 — Probability of Default</w:t>
      </w:r>
    </w:p>
    <w:p>
      <w:pPr>
        <w:spacing w:after="60"/>
      </w:pPr>
      <w:r>
        <w:rPr>
          <w:rFonts w:ascii="Arial" w:cs="Arial" w:eastAsia="Arial" w:hAnsi="Arial"/>
          <w:sz w:val="22"/>
          <w:szCs w:val="22"/>
        </w:rPr>
        <w:t xml:space="preserve">9.   Notebook 03 — LGD and EAD</w:t>
      </w:r>
    </w:p>
    <w:p>
      <w:pPr>
        <w:spacing w:after="60"/>
      </w:pPr>
      <w:r>
        <w:rPr>
          <w:rFonts w:ascii="Arial" w:cs="Arial" w:eastAsia="Arial" w:hAnsi="Arial"/>
          <w:sz w:val="22"/>
          <w:szCs w:val="22"/>
        </w:rPr>
        <w:t xml:space="preserve">10.  Notebook 04 — IFRS 9 SICR staging</w:t>
      </w:r>
    </w:p>
    <w:p>
      <w:pPr>
        <w:spacing w:after="60"/>
      </w:pPr>
      <w:r>
        <w:rPr>
          <w:rFonts w:ascii="Arial" w:cs="Arial" w:eastAsia="Arial" w:hAnsi="Arial"/>
          <w:sz w:val="22"/>
          <w:szCs w:val="22"/>
        </w:rPr>
        <w:t xml:space="preserve">11.  Notebook 05 — Fairness and responsible AI</w:t>
      </w:r>
    </w:p>
    <w:p>
      <w:pPr>
        <w:spacing w:after="60"/>
      </w:pPr>
      <w:r>
        <w:rPr>
          <w:rFonts w:ascii="Arial" w:cs="Arial" w:eastAsia="Arial" w:hAnsi="Arial"/>
          <w:sz w:val="22"/>
          <w:szCs w:val="22"/>
        </w:rPr>
        <w:t xml:space="preserve">12.  Notebook 06 — Outcome-driven re-weighting</w:t>
      </w:r>
    </w:p>
    <w:p>
      <w:pPr>
        <w:spacing w:after="60"/>
      </w:pPr>
      <w:r>
        <w:rPr>
          <w:rFonts w:ascii="Arial" w:cs="Arial" w:eastAsia="Arial" w:hAnsi="Arial"/>
          <w:sz w:val="22"/>
          <w:szCs w:val="22"/>
        </w:rPr>
        <w:t xml:space="preserve">13.  Notebook 07 — Portfolio ECL and Basel capital</w:t>
      </w:r>
    </w:p>
    <w:p>
      <w:pPr>
        <w:spacing w:after="60"/>
      </w:pPr>
      <w:r>
        <w:rPr>
          <w:rFonts w:ascii="Arial" w:cs="Arial" w:eastAsia="Arial" w:hAnsi="Arial"/>
          <w:sz w:val="22"/>
          <w:szCs w:val="22"/>
        </w:rPr>
        <w:t xml:space="preserve">14.  Back-testing the decision agent</w:t>
      </w:r>
    </w:p>
    <w:p>
      <w:pPr>
        <w:spacing w:after="60"/>
      </w:pPr>
      <w:r>
        <w:rPr>
          <w:rFonts w:ascii="Arial" w:cs="Arial" w:eastAsia="Arial" w:hAnsi="Arial"/>
          <w:sz w:val="22"/>
          <w:szCs w:val="22"/>
        </w:rPr>
        <w:t xml:space="preserve">15.  How real data flows through the suite</w:t>
      </w:r>
    </w:p>
    <w:p>
      <w:pPr>
        <w:spacing w:after="60"/>
      </w:pPr>
      <w:r>
        <w:rPr>
          <w:rFonts w:ascii="Arial" w:cs="Arial" w:eastAsia="Arial" w:hAnsi="Arial"/>
          <w:sz w:val="22"/>
          <w:szCs w:val="22"/>
        </w:rPr>
        <w:t xml:space="preserve">16.  Customisation</w:t>
      </w:r>
    </w:p>
    <w:p>
      <w:pPr>
        <w:spacing w:after="60"/>
      </w:pPr>
      <w:r>
        <w:rPr>
          <w:rFonts w:ascii="Arial" w:cs="Arial" w:eastAsia="Arial" w:hAnsi="Arial"/>
          <w:sz w:val="22"/>
          <w:szCs w:val="22"/>
        </w:rPr>
        <w:t xml:space="preserve">17.  Common gotchas</w:t>
      </w:r>
    </w:p>
    <w:p>
      <w:pPr>
        <w:spacing w:after="60"/>
      </w:pPr>
      <w:r>
        <w:rPr>
          <w:rFonts w:ascii="Arial" w:cs="Arial" w:eastAsia="Arial" w:hAnsi="Arial"/>
          <w:sz w:val="22"/>
          <w:szCs w:val="22"/>
        </w:rPr>
        <w:t xml:space="preserve">18.  Calibration and trust</w:t>
      </w:r>
    </w:p>
    <w:p>
      <w:pPr>
        <w:spacing w:after="60"/>
      </w:pPr>
      <w:r>
        <w:rPr>
          <w:rFonts w:ascii="Arial" w:cs="Arial" w:eastAsia="Arial" w:hAnsi="Arial"/>
          <w:sz w:val="22"/>
          <w:szCs w:val="22"/>
        </w:rPr>
        <w:t xml:space="preserve">19.  Reference: every public function</w:t>
      </w:r>
    </w:p>
    <w:p>
      <w:pPr>
        <w:spacing w:after="100"/>
      </w:pPr>
      <w:r>
        <w:t xml:space="preserve"/>
      </w:r>
    </w:p>
    <w:p>
      <w:pPr>
        <w:spacing w:after="120"/>
      </w:pPr>
      <w:r>
        <w:rPr>
          <w:rFonts w:ascii="Arial" w:cs="Arial" w:eastAsia="Arial" w:hAnsi="Arial"/>
          <w:sz w:val="22"/>
          <w:szCs w:val="22"/>
        </w:rPr>
        <w:t xml:space="preserve">How to read this guide:</w:t>
      </w:r>
    </w:p>
    <w:p>
      <w:pPr>
        <w:pStyle w:val="ListParagraph"/>
        <w:numPr>
          <w:ilvl w:val="0"/>
          <w:numId w:val="2"/>
        </w:numPr>
        <w:spacing w:after="80"/>
      </w:pPr>
      <w:r>
        <w:rPr>
          <w:rFonts w:ascii="Arial" w:cs="Arial" w:eastAsia="Arial" w:hAnsi="Arial"/>
          <w:b w:val="false"/>
          <w:bCs w:val="false"/>
          <w:i w:val="false"/>
          <w:iCs w:val="false"/>
          <w:sz w:val="22"/>
          <w:szCs w:val="22"/>
        </w:rPr>
        <w:t xml:space="preserve">Each major section opens with an </w:t>
      </w:r>
      <w:r>
        <w:rPr>
          <w:rFonts w:ascii="Arial" w:cs="Arial" w:eastAsia="Arial" w:hAnsi="Arial"/>
          <w:b/>
          <w:bCs/>
          <w:i w:val="false"/>
          <w:iCs w:val="false"/>
          <w:sz w:val="22"/>
          <w:szCs w:val="22"/>
        </w:rPr>
        <w:t xml:space="preserve">IN BRIEF</w:t>
      </w:r>
      <w:r>
        <w:rPr>
          <w:rFonts w:ascii="Arial" w:cs="Arial" w:eastAsia="Arial" w:hAnsi="Arial"/>
          <w:b w:val="false"/>
          <w:bCs w:val="false"/>
          <w:i w:val="false"/>
          <w:iCs w:val="false"/>
          <w:sz w:val="22"/>
          <w:szCs w:val="22"/>
        </w:rPr>
        <w:t xml:space="preserve"> box — three sentences a non-technical reader can lift directly into a memo. The detail follows underneath for whoever has to actually run the code.</w:t>
      </w:r>
    </w:p>
    <w:p>
      <w:pPr>
        <w:pStyle w:val="ListParagraph"/>
        <w:numPr>
          <w:ilvl w:val="0"/>
          <w:numId w:val="2"/>
        </w:numPr>
        <w:spacing w:after="80"/>
      </w:pPr>
      <w:r>
        <w:rPr>
          <w:rFonts w:ascii="Arial" w:cs="Arial" w:eastAsia="Arial" w:hAnsi="Arial"/>
          <w:b/>
          <w:bCs/>
          <w:i w:val="false"/>
          <w:iCs w:val="false"/>
          <w:sz w:val="22"/>
          <w:szCs w:val="22"/>
        </w:rPr>
        <w:t xml:space="preserve">Code blocks </w:t>
      </w:r>
      <w:r>
        <w:rPr>
          <w:rFonts w:ascii="Arial" w:cs="Arial" w:eastAsia="Arial" w:hAnsi="Arial"/>
          <w:sz w:val="22"/>
          <w:szCs w:val="22"/>
        </w:rPr>
        <w:t xml:space="preserve">(grey background) show what you type. </w:t>
      </w:r>
      <w:r>
        <w:rPr>
          <w:rFonts w:ascii="Arial" w:cs="Arial" w:eastAsia="Arial" w:hAnsi="Arial"/>
          <w:b/>
          <w:bCs/>
          <w:i w:val="false"/>
          <w:iCs w:val="false"/>
          <w:sz w:val="22"/>
          <w:szCs w:val="22"/>
        </w:rPr>
        <w:t xml:space="preserve">Output blocks </w:t>
      </w:r>
      <w:r>
        <w:rPr>
          <w:rFonts w:ascii="Arial" w:cs="Arial" w:eastAsia="Arial" w:hAnsi="Arial"/>
          <w:sz w:val="22"/>
          <w:szCs w:val="22"/>
        </w:rPr>
        <w:t xml:space="preserve">(green left bar) show what runs print. Numbers in output blocks come from real runs against the example data, so what you read here matches what you will see on screen.</w:t>
      </w:r>
    </w:p>
    <w:p>
      <w:pPr>
        <w:pStyle w:val="ListParagraph"/>
        <w:numPr>
          <w:ilvl w:val="0"/>
          <w:numId w:val="2"/>
        </w:numPr>
        <w:spacing w:after="80"/>
      </w:pPr>
      <w:r>
        <w:rPr>
          <w:rFonts w:ascii="Arial" w:cs="Arial" w:eastAsia="Arial" w:hAnsi="Arial"/>
          <w:b/>
          <w:bCs/>
          <w:i w:val="false"/>
          <w:iCs w:val="false"/>
          <w:sz w:val="22"/>
          <w:szCs w:val="22"/>
        </w:rPr>
        <w:t xml:space="preserve">Amber callouts </w:t>
      </w:r>
      <w:r>
        <w:rPr>
          <w:rFonts w:ascii="Arial" w:cs="Arial" w:eastAsia="Arial" w:hAnsi="Arial"/>
          <w:sz w:val="22"/>
          <w:szCs w:val="22"/>
        </w:rPr>
        <w:t xml:space="preserve">flag things that catch new users out — read them.</w:t>
      </w:r>
    </w:p>
    <w:p>
      <w:pPr>
        <w:spacing w:after="100"/>
      </w:pPr>
      <w:r>
        <w:t xml:space="preserve"/>
      </w:r>
    </w:p>
    <w:p>
      <w:pPr>
        <w:spacing w:after="120"/>
      </w:pPr>
      <w:r>
        <w:rPr>
          <w:rFonts w:ascii="Arial" w:cs="Arial" w:eastAsia="Arial" w:hAnsi="Arial"/>
          <w:sz w:val="22"/>
          <w:szCs w:val="22"/>
        </w:rPr>
        <w:t xml:space="preserve">What is new in v1.1 and v1.2:</w:t>
      </w:r>
    </w:p>
    <w:p>
      <w:pPr>
        <w:pStyle w:val="ListParagraph"/>
        <w:numPr>
          <w:ilvl w:val="0"/>
          <w:numId w:val="2"/>
        </w:numPr>
        <w:spacing w:after="80"/>
      </w:pPr>
      <w:r>
        <w:rPr>
          <w:rFonts w:ascii="Arial" w:cs="Arial" w:eastAsia="Arial" w:hAnsi="Arial"/>
          <w:b/>
          <w:bCs/>
          <w:i w:val="false"/>
          <w:iCs w:val="false"/>
          <w:sz w:val="22"/>
          <w:szCs w:val="22"/>
        </w:rPr>
        <w:t xml:space="preserve">Retrained-model persistence (v1.1) </w:t>
      </w:r>
      <w:r>
        <w:rPr>
          <w:rFonts w:ascii="Arial" w:cs="Arial" w:eastAsia="Arial" w:hAnsi="Arial"/>
          <w:sz w:val="22"/>
          <w:szCs w:val="22"/>
        </w:rPr>
        <w:t xml:space="preserve">— notebook 02 now saves </w:t>
      </w:r>
      <w:r>
        <w:rPr>
          <w:rFonts w:ascii="Consolas" w:cs="Consolas" w:eastAsia="Consolas" w:hAnsi="Consolas"/>
          <w:b w:val="false"/>
          <w:bCs w:val="false"/>
          <w:i w:val="false"/>
          <w:iCs w:val="false"/>
          <w:sz w:val="22"/>
          <w:szCs w:val="22"/>
        </w:rPr>
        <w:t xml:space="preserve">pd_models.pkl</w:t>
      </w:r>
      <w:r>
        <w:rPr>
          <w:rFonts w:ascii="Arial" w:cs="Arial" w:eastAsia="Arial" w:hAnsi="Arial"/>
          <w:sz w:val="22"/>
          <w:szCs w:val="22"/>
        </w:rPr>
        <w:t xml:space="preserve"> at the end of its run. The CreditDecisionAgent and notebook 07 auto-load it. Section 8 and the new Section 14 cover this.</w:t>
      </w:r>
    </w:p>
    <w:p>
      <w:pPr>
        <w:pStyle w:val="ListParagraph"/>
        <w:numPr>
          <w:ilvl w:val="0"/>
          <w:numId w:val="2"/>
        </w:numPr>
        <w:spacing w:after="80"/>
      </w:pPr>
      <w:r>
        <w:rPr>
          <w:rFonts w:ascii="Arial" w:cs="Arial" w:eastAsia="Arial" w:hAnsi="Arial"/>
          <w:b/>
          <w:bCs/>
          <w:i w:val="false"/>
          <w:iCs w:val="false"/>
          <w:sz w:val="22"/>
          <w:szCs w:val="22"/>
        </w:rPr>
        <w:t xml:space="preserve">Vintage / origination-date support (v1.1) </w:t>
      </w:r>
      <w:r>
        <w:rPr>
          <w:rFonts w:ascii="Arial" w:cs="Arial" w:eastAsia="Arial" w:hAnsi="Arial"/>
          <w:sz w:val="22"/>
          <w:szCs w:val="22"/>
        </w:rPr>
        <w:t xml:space="preserve">— the canonical schema now includes </w:t>
      </w:r>
      <w:r>
        <w:rPr>
          <w:rFonts w:ascii="Consolas" w:cs="Consolas" w:eastAsia="Consolas" w:hAnsi="Consolas"/>
          <w:b w:val="false"/>
          <w:bCs w:val="false"/>
          <w:i w:val="false"/>
          <w:iCs w:val="false"/>
          <w:sz w:val="22"/>
          <w:szCs w:val="22"/>
        </w:rPr>
        <w:t xml:space="preserve">origination_date</w:t>
      </w:r>
      <w:r>
        <w:rPr>
          <w:rFonts w:ascii="Arial" w:cs="Arial" w:eastAsia="Arial" w:hAnsi="Arial"/>
          <w:sz w:val="22"/>
          <w:szCs w:val="22"/>
        </w:rPr>
        <w:t xml:space="preserve"> and </w:t>
      </w:r>
      <w:r>
        <w:rPr>
          <w:rFonts w:ascii="Consolas" w:cs="Consolas" w:eastAsia="Consolas" w:hAnsi="Consolas"/>
          <w:b w:val="false"/>
          <w:bCs w:val="false"/>
          <w:i w:val="false"/>
          <w:iCs w:val="false"/>
          <w:sz w:val="22"/>
          <w:szCs w:val="22"/>
        </w:rPr>
        <w:t xml:space="preserve">vintage_quarter</w:t>
      </w:r>
      <w:r>
        <w:rPr>
          <w:rFonts w:ascii="Arial" w:cs="Arial" w:eastAsia="Arial" w:hAnsi="Arial"/>
          <w:sz w:val="22"/>
          <w:szCs w:val="22"/>
        </w:rPr>
        <w:t xml:space="preserve"> as optional columns. Section 6 documents them; Sections 7 and 14 use them.</w:t>
      </w:r>
    </w:p>
    <w:p>
      <w:pPr>
        <w:pStyle w:val="ListParagraph"/>
        <w:numPr>
          <w:ilvl w:val="0"/>
          <w:numId w:val="2"/>
        </w:numPr>
        <w:spacing w:after="80"/>
      </w:pPr>
      <w:r>
        <w:rPr>
          <w:rFonts w:ascii="Arial" w:cs="Arial" w:eastAsia="Arial" w:hAnsi="Arial"/>
          <w:b/>
          <w:bCs/>
          <w:i w:val="false"/>
          <w:iCs w:val="false"/>
          <w:sz w:val="22"/>
          <w:szCs w:val="22"/>
        </w:rPr>
        <w:t xml:space="preserve">Back-tester (v1.1) </w:t>
      </w:r>
      <w:r>
        <w:rPr>
          <w:rFonts w:ascii="Arial" w:cs="Arial" w:eastAsia="Arial" w:hAnsi="Arial"/>
          <w:sz w:val="22"/>
          <w:szCs w:val="22"/>
        </w:rPr>
        <w:t xml:space="preserve">— a new </w:t>
      </w:r>
      <w:r>
        <w:rPr>
          <w:rFonts w:ascii="Consolas" w:cs="Consolas" w:eastAsia="Consolas" w:hAnsi="Consolas"/>
          <w:b w:val="false"/>
          <w:bCs w:val="false"/>
          <w:i w:val="false"/>
          <w:iCs w:val="false"/>
          <w:sz w:val="22"/>
          <w:szCs w:val="22"/>
        </w:rPr>
        <w:t xml:space="preserve">agent.backtest(df)</w:t>
      </w:r>
      <w:r>
        <w:rPr>
          <w:rFonts w:ascii="Arial" w:cs="Arial" w:eastAsia="Arial" w:hAnsi="Arial"/>
          <w:sz w:val="22"/>
          <w:szCs w:val="22"/>
        </w:rPr>
        <w:t xml:space="preserve"> method evaluates the agent's APPROVE/REVIEW/DECLINE policy against realised defaults. Section 14 covers it in full.</w:t>
      </w:r>
    </w:p>
    <w:p>
      <w:pPr>
        <w:pStyle w:val="ListParagraph"/>
        <w:numPr>
          <w:ilvl w:val="0"/>
          <w:numId w:val="2"/>
        </w:numPr>
        <w:spacing w:after="80"/>
      </w:pPr>
      <w:r>
        <w:rPr>
          <w:rFonts w:ascii="Arial" w:cs="Arial" w:eastAsia="Arial" w:hAnsi="Arial"/>
          <w:b/>
          <w:bCs/>
          <w:i w:val="false"/>
          <w:iCs w:val="false"/>
          <w:sz w:val="22"/>
          <w:szCs w:val="22"/>
        </w:rPr>
        <w:t xml:space="preserve">LGD component decomposition (v1.2) </w:t>
      </w:r>
      <w:r>
        <w:rPr>
          <w:rFonts w:ascii="Arial" w:cs="Arial" w:eastAsia="Arial" w:hAnsi="Arial"/>
          <w:sz w:val="22"/>
          <w:szCs w:val="22"/>
        </w:rPr>
        <w:t xml:space="preserve">— LGD is now decomposed into cure_prob, collateral_recovery, unsecured_recovery, recovery_costs, and a discount factor. The user can supply any subset per loan or override the entire model via </w:t>
      </w:r>
      <w:r>
        <w:rPr>
          <w:rFonts w:ascii="Consolas" w:cs="Consolas" w:eastAsia="Consolas" w:hAnsi="Consolas"/>
          <w:b w:val="false"/>
          <w:bCs w:val="false"/>
          <w:i w:val="false"/>
          <w:iCs w:val="false"/>
          <w:sz w:val="22"/>
          <w:szCs w:val="22"/>
        </w:rPr>
        <w:t xml:space="preserve">lgd_observed</w:t>
      </w:r>
      <w:r>
        <w:rPr>
          <w:rFonts w:ascii="Arial" w:cs="Arial" w:eastAsia="Arial" w:hAnsi="Arial"/>
          <w:sz w:val="22"/>
          <w:szCs w:val="22"/>
        </w:rPr>
        <w:t xml:space="preserve">. Section 9 covers this with the new waterfall and tornado charts.</w:t>
      </w:r>
    </w:p>
    <w:p>
      <w:r>
        <w:br w:type="page"/>
      </w:r>
    </w:p>
    <w:p>
      <w:pPr>
        <w:pStyle w:val="Heading1"/>
        <w:spacing w:after="200" w:before="360"/>
      </w:pPr>
      <w:r>
        <w:rPr>
          <w:rFonts w:ascii="Arial" w:cs="Arial" w:eastAsia="Arial" w:hAnsi="Arial"/>
          <w:b/>
          <w:bCs/>
          <w:color w:val="0F766E"/>
          <w:sz w:val="36"/>
          <w:szCs w:val="36"/>
        </w:rPr>
        <w:t xml:space="preserve">1. What BetaCredit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BetaCredit takes a book of UK loans and runs the full credit-risk modelling stack on it — probability of default, loss given default, exposure at default, IFRS 9 stage allocation, fairness diagnostics, and Basel-compliant ECL and risk-weighted assets. You give it a CSV (or Excel, JSON, or Parquet) of borrower records and it produces analytical notebooks ready for an internal audit pack or a regulatory submission.</w:t>
            </w:r>
          </w:p>
        </w:tc>
      </w:tr>
    </w:tbl>
    <w:p>
      <w:pPr>
        <w:spacing w:after="120"/>
      </w:pPr>
      <w:r>
        <w:rPr>
          <w:rFonts w:ascii="Arial" w:cs="Arial" w:eastAsia="Arial" w:hAnsi="Arial"/>
          <w:sz w:val="22"/>
          <w:szCs w:val="22"/>
        </w:rPr>
        <w:t xml:space="preserve">The product is delivered as a set of eight Jupyter notebooks plus a Python backend package (risk_models). Each notebook is self-contained: open it, click "Run all", and it produces its own analysis. There is no separate "training" step, no server, no database — everything lives in the working directory.</w:t>
      </w:r>
    </w:p>
    <w:p>
      <w:pPr>
        <w:spacing w:after="120"/>
      </w:pPr>
      <w:r>
        <w:rPr>
          <w:rFonts w:ascii="Arial" w:cs="Arial" w:eastAsia="Arial" w:hAnsi="Arial"/>
          <w:sz w:val="22"/>
          <w:szCs w:val="22"/>
        </w:rPr>
        <w:t xml:space="preserve">Two kinds of user run BetaCredit:</w:t>
      </w:r>
    </w:p>
    <w:p>
      <w:pPr>
        <w:pStyle w:val="ListParagraph"/>
        <w:numPr>
          <w:ilvl w:val="0"/>
          <w:numId w:val="2"/>
        </w:numPr>
        <w:spacing w:after="80"/>
      </w:pPr>
      <w:r>
        <w:rPr>
          <w:rFonts w:ascii="Arial" w:cs="Arial" w:eastAsia="Arial" w:hAnsi="Arial"/>
          <w:b/>
          <w:bCs/>
          <w:i w:val="false"/>
          <w:iCs w:val="false"/>
          <w:sz w:val="22"/>
          <w:szCs w:val="22"/>
        </w:rPr>
        <w:t xml:space="preserve">Risk analysts and quants </w:t>
      </w:r>
      <w:r>
        <w:rPr>
          <w:rFonts w:ascii="Arial" w:cs="Arial" w:eastAsia="Arial" w:hAnsi="Arial"/>
          <w:sz w:val="22"/>
          <w:szCs w:val="22"/>
        </w:rPr>
        <w:t xml:space="preserve">— who open the notebooks, ingest the firm's actual book of business, and use the produced charts and tables to support model validation, IFRS 9 staging, capital planning, or fairness reviews.</w:t>
      </w:r>
    </w:p>
    <w:p>
      <w:pPr>
        <w:pStyle w:val="ListParagraph"/>
        <w:numPr>
          <w:ilvl w:val="0"/>
          <w:numId w:val="2"/>
        </w:numPr>
        <w:spacing w:after="80"/>
      </w:pPr>
      <w:r>
        <w:rPr>
          <w:rFonts w:ascii="Arial" w:cs="Arial" w:eastAsia="Arial" w:hAnsi="Arial"/>
          <w:b/>
          <w:bCs/>
          <w:i w:val="false"/>
          <w:iCs w:val="false"/>
          <w:sz w:val="22"/>
          <w:szCs w:val="22"/>
        </w:rPr>
        <w:t xml:space="preserve">Heads of credit risk, audit, and governance </w:t>
      </w:r>
      <w:r>
        <w:rPr>
          <w:rFonts w:ascii="Arial" w:cs="Arial" w:eastAsia="Arial" w:hAnsi="Arial"/>
          <w:sz w:val="22"/>
          <w:szCs w:val="22"/>
        </w:rPr>
        <w:t xml:space="preserve">— who do not run the notebooks themselves but read the outputs (the dashboard plots, the ECL stress tables, the fairness diagnostics) and quote the IN BRIEF summaries from this guide in board papers.</w:t>
      </w:r>
    </w:p>
    <w:p>
      <w:pPr>
        <w:spacing w:after="120"/>
      </w:pPr>
      <w:r>
        <w:rPr>
          <w:rFonts w:ascii="Arial" w:cs="Arial" w:eastAsia="Arial" w:hAnsi="Arial"/>
          <w:sz w:val="22"/>
          <w:szCs w:val="22"/>
        </w:rPr>
        <w:t xml:space="preserve">What BetaCredit is not:</w:t>
      </w:r>
    </w:p>
    <w:p>
      <w:pPr>
        <w:pStyle w:val="ListParagraph"/>
        <w:numPr>
          <w:ilvl w:val="0"/>
          <w:numId w:val="2"/>
        </w:numPr>
        <w:spacing w:after="80"/>
      </w:pPr>
      <w:r>
        <w:rPr>
          <w:rFonts w:ascii="Arial" w:cs="Arial" w:eastAsia="Arial" w:hAnsi="Arial"/>
          <w:b/>
          <w:bCs/>
          <w:i w:val="false"/>
          <w:iCs w:val="false"/>
          <w:sz w:val="22"/>
          <w:szCs w:val="22"/>
        </w:rPr>
        <w:t xml:space="preserve">It is not a production scoring engine. </w:t>
      </w:r>
      <w:r>
        <w:rPr>
          <w:rFonts w:ascii="Arial" w:cs="Arial" w:eastAsia="Arial" w:hAnsi="Arial"/>
          <w:sz w:val="22"/>
          <w:szCs w:val="22"/>
        </w:rPr>
        <w:t xml:space="preserve">It does not score live applications or sit behind an API. It is an analytical workbench.</w:t>
      </w:r>
    </w:p>
    <w:p>
      <w:pPr>
        <w:pStyle w:val="ListParagraph"/>
        <w:numPr>
          <w:ilvl w:val="0"/>
          <w:numId w:val="2"/>
        </w:numPr>
        <w:spacing w:after="80"/>
      </w:pPr>
      <w:r>
        <w:rPr>
          <w:rFonts w:ascii="Arial" w:cs="Arial" w:eastAsia="Arial" w:hAnsi="Arial"/>
          <w:b/>
          <w:bCs/>
          <w:i w:val="false"/>
          <w:iCs w:val="false"/>
          <w:sz w:val="22"/>
          <w:szCs w:val="22"/>
        </w:rPr>
        <w:t xml:space="preserve">It is not a regulatory submission tool. </w:t>
      </w:r>
      <w:r>
        <w:rPr>
          <w:rFonts w:ascii="Arial" w:cs="Arial" w:eastAsia="Arial" w:hAnsi="Arial"/>
          <w:sz w:val="22"/>
          <w:szCs w:val="22"/>
        </w:rPr>
        <w:t xml:space="preserve">The numbers it produces are correct in form (IFRS 9 stages, Basel IV RWA scalars, FCA Consumer Duty fairness metrics) but the calibration must still be reviewed by your model risk team before any submission.</w:t>
      </w:r>
    </w:p>
    <w:p>
      <w:pPr>
        <w:pStyle w:val="ListParagraph"/>
        <w:numPr>
          <w:ilvl w:val="0"/>
          <w:numId w:val="2"/>
        </w:numPr>
        <w:spacing w:after="80"/>
      </w:pPr>
      <w:r>
        <w:rPr>
          <w:rFonts w:ascii="Arial" w:cs="Arial" w:eastAsia="Arial" w:hAnsi="Arial"/>
          <w:b/>
          <w:bCs/>
          <w:i w:val="false"/>
          <w:iCs w:val="false"/>
          <w:sz w:val="22"/>
          <w:szCs w:val="22"/>
        </w:rPr>
        <w:t xml:space="preserve">It is not opinionated about your data warehouse. </w:t>
      </w:r>
      <w:r>
        <w:rPr>
          <w:rFonts w:ascii="Arial" w:cs="Arial" w:eastAsia="Arial" w:hAnsi="Arial"/>
          <w:sz w:val="22"/>
          <w:szCs w:val="22"/>
        </w:rPr>
        <w:t xml:space="preserve">It reads files. Where those files come from is up to you.</w:t>
      </w:r>
    </w:p>
    <w:p>
      <w:pPr>
        <w:pStyle w:val="Heading1"/>
        <w:spacing w:after="200" w:before="360"/>
      </w:pPr>
      <w:r>
        <w:rPr>
          <w:rFonts w:ascii="Arial" w:cs="Arial" w:eastAsia="Arial" w:hAnsi="Arial"/>
          <w:b/>
          <w:bCs/>
          <w:color w:val="0F766E"/>
          <w:sz w:val="36"/>
          <w:szCs w:val="36"/>
        </w:rPr>
        <w:t xml:space="preserve">2. The eight asset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BetaCredit treats every loan as belonging to one of eight asset classes. Each class has its own calibration — its own typical default rate, its own LGD, its own SICR thresholds, its own regulatory floor. When you ingest data, the asset class is the most important column to get right; when you read outputs, results are almost always reported per asset class.</w:t>
            </w:r>
          </w:p>
        </w:tc>
      </w:tr>
    </w:tbl>
    <w:p>
      <w:pPr>
        <w:spacing w:after="120"/>
      </w:pPr>
      <w:r>
        <w:rPr>
          <w:rFonts w:ascii="Arial" w:cs="Arial" w:eastAsia="Arial" w:hAnsi="Arial"/>
          <w:sz w:val="22"/>
          <w:szCs w:val="22"/>
        </w:rPr>
        <w:t xml:space="preserve">The eight classes mirror how a UK lender breaks down its book for IFRS 9 and Basel. Each one has a name, a benchmark default rate, an expected LGD, and a set of regulatory parameters baked into the model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Asset class</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TTC default rate</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Base LGD</w:t>
            </w:r>
          </w:p>
        </w:tc>
        <w:tc>
          <w:tcPr>
            <w:tcW w:type="dxa" w:w="2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Typical loan size</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SME Unsecured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4.5%</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55%</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£85,000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SME Secured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3.0%</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35%</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£250,000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Consumer Unsecured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5.5%</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72%</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£12,000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Residential Mortgage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1.2%</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14%</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£220,000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Buy to Let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1.8%</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16%</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£185,000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Motor Finance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44%</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£22,000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Invoice Finance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28%</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£95,000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Asset Finance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38%</w:t>
            </w:r>
          </w:p>
        </w:tc>
        <w:tc>
          <w:tcPr>
            <w:tcW w:type="dxa" w:w="2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£140,000</w:t>
            </w:r>
          </w:p>
        </w:tc>
      </w:tr>
    </w:tbl>
    <w:p>
      <w:pPr>
        <w:spacing w:after="100"/>
      </w:pPr>
      <w:r>
        <w:t xml:space="preserve"/>
      </w:r>
    </w:p>
    <w:p>
      <w:pPr>
        <w:spacing w:after="120"/>
      </w:pPr>
      <w:r>
        <w:rPr>
          <w:rFonts w:ascii="Arial" w:cs="Arial" w:eastAsia="Arial" w:hAnsi="Arial"/>
          <w:sz w:val="22"/>
          <w:szCs w:val="22"/>
        </w:rPr>
        <w:t xml:space="preserve">TTC means "through the cycle" — the long-run average across boom and bust. LGD is loss given default (1 minus the recovery rate). The numbers above are BetaCredit's out-of-the-box calibration, drawn from published UK lending benchmarks; if your firm's book has different numbers, the modelling notebooks recalibrate against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NOTE  </w:t>
            </w:r>
            <w:r>
              <w:rPr>
                <w:rFonts w:ascii="Arial" w:cs="Arial" w:eastAsia="Arial" w:hAnsi="Arial"/>
                <w:sz w:val="22"/>
                <w:szCs w:val="22"/>
              </w:rPr>
              <w:t xml:space="preserve">In code, asset classes are exposed as a Python enum called AssetClass with members like AssetClass.SME_UNSECURED. The string form of the same value is "sme_unsecured". You will see both spellings in different places.</w:t>
            </w:r>
          </w:p>
        </w:tc>
      </w:tr>
    </w:tbl>
    <w:p>
      <w:pPr>
        <w:pStyle w:val="Heading1"/>
        <w:spacing w:after="200" w:before="360"/>
      </w:pPr>
      <w:r>
        <w:rPr>
          <w:rFonts w:ascii="Arial" w:cs="Arial" w:eastAsia="Arial" w:hAnsi="Arial"/>
          <w:b/>
          <w:bCs/>
          <w:color w:val="0F766E"/>
          <w:sz w:val="36"/>
          <w:szCs w:val="36"/>
        </w:rPr>
        <w:t xml:space="preserve">3. The pipeline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Notebook 00 is the front door — it ingests your data and saves a single file (df_all.parquet). Notebooks 01 through 07 are the analytical pipeline; each one auto-detects df_all.parquet and runs against your real book if it is present, or against synthetic data if not. You never edit the modelling notebooks; the only thing that switches between real and synthetic is whether that one parquet file exists.</w:t>
            </w:r>
          </w:p>
        </w:tc>
      </w:tr>
    </w:tbl>
    <w:p>
      <w:pPr>
        <w:pStyle w:val="Heading3"/>
        <w:spacing w:after="100" w:before="240"/>
      </w:pPr>
      <w:r>
        <w:rPr>
          <w:rFonts w:ascii="Arial" w:cs="Arial" w:eastAsia="Arial" w:hAnsi="Arial"/>
          <w:b/>
          <w:bCs/>
          <w:sz w:val="24"/>
          <w:szCs w:val="24"/>
        </w:rPr>
        <w:t xml:space="preserve">The eight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Notebook</w:t>
            </w:r>
          </w:p>
        </w:tc>
        <w:tc>
          <w:tcPr>
            <w:tcW w:type="dxa" w:w="6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What it produces</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00 Data Ingestion</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CSV / Excel / JSON / Parquet → df_all.parquet. The first notebook to run — produces the file every other notebook reads.</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01 Exploratory Data Analysis</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Default rates, distributions, correlation heatmaps, default-rate-by-bureau-band lookups, and a vintage cohort chart. The first sanity-check after ingestion.</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02 Probability of Default</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LightGBM PD models with SHAP and LIME explanations, calibration plots, F1 / profit-optimal thresholds. Saves pd_models.pkl for downstream re-use.</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03 LGD and EAD</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Loss-given-default and exposure-at-default per asset class, with HPI stress curves for mortgages and depreciation curves for motor finance.</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04 IFRS 9 SICR Staging</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Per-loan classification into Stage 1 / 2 / 3 with an IFRS 9 trigger trail; portfolio migration through a six-quarter stress cycle.</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05 Fairness and Responsible AI</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Disparate-impact, equal-opportunity, and predictive-parity tests across protected groups (gender, age, region) for FCA Consumer Duty compliance.</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06 Outcome-driven re-weighting</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Bayesian RL agent that updates feature-importance weights based on observed loan outcomes, with a governance gate that holds large shifts for review.</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07 Portfolio ECL and Basel Capital</w:t>
            </w:r>
          </w:p>
        </w:tc>
        <w:tc>
          <w:tcPr>
            <w:tcW w:type="dxa" w:w="6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Twelve-month and lifetime ECL under Base / Adverse / Severe / Extreme scenarios; risk-weighted assets and capital adequacy.</w:t>
            </w:r>
          </w:p>
        </w:tc>
      </w:tr>
    </w:tbl>
    <w:p>
      <w:pPr>
        <w:spacing w:after="100"/>
      </w:pPr>
      <w:r>
        <w:t xml:space="preserve"/>
      </w:r>
    </w:p>
    <w:p>
      <w:pPr>
        <w:pStyle w:val="Heading3"/>
        <w:spacing w:after="100" w:before="240"/>
      </w:pPr>
      <w:r>
        <w:rPr>
          <w:rFonts w:ascii="Arial" w:cs="Arial" w:eastAsia="Arial" w:hAnsi="Arial"/>
          <w:b/>
          <w:bCs/>
          <w:sz w:val="24"/>
          <w:szCs w:val="24"/>
        </w:rPr>
        <w:t xml:space="preserve">How they fit together</w:t>
      </w:r>
    </w:p>
    <w:p>
      <w:pPr>
        <w:spacing w:after="120"/>
      </w:pPr>
      <w:r>
        <w:rPr>
          <w:rFonts w:ascii="Arial" w:cs="Arial" w:eastAsia="Arial" w:hAnsi="Arial"/>
          <w:sz w:val="22"/>
          <w:szCs w:val="22"/>
        </w:rPr>
        <w:t xml:space="preserve">In a typical session you run notebook 00 once, then any subset of 01–07 in any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Your customer book</w:t>
            </w:r>
          </w:p>
          <w:p>
            <w:pPr>
              <w:spacing w:after="0" w:line="280"/>
            </w:pPr>
            <w:r>
              <w:rPr>
                <w:rFonts w:ascii="Consolas" w:cs="Consolas" w:eastAsia="Consolas" w:hAnsi="Consolas"/>
                <w:sz w:val="18"/>
                <w:szCs w:val="18"/>
              </w:rPr>
              <w:t xml:space="preserve">  (CSV / Excel / JSON / Parquet)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Notebook 00           │   ← run once per book</w:t>
            </w:r>
          </w:p>
          <w:p>
            <w:pPr>
              <w:spacing w:after="0" w:line="280"/>
            </w:pPr>
            <w:r>
              <w:rPr>
                <w:rFonts w:ascii="Consolas" w:cs="Consolas" w:eastAsia="Consolas" w:hAnsi="Consolas"/>
                <w:sz w:val="18"/>
                <w:szCs w:val="18"/>
              </w:rPr>
              <w:t xml:space="preserve">   │   data ingestion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df_all.parquet               ← the single contract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    ↓    ↓    ↓    ↓    ↓</w:t>
            </w:r>
          </w:p>
          <w:p>
            <w:pPr>
              <w:spacing w:after="0" w:line="280"/>
            </w:pPr>
            <w:r>
              <w:rPr>
                <w:rFonts w:ascii="Consolas" w:cs="Consolas" w:eastAsia="Consolas" w:hAnsi="Consolas"/>
                <w:sz w:val="18"/>
                <w:szCs w:val="18"/>
              </w:rPr>
              <w:t xml:space="preserve">  nb 01 nb 02 nb 03 nb 04 nb 05 nb 06 nb 07</w:t>
            </w:r>
          </w:p>
          <w:p>
            <w:pPr>
              <w:spacing w:after="0" w:line="280"/>
            </w:pPr>
            <w:r>
              <w:rPr>
                <w:rFonts w:ascii="Consolas" w:cs="Consolas" w:eastAsia="Consolas" w:hAnsi="Consolas"/>
                <w:sz w:val="18"/>
                <w:szCs w:val="18"/>
              </w:rPr>
              <w:t xml:space="preserve">  EDA   PD    LGD   SICR  Fair  RL    ECL</w:t>
            </w:r>
          </w:p>
          <w:p>
            <w:pPr>
              <w:spacing w:after="0" w:line="280"/>
            </w:pPr>
            <w:r>
              <w:rPr>
                <w:rFonts w:ascii="Consolas" w:cs="Consolas" w:eastAsia="Consolas" w:hAnsi="Consolas"/>
                <w:sz w:val="18"/>
                <w:szCs w:val="18"/>
              </w:rPr>
              <w:t xml:space="preserve">         │                              ↑</w:t>
            </w:r>
          </w:p>
          <w:p>
            <w:pPr>
              <w:spacing w:after="0" w:line="280"/>
            </w:pPr>
            <w:r>
              <w:rPr>
                <w:rFonts w:ascii="Consolas" w:cs="Consolas" w:eastAsia="Consolas" w:hAnsi="Consolas"/>
                <w:sz w:val="18"/>
                <w:szCs w:val="18"/>
              </w:rPr>
              <w:t xml:space="preserve">         └→ pd_models.pkl ──────────────┘</w:t>
            </w:r>
          </w:p>
          <w:p>
            <w:pPr>
              <w:spacing w:after="0" w:line="280"/>
            </w:pPr>
            <w:r>
              <w:rPr>
                <w:rFonts w:ascii="Consolas" w:cs="Consolas" w:eastAsia="Consolas" w:hAnsi="Consolas"/>
                <w:sz w:val="18"/>
                <w:szCs w:val="18"/>
              </w:rPr>
              <w:t xml:space="preserve">            (v1.2 — persisted PD model auto-loaded by 07</w:t>
            </w:r>
          </w:p>
          <w:p>
            <w:pPr>
              <w:spacing w:after="0" w:line="280"/>
            </w:pPr>
            <w:r>
              <w:rPr>
                <w:rFonts w:ascii="Consolas" w:cs="Consolas" w:eastAsia="Consolas" w:hAnsi="Consolas"/>
                <w:sz w:val="18"/>
                <w:szCs w:val="18"/>
              </w:rPr>
              <w:t xml:space="preserve">             and by the CreditDecisionAgent)</w:t>
            </w:r>
          </w:p>
        </w:tc>
      </w:tr>
    </w:tbl>
    <w:p>
      <w:pPr>
        <w:pStyle w:val="Heading1"/>
        <w:spacing w:after="200" w:before="360"/>
      </w:pPr>
      <w:r>
        <w:rPr>
          <w:rFonts w:ascii="Arial" w:cs="Arial" w:eastAsia="Arial" w:hAnsi="Arial"/>
          <w:b/>
          <w:bCs/>
          <w:color w:val="0F766E"/>
          <w:sz w:val="36"/>
          <w:szCs w:val="36"/>
        </w:rPr>
        <w:t xml:space="preserve">4. Getting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BetaCredit is a folder of notebooks and a Python package. Drop the bundle into a directory, install the Python dependencies, open Jupyter. Five minutes from zero to first run.</w:t>
            </w:r>
          </w:p>
        </w:tc>
      </w:tr>
    </w:tbl>
    <w:p>
      <w:pPr>
        <w:pStyle w:val="Heading3"/>
        <w:spacing w:after="100" w:before="240"/>
      </w:pPr>
      <w:r>
        <w:rPr>
          <w:rFonts w:ascii="Arial" w:cs="Arial" w:eastAsia="Arial" w:hAnsi="Arial"/>
          <w:b/>
          <w:bCs/>
          <w:sz w:val="24"/>
          <w:szCs w:val="24"/>
        </w:rPr>
        <w:t xml:space="preserve">Prerequisites</w:t>
      </w:r>
    </w:p>
    <w:p>
      <w:pPr>
        <w:pStyle w:val="ListParagraph"/>
        <w:numPr>
          <w:ilvl w:val="0"/>
          <w:numId w:val="2"/>
        </w:numPr>
        <w:spacing w:after="80"/>
      </w:pPr>
      <w:r>
        <w:rPr>
          <w:rFonts w:ascii="Arial" w:cs="Arial" w:eastAsia="Arial" w:hAnsi="Arial"/>
          <w:b/>
          <w:bCs/>
          <w:i w:val="false"/>
          <w:iCs w:val="false"/>
          <w:sz w:val="22"/>
          <w:szCs w:val="22"/>
        </w:rPr>
        <w:t xml:space="preserve">Python </w:t>
      </w:r>
      <w:r>
        <w:rPr>
          <w:rFonts w:ascii="Arial" w:cs="Arial" w:eastAsia="Arial" w:hAnsi="Arial"/>
          <w:sz w:val="22"/>
          <w:szCs w:val="22"/>
        </w:rPr>
        <w:t xml:space="preserve">3.11 or 3.12.</w:t>
      </w:r>
    </w:p>
    <w:p>
      <w:pPr>
        <w:pStyle w:val="ListParagraph"/>
        <w:numPr>
          <w:ilvl w:val="0"/>
          <w:numId w:val="2"/>
        </w:numPr>
        <w:spacing w:after="80"/>
      </w:pPr>
      <w:r>
        <w:rPr>
          <w:rFonts w:ascii="Arial" w:cs="Arial" w:eastAsia="Arial" w:hAnsi="Arial"/>
          <w:b/>
          <w:bCs/>
          <w:i w:val="false"/>
          <w:iCs w:val="false"/>
          <w:sz w:val="22"/>
          <w:szCs w:val="22"/>
        </w:rPr>
        <w:t xml:space="preserve">Packages: </w:t>
      </w:r>
      <w:r>
        <w:rPr>
          <w:rFonts w:ascii="Arial" w:cs="Arial" w:eastAsia="Arial" w:hAnsi="Arial"/>
          <w:sz w:val="22"/>
          <w:szCs w:val="22"/>
        </w:rPr>
        <w:t xml:space="preserve">pandas, numpy, scikit-learn, lightgbm, shap, lime, matplotlib, seaborn, scipy, openpyxl, pyarrow.</w:t>
      </w:r>
    </w:p>
    <w:p>
      <w:pPr>
        <w:pStyle w:val="ListParagraph"/>
        <w:numPr>
          <w:ilvl w:val="0"/>
          <w:numId w:val="2"/>
        </w:numPr>
        <w:spacing w:after="80"/>
      </w:pPr>
      <w:r>
        <w:rPr>
          <w:rFonts w:ascii="Arial" w:cs="Arial" w:eastAsia="Arial" w:hAnsi="Arial"/>
          <w:b/>
          <w:bCs/>
          <w:i w:val="false"/>
          <w:iCs w:val="false"/>
          <w:sz w:val="22"/>
          <w:szCs w:val="22"/>
        </w:rPr>
        <w:t xml:space="preserve">Jupyter </w:t>
      </w:r>
      <w:r>
        <w:rPr>
          <w:rFonts w:ascii="Arial" w:cs="Arial" w:eastAsia="Arial" w:hAnsi="Arial"/>
          <w:sz w:val="22"/>
          <w:szCs w:val="22"/>
        </w:rPr>
        <w:t xml:space="preserve">(Lab or classic Notebook).</w:t>
      </w:r>
    </w:p>
    <w:p>
      <w:pPr>
        <w:spacing w:after="120"/>
      </w:pPr>
      <w:r>
        <w:rPr>
          <w:rFonts w:ascii="Arial" w:cs="Arial" w:eastAsia="Arial" w:hAnsi="Arial"/>
          <w:sz w:val="22"/>
          <w:szCs w:val="22"/>
        </w:rPr>
        <w:t xml:space="preserve">Install the lot in one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pip install pandas numpy scikit-learn lightgbm shap lime \</w:t>
            </w:r>
          </w:p>
          <w:p>
            <w:pPr>
              <w:spacing w:after="0" w:line="280"/>
            </w:pPr>
            <w:r>
              <w:rPr>
                <w:rFonts w:ascii="Consolas" w:cs="Consolas" w:eastAsia="Consolas" w:hAnsi="Consolas"/>
                <w:sz w:val="18"/>
                <w:szCs w:val="18"/>
              </w:rPr>
              <w:t xml:space="preserve">            matplotlib seaborn scipy openpyxl pyarrow jupyterlab</w:t>
            </w:r>
          </w:p>
        </w:tc>
      </w:tr>
    </w:tbl>
    <w:p>
      <w:pPr>
        <w:pStyle w:val="Heading3"/>
        <w:spacing w:after="100" w:before="240"/>
      </w:pPr>
      <w:r>
        <w:rPr>
          <w:rFonts w:ascii="Arial" w:cs="Arial" w:eastAsia="Arial" w:hAnsi="Arial"/>
          <w:b/>
          <w:bCs/>
          <w:sz w:val="24"/>
          <w:szCs w:val="24"/>
        </w:rPr>
        <w:t xml:space="preserve">Folder layout</w:t>
      </w:r>
    </w:p>
    <w:p>
      <w:pPr>
        <w:spacing w:after="120"/>
      </w:pPr>
      <w:r>
        <w:rPr>
          <w:rFonts w:ascii="Arial" w:cs="Arial" w:eastAsia="Arial" w:hAnsi="Arial"/>
          <w:sz w:val="22"/>
          <w:szCs w:val="22"/>
        </w:rPr>
        <w:t xml:space="preserve">After unzipping the bundle, your working directory should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your_project/</w:t>
            </w:r>
          </w:p>
          <w:p>
            <w:pPr>
              <w:spacing w:after="0" w:line="280"/>
            </w:pPr>
            <w:r>
              <w:rPr>
                <w:rFonts w:ascii="Consolas" w:cs="Consolas" w:eastAsia="Consolas" w:hAnsi="Consolas"/>
                <w:sz w:val="18"/>
                <w:szCs w:val="18"/>
              </w:rPr>
              <w:t xml:space="preserve">├── 00_data_ingestion.ipynb</w:t>
            </w:r>
          </w:p>
          <w:p>
            <w:pPr>
              <w:spacing w:after="0" w:line="280"/>
            </w:pPr>
            <w:r>
              <w:rPr>
                <w:rFonts w:ascii="Consolas" w:cs="Consolas" w:eastAsia="Consolas" w:hAnsi="Consolas"/>
                <w:sz w:val="18"/>
                <w:szCs w:val="18"/>
              </w:rPr>
              <w:t xml:space="preserve">├── 01_exploratory_data_analysis.ipynb</w:t>
            </w:r>
          </w:p>
          <w:p>
            <w:pPr>
              <w:spacing w:after="0" w:line="280"/>
            </w:pPr>
            <w:r>
              <w:rPr>
                <w:rFonts w:ascii="Consolas" w:cs="Consolas" w:eastAsia="Consolas" w:hAnsi="Consolas"/>
                <w:sz w:val="18"/>
                <w:szCs w:val="18"/>
              </w:rPr>
              <w:t xml:space="preserve">├── 02_pd_models_shap_lime.ipynb</w:t>
            </w:r>
          </w:p>
          <w:p>
            <w:pPr>
              <w:spacing w:after="0" w:line="280"/>
            </w:pPr>
            <w:r>
              <w:rPr>
                <w:rFonts w:ascii="Consolas" w:cs="Consolas" w:eastAsia="Consolas" w:hAnsi="Consolas"/>
                <w:sz w:val="18"/>
                <w:szCs w:val="18"/>
              </w:rPr>
              <w:t xml:space="preserve">├── 03_lgd_ead_stress.ipynb</w:t>
            </w:r>
          </w:p>
          <w:p>
            <w:pPr>
              <w:spacing w:after="0" w:line="280"/>
            </w:pPr>
            <w:r>
              <w:rPr>
                <w:rFonts w:ascii="Consolas" w:cs="Consolas" w:eastAsia="Consolas" w:hAnsi="Consolas"/>
                <w:sz w:val="18"/>
                <w:szCs w:val="18"/>
              </w:rPr>
              <w:t xml:space="preserve">├── 04_sicr_staging.ipynb</w:t>
            </w:r>
          </w:p>
          <w:p>
            <w:pPr>
              <w:spacing w:after="0" w:line="280"/>
            </w:pPr>
            <w:r>
              <w:rPr>
                <w:rFonts w:ascii="Consolas" w:cs="Consolas" w:eastAsia="Consolas" w:hAnsi="Consolas"/>
                <w:sz w:val="18"/>
                <w:szCs w:val="18"/>
              </w:rPr>
              <w:t xml:space="preserve">├── 05_fairness_responsible_ai.ipynb</w:t>
            </w:r>
          </w:p>
          <w:p>
            <w:pPr>
              <w:spacing w:after="0" w:line="280"/>
            </w:pPr>
            <w:r>
              <w:rPr>
                <w:rFonts w:ascii="Consolas" w:cs="Consolas" w:eastAsia="Consolas" w:hAnsi="Consolas"/>
                <w:sz w:val="18"/>
                <w:szCs w:val="18"/>
              </w:rPr>
              <w:t xml:space="preserve">├── 06_rl_reweighting.ipynb</w:t>
            </w:r>
          </w:p>
          <w:p>
            <w:pPr>
              <w:spacing w:after="0" w:line="280"/>
            </w:pPr>
            <w:r>
              <w:rPr>
                <w:rFonts w:ascii="Consolas" w:cs="Consolas" w:eastAsia="Consolas" w:hAnsi="Consolas"/>
                <w:sz w:val="18"/>
                <w:szCs w:val="18"/>
              </w:rPr>
              <w:t xml:space="preserve">├── 07_portfolio_ecl_capital.ipynb</w:t>
            </w:r>
          </w:p>
          <w:p>
            <w:pPr>
              <w:spacing w:after="0" w:line="280"/>
            </w:pPr>
            <w:r>
              <w:rPr>
                <w:rFonts w:ascii="Consolas" w:cs="Consolas" w:eastAsia="Consolas" w:hAnsi="Consolas"/>
                <w:sz w:val="18"/>
                <w:szCs w:val="18"/>
              </w:rPr>
              <w:t xml:space="preserve">├── backend/</w:t>
            </w:r>
          </w:p>
          <w:p>
            <w:pPr>
              <w:spacing w:after="0" w:line="280"/>
            </w:pPr>
            <w:r>
              <w:rPr>
                <w:rFonts w:ascii="Consolas" w:cs="Consolas" w:eastAsia="Consolas" w:hAnsi="Consolas"/>
                <w:sz w:val="18"/>
                <w:szCs w:val="18"/>
              </w:rPr>
              <w:t xml:space="preserve">│   └── risk_models/</w:t>
            </w:r>
          </w:p>
          <w:p>
            <w:pPr>
              <w:spacing w:after="0" w:line="280"/>
            </w:pPr>
            <w:r>
              <w:rPr>
                <w:rFonts w:ascii="Consolas" w:cs="Consolas" w:eastAsia="Consolas" w:hAnsi="Consolas"/>
                <w:sz w:val="18"/>
                <w:szCs w:val="18"/>
              </w:rPr>
              <w:t xml:space="preserve">│       ├── __init__.py</w:t>
            </w:r>
          </w:p>
          <w:p>
            <w:pPr>
              <w:spacing w:after="0" w:line="280"/>
            </w:pPr>
            <w:r>
              <w:rPr>
                <w:rFonts w:ascii="Consolas" w:cs="Consolas" w:eastAsia="Consolas" w:hAnsi="Consolas"/>
                <w:sz w:val="18"/>
                <w:szCs w:val="18"/>
              </w:rPr>
              <w:t xml:space="preserve">│       ├── asset_classes.py        (asset class definitions)</w:t>
            </w:r>
          </w:p>
          <w:p>
            <w:pPr>
              <w:spacing w:after="0" w:line="280"/>
            </w:pPr>
            <w:r>
              <w:rPr>
                <w:rFonts w:ascii="Consolas" w:cs="Consolas" w:eastAsia="Consolas" w:hAnsi="Consolas"/>
                <w:sz w:val="18"/>
                <w:szCs w:val="18"/>
              </w:rPr>
              <w:t xml:space="preserve">│       ├── pd_models.py            (probability of default + persistence)</w:t>
            </w:r>
          </w:p>
          <w:p>
            <w:pPr>
              <w:spacing w:after="0" w:line="280"/>
            </w:pPr>
            <w:r>
              <w:rPr>
                <w:rFonts w:ascii="Consolas" w:cs="Consolas" w:eastAsia="Consolas" w:hAnsi="Consolas"/>
                <w:sz w:val="18"/>
                <w:szCs w:val="18"/>
              </w:rPr>
              <w:t xml:space="preserve">│       ├── lgd_models.py           (loss given default)</w:t>
            </w:r>
          </w:p>
          <w:p>
            <w:pPr>
              <w:spacing w:after="0" w:line="280"/>
            </w:pPr>
            <w:r>
              <w:rPr>
                <w:rFonts w:ascii="Consolas" w:cs="Consolas" w:eastAsia="Consolas" w:hAnsi="Consolas"/>
                <w:sz w:val="18"/>
                <w:szCs w:val="18"/>
              </w:rPr>
              <w:t xml:space="preserve">│       ├── ead_sicr.py             (exposure + IFRS 9 staging)</w:t>
            </w:r>
          </w:p>
          <w:p>
            <w:pPr>
              <w:spacing w:after="0" w:line="280"/>
            </w:pPr>
            <w:r>
              <w:rPr>
                <w:rFonts w:ascii="Consolas" w:cs="Consolas" w:eastAsia="Consolas" w:hAnsi="Consolas"/>
                <w:sz w:val="18"/>
                <w:szCs w:val="18"/>
              </w:rPr>
              <w:t xml:space="preserve">│       ├── rl_reweighter.py        (Bayesian RL agent)</w:t>
            </w:r>
          </w:p>
          <w:p>
            <w:pPr>
              <w:spacing w:after="0" w:line="280"/>
            </w:pPr>
            <w:r>
              <w:rPr>
                <w:rFonts w:ascii="Consolas" w:cs="Consolas" w:eastAsia="Consolas" w:hAnsi="Consolas"/>
                <w:sz w:val="18"/>
                <w:szCs w:val="18"/>
              </w:rPr>
              <w:t xml:space="preserve">│       ├── credit_agent.py         (CreditDecisionAgent)</w:t>
            </w:r>
          </w:p>
          <w:p>
            <w:pPr>
              <w:spacing w:after="0" w:line="280"/>
            </w:pPr>
            <w:r>
              <w:rPr>
                <w:rFonts w:ascii="Consolas" w:cs="Consolas" w:eastAsia="Consolas" w:hAnsi="Consolas"/>
                <w:sz w:val="18"/>
                <w:szCs w:val="18"/>
              </w:rPr>
              <w:t xml:space="preserve">│       ├── backtester.py           (v1.2 back-tester)</w:t>
            </w:r>
          </w:p>
          <w:p>
            <w:pPr>
              <w:spacing w:after="0" w:line="280"/>
            </w:pPr>
            <w:r>
              <w:rPr>
                <w:rFonts w:ascii="Consolas" w:cs="Consolas" w:eastAsia="Consolas" w:hAnsi="Consolas"/>
                <w:sz w:val="18"/>
                <w:szCs w:val="18"/>
              </w:rPr>
              <w:t xml:space="preserve">│       ├── data_ingestion.py       (file → canonical schema)</w:t>
            </w:r>
          </w:p>
          <w:p>
            <w:pPr>
              <w:spacing w:after="0" w:line="280"/>
            </w:pPr>
            <w:r>
              <w:rPr>
                <w:rFonts w:ascii="Consolas" w:cs="Consolas" w:eastAsia="Consolas" w:hAnsi="Consolas"/>
                <w:sz w:val="18"/>
                <w:szCs w:val="18"/>
              </w:rPr>
              <w:t xml:space="preserve">│       └── beta_loader.py          (auto-detect df_all.parquet)</w:t>
            </w:r>
          </w:p>
          <w:p>
            <w:pPr>
              <w:spacing w:after="0" w:line="280"/>
            </w:pPr>
            <w:r>
              <w:rPr>
                <w:rFonts w:ascii="Consolas" w:cs="Consolas" w:eastAsia="Consolas" w:hAnsi="Consolas"/>
                <w:sz w:val="18"/>
                <w:szCs w:val="18"/>
              </w:rPr>
              <w:t xml:space="preserve">└── example_data/</w:t>
            </w:r>
          </w:p>
          <w:p>
            <w:pPr>
              <w:spacing w:after="0" w:line="280"/>
            </w:pPr>
            <w:r>
              <w:rPr>
                <w:rFonts w:ascii="Consolas" w:cs="Consolas" w:eastAsia="Consolas" w:hAnsi="Consolas"/>
                <w:sz w:val="18"/>
                <w:szCs w:val="18"/>
              </w:rPr>
              <w:t xml:space="preserve">    ├── clean_sme_book.csv</w:t>
            </w:r>
          </w:p>
          <w:p>
            <w:pPr>
              <w:spacing w:after="0" w:line="280"/>
            </w:pPr>
            <w:r>
              <w:rPr>
                <w:rFonts w:ascii="Consolas" w:cs="Consolas" w:eastAsia="Consolas" w:hAnsi="Consolas"/>
                <w:sz w:val="18"/>
                <w:szCs w:val="18"/>
              </w:rPr>
              <w:t xml:space="preserve">    ├── messy_consumer_extract.tsv</w:t>
            </w:r>
          </w:p>
          <w:p>
            <w:pPr>
              <w:spacing w:after="0" w:line="280"/>
            </w:pPr>
            <w:r>
              <w:rPr>
                <w:rFonts w:ascii="Consolas" w:cs="Consolas" w:eastAsia="Consolas" w:hAnsi="Consolas"/>
                <w:sz w:val="18"/>
                <w:szCs w:val="18"/>
              </w:rPr>
              <w:t xml:space="preserve">    ├── mortgage_book.xlsx</w:t>
            </w:r>
          </w:p>
          <w:p>
            <w:pPr>
              <w:spacing w:after="0" w:line="280"/>
            </w:pPr>
            <w:r>
              <w:rPr>
                <w:rFonts w:ascii="Consolas" w:cs="Consolas" w:eastAsia="Consolas" w:hAnsi="Consolas"/>
                <w:sz w:val="18"/>
                <w:szCs w:val="18"/>
              </w:rPr>
              <w:t xml:space="preserve">    └── btl_openbanking.jsonl</w:t>
            </w:r>
          </w:p>
        </w:tc>
      </w:tr>
    </w:tbl>
    <w:p>
      <w:pPr>
        <w:spacing w:after="120"/>
      </w:pPr>
      <w:r>
        <w:rPr>
          <w:rFonts w:ascii="Arial" w:cs="Arial" w:eastAsia="Arial" w:hAnsi="Arial"/>
          <w:sz w:val="22"/>
          <w:szCs w:val="22"/>
        </w:rPr>
        <w:t xml:space="preserve">Each notebook adds backend/ to the Python path automatically; you do not need to install the risk_models package, just keep it next to the notebooks.</w:t>
      </w:r>
    </w:p>
    <w:p>
      <w:pPr>
        <w:pStyle w:val="Heading3"/>
        <w:spacing w:after="100" w:before="240"/>
      </w:pPr>
      <w:r>
        <w:rPr>
          <w:rFonts w:ascii="Arial" w:cs="Arial" w:eastAsia="Arial" w:hAnsi="Arial"/>
          <w:b/>
          <w:bCs/>
          <w:sz w:val="24"/>
          <w:szCs w:val="24"/>
        </w:rPr>
        <w:t xml:space="preserve">First run</w:t>
      </w:r>
    </w:p>
    <w:p>
      <w:pPr>
        <w:pStyle w:val="ListParagraph"/>
        <w:numPr>
          <w:ilvl w:val="0"/>
          <w:numId w:val="3"/>
        </w:numPr>
        <w:spacing w:after="80"/>
      </w:pPr>
      <w:r>
        <w:rPr>
          <w:rFonts w:ascii="Arial" w:cs="Arial" w:eastAsia="Arial" w:hAnsi="Arial"/>
          <w:b w:val="false"/>
          <w:bCs w:val="false"/>
          <w:i w:val="false"/>
          <w:iCs w:val="false"/>
          <w:sz w:val="22"/>
          <w:szCs w:val="22"/>
        </w:rPr>
        <w:t xml:space="preserve">Open Jupyter from your_project/ — </w:t>
      </w:r>
      <w:r>
        <w:rPr>
          <w:rFonts w:ascii="Consolas" w:cs="Consolas" w:eastAsia="Consolas" w:hAnsi="Consolas"/>
          <w:b w:val="false"/>
          <w:bCs w:val="false"/>
          <w:i w:val="false"/>
          <w:iCs w:val="false"/>
          <w:sz w:val="22"/>
          <w:szCs w:val="22"/>
        </w:rPr>
        <w:t xml:space="preserve">jupyter lab</w:t>
      </w:r>
      <w:r>
        <w:rPr>
          <w:rFonts w:ascii="Arial" w:cs="Arial" w:eastAsia="Arial" w:hAnsi="Arial"/>
          <w:b w:val="false"/>
          <w:bCs w:val="false"/>
          <w:i w:val="false"/>
          <w:iCs w:val="false"/>
          <w:sz w:val="22"/>
          <w:szCs w:val="22"/>
        </w:rPr>
        <w:t xml:space="preserve"> or </w:t>
      </w:r>
      <w:r>
        <w:rPr>
          <w:rFonts w:ascii="Consolas" w:cs="Consolas" w:eastAsia="Consolas" w:hAnsi="Consolas"/>
          <w:b w:val="false"/>
          <w:bCs w:val="false"/>
          <w:i w:val="false"/>
          <w:iCs w:val="false"/>
          <w:sz w:val="22"/>
          <w:szCs w:val="22"/>
        </w:rPr>
        <w:t xml:space="preserve">jupyter notebook</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b w:val="false"/>
          <w:bCs w:val="false"/>
          <w:i w:val="false"/>
          <w:iCs w:val="false"/>
          <w:sz w:val="22"/>
          <w:szCs w:val="22"/>
        </w:rPr>
        <w:t xml:space="preserve">Open </w:t>
      </w:r>
      <w:r>
        <w:rPr>
          <w:rFonts w:ascii="Consolas" w:cs="Consolas" w:eastAsia="Consolas" w:hAnsi="Consolas"/>
          <w:b w:val="false"/>
          <w:bCs w:val="false"/>
          <w:i w:val="false"/>
          <w:iCs w:val="false"/>
          <w:sz w:val="22"/>
          <w:szCs w:val="22"/>
        </w:rPr>
        <w:t xml:space="preserve">00_data_ingestion.ipynb</w:t>
      </w:r>
      <w:r>
        <w:rPr>
          <w:rFonts w:ascii="Arial" w:cs="Arial" w:eastAsia="Arial" w:hAnsi="Arial"/>
          <w:sz w:val="22"/>
          <w:szCs w:val="22"/>
        </w:rPr>
        <w:t xml:space="preserve"> and click Run All. It walks through ingesting the four example files in example_data/ and saves df_all.parquet to your working directory.</w:t>
      </w:r>
    </w:p>
    <w:p>
      <w:pPr>
        <w:pStyle w:val="ListParagraph"/>
        <w:numPr>
          <w:ilvl w:val="0"/>
          <w:numId w:val="3"/>
        </w:numPr>
        <w:spacing w:after="80"/>
      </w:pPr>
      <w:r>
        <w:rPr>
          <w:rFonts w:ascii="Arial" w:cs="Arial" w:eastAsia="Arial" w:hAnsi="Arial"/>
          <w:b w:val="false"/>
          <w:bCs w:val="false"/>
          <w:i w:val="false"/>
          <w:iCs w:val="false"/>
          <w:sz w:val="22"/>
          <w:szCs w:val="22"/>
        </w:rPr>
        <w:t xml:space="preserve">Open any modelling notebook (try 02). The first cell after the imports prints a banner telling you which mode it 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[Beta] Using INGESTED data from df_all.parquet: 1,746 borrowers.</w:t>
            </w:r>
          </w:p>
          <w:p>
            <w:pPr>
              <w:spacing w:after="0" w:line="280"/>
            </w:pPr>
            <w:r>
              <w:rPr>
                <w:rFonts w:ascii="Consolas" w:cs="Consolas" w:eastAsia="Consolas" w:hAnsi="Consolas"/>
                <w:color w:val="334155"/>
                <w:sz w:val="18"/>
                <w:szCs w:val="18"/>
              </w:rPr>
              <w:t xml:space="preserve">       To revert to synthetic data, delete df_all.parquet.</w:t>
            </w:r>
          </w:p>
        </w:tc>
      </w:tr>
    </w:tbl>
    <w:p>
      <w:pPr>
        <w:spacing w:after="120"/>
      </w:pPr>
      <w:r>
        <w:rPr>
          <w:rFonts w:ascii="Arial" w:cs="Arial" w:eastAsia="Arial" w:hAnsi="Arial"/>
          <w:sz w:val="22"/>
          <w:szCs w:val="22"/>
        </w:rPr>
        <w:t xml:space="preserve">You are now running PD models against the example portfolio. Substitute your own file in notebook 00 to use your real book.</w:t>
      </w:r>
    </w:p>
    <w:p>
      <w:r>
        <w:br w:type="page"/>
      </w:r>
    </w:p>
    <w:p>
      <w:pPr>
        <w:pStyle w:val="Heading1"/>
        <w:spacing w:after="200" w:before="360"/>
      </w:pPr>
      <w:r>
        <w:rPr>
          <w:rFonts w:ascii="Arial" w:cs="Arial" w:eastAsia="Arial" w:hAnsi="Arial"/>
          <w:b/>
          <w:bCs/>
          <w:color w:val="0F766E"/>
          <w:sz w:val="36"/>
          <w:szCs w:val="36"/>
        </w:rPr>
        <w:t xml:space="preserve">5. Notebook 00 — bringing your data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Notebook 00 reads your customer file (CSV, Excel, JSON, or Parquet), maps its columns to BetaCredit's expected names, validates types and ranges, drops bad rows with an audit trail, and saves a single file called df_all.parquet that the rest of the pipeline reads. It accepts files written in many different conventions — bureau extracts, Open Banking exports, internal CSVs — without you needing to rewrite headers.</w:t>
            </w:r>
          </w:p>
        </w:tc>
      </w:tr>
    </w:tbl>
    <w:p>
      <w:pPr>
        <w:pStyle w:val="Heading3"/>
        <w:spacing w:after="100" w:before="240"/>
      </w:pPr>
      <w:r>
        <w:rPr>
          <w:rFonts w:ascii="Arial" w:cs="Arial" w:eastAsia="Arial" w:hAnsi="Arial"/>
          <w:b/>
          <w:bCs/>
          <w:sz w:val="24"/>
          <w:szCs w:val="24"/>
        </w:rPr>
        <w:t xml:space="preserve">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Extension</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Format</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Notes</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.csv</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Comma-separated</w:t>
            </w:r>
          </w:p>
        </w:tc>
        <w:tc>
          <w:tcPr>
            <w:tcW w:type="dxa" w:w="3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UTF-8 by default, override with encoding=</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.tsv</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Tab-separated</w:t>
            </w:r>
          </w:p>
        </w:tc>
        <w:tc>
          <w:tcPr>
            <w:tcW w:type="dxa" w:w="3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.psv</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Pipe-separated</w:t>
            </w:r>
          </w:p>
        </w:tc>
        <w:tc>
          <w:tcPr>
            <w:tcW w:type="dxa" w:w="3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.txt</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Delimited text</w:t>
            </w:r>
          </w:p>
        </w:tc>
        <w:tc>
          <w:tcPr>
            <w:tcW w:type="dxa" w:w="3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Delimiter auto-sniffed</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.xlsx / .xls</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Excel workbook</w:t>
            </w:r>
          </w:p>
        </w:tc>
        <w:tc>
          <w:tcPr>
            <w:tcW w:type="dxa" w:w="3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sheet_name= for non-default sheets</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.json / .jsonl</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Records or JSON Lines</w:t>
            </w:r>
          </w:p>
        </w:tc>
        <w:tc>
          <w:tcPr>
            <w:tcW w:type="dxa" w:w="3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Both shapes accepted</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.parquet</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Apache Parquet</w:t>
            </w:r>
          </w:p>
        </w:tc>
        <w:tc>
          <w:tcPr>
            <w:tcW w:type="dxa" w:w="37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Requires pyarrow</w:t>
            </w:r>
          </w:p>
        </w:tc>
      </w:tr>
    </w:tbl>
    <w:p>
      <w:pPr>
        <w:spacing w:after="100"/>
      </w:pPr>
      <w:r>
        <w:t xml:space="preserve"/>
      </w:r>
    </w:p>
    <w:p>
      <w:pPr>
        <w:pStyle w:val="Heading3"/>
        <w:spacing w:after="100" w:before="240"/>
      </w:pPr>
      <w:r>
        <w:rPr>
          <w:rFonts w:ascii="Arial" w:cs="Arial" w:eastAsia="Arial" w:hAnsi="Arial"/>
          <w:b/>
          <w:bCs/>
          <w:sz w:val="24"/>
          <w:szCs w:val="24"/>
        </w:rPr>
        <w:t xml:space="preserve">The simple case</w:t>
      </w:r>
    </w:p>
    <w:p>
      <w:pPr>
        <w:spacing w:after="120"/>
      </w:pPr>
      <w:r>
        <w:rPr>
          <w:rFonts w:ascii="Arial" w:cs="Arial" w:eastAsia="Arial" w:hAnsi="Arial"/>
          <w:sz w:val="22"/>
          <w:szCs w:val="22"/>
        </w:rPr>
        <w:t xml:space="preserve">If your file already uses the canonical column names and contains an asset_class column with values from the eight allowed classes, ingestion is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from risk_models.data_ingestion import ingest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result = ingest("path/to/portfolio.csv")</w:t>
            </w:r>
          </w:p>
          <w:p>
            <w:pPr>
              <w:spacing w:after="0" w:line="280"/>
            </w:pPr>
            <w:r>
              <w:rPr>
                <w:rFonts w:ascii="Consolas" w:cs="Consolas" w:eastAsia="Consolas" w:hAnsi="Consolas"/>
                <w:sz w:val="18"/>
                <w:szCs w:val="18"/>
              </w:rPr>
              <w:t xml:space="preserve">print(result.report)</w:t>
            </w:r>
          </w:p>
          <w:p>
            <w:pPr>
              <w:spacing w:after="0" w:line="280"/>
            </w:pPr>
            <w:r>
              <w:rPr>
                <w:rFonts w:ascii="Consolas" w:cs="Consolas" w:eastAsia="Consolas" w:hAnsi="Consolas"/>
                <w:sz w:val="18"/>
                <w:szCs w:val="18"/>
              </w:rPr>
              <w:t xml:space="preserve">df = result.dataframe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BetaCredit Ingestion Report</w:t>
            </w:r>
          </w:p>
          <w:p>
            <w:pPr>
              <w:spacing w:after="0" w:line="280"/>
            </w:pPr>
            <w:r>
              <w:rPr>
                <w:rFonts w:ascii="Consolas" w:cs="Consolas" w:eastAsia="Consolas" w:hAnsi="Consolas"/>
                <w:color w:val="334155"/>
                <w:sz w:val="18"/>
                <w:szCs w:val="18"/>
              </w:rPr>
              <w:t xml:space="preserve">========================================================</w:t>
            </w:r>
          </w:p>
          <w:p>
            <w:pPr>
              <w:spacing w:after="0" w:line="280"/>
            </w:pPr>
            <w:r>
              <w:rPr>
                <w:rFonts w:ascii="Consolas" w:cs="Consolas" w:eastAsia="Consolas" w:hAnsi="Consolas"/>
                <w:color w:val="334155"/>
                <w:sz w:val="18"/>
                <w:szCs w:val="18"/>
              </w:rPr>
              <w:t xml:space="preserve">Source                : example_data/clean_sme_book.csv</w:t>
            </w:r>
          </w:p>
          <w:p>
            <w:pPr>
              <w:spacing w:after="0" w:line="280"/>
            </w:pPr>
            <w:r>
              <w:rPr>
                <w:rFonts w:ascii="Consolas" w:cs="Consolas" w:eastAsia="Consolas" w:hAnsi="Consolas"/>
                <w:color w:val="334155"/>
                <w:sz w:val="18"/>
                <w:szCs w:val="18"/>
              </w:rPr>
              <w:t xml:space="preserve">Rows read             : 500</w:t>
            </w:r>
          </w:p>
          <w:p>
            <w:pPr>
              <w:spacing w:after="0" w:line="280"/>
            </w:pPr>
            <w:r>
              <w:rPr>
                <w:rFonts w:ascii="Consolas" w:cs="Consolas" w:eastAsia="Consolas" w:hAnsi="Consolas"/>
                <w:color w:val="334155"/>
                <w:sz w:val="18"/>
                <w:szCs w:val="18"/>
              </w:rPr>
              <w:t xml:space="preserve">Rows accepted         : 500</w:t>
            </w:r>
          </w:p>
          <w:p>
            <w:pPr>
              <w:spacing w:after="0" w:line="280"/>
            </w:pPr>
            <w:r>
              <w:rPr>
                <w:rFonts w:ascii="Consolas" w:cs="Consolas" w:eastAsia="Consolas" w:hAnsi="Consolas"/>
                <w:color w:val="334155"/>
                <w:sz w:val="18"/>
                <w:szCs w:val="18"/>
              </w:rPr>
              <w:t xml:space="preserve">Rows rejected         : 0</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Optional fields filled with defaults:</w:t>
            </w:r>
          </w:p>
          <w:p>
            <w:pPr>
              <w:spacing w:after="0" w:line="280"/>
            </w:pPr>
            <w:r>
              <w:rPr>
                <w:rFonts w:ascii="Consolas" w:cs="Consolas" w:eastAsia="Consolas" w:hAnsi="Consolas"/>
                <w:color w:val="334155"/>
                <w:sz w:val="18"/>
                <w:szCs w:val="18"/>
              </w:rPr>
              <w:t xml:space="preserve">  months_since_adverse                     500 rows</w:t>
            </w:r>
          </w:p>
          <w:p>
            <w:pPr>
              <w:spacing w:after="0" w:line="280"/>
            </w:pPr>
            <w:r>
              <w:rPr>
                <w:rFonts w:ascii="Consolas" w:cs="Consolas" w:eastAsia="Consolas" w:hAnsi="Consolas"/>
                <w:color w:val="334155"/>
                <w:sz w:val="18"/>
                <w:szCs w:val="18"/>
              </w:rPr>
              <w:t xml:space="preserve">  utilisation_rate                         500 rows</w:t>
            </w:r>
          </w:p>
          <w:p>
            <w:pPr>
              <w:spacing w:after="0" w:line="280"/>
            </w:pPr>
            <w:r>
              <w:rPr>
                <w:rFonts w:ascii="Consolas" w:cs="Consolas" w:eastAsia="Consolas" w:hAnsi="Consolas"/>
                <w:color w:val="334155"/>
                <w:sz w:val="18"/>
                <w:szCs w:val="18"/>
              </w:rPr>
              <w:t xml:space="preserve">  vintage_quarter                          500 rows  (derived from origination_date)</w:t>
            </w:r>
          </w:p>
          <w:p>
            <w:pPr>
              <w:spacing w:after="0" w:line="280"/>
            </w:pPr>
            <w:r>
              <w:rPr>
                <w:rFonts w:ascii="Consolas" w:cs="Consolas" w:eastAsia="Consolas" w:hAnsi="Consolas"/>
                <w:color w:val="334155"/>
                <w:sz w:val="18"/>
                <w:szCs w:val="18"/>
              </w:rPr>
              <w:t xml:space="preserve">  ... (more defaulted fields)</w:t>
            </w:r>
          </w:p>
          <w:p>
            <w:pPr>
              <w:spacing w:after="0" w:line="280"/>
            </w:pPr>
            <w:r>
              <w:rPr>
                <w:rFonts w:ascii="Consolas" w:cs="Consolas" w:eastAsia="Consolas" w:hAnsi="Consolas"/>
                <w:color w:val="334155"/>
                <w:sz w:val="18"/>
                <w:szCs w:val="18"/>
              </w:rPr>
              <w:t xml:space="preserve">========================================================</w:t>
            </w:r>
          </w:p>
        </w:tc>
      </w:tr>
    </w:tbl>
    <w:p>
      <w:pPr>
        <w:pStyle w:val="Heading3"/>
        <w:spacing w:after="100" w:before="240"/>
      </w:pPr>
      <w:r>
        <w:rPr>
          <w:rFonts w:ascii="Arial" w:cs="Arial" w:eastAsia="Arial" w:hAnsi="Arial"/>
          <w:b/>
          <w:bCs/>
          <w:sz w:val="24"/>
          <w:szCs w:val="24"/>
        </w:rPr>
        <w:t xml:space="preserve">Different column names</w:t>
      </w:r>
    </w:p>
    <w:p>
      <w:pPr>
        <w:spacing w:after="120"/>
      </w:pPr>
      <w:r>
        <w:rPr>
          <w:rFonts w:ascii="Arial" w:cs="Arial" w:eastAsia="Arial" w:hAnsi="Arial"/>
          <w:sz w:val="22"/>
          <w:szCs w:val="22"/>
        </w:rPr>
        <w:t xml:space="preserve">Most real-world files do not match the canonical names. BetaCredit handles two cases automatically:</w:t>
      </w:r>
    </w:p>
    <w:p>
      <w:pPr>
        <w:pStyle w:val="ListParagraph"/>
        <w:numPr>
          <w:ilvl w:val="0"/>
          <w:numId w:val="2"/>
        </w:numPr>
        <w:spacing w:after="80"/>
      </w:pPr>
      <w:r>
        <w:rPr>
          <w:rFonts w:ascii="Arial" w:cs="Arial" w:eastAsia="Arial" w:hAnsi="Arial"/>
          <w:b/>
          <w:bCs/>
          <w:i w:val="false"/>
          <w:iCs w:val="false"/>
          <w:sz w:val="22"/>
          <w:szCs w:val="22"/>
        </w:rPr>
        <w:t xml:space="preserve">Common bureau / Open Banking names </w:t>
      </w:r>
      <w:r>
        <w:rPr>
          <w:rFonts w:ascii="Arial" w:cs="Arial" w:eastAsia="Arial" w:hAnsi="Arial"/>
          <w:sz w:val="22"/>
          <w:szCs w:val="22"/>
        </w:rPr>
        <w:t xml:space="preserve">— </w:t>
      </w:r>
      <w:r>
        <w:rPr>
          <w:rFonts w:ascii="Consolas" w:cs="Consolas" w:eastAsia="Consolas" w:hAnsi="Consolas"/>
          <w:b w:val="false"/>
          <w:bCs w:val="false"/>
          <w:i w:val="false"/>
          <w:iCs w:val="false"/>
          <w:sz w:val="22"/>
          <w:szCs w:val="22"/>
        </w:rPr>
        <w:t xml:space="preserve">experian_score</w:t>
      </w:r>
      <w:r>
        <w:rPr>
          <w:rFonts w:ascii="Arial" w:cs="Arial" w:eastAsia="Arial" w:hAnsi="Arial"/>
          <w:sz w:val="22"/>
          <w:szCs w:val="22"/>
        </w:rPr>
        <w:t xml:space="preserve">, </w:t>
      </w:r>
      <w:r>
        <w:rPr>
          <w:rFonts w:ascii="Consolas" w:cs="Consolas" w:eastAsia="Consolas" w:hAnsi="Consolas"/>
          <w:b w:val="false"/>
          <w:bCs w:val="false"/>
          <w:i w:val="false"/>
          <w:iCs w:val="false"/>
          <w:sz w:val="22"/>
          <w:szCs w:val="22"/>
        </w:rPr>
        <w:t xml:space="preserve">dscr</w:t>
      </w:r>
      <w:r>
        <w:rPr>
          <w:rFonts w:ascii="Arial" w:cs="Arial" w:eastAsia="Arial" w:hAnsi="Arial"/>
          <w:sz w:val="22"/>
          <w:szCs w:val="22"/>
        </w:rPr>
        <w:t xml:space="preserve">, </w:t>
      </w:r>
      <w:r>
        <w:rPr>
          <w:rFonts w:ascii="Consolas" w:cs="Consolas" w:eastAsia="Consolas" w:hAnsi="Consolas"/>
          <w:b w:val="false"/>
          <w:bCs w:val="false"/>
          <w:i w:val="false"/>
          <w:iCs w:val="false"/>
          <w:sz w:val="22"/>
          <w:szCs w:val="22"/>
        </w:rPr>
        <w:t xml:space="preserve">principal</w:t>
      </w:r>
      <w:r>
        <w:rPr>
          <w:rFonts w:ascii="Arial" w:cs="Arial" w:eastAsia="Arial" w:hAnsi="Arial"/>
          <w:sz w:val="22"/>
          <w:szCs w:val="22"/>
        </w:rPr>
        <w:t xml:space="preserve">, </w:t>
      </w:r>
      <w:r>
        <w:rPr>
          <w:rFonts w:ascii="Consolas" w:cs="Consolas" w:eastAsia="Consolas" w:hAnsi="Consolas"/>
          <w:b w:val="false"/>
          <w:bCs w:val="false"/>
          <w:i w:val="false"/>
          <w:iCs w:val="false"/>
          <w:sz w:val="22"/>
          <w:szCs w:val="22"/>
        </w:rPr>
        <w:t xml:space="preserve">is_default</w:t>
      </w:r>
      <w:r>
        <w:rPr>
          <w:rFonts w:ascii="Arial" w:cs="Arial" w:eastAsia="Arial" w:hAnsi="Arial"/>
          <w:sz w:val="22"/>
          <w:szCs w:val="22"/>
        </w:rPr>
        <w:t xml:space="preserve">, date fields like </w:t>
      </w:r>
      <w:r>
        <w:rPr>
          <w:rFonts w:ascii="Consolas" w:cs="Consolas" w:eastAsia="Consolas" w:hAnsi="Consolas"/>
          <w:b w:val="false"/>
          <w:bCs w:val="false"/>
          <w:i w:val="false"/>
          <w:iCs w:val="false"/>
          <w:sz w:val="22"/>
          <w:szCs w:val="22"/>
        </w:rPr>
        <w:t xml:space="preserve">open_date</w:t>
      </w:r>
      <w:r>
        <w:rPr>
          <w:rFonts w:ascii="Arial" w:cs="Arial" w:eastAsia="Arial" w:hAnsi="Arial"/>
          <w:sz w:val="22"/>
          <w:szCs w:val="22"/>
        </w:rPr>
        <w:t xml:space="preserve">, </w:t>
      </w:r>
      <w:r>
        <w:rPr>
          <w:rFonts w:ascii="Consolas" w:cs="Consolas" w:eastAsia="Consolas" w:hAnsi="Consolas"/>
          <w:b w:val="false"/>
          <w:bCs w:val="false"/>
          <w:i w:val="false"/>
          <w:iCs w:val="false"/>
          <w:sz w:val="22"/>
          <w:szCs w:val="22"/>
        </w:rPr>
        <w:t xml:space="preserve">completion_date</w:t>
      </w:r>
      <w:r>
        <w:rPr>
          <w:rFonts w:ascii="Arial" w:cs="Arial" w:eastAsia="Arial" w:hAnsi="Arial"/>
          <w:sz w:val="22"/>
          <w:szCs w:val="22"/>
        </w:rPr>
        <w:t xml:space="preserve">, </w:t>
      </w:r>
      <w:r>
        <w:rPr>
          <w:rFonts w:ascii="Consolas" w:cs="Consolas" w:eastAsia="Consolas" w:hAnsi="Consolas"/>
          <w:b w:val="false"/>
          <w:bCs w:val="false"/>
          <w:i w:val="false"/>
          <w:iCs w:val="false"/>
          <w:sz w:val="22"/>
          <w:szCs w:val="22"/>
        </w:rPr>
        <w:t xml:space="preserve">drawdown_date</w:t>
      </w:r>
      <w:r>
        <w:rPr>
          <w:rFonts w:ascii="Arial" w:cs="Arial" w:eastAsia="Arial" w:hAnsi="Arial"/>
          <w:sz w:val="22"/>
          <w:szCs w:val="22"/>
        </w:rPr>
        <w:t xml:space="preserve"> — are recognised via a built-in alias table and mapped automatically.</w:t>
      </w:r>
    </w:p>
    <w:p>
      <w:pPr>
        <w:pStyle w:val="ListParagraph"/>
        <w:numPr>
          <w:ilvl w:val="0"/>
          <w:numId w:val="2"/>
        </w:numPr>
        <w:spacing w:after="80"/>
      </w:pPr>
      <w:r>
        <w:rPr>
          <w:rFonts w:ascii="Arial" w:cs="Arial" w:eastAsia="Arial" w:hAnsi="Arial"/>
          <w:b/>
          <w:bCs/>
          <w:i w:val="false"/>
          <w:iCs w:val="false"/>
          <w:sz w:val="22"/>
          <w:szCs w:val="22"/>
        </w:rPr>
        <w:t xml:space="preserve">Asset-class label variations </w:t>
      </w:r>
      <w:r>
        <w:rPr>
          <w:rFonts w:ascii="Arial" w:cs="Arial" w:eastAsia="Arial" w:hAnsi="Arial"/>
          <w:sz w:val="22"/>
          <w:szCs w:val="22"/>
        </w:rPr>
        <w:t xml:space="preserve">— "Mortgage", "BTL", "Consumer", "Personal_Loan", "factoring", "auto", and dozens of similar synonyms are normalised to the eight canonical strings.</w:t>
      </w:r>
    </w:p>
    <w:p>
      <w:pPr>
        <w:spacing w:after="120"/>
      </w:pPr>
      <w:r>
        <w:rPr>
          <w:rFonts w:ascii="Arial" w:cs="Arial" w:eastAsia="Arial" w:hAnsi="Arial"/>
          <w:sz w:val="22"/>
          <w:szCs w:val="22"/>
        </w:rPr>
        <w:t xml:space="preserve">When auto-detection is not enough, pass an explicit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result = ingest(</w:t>
            </w:r>
          </w:p>
          <w:p>
            <w:pPr>
              <w:spacing w:after="0" w:line="280"/>
            </w:pPr>
            <w:r>
              <w:rPr>
                <w:rFonts w:ascii="Consolas" w:cs="Consolas" w:eastAsia="Consolas" w:hAnsi="Consolas"/>
                <w:sz w:val="18"/>
                <w:szCs w:val="18"/>
              </w:rPr>
              <w:t xml:space="preserve">    "internal_format.csv",</w:t>
            </w:r>
          </w:p>
          <w:p>
            <w:pPr>
              <w:spacing w:after="0" w:line="280"/>
            </w:pPr>
            <w:r>
              <w:rPr>
                <w:rFonts w:ascii="Consolas" w:cs="Consolas" w:eastAsia="Consolas" w:hAnsi="Consolas"/>
                <w:sz w:val="18"/>
                <w:szCs w:val="18"/>
              </w:rPr>
              <w:t xml:space="preserve">    asset_class="sme_unsecured",</w:t>
            </w:r>
          </w:p>
          <w:p>
            <w:pPr>
              <w:spacing w:after="0" w:line="280"/>
            </w:pPr>
            <w:r>
              <w:rPr>
                <w:rFonts w:ascii="Consolas" w:cs="Consolas" w:eastAsia="Consolas" w:hAnsi="Consolas"/>
                <w:sz w:val="18"/>
                <w:szCs w:val="18"/>
              </w:rPr>
              <w:t xml:space="preserve">    column_map={</w:t>
            </w:r>
          </w:p>
          <w:p>
            <w:pPr>
              <w:spacing w:after="0" w:line="280"/>
            </w:pPr>
            <w:r>
              <w:rPr>
                <w:rFonts w:ascii="Consolas" w:cs="Consolas" w:eastAsia="Consolas" w:hAnsi="Consolas"/>
                <w:sz w:val="18"/>
                <w:szCs w:val="18"/>
              </w:rPr>
              <w:t xml:space="preserve">        "internal_score":     "bureau_score",</w:t>
            </w:r>
          </w:p>
          <w:p>
            <w:pPr>
              <w:spacing w:after="0" w:line="280"/>
            </w:pPr>
            <w:r>
              <w:rPr>
                <w:rFonts w:ascii="Consolas" w:cs="Consolas" w:eastAsia="Consolas" w:hAnsi="Consolas"/>
                <w:sz w:val="18"/>
                <w:szCs w:val="18"/>
              </w:rPr>
              <w:t xml:space="preserve">        "monthly_dscr":       "cashflow_coverage",</w:t>
            </w:r>
          </w:p>
          <w:p>
            <w:pPr>
              <w:spacing w:after="0" w:line="280"/>
            </w:pPr>
            <w:r>
              <w:rPr>
                <w:rFonts w:ascii="Consolas" w:cs="Consolas" w:eastAsia="Consolas" w:hAnsi="Consolas"/>
                <w:sz w:val="18"/>
                <w:szCs w:val="18"/>
              </w:rPr>
              <w:t xml:space="preserve">        "exposure_at_origin": "loan_amount",</w:t>
            </w:r>
          </w:p>
          <w:p>
            <w:pPr>
              <w:spacing w:after="0" w:line="280"/>
            </w:pPr>
            <w:r>
              <w:rPr>
                <w:rFonts w:ascii="Consolas" w:cs="Consolas" w:eastAsia="Consolas" w:hAnsi="Consolas"/>
                <w:sz w:val="18"/>
                <w:szCs w:val="18"/>
              </w:rPr>
              <w:t xml:space="preserve">        "default_y":          "default_flag",</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tc>
      </w:tr>
    </w:tbl>
    <w:p>
      <w:pPr>
        <w:pStyle w:val="Heading3"/>
        <w:spacing w:after="100" w:before="240"/>
      </w:pPr>
      <w:r>
        <w:rPr>
          <w:rFonts w:ascii="Arial" w:cs="Arial" w:eastAsia="Arial" w:hAnsi="Arial"/>
          <w:b/>
          <w:bCs/>
          <w:sz w:val="24"/>
          <w:szCs w:val="24"/>
        </w:rPr>
        <w:t xml:space="preserve">Combining multiple books</w:t>
      </w:r>
    </w:p>
    <w:p>
      <w:pPr>
        <w:spacing w:after="120"/>
      </w:pPr>
      <w:r>
        <w:rPr>
          <w:rFonts w:ascii="Arial" w:cs="Arial" w:eastAsia="Arial" w:hAnsi="Arial"/>
          <w:sz w:val="22"/>
          <w:szCs w:val="22"/>
        </w:rPr>
        <w:t xml:space="preserve">A typical lender has one extract per asset class. Concatenate the result frames before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import pandas as pd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r_sme      = ingest("example_data/clean_sme_book.csv")</w:t>
            </w:r>
          </w:p>
          <w:p>
            <w:pPr>
              <w:spacing w:after="0" w:line="280"/>
            </w:pPr>
            <w:r>
              <w:rPr>
                <w:rFonts w:ascii="Consolas" w:cs="Consolas" w:eastAsia="Consolas" w:hAnsi="Consolas"/>
                <w:sz w:val="18"/>
                <w:szCs w:val="18"/>
              </w:rPr>
              <w:t xml:space="preserve">r_consumer = ingest("example_data/messy_consumer_extract.tsv")</w:t>
            </w:r>
          </w:p>
          <w:p>
            <w:pPr>
              <w:spacing w:after="0" w:line="280"/>
            </w:pPr>
            <w:r>
              <w:rPr>
                <w:rFonts w:ascii="Consolas" w:cs="Consolas" w:eastAsia="Consolas" w:hAnsi="Consolas"/>
                <w:sz w:val="18"/>
                <w:szCs w:val="18"/>
              </w:rPr>
              <w:t xml:space="preserve">r_mortgage = ingest("example_data/mortgage_book.xlsx")</w:t>
            </w:r>
          </w:p>
          <w:p>
            <w:pPr>
              <w:spacing w:after="0" w:line="280"/>
            </w:pPr>
            <w:r>
              <w:rPr>
                <w:rFonts w:ascii="Consolas" w:cs="Consolas" w:eastAsia="Consolas" w:hAnsi="Consolas"/>
                <w:sz w:val="18"/>
                <w:szCs w:val="18"/>
              </w:rPr>
              <w:t xml:space="preserve">r_btl      = ingest("example_data/btl_openbanking.jsonl")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df_all = pd.concat(</w:t>
            </w:r>
          </w:p>
          <w:p>
            <w:pPr>
              <w:spacing w:after="0" w:line="280"/>
            </w:pPr>
            <w:r>
              <w:rPr>
                <w:rFonts w:ascii="Consolas" w:cs="Consolas" w:eastAsia="Consolas" w:hAnsi="Consolas"/>
                <w:sz w:val="18"/>
                <w:szCs w:val="18"/>
              </w:rPr>
              <w:t xml:space="preserve">    [r_sme.dataframe, r_consumer.dataframe,</w:t>
            </w:r>
          </w:p>
          <w:p>
            <w:pPr>
              <w:spacing w:after="0" w:line="280"/>
            </w:pPr>
            <w:r>
              <w:rPr>
                <w:rFonts w:ascii="Consolas" w:cs="Consolas" w:eastAsia="Consolas" w:hAnsi="Consolas"/>
                <w:sz w:val="18"/>
                <w:szCs w:val="18"/>
              </w:rPr>
              <w:t xml:space="preserve">     r_mortgage.dataframe, r_btl.dataframe],</w:t>
            </w:r>
          </w:p>
          <w:p>
            <w:pPr>
              <w:spacing w:after="0" w:line="280"/>
            </w:pPr>
            <w:r>
              <w:rPr>
                <w:rFonts w:ascii="Consolas" w:cs="Consolas" w:eastAsia="Consolas" w:hAnsi="Consolas"/>
                <w:sz w:val="18"/>
                <w:szCs w:val="18"/>
              </w:rPr>
              <w:t xml:space="preserve">    ignore_index=True,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df_all.to_parquet("df_all.parquet", index=False)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Combined: (1746, 24)</w:t>
            </w:r>
          </w:p>
          <w:p>
            <w:pPr>
              <w:spacing w:after="0" w:line="280"/>
            </w:pPr>
            <w:r>
              <w:rPr>
                <w:rFonts w:ascii="Consolas" w:cs="Consolas" w:eastAsia="Consolas" w:hAnsi="Consolas"/>
                <w:color w:val="334155"/>
                <w:sz w:val="18"/>
                <w:szCs w:val="18"/>
              </w:rPr>
              <w:t xml:space="preserve">asset_class</w:t>
            </w:r>
          </w:p>
          <w:p>
            <w:pPr>
              <w:spacing w:after="0" w:line="280"/>
            </w:pPr>
            <w:r>
              <w:rPr>
                <w:rFonts w:ascii="Consolas" w:cs="Consolas" w:eastAsia="Consolas" w:hAnsi="Consolas"/>
                <w:color w:val="334155"/>
                <w:sz w:val="18"/>
                <w:szCs w:val="18"/>
              </w:rPr>
              <w:t xml:space="preserve">consumer_unsecured      750</w:t>
            </w:r>
          </w:p>
          <w:p>
            <w:pPr>
              <w:spacing w:after="0" w:line="280"/>
            </w:pPr>
            <w:r>
              <w:rPr>
                <w:rFonts w:ascii="Consolas" w:cs="Consolas" w:eastAsia="Consolas" w:hAnsi="Consolas"/>
                <w:color w:val="334155"/>
                <w:sz w:val="18"/>
                <w:szCs w:val="18"/>
              </w:rPr>
              <w:t xml:space="preserve">sme_unsecured           500</w:t>
            </w:r>
          </w:p>
          <w:p>
            <w:pPr>
              <w:spacing w:after="0" w:line="280"/>
            </w:pPr>
            <w:r>
              <w:rPr>
                <w:rFonts w:ascii="Consolas" w:cs="Consolas" w:eastAsia="Consolas" w:hAnsi="Consolas"/>
                <w:color w:val="334155"/>
                <w:sz w:val="18"/>
                <w:szCs w:val="18"/>
              </w:rPr>
              <w:t xml:space="preserve">residential_mortgage    296</w:t>
            </w:r>
          </w:p>
          <w:p>
            <w:pPr>
              <w:spacing w:after="0" w:line="280"/>
            </w:pPr>
            <w:r>
              <w:rPr>
                <w:rFonts w:ascii="Consolas" w:cs="Consolas" w:eastAsia="Consolas" w:hAnsi="Consolas"/>
                <w:color w:val="334155"/>
                <w:sz w:val="18"/>
                <w:szCs w:val="18"/>
              </w:rPr>
              <w:t xml:space="preserve">buy_to_let              200</w:t>
            </w:r>
          </w:p>
        </w:tc>
      </w:tr>
    </w:tbl>
    <w:p>
      <w:pPr>
        <w:spacing w:after="120"/>
      </w:pPr>
      <w:r>
        <w:rPr>
          <w:rFonts w:ascii="Arial" w:cs="Arial" w:eastAsia="Arial" w:hAnsi="Arial"/>
          <w:sz w:val="22"/>
          <w:szCs w:val="22"/>
        </w:rPr>
        <w:t xml:space="preserve">That parquet file is now the input to every other notebook in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TIP  </w:t>
            </w:r>
            <w:r>
              <w:rPr>
                <w:rFonts w:ascii="Arial" w:cs="Arial" w:eastAsia="Arial" w:hAnsi="Arial"/>
                <w:sz w:val="22"/>
                <w:szCs w:val="22"/>
              </w:rPr>
              <w:t xml:space="preserve">Run notebook 00 against a small subset of one asset class first, eyeball the column mappings in the report, fix any wrong guesses with column_map=, then scale up to the full book. Debugging 100 rows is much faster than debugging 100,000.</w:t>
            </w:r>
          </w:p>
        </w:tc>
      </w:tr>
    </w:tbl>
    <w:p>
      <w:pPr>
        <w:pStyle w:val="Heading1"/>
        <w:spacing w:after="200" w:before="360"/>
      </w:pPr>
      <w:r>
        <w:rPr>
          <w:rFonts w:ascii="Arial" w:cs="Arial" w:eastAsia="Arial" w:hAnsi="Arial"/>
          <w:b/>
          <w:bCs/>
          <w:color w:val="0F766E"/>
          <w:sz w:val="36"/>
          <w:szCs w:val="36"/>
        </w:rPr>
        <w:t xml:space="preserve">6. The canonical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Every borrower row in df_all.parquet has the same canonical columns. Seven are required (the file fails to ingest without them), the rest are optional with sensible defaults. As of v1.2 the schema includes two optional time-dimension columns — origination_date and vintage_quarter — that unlock cohort analysis throughout the suite.</w:t>
            </w:r>
          </w:p>
        </w:tc>
      </w:tr>
    </w:tbl>
    <w:p>
      <w:pPr>
        <w:pStyle w:val="Heading3"/>
        <w:spacing w:after="100" w:before="240"/>
      </w:pPr>
      <w:r>
        <w:rPr>
          <w:rFonts w:ascii="Arial" w:cs="Arial" w:eastAsia="Arial" w:hAnsi="Arial"/>
          <w:b/>
          <w:bCs/>
          <w:sz w:val="24"/>
          <w:szCs w:val="24"/>
        </w:rPr>
        <w:t xml:space="preserve">Required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4160"/>
      </w:tblGrid>
      <w:tr>
        <w:trPr>
          <w:tblHeader/>
        </w:trP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Field</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Type</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Range</w:t>
            </w:r>
          </w:p>
        </w:tc>
        <w:tc>
          <w:tcPr>
            <w:tcW w:type="dxa" w:w="4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Description</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asset_class</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category</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 values</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One of the eight asset classes from Section 2</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bureau_score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300–999</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UK bureau score (Experian / Equifax / TransUnion scale)</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cashflow_coverage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0.0–10.0</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DSCR-equivalent cashflow coverage ratio</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ltv</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0.0–1.5</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Loan-to-value (uniform proxy in [0,1] for unsecured)</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loan_amount</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&gt; 0</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Drawn principal at origination, in pounds sterling</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loan_term_months</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1–600</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Contractual term in months</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default_flag</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 or 1</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Default outcome (1 = defaulted in observation window)</w:t>
            </w:r>
          </w:p>
        </w:tc>
      </w:tr>
    </w:tbl>
    <w:p>
      <w:pPr>
        <w:spacing w:after="100"/>
      </w:pPr>
      <w:r>
        <w:t xml:space="preserve"/>
      </w:r>
    </w:p>
    <w:p>
      <w:pPr>
        <w:pStyle w:val="Heading3"/>
        <w:spacing w:after="100" w:before="240"/>
      </w:pPr>
      <w:r>
        <w:rPr>
          <w:rFonts w:ascii="Arial" w:cs="Arial" w:eastAsia="Arial" w:hAnsi="Arial"/>
          <w:b/>
          <w:bCs/>
          <w:sz w:val="24"/>
          <w:szCs w:val="24"/>
        </w:rPr>
        <w:t xml:space="preserve">Optional columns</w:t>
      </w:r>
    </w:p>
    <w:p>
      <w:pPr>
        <w:spacing w:after="120"/>
      </w:pPr>
      <w:r>
        <w:rPr>
          <w:rFonts w:ascii="Arial" w:cs="Arial" w:eastAsia="Arial" w:hAnsi="Arial"/>
          <w:sz w:val="22"/>
          <w:szCs w:val="22"/>
        </w:rPr>
        <w:t xml:space="preserve">Behavioural, demographic, and asset-class-specific fields, plus the v1.1 time-dimension columns and v1.2 LGD-component columns. Missing optional columns are filled with sensible defaults during ingestion, with each defaulted field logged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900"/>
        <w:gridCol w:w="29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Field</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Type</w:t>
            </w:r>
          </w:p>
        </w:tc>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Default</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Used by</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num_prior_defaults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PD model, RL agent</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months_since_adverse</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9999 (never)</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PD model</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utilisation_rate</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asset-class mean</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PD model</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gnn_connected_party_risk</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0.5</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PD model (graph signal)</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open_banking_income_stability</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0.7</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PD model</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dpd</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SICR engine</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forbearance_flag</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0</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SICR engine</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gender / age_band / region</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string</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see notes</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Fairness analysis (nb 05)</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bCs/>
                <w:i w:val="false"/>
                <w:iCs w:val="false"/>
                <w:sz w:val="20"/>
                <w:szCs w:val="20"/>
              </w:rPr>
              <w:t xml:space="preserve">origination_date</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datetime</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v1.1 — vintage chart, back-tester cohort breakdown</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bCs/>
                <w:i w:val="false"/>
                <w:iCs w:val="false"/>
                <w:sz w:val="20"/>
                <w:szCs w:val="20"/>
              </w:rPr>
              <w:t xml:space="preserve">vintage_quarter</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string</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auto-derived</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v1.1 — auto-derived from origination_date</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bCs/>
                <w:i w:val="false"/>
                <w:iCs w:val="false"/>
                <w:sz w:val="20"/>
                <w:szCs w:val="20"/>
              </w:rPr>
              <w:t xml:space="preserve">lgd_observed</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float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v1.2 — LGD model override (Section 9)</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bCs/>
                <w:i w:val="false"/>
                <w:iCs w:val="false"/>
                <w:sz w:val="20"/>
                <w:szCs w:val="20"/>
              </w:rPr>
              <w:t xml:space="preserve">collateral_value</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float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asset-class default</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v1.2 — LGD model collateral-recovery component</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bCs/>
                <w:i w:val="false"/>
                <w:iCs w:val="false"/>
                <w:sz w:val="20"/>
                <w:szCs w:val="20"/>
              </w:rPr>
              <w:t xml:space="preserve">cure_prob</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float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asset-class default</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v1.2 — LGD model cure-rate component</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bCs/>
                <w:i w:val="false"/>
                <w:iCs w:val="false"/>
                <w:sz w:val="20"/>
                <w:szCs w:val="20"/>
              </w:rPr>
              <w:t xml:space="preserve">recovery_costs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float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asset-class default</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v1.2 — LGD model workout-costs component</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bCs/>
                <w:i w:val="false"/>
                <w:iCs w:val="false"/>
                <w:sz w:val="20"/>
                <w:szCs w:val="20"/>
              </w:rPr>
              <w:t xml:space="preserve">time_to_resolution_months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int</w:t>
            </w:r>
          </w:p>
        </w:tc>
        <w:tc>
          <w:tcPr>
            <w:tcW w:type="dxa" w:w="1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asset-class default</w:t>
            </w:r>
          </w:p>
        </w:tc>
        <w:tc>
          <w:tcPr>
            <w:tcW w:type="dxa" w:w="2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bCs/>
                <w:i w:val="false"/>
                <w:iCs w:val="false"/>
                <w:sz w:val="20"/>
                <w:szCs w:val="20"/>
              </w:rPr>
              <w:t xml:space="preserve">v1.2 — LGD model discount component</w:t>
            </w:r>
          </w:p>
        </w:tc>
      </w:tr>
    </w:tbl>
    <w:p>
      <w:pPr>
        <w:spacing w:after="100"/>
      </w:pPr>
      <w:r>
        <w:t xml:space="preserve"/>
      </w:r>
    </w:p>
    <w:p>
      <w:pPr>
        <w:pStyle w:val="Heading3"/>
        <w:spacing w:after="100" w:before="240"/>
      </w:pPr>
      <w:r>
        <w:rPr>
          <w:rFonts w:ascii="Arial" w:cs="Arial" w:eastAsia="Arial" w:hAnsi="Arial"/>
          <w:b/>
          <w:bCs/>
          <w:sz w:val="24"/>
          <w:szCs w:val="24"/>
        </w:rPr>
        <w:t xml:space="preserve">Date handling (v1.2)</w:t>
      </w:r>
    </w:p>
    <w:p>
      <w:pPr>
        <w:spacing w:after="120"/>
      </w:pPr>
      <w:r>
        <w:rPr>
          <w:rFonts w:ascii="Arial" w:cs="Arial" w:eastAsia="Arial" w:hAnsi="Arial"/>
          <w:sz w:val="22"/>
          <w:szCs w:val="22"/>
        </w:rPr>
        <w:t xml:space="preserve">origination_date is recognised under many aliases — open_date, origination_dt, start_date, drawdown_date, completion_date, loan_date, issue_date, date_originated, advance_date, booked_date. Date parsing is best-effort via pandas.to_datetime; ISO (YYYY-MM-DD), UK (DD/MM/YYYY), US (MM/DD/YYYY), and Excel serial dates are all handled. Unparseable values become NaT with a warning in the ingestion report rather than failing the whole ingest.</w:t>
      </w:r>
    </w:p>
    <w:p>
      <w:pPr>
        <w:spacing w:after="120"/>
      </w:pPr>
      <w:r>
        <w:rPr>
          <w:rFonts w:ascii="Arial" w:cs="Arial" w:eastAsia="Arial" w:hAnsi="Arial"/>
          <w:sz w:val="22"/>
          <w:szCs w:val="22"/>
        </w:rPr>
        <w:t xml:space="preserve">vintage_quarter is auto-derived from origination_date as "YYYYQn" (e.g. "2023Q3"). If you supply your own vintage_quarter column, it is used as-is. The four example files now carry origination_date under their respective aliases, with different per-product date ranges (mortgages 2020–2026, BTL 2023–2026), so the vintage chart in notebook 01 has realistic cohort effects to display out of the box.</w:t>
      </w:r>
    </w:p>
    <w:p>
      <w:pPr>
        <w:pStyle w:val="Heading3"/>
        <w:spacing w:after="100" w:before="240"/>
      </w:pPr>
      <w:r>
        <w:rPr>
          <w:rFonts w:ascii="Arial" w:cs="Arial" w:eastAsia="Arial" w:hAnsi="Arial"/>
          <w:b/>
          <w:bCs/>
          <w:sz w:val="24"/>
          <w:szCs w:val="24"/>
        </w:rPr>
        <w:t xml:space="preserve">Helper functions</w:t>
      </w:r>
    </w:p>
    <w:p>
      <w:pPr>
        <w:spacing w:after="120"/>
      </w:pPr>
      <w:r>
        <w:rPr>
          <w:rFonts w:ascii="Arial" w:cs="Arial" w:eastAsia="Arial" w:hAnsi="Arial"/>
          <w:sz w:val="22"/>
          <w:szCs w:val="22"/>
        </w:rPr>
        <w:t xml:space="preserve">The full schema is available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from risk_models.data_ingestion import describe_schema</w:t>
            </w:r>
          </w:p>
          <w:p>
            <w:pPr>
              <w:spacing w:after="0" w:line="280"/>
            </w:pPr>
            <w:r>
              <w:rPr>
                <w:rFonts w:ascii="Consolas" w:cs="Consolas" w:eastAsia="Consolas" w:hAnsi="Consolas"/>
                <w:sz w:val="18"/>
                <w:szCs w:val="18"/>
              </w:rPr>
              <w:t xml:space="preserve">describe_schema()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             field         type  required   min   max</w:t>
            </w:r>
          </w:p>
          <w:p>
            <w:pPr>
              <w:spacing w:after="0" w:line="280"/>
            </w:pPr>
            <w:r>
              <w:rPr>
                <w:rFonts w:ascii="Consolas" w:cs="Consolas" w:eastAsia="Consolas" w:hAnsi="Consolas"/>
                <w:color w:val="334155"/>
                <w:sz w:val="18"/>
                <w:szCs w:val="18"/>
              </w:rPr>
              <w:t xml:space="preserve">       asset_class     category      True</w:t>
            </w:r>
          </w:p>
          <w:p>
            <w:pPr>
              <w:spacing w:after="0" w:line="280"/>
            </w:pPr>
            <w:r>
              <w:rPr>
                <w:rFonts w:ascii="Consolas" w:cs="Consolas" w:eastAsia="Consolas" w:hAnsi="Consolas"/>
                <w:color w:val="334155"/>
                <w:sz w:val="18"/>
                <w:szCs w:val="18"/>
              </w:rPr>
              <w:t xml:space="preserve">      bureau_score          int      True   300   999</w:t>
            </w:r>
          </w:p>
          <w:p>
            <w:pPr>
              <w:spacing w:after="0" w:line="280"/>
            </w:pPr>
            <w:r>
              <w:rPr>
                <w:rFonts w:ascii="Consolas" w:cs="Consolas" w:eastAsia="Consolas" w:hAnsi="Consolas"/>
                <w:color w:val="334155"/>
                <w:sz w:val="18"/>
                <w:szCs w:val="18"/>
              </w:rPr>
              <w:t xml:space="preserve"> cashflow_coverage        float      True   0.0  10.0</w:t>
            </w:r>
          </w:p>
          <w:p>
            <w:pPr>
              <w:spacing w:after="0" w:line="280"/>
            </w:pPr>
            <w:r>
              <w:rPr>
                <w:rFonts w:ascii="Consolas" w:cs="Consolas" w:eastAsia="Consolas" w:hAnsi="Consolas"/>
                <w:color w:val="334155"/>
                <w:sz w:val="18"/>
                <w:szCs w:val="18"/>
              </w:rPr>
              <w:t xml:space="preserve">               ltv        float      True   0.0   1.5</w:t>
            </w:r>
          </w:p>
          <w:p>
            <w:pPr>
              <w:spacing w:after="0" w:line="280"/>
            </w:pPr>
            <w:r>
              <w:rPr>
                <w:rFonts w:ascii="Consolas" w:cs="Consolas" w:eastAsia="Consolas" w:hAnsi="Consolas"/>
                <w:color w:val="334155"/>
                <w:sz w:val="18"/>
                <w:szCs w:val="18"/>
              </w:rPr>
              <w:t xml:space="preserve">       loan_amount        float      True   0.0  None</w:t>
            </w:r>
          </w:p>
          <w:p>
            <w:pPr>
              <w:spacing w:after="0" w:line="280"/>
            </w:pPr>
            <w:r>
              <w:rPr>
                <w:rFonts w:ascii="Consolas" w:cs="Consolas" w:eastAsia="Consolas" w:hAnsi="Consolas"/>
                <w:color w:val="334155"/>
                <w:sz w:val="18"/>
                <w:szCs w:val="18"/>
              </w:rPr>
              <w:t xml:space="preserve">  loan_term_months          int      True     1   600</w:t>
            </w:r>
          </w:p>
          <w:p>
            <w:pPr>
              <w:spacing w:after="0" w:line="280"/>
            </w:pPr>
            <w:r>
              <w:rPr>
                <w:rFonts w:ascii="Consolas" w:cs="Consolas" w:eastAsia="Consolas" w:hAnsi="Consolas"/>
                <w:color w:val="334155"/>
                <w:sz w:val="18"/>
                <w:szCs w:val="18"/>
              </w:rPr>
              <w:t xml:space="preserve">      default_flag          int      True</w:t>
            </w:r>
          </w:p>
          <w:p>
            <w:pPr>
              <w:spacing w:after="0" w:line="280"/>
            </w:pPr>
            <w:r>
              <w:rPr>
                <w:rFonts w:ascii="Consolas" w:cs="Consolas" w:eastAsia="Consolas" w:hAnsi="Consolas"/>
                <w:color w:val="334155"/>
                <w:sz w:val="18"/>
                <w:szCs w:val="18"/>
              </w:rPr>
              <w:t xml:space="preserve">  origination_date  datetime64     False</w:t>
            </w:r>
          </w:p>
          <w:p>
            <w:pPr>
              <w:spacing w:after="0" w:line="280"/>
            </w:pPr>
            <w:r>
              <w:rPr>
                <w:rFonts w:ascii="Consolas" w:cs="Consolas" w:eastAsia="Consolas" w:hAnsi="Consolas"/>
                <w:color w:val="334155"/>
                <w:sz w:val="18"/>
                <w:szCs w:val="18"/>
              </w:rPr>
              <w:t xml:space="preserve">   vintage_quarter       string     False</w:t>
            </w:r>
          </w:p>
          <w:p>
            <w:pPr>
              <w:spacing w:after="0" w:line="280"/>
            </w:pPr>
            <w:r>
              <w:rPr>
                <w:rFonts w:ascii="Consolas" w:cs="Consolas" w:eastAsia="Consolas" w:hAnsi="Consolas"/>
                <w:color w:val="334155"/>
                <w:sz w:val="18"/>
                <w:szCs w:val="18"/>
              </w:rPr>
              <w:t xml:space="preserve">    ... (more rows)</w:t>
            </w:r>
          </w:p>
        </w:tc>
      </w:tr>
    </w:tbl>
    <w:p>
      <w:r>
        <w:br w:type="page"/>
      </w:r>
    </w:p>
    <w:p>
      <w:pPr>
        <w:pStyle w:val="Heading1"/>
        <w:spacing w:after="200" w:before="360"/>
      </w:pPr>
      <w:r>
        <w:rPr>
          <w:rFonts w:ascii="Arial" w:cs="Arial" w:eastAsia="Arial" w:hAnsi="Arial"/>
          <w:b/>
          <w:bCs/>
          <w:color w:val="0F766E"/>
          <w:sz w:val="36"/>
          <w:szCs w:val="36"/>
        </w:rPr>
        <w:t xml:space="preserve">7. Notebook 01 — exploratory data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The first notebook to look at after ingestion. It produces default rates by asset class, distribution plots for every feature, a correlation heatmap, default-rate-by-bureau-band lookups, bivariate plots, and (in v1.2) a vintage cohort chart that highlights the worst-performing origination quarters. Use it to sanity-check a newly-ingested book before running the heavier modelling notebooks.</w:t>
            </w:r>
          </w:p>
        </w:tc>
      </w:tr>
    </w:tbl>
    <w:p>
      <w:pPr>
        <w:spacing w:after="120"/>
      </w:pPr>
      <w:r>
        <w:rPr>
          <w:rFonts w:ascii="Arial" w:cs="Arial" w:eastAsia="Arial" w:hAnsi="Arial"/>
          <w:sz w:val="22"/>
          <w:szCs w:val="22"/>
        </w:rPr>
        <w:t xml:space="preserve">Notebook 01 generates a synthetic baseline portfolio of 56,000 borrowers calibrated to UK lending benchmarks — this is the calibration reference, the baseline shape against which a real ingested book is compared. The Section 13 "Loan Vintage &amp; Cohort Analysis" pane uses real origination_date values from your ingested data when present, falling back to synthetic dates when absent.</w:t>
      </w:r>
    </w:p>
    <w:p>
      <w:pPr>
        <w:pStyle w:val="Heading3"/>
        <w:spacing w:after="100" w:before="240"/>
      </w:pPr>
      <w:r>
        <w:rPr>
          <w:rFonts w:ascii="Arial" w:cs="Arial" w:eastAsia="Arial" w:hAnsi="Arial"/>
          <w:b/>
          <w:bCs/>
          <w:sz w:val="24"/>
          <w:szCs w:val="24"/>
        </w:rPr>
        <w:t xml:space="preserve">What you will see</w:t>
      </w:r>
    </w:p>
    <w:p>
      <w:pPr>
        <w:pStyle w:val="ListParagraph"/>
        <w:numPr>
          <w:ilvl w:val="0"/>
          <w:numId w:val="2"/>
        </w:numPr>
        <w:spacing w:after="80"/>
      </w:pPr>
      <w:r>
        <w:rPr>
          <w:rFonts w:ascii="Arial" w:cs="Arial" w:eastAsia="Arial" w:hAnsi="Arial"/>
          <w:b/>
          <w:bCs/>
          <w:i w:val="false"/>
          <w:iCs w:val="false"/>
          <w:sz w:val="22"/>
          <w:szCs w:val="22"/>
        </w:rPr>
        <w:t xml:space="preserve">Default rates by asset class </w:t>
      </w:r>
      <w:r>
        <w:rPr>
          <w:rFonts w:ascii="Arial" w:cs="Arial" w:eastAsia="Arial" w:hAnsi="Arial"/>
          <w:sz w:val="22"/>
          <w:szCs w:val="22"/>
        </w:rPr>
        <w:t xml:space="preserve">— a bar chart with the eight classes coloured by risk (teal, amber, red bands).</w:t>
      </w:r>
    </w:p>
    <w:p>
      <w:pPr>
        <w:pStyle w:val="ListParagraph"/>
        <w:numPr>
          <w:ilvl w:val="0"/>
          <w:numId w:val="2"/>
        </w:numPr>
        <w:spacing w:after="80"/>
      </w:pPr>
      <w:r>
        <w:rPr>
          <w:rFonts w:ascii="Arial" w:cs="Arial" w:eastAsia="Arial" w:hAnsi="Arial"/>
          <w:b/>
          <w:bCs/>
          <w:i w:val="false"/>
          <w:iCs w:val="false"/>
          <w:sz w:val="22"/>
          <w:szCs w:val="22"/>
        </w:rPr>
        <w:t xml:space="preserve">Univariate distributions </w:t>
      </w:r>
      <w:r>
        <w:rPr>
          <w:rFonts w:ascii="Arial" w:cs="Arial" w:eastAsia="Arial" w:hAnsi="Arial"/>
          <w:sz w:val="22"/>
          <w:szCs w:val="22"/>
        </w:rPr>
        <w:t xml:space="preserve">— histograms for bureau_score, cashflow_coverage, LTV, GNN risk, Open Banking income stability, and so on.</w:t>
      </w:r>
    </w:p>
    <w:p>
      <w:pPr>
        <w:pStyle w:val="ListParagraph"/>
        <w:numPr>
          <w:ilvl w:val="0"/>
          <w:numId w:val="2"/>
        </w:numPr>
        <w:spacing w:after="80"/>
      </w:pPr>
      <w:r>
        <w:rPr>
          <w:rFonts w:ascii="Arial" w:cs="Arial" w:eastAsia="Arial" w:hAnsi="Arial"/>
          <w:b/>
          <w:bCs/>
          <w:i w:val="false"/>
          <w:iCs w:val="false"/>
          <w:sz w:val="22"/>
          <w:szCs w:val="22"/>
        </w:rPr>
        <w:t xml:space="preserve">Correlation heatmap </w:t>
      </w:r>
      <w:r>
        <w:rPr>
          <w:rFonts w:ascii="Arial" w:cs="Arial" w:eastAsia="Arial" w:hAnsi="Arial"/>
          <w:sz w:val="22"/>
          <w:szCs w:val="22"/>
        </w:rPr>
        <w:t xml:space="preserve">— feature-vs-feature correlation, useful for spotting collinearity before the PD model in notebook 02.</w:t>
      </w:r>
    </w:p>
    <w:p>
      <w:pPr>
        <w:pStyle w:val="ListParagraph"/>
        <w:numPr>
          <w:ilvl w:val="0"/>
          <w:numId w:val="2"/>
        </w:numPr>
        <w:spacing w:after="80"/>
      </w:pPr>
      <w:r>
        <w:rPr>
          <w:rFonts w:ascii="Arial" w:cs="Arial" w:eastAsia="Arial" w:hAnsi="Arial"/>
          <w:b/>
          <w:bCs/>
          <w:i w:val="false"/>
          <w:iCs w:val="false"/>
          <w:sz w:val="22"/>
          <w:szCs w:val="22"/>
        </w:rPr>
        <w:t xml:space="preserve">Default rate by bureau-band heatmap </w:t>
      </w:r>
      <w:r>
        <w:rPr>
          <w:rFonts w:ascii="Arial" w:cs="Arial" w:eastAsia="Arial" w:hAnsi="Arial"/>
          <w:sz w:val="22"/>
          <w:szCs w:val="22"/>
        </w:rPr>
        <w:t xml:space="preserve">— a 2-D map of default rate against bureau score and asset class. Reading this from top to bottom should always show monotone-decreasing default rate as bureau score rises; non-monotonicity is a calibration warning.</w:t>
      </w:r>
    </w:p>
    <w:p>
      <w:pPr>
        <w:pStyle w:val="ListParagraph"/>
        <w:numPr>
          <w:ilvl w:val="0"/>
          <w:numId w:val="2"/>
        </w:numPr>
        <w:spacing w:after="80"/>
      </w:pPr>
      <w:r>
        <w:rPr>
          <w:rFonts w:ascii="Arial" w:cs="Arial" w:eastAsia="Arial" w:hAnsi="Arial"/>
          <w:b/>
          <w:bCs/>
          <w:i w:val="false"/>
          <w:iCs w:val="false"/>
          <w:sz w:val="22"/>
          <w:szCs w:val="22"/>
        </w:rPr>
        <w:t xml:space="preserve">Bivariate plots </w:t>
      </w:r>
      <w:r>
        <w:rPr>
          <w:rFonts w:ascii="Arial" w:cs="Arial" w:eastAsia="Arial" w:hAnsi="Arial"/>
          <w:sz w:val="22"/>
          <w:szCs w:val="22"/>
        </w:rPr>
        <w:t xml:space="preserve">— feature-vs-default conditional curves, with confidence bands.</w:t>
      </w:r>
    </w:p>
    <w:p>
      <w:pPr>
        <w:pStyle w:val="ListParagraph"/>
        <w:numPr>
          <w:ilvl w:val="0"/>
          <w:numId w:val="2"/>
        </w:numPr>
        <w:spacing w:after="80"/>
      </w:pPr>
      <w:r>
        <w:rPr>
          <w:rFonts w:ascii="Arial" w:cs="Arial" w:eastAsia="Arial" w:hAnsi="Arial"/>
          <w:b/>
          <w:bCs/>
          <w:i w:val="false"/>
          <w:iCs w:val="false"/>
          <w:sz w:val="22"/>
          <w:szCs w:val="22"/>
        </w:rPr>
        <w:t xml:space="preserve">Categorical default rates </w:t>
      </w:r>
      <w:r>
        <w:rPr>
          <w:rFonts w:ascii="Arial" w:cs="Arial" w:eastAsia="Arial" w:hAnsi="Arial"/>
          <w:sz w:val="22"/>
          <w:szCs w:val="22"/>
        </w:rPr>
        <w:t xml:space="preserve">— default rate by gender, age band, and region (the protected attributes used in notebook 05).</w:t>
      </w:r>
    </w:p>
    <w:p>
      <w:pPr>
        <w:pStyle w:val="ListParagraph"/>
        <w:numPr>
          <w:ilvl w:val="0"/>
          <w:numId w:val="2"/>
        </w:numPr>
        <w:spacing w:after="80"/>
      </w:pPr>
      <w:r>
        <w:rPr>
          <w:rFonts w:ascii="Arial" w:cs="Arial" w:eastAsia="Arial" w:hAnsi="Arial"/>
          <w:b/>
          <w:bCs/>
          <w:i w:val="false"/>
          <w:iCs w:val="false"/>
          <w:sz w:val="22"/>
          <w:szCs w:val="22"/>
        </w:rPr>
        <w:t xml:space="preserve">Vintage cohort analysis (v1.2) </w:t>
      </w:r>
      <w:r>
        <w:rPr>
          <w:rFonts w:ascii="Arial" w:cs="Arial" w:eastAsia="Arial" w:hAnsi="Arial"/>
          <w:sz w:val="22"/>
          <w:szCs w:val="22"/>
        </w:rPr>
        <w:t xml:space="preserve">— a four-panel chart showing origination volume by quarter, default rate by vintage (the key diagnostic for cohort drift), asset-class mix over time, and loan-size distribution. Below the chart, the three worst-performing vintages are printed with their deviation from the book mean.</w:t>
      </w:r>
    </w:p>
    <w:p>
      <w:pPr>
        <w:pStyle w:val="Heading3"/>
        <w:spacing w:after="100" w:before="240"/>
      </w:pPr>
      <w:r>
        <w:rPr>
          <w:rFonts w:ascii="Arial" w:cs="Arial" w:eastAsia="Arial" w:hAnsi="Arial"/>
          <w:b/>
          <w:bCs/>
          <w:sz w:val="24"/>
          <w:szCs w:val="24"/>
        </w:rPr>
        <w:t xml:space="preserve">The vintage diagnostic</w:t>
      </w:r>
    </w:p>
    <w:p>
      <w:pPr>
        <w:spacing w:after="120"/>
      </w:pPr>
      <w:r>
        <w:rPr>
          <w:rFonts w:ascii="Arial" w:cs="Arial" w:eastAsia="Arial" w:hAnsi="Arial"/>
          <w:sz w:val="22"/>
          <w:szCs w:val="22"/>
        </w:rPr>
        <w:t xml:space="preserve">Section 13 of notebook 01 is the single most important diagnostic for detecting calibration drift in a real lending book. The key question it answers: does default rate differ by origination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Worst-performing vintage quarters by default rate:</w:t>
            </w:r>
          </w:p>
          <w:p>
            <w:pPr>
              <w:spacing w:after="0" w:line="280"/>
            </w:pPr>
            <w:r>
              <w:rPr>
                <w:rFonts w:ascii="Consolas" w:cs="Consolas" w:eastAsia="Consolas" w:hAnsi="Consolas"/>
                <w:color w:val="334155"/>
                <w:sz w:val="18"/>
                <w:szCs w:val="18"/>
              </w:rPr>
              <w:t xml:space="preserve">  2023Q1   default rate  7.87%  (+3.46pp vs mean)</w:t>
            </w:r>
          </w:p>
          <w:p>
            <w:pPr>
              <w:spacing w:after="0" w:line="280"/>
            </w:pPr>
            <w:r>
              <w:rPr>
                <w:rFonts w:ascii="Consolas" w:cs="Consolas" w:eastAsia="Consolas" w:hAnsi="Consolas"/>
                <w:color w:val="334155"/>
                <w:sz w:val="18"/>
                <w:szCs w:val="18"/>
              </w:rPr>
              <w:t xml:space="preserve">  2023Q3   default rate  7.69%  (+3.28pp vs mean)</w:t>
            </w:r>
          </w:p>
          <w:p>
            <w:pPr>
              <w:spacing w:after="0" w:line="280"/>
            </w:pPr>
            <w:r>
              <w:rPr>
                <w:rFonts w:ascii="Consolas" w:cs="Consolas" w:eastAsia="Consolas" w:hAnsi="Consolas"/>
                <w:color w:val="334155"/>
                <w:sz w:val="18"/>
                <w:szCs w:val="18"/>
              </w:rPr>
              <w:t xml:space="preserve">  2021Q1   default rate  6.90%  (+2.49pp vs mean)</w:t>
            </w:r>
          </w:p>
        </w:tc>
      </w:tr>
    </w:tbl>
    <w:p>
      <w:pPr>
        <w:spacing w:after="120"/>
      </w:pPr>
      <w:r>
        <w:rPr>
          <w:rFonts w:ascii="Arial" w:cs="Arial" w:eastAsia="Arial" w:hAnsi="Arial"/>
          <w:sz w:val="22"/>
          <w:szCs w:val="22"/>
        </w:rPr>
        <w:t xml:space="preserve">On the example data these are noise — the file is small and the synthetic generator does not impose vintage effects. On a real book the equivalent printout often reveals a single bad quarter (a post-COVID underwriting loosening, say) that dominates the book's headline default rate. This is the kind of finding a credit committee would investigate first.</w:t>
      </w:r>
    </w:p>
    <w:p>
      <w:pPr>
        <w:pStyle w:val="Heading1"/>
        <w:spacing w:after="200" w:before="360"/>
      </w:pPr>
      <w:r>
        <w:rPr>
          <w:rFonts w:ascii="Arial" w:cs="Arial" w:eastAsia="Arial" w:hAnsi="Arial"/>
          <w:b/>
          <w:bCs/>
          <w:color w:val="0F766E"/>
          <w:sz w:val="36"/>
          <w:szCs w:val="36"/>
        </w:rPr>
        <w:t xml:space="preserve">8. Notebook 02 — Probability of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Trains a LightGBM gradient-boosting model on your borrower data, evaluates it with five-fold cross-validation, explains its predictions globally with SHAP and locally with LIME, calibrates the predicted probabilities, and finds the optimal classification threshold under both F1 and profit-maximising loss functions. As of v1.2 the trained model is persisted to disk so the CreditDecisionAgent and notebook 07 can re-use it without re-training.</w:t>
            </w:r>
          </w:p>
        </w:tc>
      </w:tr>
    </w:tbl>
    <w:p>
      <w:pPr>
        <w:pStyle w:val="Heading3"/>
        <w:spacing w:after="100" w:before="240"/>
      </w:pPr>
      <w:r>
        <w:rPr>
          <w:rFonts w:ascii="Arial" w:cs="Arial" w:eastAsia="Arial" w:hAnsi="Arial"/>
          <w:b/>
          <w:bCs/>
          <w:sz w:val="24"/>
          <w:szCs w:val="24"/>
        </w:rPr>
        <w:t xml:space="preserve">What it does to your data</w:t>
      </w:r>
    </w:p>
    <w:p>
      <w:pPr>
        <w:spacing w:after="120"/>
      </w:pPr>
      <w:r>
        <w:rPr>
          <w:rFonts w:ascii="Arial" w:cs="Arial" w:eastAsia="Arial" w:hAnsi="Arial"/>
          <w:sz w:val="22"/>
          <w:szCs w:val="22"/>
        </w:rPr>
        <w:t xml:space="preserve">The notebook splits df_all.parquet into a training and held-out test set, trains a LightGBM classifier on 16 features (bureau score, cashflow coverage, LTV, GNN connected-party risk, Open Banking income stability, prior defaults, months since adverse event, utilisation rate, log loan amount, term, age, banking-relationship months, active credit lines, HMRC revenue match, time in business, income volatility), and predicts the 12-month default flag.</w:t>
      </w:r>
    </w:p>
    <w:p>
      <w:pPr>
        <w:spacing w:after="120"/>
      </w:pPr>
      <w:r>
        <w:rPr>
          <w:rFonts w:ascii="Arial" w:cs="Arial" w:eastAsia="Arial" w:hAnsi="Arial"/>
          <w:sz w:val="22"/>
          <w:szCs w:val="22"/>
        </w:rPr>
        <w:t xml:space="preserve">The first cell after data load tells you what it is working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[Beta] Using INGESTED data from df_all.parquet: 1,746 borrowers.</w:t>
            </w:r>
          </w:p>
          <w:p>
            <w:pPr>
              <w:spacing w:after="0" w:line="280"/>
            </w:pPr>
            <w:r>
              <w:rPr>
                <w:rFonts w:ascii="Consolas" w:cs="Consolas" w:eastAsia="Consolas" w:hAnsi="Consolas"/>
                <w:color w:val="334155"/>
                <w:sz w:val="18"/>
                <w:szCs w:val="18"/>
              </w:rPr>
              <w:t xml:space="preserve">       To revert to synthetic data, delete df_all.parquet.</w:t>
            </w:r>
          </w:p>
          <w:p>
            <w:pPr>
              <w:spacing w:after="0" w:line="280"/>
            </w:pPr>
            <w:r>
              <w:rPr>
                <w:rFonts w:ascii="Consolas" w:cs="Consolas" w:eastAsia="Consolas" w:hAnsi="Consolas"/>
                <w:color w:val="334155"/>
                <w:sz w:val="18"/>
                <w:szCs w:val="18"/>
              </w:rPr>
              <w:t xml:space="preserve">Dataset: 1,746 samples  |  Features: 16</w:t>
            </w:r>
          </w:p>
          <w:p>
            <w:pPr>
              <w:spacing w:after="0" w:line="280"/>
            </w:pPr>
            <w:r>
              <w:rPr>
                <w:rFonts w:ascii="Consolas" w:cs="Consolas" w:eastAsia="Consolas" w:hAnsi="Consolas"/>
                <w:color w:val="334155"/>
                <w:sz w:val="18"/>
                <w:szCs w:val="18"/>
              </w:rPr>
              <w:t xml:space="preserve">Default rate: 4.41%  |  Class ratio: 21.7:1</w:t>
            </w:r>
          </w:p>
        </w:tc>
      </w:tr>
    </w:tbl>
    <w:p>
      <w:pPr>
        <w:pStyle w:val="Heading3"/>
        <w:spacing w:after="100" w:before="240"/>
      </w:pPr>
      <w:r>
        <w:rPr>
          <w:rFonts w:ascii="Arial" w:cs="Arial" w:eastAsia="Arial" w:hAnsi="Arial"/>
          <w:b/>
          <w:bCs/>
          <w:sz w:val="24"/>
          <w:szCs w:val="24"/>
        </w:rPr>
        <w:t xml:space="preserve">Headline outputs</w:t>
      </w:r>
    </w:p>
    <w:p>
      <w:pPr>
        <w:pStyle w:val="ListParagraph"/>
        <w:numPr>
          <w:ilvl w:val="0"/>
          <w:numId w:val="2"/>
        </w:numPr>
        <w:spacing w:after="80"/>
      </w:pPr>
      <w:r>
        <w:rPr>
          <w:rFonts w:ascii="Arial" w:cs="Arial" w:eastAsia="Arial" w:hAnsi="Arial"/>
          <w:b/>
          <w:bCs/>
          <w:i w:val="false"/>
          <w:iCs w:val="false"/>
          <w:sz w:val="22"/>
          <w:szCs w:val="22"/>
        </w:rPr>
        <w:t xml:space="preserve">AUC and Gini </w:t>
      </w:r>
      <w:r>
        <w:rPr>
          <w:rFonts w:ascii="Arial" w:cs="Arial" w:eastAsia="Arial" w:hAnsi="Arial"/>
          <w:sz w:val="22"/>
          <w:szCs w:val="22"/>
        </w:rPr>
        <w:t xml:space="preserve">— the headline rank-ordering metrics. On the example data with 1,746 rows the AUC is around 0.52 (weak — the example is small and noisy by construction). On the synthetic data with 12,000 rows the AUC reaches 0.85+, which is the calibration target.</w:t>
      </w:r>
    </w:p>
    <w:p>
      <w:pPr>
        <w:pStyle w:val="ListParagraph"/>
        <w:numPr>
          <w:ilvl w:val="0"/>
          <w:numId w:val="2"/>
        </w:numPr>
        <w:spacing w:after="80"/>
      </w:pPr>
      <w:r>
        <w:rPr>
          <w:rFonts w:ascii="Arial" w:cs="Arial" w:eastAsia="Arial" w:hAnsi="Arial"/>
          <w:b/>
          <w:bCs/>
          <w:i w:val="false"/>
          <w:iCs w:val="false"/>
          <w:sz w:val="22"/>
          <w:szCs w:val="22"/>
        </w:rPr>
        <w:t xml:space="preserve">SHAP global feature importance </w:t>
      </w:r>
      <w:r>
        <w:rPr>
          <w:rFonts w:ascii="Arial" w:cs="Arial" w:eastAsia="Arial" w:hAnsi="Arial"/>
          <w:sz w:val="22"/>
          <w:szCs w:val="22"/>
        </w:rPr>
        <w:t xml:space="preserve">— a beeswarm plot showing how each feature pushes predictions up or down. Bureau score, cashflow coverage, and prior defaults dominate; GNN risk and income stability are second-tier; the rest contribute incrementally.</w:t>
      </w:r>
    </w:p>
    <w:p>
      <w:pPr>
        <w:pStyle w:val="ListParagraph"/>
        <w:numPr>
          <w:ilvl w:val="0"/>
          <w:numId w:val="2"/>
        </w:numPr>
        <w:spacing w:after="80"/>
      </w:pPr>
      <w:r>
        <w:rPr>
          <w:rFonts w:ascii="Arial" w:cs="Arial" w:eastAsia="Arial" w:hAnsi="Arial"/>
          <w:b/>
          <w:bCs/>
          <w:i w:val="false"/>
          <w:iCs w:val="false"/>
          <w:sz w:val="22"/>
          <w:szCs w:val="22"/>
        </w:rPr>
        <w:t xml:space="preserve">SHAP local explanations </w:t>
      </w:r>
      <w:r>
        <w:rPr>
          <w:rFonts w:ascii="Arial" w:cs="Arial" w:eastAsia="Arial" w:hAnsi="Arial"/>
          <w:sz w:val="22"/>
          <w:szCs w:val="22"/>
        </w:rPr>
        <w:t xml:space="preserve">— for selected borrowers, a waterfall chart breaking the prediction down feature-by-feature. Used in IRB submissions to evidence "we know why the model said what it said" for individual cases.</w:t>
      </w:r>
    </w:p>
    <w:p>
      <w:pPr>
        <w:pStyle w:val="ListParagraph"/>
        <w:numPr>
          <w:ilvl w:val="0"/>
          <w:numId w:val="2"/>
        </w:numPr>
        <w:spacing w:after="80"/>
      </w:pPr>
      <w:r>
        <w:rPr>
          <w:rFonts w:ascii="Arial" w:cs="Arial" w:eastAsia="Arial" w:hAnsi="Arial"/>
          <w:b/>
          <w:bCs/>
          <w:i w:val="false"/>
          <w:iCs w:val="false"/>
          <w:sz w:val="22"/>
          <w:szCs w:val="22"/>
        </w:rPr>
        <w:t xml:space="preserve">LIME comparisons </w:t>
      </w:r>
      <w:r>
        <w:rPr>
          <w:rFonts w:ascii="Arial" w:cs="Arial" w:eastAsia="Arial" w:hAnsi="Arial"/>
          <w:sz w:val="22"/>
          <w:szCs w:val="22"/>
        </w:rPr>
        <w:t xml:space="preserve">— LIME local explanations alongside SHAP, with a Spearman rank correlation between the two.</w:t>
      </w:r>
    </w:p>
    <w:p>
      <w:pPr>
        <w:pStyle w:val="ListParagraph"/>
        <w:numPr>
          <w:ilvl w:val="0"/>
          <w:numId w:val="2"/>
        </w:numPr>
        <w:spacing w:after="80"/>
      </w:pPr>
      <w:r>
        <w:rPr>
          <w:rFonts w:ascii="Arial" w:cs="Arial" w:eastAsia="Arial" w:hAnsi="Arial"/>
          <w:b/>
          <w:bCs/>
          <w:i w:val="false"/>
          <w:iCs w:val="false"/>
          <w:sz w:val="22"/>
          <w:szCs w:val="22"/>
        </w:rPr>
        <w:t xml:space="preserve">Calibration plot </w:t>
      </w:r>
      <w:r>
        <w:rPr>
          <w:rFonts w:ascii="Arial" w:cs="Arial" w:eastAsia="Arial" w:hAnsi="Arial"/>
          <w:sz w:val="22"/>
          <w:szCs w:val="22"/>
        </w:rPr>
        <w:t xml:space="preserve">— predicted PD vs observed default rate in deciles.</w:t>
      </w:r>
    </w:p>
    <w:p>
      <w:pPr>
        <w:pStyle w:val="ListParagraph"/>
        <w:numPr>
          <w:ilvl w:val="0"/>
          <w:numId w:val="2"/>
        </w:numPr>
        <w:spacing w:after="80"/>
      </w:pPr>
      <w:r>
        <w:rPr>
          <w:rFonts w:ascii="Arial" w:cs="Arial" w:eastAsia="Arial" w:hAnsi="Arial"/>
          <w:b/>
          <w:bCs/>
          <w:i w:val="false"/>
          <w:iCs w:val="false"/>
          <w:sz w:val="22"/>
          <w:szCs w:val="22"/>
        </w:rPr>
        <w:t xml:space="preserve">Threshold curves </w:t>
      </w:r>
      <w:r>
        <w:rPr>
          <w:rFonts w:ascii="Arial" w:cs="Arial" w:eastAsia="Arial" w:hAnsi="Arial"/>
          <w:sz w:val="22"/>
          <w:szCs w:val="22"/>
        </w:rPr>
        <w:t xml:space="preserve">— precision-recall and profit curves with the F1-optimal and profit-optimal cutoffs marked.</w:t>
      </w:r>
    </w:p>
    <w:p>
      <w:pPr>
        <w:pStyle w:val="Heading3"/>
        <w:spacing w:after="100" w:before="240"/>
      </w:pPr>
      <w:r>
        <w:rPr>
          <w:rFonts w:ascii="Arial" w:cs="Arial" w:eastAsia="Arial" w:hAnsi="Arial"/>
          <w:b/>
          <w:bCs/>
          <w:sz w:val="24"/>
          <w:szCs w:val="24"/>
        </w:rPr>
        <w:t xml:space="preserve">Persisting the trained model (v1.2)</w:t>
      </w:r>
    </w:p>
    <w:p>
      <w:pPr>
        <w:spacing w:after="120"/>
      </w:pPr>
      <w:r>
        <w:rPr>
          <w:rFonts w:ascii="Arial" w:cs="Arial" w:eastAsia="Arial" w:hAnsi="Arial"/>
          <w:sz w:val="22"/>
          <w:szCs w:val="22"/>
        </w:rPr>
        <w:t xml:space="preserve">The final section of notebook 02 fits LightGBM on the ingested data and saves it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from risk_models.pd_models import PDModelSuite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suite = PDModelSuite()</w:t>
            </w:r>
          </w:p>
          <w:p>
            <w:pPr>
              <w:spacing w:after="0" w:line="280"/>
            </w:pPr>
            <w:r>
              <w:rPr>
                <w:rFonts w:ascii="Consolas" w:cs="Consolas" w:eastAsia="Consolas" w:hAnsi="Consolas"/>
                <w:sz w:val="18"/>
                <w:szCs w:val="18"/>
              </w:rPr>
              <w:t xml:space="preserve">diag = suite.fit_from_dataframe(df_all)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print(f"CV AUC:        {diag['cv_auc']:.4f}")</w:t>
            </w:r>
          </w:p>
          <w:p>
            <w:pPr>
              <w:spacing w:after="0" w:line="280"/>
            </w:pPr>
            <w:r>
              <w:rPr>
                <w:rFonts w:ascii="Consolas" w:cs="Consolas" w:eastAsia="Consolas" w:hAnsi="Consolas"/>
                <w:sz w:val="18"/>
                <w:szCs w:val="18"/>
              </w:rPr>
              <w:t xml:space="preserve">print(f"In-sample AUC: {diag['in_sample_auc']:.4f}")</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suite.save("pd_models.pkl")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CV AUC:        0.5794</w:t>
            </w:r>
          </w:p>
          <w:p>
            <w:pPr>
              <w:spacing w:after="0" w:line="280"/>
            </w:pPr>
            <w:r>
              <w:rPr>
                <w:rFonts w:ascii="Consolas" w:cs="Consolas" w:eastAsia="Consolas" w:hAnsi="Consolas"/>
                <w:color w:val="334155"/>
                <w:sz w:val="18"/>
                <w:szCs w:val="18"/>
              </w:rPr>
              <w:t xml:space="preserve">In-sample AUC: 1.0000</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Saved trained PD model → pd_models.pkl</w:t>
            </w:r>
          </w:p>
          <w:p>
            <w:pPr>
              <w:spacing w:after="0" w:line="280"/>
            </w:pPr>
            <w:r>
              <w:rPr>
                <w:rFonts w:ascii="Consolas" w:cs="Consolas" w:eastAsia="Consolas" w:hAnsi="Consolas"/>
                <w:color w:val="334155"/>
                <w:sz w:val="18"/>
                <w:szCs w:val="18"/>
              </w:rPr>
              <w:t xml:space="preserve">  Source:         real</w:t>
            </w:r>
          </w:p>
          <w:p>
            <w:pPr>
              <w:spacing w:after="0" w:line="280"/>
            </w:pPr>
            <w:r>
              <w:rPr>
                <w:rFonts w:ascii="Consolas" w:cs="Consolas" w:eastAsia="Consolas" w:hAnsi="Consolas"/>
                <w:color w:val="334155"/>
                <w:sz w:val="18"/>
                <w:szCs w:val="18"/>
              </w:rPr>
              <w:t xml:space="preserve">  Rows fitted:    1,746</w:t>
            </w:r>
          </w:p>
        </w:tc>
      </w:tr>
    </w:tbl>
    <w:p>
      <w:pPr>
        <w:spacing w:after="120"/>
      </w:pPr>
      <w:r>
        <w:rPr>
          <w:rFonts w:ascii="Arial" w:cs="Arial" w:eastAsia="Arial" w:hAnsi="Arial"/>
          <w:sz w:val="22"/>
          <w:szCs w:val="22"/>
        </w:rPr>
        <w:t xml:space="preserve">Once pd_models.pkl exists in the working directory, the CreditDecisionAgent and notebook 07 auto-load it on next construction. No notebook edits, no constructor arguments — the file presence is the switch. To revert to the synthetic benchmark calibration, delete the pickle.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WARNING  </w:t>
            </w:r>
            <w:r>
              <w:rPr>
                <w:rFonts w:ascii="Arial" w:cs="Arial" w:eastAsia="Arial" w:hAnsi="Arial"/>
                <w:sz w:val="22"/>
                <w:szCs w:val="22"/>
              </w:rPr>
              <w:t xml:space="preserve">On small books (&lt; 5,000 rows) the default hyperparameters will over-fit. fit_from_dataframe reports both an in-sample AUC and a 5-fold CV AUC — when the gap exceeds ~20 percentage points the back-tester (Section 14) will warn you, and the absolute PD numbers should not be quoted. Lower n_estimators to 100 or pass class_weight differently before re-fitting.</w:t>
            </w:r>
          </w:p>
        </w:tc>
      </w:tr>
    </w:tbl>
    <w:p>
      <w:pPr>
        <w:pStyle w:val="Heading3"/>
        <w:spacing w:after="100" w:before="240"/>
      </w:pPr>
      <w:r>
        <w:rPr>
          <w:rFonts w:ascii="Arial" w:cs="Arial" w:eastAsia="Arial" w:hAnsi="Arial"/>
          <w:b/>
          <w:bCs/>
          <w:sz w:val="24"/>
          <w:szCs w:val="24"/>
        </w:rPr>
        <w:t xml:space="preserve">Honest evaluation: CV vs in-sample AUC</w:t>
      </w:r>
    </w:p>
    <w:p>
      <w:pPr>
        <w:spacing w:after="120"/>
      </w:pPr>
      <w:r>
        <w:rPr>
          <w:rFonts w:ascii="Arial" w:cs="Arial" w:eastAsia="Arial" w:hAnsi="Arial"/>
          <w:sz w:val="22"/>
          <w:szCs w:val="22"/>
        </w:rPr>
        <w:t xml:space="preserve">fit_from_dataframe computes two AUCs. </w:t>
      </w:r>
      <w:r>
        <w:rPr>
          <w:rFonts w:ascii="Consolas" w:cs="Consolas" w:eastAsia="Consolas" w:hAnsi="Consolas"/>
          <w:b w:val="false"/>
          <w:bCs w:val="false"/>
          <w:i w:val="false"/>
          <w:iCs w:val="false"/>
          <w:sz w:val="22"/>
          <w:szCs w:val="22"/>
        </w:rPr>
        <w:t xml:space="preserve">in_sample_auc</w:t>
      </w:r>
      <w:r>
        <w:rPr>
          <w:rFonts w:ascii="Arial" w:cs="Arial" w:eastAsia="Arial" w:hAnsi="Arial"/>
          <w:sz w:val="22"/>
          <w:szCs w:val="22"/>
        </w:rPr>
        <w:t xml:space="preserve"> is the model's AUC scoring the same rows it was trained on — almost always optimistic, sometimes pathologically so. </w:t>
      </w:r>
      <w:r>
        <w:rPr>
          <w:rFonts w:ascii="Consolas" w:cs="Consolas" w:eastAsia="Consolas" w:hAnsi="Consolas"/>
          <w:b w:val="false"/>
          <w:bCs w:val="false"/>
          <w:i w:val="false"/>
          <w:iCs w:val="false"/>
          <w:sz w:val="22"/>
          <w:szCs w:val="22"/>
        </w:rPr>
        <w:t xml:space="preserve">cv_auc</w:t>
      </w:r>
      <w:r>
        <w:rPr>
          <w:rFonts w:ascii="Arial" w:cs="Arial" w:eastAsia="Arial" w:hAnsi="Arial"/>
          <w:sz w:val="22"/>
          <w:szCs w:val="22"/>
        </w:rPr>
        <w:t xml:space="preserve"> is the 5-fold cross-validated AUC — out-of-fold predictions per row, averaged. </w:t>
      </w:r>
      <w:r>
        <w:rPr>
          <w:rFonts w:ascii="Arial" w:cs="Arial" w:eastAsia="Arial" w:hAnsi="Arial"/>
          <w:b/>
          <w:bCs/>
          <w:i w:val="false"/>
          <w:iCs w:val="false"/>
          <w:sz w:val="22"/>
          <w:szCs w:val="22"/>
        </w:rPr>
        <w:t xml:space="preserve">This is the honest one. </w:t>
      </w:r>
      <w:r>
        <w:rPr>
          <w:rFonts w:ascii="Arial" w:cs="Arial" w:eastAsia="Arial" w:hAnsi="Arial"/>
          <w:sz w:val="22"/>
          <w:szCs w:val="22"/>
        </w:rPr>
        <w:t xml:space="preserve">Quote cv_auc, not in_sample_auc.</w:t>
      </w:r>
    </w:p>
    <w:p>
      <w:pPr>
        <w:pStyle w:val="Heading1"/>
        <w:spacing w:after="200" w:before="360"/>
      </w:pPr>
      <w:r>
        <w:rPr>
          <w:rFonts w:ascii="Arial" w:cs="Arial" w:eastAsia="Arial" w:hAnsi="Arial"/>
          <w:b/>
          <w:bCs/>
          <w:color w:val="0F766E"/>
          <w:sz w:val="36"/>
          <w:szCs w:val="36"/>
        </w:rPr>
        <w:t xml:space="preserve">9. Notebook 03 — LGD and 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Estimates loss given default and exposure at default for each of the eight asset classes, with downturn scalars (Basel IV Article 181) and stress-scenario sensitivities. As of v1.2, LGD decomposes into four interpretable components (cure_prob, collateral_recovery, unsecured_recovery, recovery_costs, all discounted by time to resolution). The user can supply any subset of components per loan or override the entire model. Notebook 03 visualises the decomposition with a cure-protection waterfall and a sensitivity tornado.</w:t>
            </w:r>
          </w:p>
        </w:tc>
      </w:tr>
    </w:tbl>
    <w:p>
      <w:pPr>
        <w:pStyle w:val="Heading3"/>
        <w:spacing w:after="100" w:before="240"/>
      </w:pPr>
      <w:r>
        <w:rPr>
          <w:rFonts w:ascii="Arial" w:cs="Arial" w:eastAsia="Arial" w:hAnsi="Arial"/>
          <w:b/>
          <w:bCs/>
          <w:sz w:val="24"/>
          <w:szCs w:val="24"/>
        </w:rPr>
        <w:t xml:space="preserve">What it produces</w:t>
      </w:r>
    </w:p>
    <w:p>
      <w:pPr>
        <w:pStyle w:val="ListParagraph"/>
        <w:numPr>
          <w:ilvl w:val="0"/>
          <w:numId w:val="2"/>
        </w:numPr>
        <w:spacing w:after="80"/>
      </w:pPr>
      <w:r>
        <w:rPr>
          <w:rFonts w:ascii="Arial" w:cs="Arial" w:eastAsia="Arial" w:hAnsi="Arial"/>
          <w:b/>
          <w:bCs/>
          <w:i w:val="false"/>
          <w:iCs w:val="false"/>
          <w:sz w:val="22"/>
          <w:szCs w:val="22"/>
        </w:rPr>
        <w:t xml:space="preserve">LGD by asset class </w:t>
      </w:r>
      <w:r>
        <w:rPr>
          <w:rFonts w:ascii="Arial" w:cs="Arial" w:eastAsia="Arial" w:hAnsi="Arial"/>
          <w:sz w:val="22"/>
          <w:szCs w:val="22"/>
        </w:rPr>
        <w:t xml:space="preserve">— best-estimate vs downturn LGD as side-by-side bars across the eight classes.</w:t>
      </w:r>
    </w:p>
    <w:p>
      <w:pPr>
        <w:pStyle w:val="ListParagraph"/>
        <w:numPr>
          <w:ilvl w:val="0"/>
          <w:numId w:val="2"/>
        </w:numPr>
        <w:spacing w:after="80"/>
      </w:pPr>
      <w:r>
        <w:rPr>
          <w:rFonts w:ascii="Arial" w:cs="Arial" w:eastAsia="Arial" w:hAnsi="Arial"/>
          <w:b/>
          <w:bCs/>
          <w:i w:val="false"/>
          <w:iCs w:val="false"/>
          <w:sz w:val="22"/>
          <w:szCs w:val="22"/>
        </w:rPr>
        <w:t xml:space="preserve">Recovery profile </w:t>
      </w:r>
      <w:r>
        <w:rPr>
          <w:rFonts w:ascii="Arial" w:cs="Arial" w:eastAsia="Arial" w:hAnsi="Arial"/>
          <w:sz w:val="22"/>
          <w:szCs w:val="22"/>
        </w:rPr>
        <w:t xml:space="preserve">— months to recovery, expected collateral value (where applicable), recovery-rate distribution.</w:t>
      </w:r>
    </w:p>
    <w:p>
      <w:pPr>
        <w:pStyle w:val="ListParagraph"/>
        <w:numPr>
          <w:ilvl w:val="0"/>
          <w:numId w:val="2"/>
        </w:numPr>
        <w:spacing w:after="80"/>
      </w:pPr>
      <w:r>
        <w:rPr>
          <w:rFonts w:ascii="Arial" w:cs="Arial" w:eastAsia="Arial" w:hAnsi="Arial"/>
          <w:b/>
          <w:bCs/>
          <w:i w:val="false"/>
          <w:iCs w:val="false"/>
          <w:sz w:val="22"/>
          <w:szCs w:val="22"/>
        </w:rPr>
        <w:t xml:space="preserve">Mortgage HPI stress curve </w:t>
      </w:r>
      <w:r>
        <w:rPr>
          <w:rFonts w:ascii="Arial" w:cs="Arial" w:eastAsia="Arial" w:hAnsi="Arial"/>
          <w:sz w:val="22"/>
          <w:szCs w:val="22"/>
        </w:rPr>
        <w:t xml:space="preserve">— six scenarios from base (0% house price shock) to catastrophic (-45%).</w:t>
      </w:r>
    </w:p>
    <w:p>
      <w:pPr>
        <w:pStyle w:val="ListParagraph"/>
        <w:numPr>
          <w:ilvl w:val="0"/>
          <w:numId w:val="2"/>
        </w:numPr>
        <w:spacing w:after="80"/>
      </w:pPr>
      <w:r>
        <w:rPr>
          <w:rFonts w:ascii="Arial" w:cs="Arial" w:eastAsia="Arial" w:hAnsi="Arial"/>
          <w:b/>
          <w:bCs/>
          <w:i w:val="false"/>
          <w:iCs w:val="false"/>
          <w:sz w:val="22"/>
          <w:szCs w:val="22"/>
        </w:rPr>
        <w:t xml:space="preserve">Motor finance depreciation curve </w:t>
      </w:r>
      <w:r>
        <w:rPr>
          <w:rFonts w:ascii="Arial" w:cs="Arial" w:eastAsia="Arial" w:hAnsi="Arial"/>
          <w:sz w:val="22"/>
          <w:szCs w:val="22"/>
        </w:rPr>
        <w:t xml:space="preserve">— LGD as a function of vehicle age, with separate curves for standard finance, PCP, and lease.</w:t>
      </w:r>
    </w:p>
    <w:p>
      <w:pPr>
        <w:pStyle w:val="ListParagraph"/>
        <w:numPr>
          <w:ilvl w:val="0"/>
          <w:numId w:val="2"/>
        </w:numPr>
        <w:spacing w:after="80"/>
      </w:pPr>
      <w:r>
        <w:rPr>
          <w:rFonts w:ascii="Arial" w:cs="Arial" w:eastAsia="Arial" w:hAnsi="Arial"/>
          <w:b/>
          <w:bCs/>
          <w:i w:val="false"/>
          <w:iCs w:val="false"/>
          <w:sz w:val="22"/>
          <w:szCs w:val="22"/>
        </w:rPr>
        <w:t xml:space="preserve">EAD by asset class </w:t>
      </w:r>
      <w:r>
        <w:rPr>
          <w:rFonts w:ascii="Arial" w:cs="Arial" w:eastAsia="Arial" w:hAnsi="Arial"/>
          <w:sz w:val="22"/>
          <w:szCs w:val="22"/>
        </w:rPr>
        <w:t xml:space="preserve">— exposure-at-default with credit-conversion factors.</w:t>
      </w:r>
    </w:p>
    <w:p>
      <w:pPr>
        <w:pStyle w:val="ListParagraph"/>
        <w:numPr>
          <w:ilvl w:val="0"/>
          <w:numId w:val="2"/>
        </w:numPr>
        <w:spacing w:after="80"/>
      </w:pPr>
      <w:r>
        <w:rPr>
          <w:rFonts w:ascii="Arial" w:cs="Arial" w:eastAsia="Arial" w:hAnsi="Arial"/>
          <w:b/>
          <w:bCs/>
          <w:i w:val="false"/>
          <w:iCs w:val="false"/>
          <w:sz w:val="22"/>
          <w:szCs w:val="22"/>
        </w:rPr>
        <w:t xml:space="preserve">Cure-protection waterfall (v1.2) </w:t>
      </w:r>
      <w:r>
        <w:rPr>
          <w:rFonts w:ascii="Arial" w:cs="Arial" w:eastAsia="Arial" w:hAnsi="Arial"/>
          <w:sz w:val="22"/>
          <w:szCs w:val="22"/>
        </w:rPr>
        <w:t xml:space="preserve">— for each asset class, two stacked bars showing workout LGD (pre-cure) and final LGD (post-cure). The gap visualises how much loss the cure rate prevents.</w:t>
      </w:r>
    </w:p>
    <w:p>
      <w:pPr>
        <w:pStyle w:val="ListParagraph"/>
        <w:numPr>
          <w:ilvl w:val="0"/>
          <w:numId w:val="2"/>
        </w:numPr>
        <w:spacing w:after="80"/>
      </w:pPr>
      <w:r>
        <w:rPr>
          <w:rFonts w:ascii="Arial" w:cs="Arial" w:eastAsia="Arial" w:hAnsi="Arial"/>
          <w:b/>
          <w:bCs/>
          <w:i w:val="false"/>
          <w:iCs w:val="false"/>
          <w:sz w:val="22"/>
          <w:szCs w:val="22"/>
        </w:rPr>
        <w:t xml:space="preserve">Sensitivity tornado (v1.2) </w:t>
      </w:r>
      <w:r>
        <w:rPr>
          <w:rFonts w:ascii="Arial" w:cs="Arial" w:eastAsia="Arial" w:hAnsi="Arial"/>
          <w:sz w:val="22"/>
          <w:szCs w:val="22"/>
        </w:rPr>
        <w:t xml:space="preserve">— basis-points LGD impact of an adverse one-standard-deviation shift in each component. Confirms which component matters most for each asset class.</w:t>
      </w:r>
    </w:p>
    <w:p>
      <w:pPr>
        <w:pStyle w:val="ListParagraph"/>
        <w:numPr>
          <w:ilvl w:val="0"/>
          <w:numId w:val="2"/>
        </w:numPr>
        <w:spacing w:after="80"/>
      </w:pPr>
      <w:r>
        <w:rPr>
          <w:rFonts w:ascii="Arial" w:cs="Arial" w:eastAsia="Arial" w:hAnsi="Arial"/>
          <w:b/>
          <w:bCs/>
          <w:i w:val="false"/>
          <w:iCs w:val="false"/>
          <w:sz w:val="22"/>
          <w:szCs w:val="22"/>
        </w:rPr>
        <w:t xml:space="preserve">Portfolio mix banner </w:t>
      </w:r>
      <w:r>
        <w:rPr>
          <w:rFonts w:ascii="Arial" w:cs="Arial" w:eastAsia="Arial" w:hAnsi="Arial"/>
          <w:sz w:val="22"/>
          <w:szCs w:val="22"/>
        </w:rPr>
        <w:t xml:space="preserve">— at the top, a printout of how your real book is distributed across asset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[Beta] Using INGESTED data from df_all.parquet: 1,746 borrowers.</w:t>
            </w:r>
          </w:p>
          <w:p>
            <w:pPr>
              <w:spacing w:after="0" w:line="280"/>
            </w:pPr>
            <w:r>
              <w:rPr>
                <w:rFonts w:ascii="Consolas" w:cs="Consolas" w:eastAsia="Consolas" w:hAnsi="Consolas"/>
                <w:color w:val="334155"/>
                <w:sz w:val="18"/>
                <w:szCs w:val="18"/>
              </w:rPr>
              <w:t xml:space="preserve">Portfolio mix:</w:t>
            </w:r>
          </w:p>
          <w:p>
            <w:pPr>
              <w:spacing w:after="0" w:line="280"/>
            </w:pPr>
            <w:r>
              <w:rPr>
                <w:rFonts w:ascii="Consolas" w:cs="Consolas" w:eastAsia="Consolas" w:hAnsi="Consolas"/>
                <w:color w:val="334155"/>
                <w:sz w:val="18"/>
                <w:szCs w:val="18"/>
              </w:rPr>
              <w:t xml:space="preserve">  consumer_unsecured         43.0%  (750 loans)</w:t>
            </w:r>
          </w:p>
          <w:p>
            <w:pPr>
              <w:spacing w:after="0" w:line="280"/>
            </w:pPr>
            <w:r>
              <w:rPr>
                <w:rFonts w:ascii="Consolas" w:cs="Consolas" w:eastAsia="Consolas" w:hAnsi="Consolas"/>
                <w:color w:val="334155"/>
                <w:sz w:val="18"/>
                <w:szCs w:val="18"/>
              </w:rPr>
              <w:t xml:space="preserve">  sme_unsecured              28.6%  (500 loans)</w:t>
            </w:r>
          </w:p>
          <w:p>
            <w:pPr>
              <w:spacing w:after="0" w:line="280"/>
            </w:pPr>
            <w:r>
              <w:rPr>
                <w:rFonts w:ascii="Consolas" w:cs="Consolas" w:eastAsia="Consolas" w:hAnsi="Consolas"/>
                <w:color w:val="334155"/>
                <w:sz w:val="18"/>
                <w:szCs w:val="18"/>
              </w:rPr>
              <w:t xml:space="preserve">  residential_mortgage       17.0%  (296 loans)</w:t>
            </w:r>
          </w:p>
          <w:p>
            <w:pPr>
              <w:spacing w:after="0" w:line="280"/>
            </w:pPr>
            <w:r>
              <w:rPr>
                <w:rFonts w:ascii="Consolas" w:cs="Consolas" w:eastAsia="Consolas" w:hAnsi="Consolas"/>
                <w:color w:val="334155"/>
                <w:sz w:val="18"/>
                <w:szCs w:val="18"/>
              </w:rPr>
              <w:t xml:space="preserve">  buy_to_let                 11.5%  (200 loans)</w:t>
            </w:r>
          </w:p>
        </w:tc>
      </w:tr>
    </w:tbl>
    <w:p>
      <w:pPr>
        <w:pStyle w:val="Heading3"/>
        <w:spacing w:after="100" w:before="240"/>
      </w:pPr>
      <w:r>
        <w:rPr>
          <w:rFonts w:ascii="Arial" w:cs="Arial" w:eastAsia="Arial" w:hAnsi="Arial"/>
          <w:b/>
          <w:bCs/>
          <w:sz w:val="24"/>
          <w:szCs w:val="24"/>
        </w:rPr>
        <w:t xml:space="preserve">The LGD component formula (v1.2)</w:t>
      </w:r>
    </w:p>
    <w:p>
      <w:pPr>
        <w:spacing w:after="120"/>
      </w:pPr>
      <w:r>
        <w:rPr>
          <w:rFonts w:ascii="Arial" w:cs="Arial" w:eastAsia="Arial" w:hAnsi="Arial"/>
          <w:sz w:val="22"/>
          <w:szCs w:val="22"/>
        </w:rPr>
        <w:t xml:space="preserve">Each loan's LGD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LGD = (1 − cure_prob) × max(0, 1 − [recovery] × discount / EAD)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where recovery = collateral_recovery + unsecured_recovery − costs</w:t>
            </w:r>
          </w:p>
          <w:p>
            <w:pPr>
              <w:spacing w:after="0" w:line="280"/>
            </w:pPr>
            <w:r>
              <w:rPr>
                <w:rFonts w:ascii="Consolas" w:cs="Consolas" w:eastAsia="Consolas" w:hAnsi="Consolas"/>
                <w:sz w:val="18"/>
                <w:szCs w:val="18"/>
              </w:rPr>
              <w:t xml:space="preserve">      collateral_recovery = min(collateral_value × haircut, EAD)</w:t>
            </w:r>
          </w:p>
          <w:p>
            <w:pPr>
              <w:spacing w:after="0" w:line="280"/>
            </w:pPr>
            <w:r>
              <w:rPr>
                <w:rFonts w:ascii="Consolas" w:cs="Consolas" w:eastAsia="Consolas" w:hAnsi="Consolas"/>
                <w:sz w:val="18"/>
                <w:szCs w:val="18"/>
              </w:rPr>
              <w:t xml:space="preserve">      unsecured_recovery  = (EAD − collateral_recovery) × ur_rate</w:t>
            </w:r>
          </w:p>
          <w:p>
            <w:pPr>
              <w:spacing w:after="0" w:line="280"/>
            </w:pPr>
            <w:r>
              <w:rPr>
                <w:rFonts w:ascii="Consolas" w:cs="Consolas" w:eastAsia="Consolas" w:hAnsi="Consolas"/>
                <w:sz w:val="18"/>
                <w:szCs w:val="18"/>
              </w:rPr>
              <w:t xml:space="preserve">      costs               = EAD × recovery_costs</w:t>
            </w:r>
          </w:p>
          <w:p>
            <w:pPr>
              <w:spacing w:after="0" w:line="280"/>
            </w:pPr>
            <w:r>
              <w:rPr>
                <w:rFonts w:ascii="Consolas" w:cs="Consolas" w:eastAsia="Consolas" w:hAnsi="Consolas"/>
                <w:sz w:val="18"/>
                <w:szCs w:val="18"/>
              </w:rPr>
              <w:t xml:space="preserve">      discount            = (1.05)^(−time_to_resolution_months / 12)</w:t>
            </w:r>
          </w:p>
        </w:tc>
      </w:tr>
    </w:tbl>
    <w:p>
      <w:pPr>
        <w:spacing w:after="120"/>
      </w:pPr>
      <w:r>
        <w:rPr>
          <w:rFonts w:ascii="Arial" w:cs="Arial" w:eastAsia="Arial" w:hAnsi="Arial"/>
          <w:sz w:val="22"/>
          <w:szCs w:val="22"/>
        </w:rPr>
        <w:t xml:space="preserve">The five new optional schema columns let the user supply any subset per loan. Missing components fall back to the asset-class default. lgd_observed (if supplied) overrides the entire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Column</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Type</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Description</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lgd_observed</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 0–1</w:t>
            </w:r>
          </w:p>
        </w:tc>
        <w:tc>
          <w:tcPr>
            <w:tcW w:type="dxa" w:w="4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Pre-computed LGD; overrides the formula entirely</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collateral_value</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 ≥ 0</w:t>
            </w:r>
          </w:p>
        </w:tc>
        <w:tc>
          <w:tcPr>
            <w:tcW w:type="dxa" w:w="4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 value of security at origination</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cure_prob</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 0–1</w:t>
            </w:r>
          </w:p>
        </w:tc>
        <w:tc>
          <w:tcPr>
            <w:tcW w:type="dxa" w:w="4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Probability the loan cures without recovery</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recovery_costs</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float 0–1</w:t>
            </w:r>
          </w:p>
        </w:tc>
        <w:tc>
          <w:tcPr>
            <w:tcW w:type="dxa" w:w="4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Workout costs as fraction of EAD</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time_to_resolution_months</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int 0–120</w:t>
            </w:r>
          </w:p>
        </w:tc>
        <w:tc>
          <w:tcPr>
            <w:tcW w:type="dxa" w:w="46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Months from default to final resolution</w:t>
            </w:r>
          </w:p>
        </w:tc>
      </w:tr>
    </w:tbl>
    <w:p>
      <w:pPr>
        <w:spacing w:after="100"/>
      </w:pPr>
      <w:r>
        <w:t xml:space="preserve"/>
      </w:r>
    </w:p>
    <w:p>
      <w:pPr>
        <w:pStyle w:val="Heading3"/>
        <w:spacing w:after="100" w:before="240"/>
      </w:pPr>
      <w:r>
        <w:rPr>
          <w:rFonts w:ascii="Arial" w:cs="Arial" w:eastAsia="Arial" w:hAnsi="Arial"/>
          <w:b/>
          <w:bCs/>
          <w:sz w:val="24"/>
          <w:szCs w:val="24"/>
        </w:rPr>
        <w:t xml:space="preserve">Asset-class calibration</w:t>
      </w:r>
    </w:p>
    <w:p>
      <w:pPr>
        <w:spacing w:after="120"/>
      </w:pPr>
      <w:r>
        <w:rPr>
          <w:rFonts w:ascii="Arial" w:cs="Arial" w:eastAsia="Arial" w:hAnsi="Arial"/>
          <w:sz w:val="22"/>
          <w:szCs w:val="22"/>
        </w:rPr>
        <w:t xml:space="preserve">The asset-class defaults are tuned numerically so the component formula reproduces the v1.0 headline LGDs exactly when no per-loan overrides are supplied. The numbers reflect UK lending benchmarks and Basel IV Article 181 supervisory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300"/>
        <w:gridCol w:w="1700"/>
        <w:gridCol w:w="1100"/>
        <w:gridCol w:w="1460"/>
      </w:tblGrid>
      <w:tr>
        <w:trPr>
          <w:tblHeader/>
        </w:trPr>
        <w:tc>
          <w:tcPr>
            <w:tcW w:type="dxa" w:w="2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Asset class</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Haircut</w:t>
            </w:r>
          </w:p>
        </w:tc>
        <w:tc>
          <w:tcPr>
            <w:tcW w:type="dxa" w:w="1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Cure prob</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Unsec recovery</w:t>
            </w:r>
          </w:p>
        </w:tc>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Costs</w:t>
            </w:r>
          </w:p>
        </w:tc>
        <w:tc>
          <w:tcPr>
            <w:tcW w:type="dxa" w:w="1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TTR (months)</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sme_unsecured</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39.5%</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10%</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24</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sme_secured</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75%</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49.1%</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15%</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12%</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18</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consumer_unsecured</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20.6%</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18%</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18</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residential_mortgage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85%</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24.6%</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5%</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30</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buy_to_let</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80%</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14.9%</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5%</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9%</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28</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motor_finance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65%</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14.7%</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7%</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12</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invoice_finance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90%</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47.8%</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20%</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6%</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9</w:t>
            </w:r>
          </w:p>
        </w:tc>
      </w:tr>
      <w:tr>
        <w:trPr>
          <w:cantSplit/>
        </w:trPr>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asset_finance</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70%</w:t>
            </w:r>
          </w:p>
        </w:tc>
        <w:tc>
          <w:tcPr>
            <w:tcW w:type="dxa" w:w="13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46.6%</w:t>
            </w:r>
          </w:p>
        </w:tc>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12%</w:t>
            </w:r>
          </w:p>
        </w:tc>
        <w:tc>
          <w:tcPr>
            <w:tcW w:type="dxa" w:w="11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10%</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15</w:t>
            </w:r>
          </w:p>
        </w:tc>
      </w:tr>
    </w:tbl>
    <w:p>
      <w:pPr>
        <w:spacing w:after="100"/>
      </w:pPr>
      <w:r>
        <w:t xml:space="preserve"/>
      </w:r>
    </w:p>
    <w:p>
      <w:pPr>
        <w:pStyle w:val="Heading3"/>
        <w:spacing w:after="100" w:before="240"/>
      </w:pPr>
      <w:r>
        <w:rPr>
          <w:rFonts w:ascii="Arial" w:cs="Arial" w:eastAsia="Arial" w:hAnsi="Arial"/>
          <w:b/>
          <w:bCs/>
          <w:sz w:val="24"/>
          <w:szCs w:val="24"/>
        </w:rPr>
        <w:t xml:space="preserve">Two entry paths</w:t>
      </w:r>
    </w:p>
    <w:p>
      <w:pPr>
        <w:spacing w:after="120"/>
      </w:pPr>
      <w:r>
        <w:rPr>
          <w:rFonts w:ascii="Arial" w:cs="Arial" w:eastAsia="Arial" w:hAnsi="Arial"/>
          <w:sz w:val="22"/>
          <w:szCs w:val="22"/>
        </w:rPr>
        <w:t xml:space="preserve">There are three ways to call the LGD model, in priority order:</w:t>
      </w:r>
    </w:p>
    <w:p>
      <w:pPr>
        <w:pStyle w:val="ListParagraph"/>
        <w:numPr>
          <w:ilvl w:val="0"/>
          <w:numId w:val="2"/>
        </w:numPr>
        <w:spacing w:after="80"/>
      </w:pPr>
      <w:r>
        <w:rPr>
          <w:rFonts w:ascii="Arial" w:cs="Arial" w:eastAsia="Arial" w:hAnsi="Arial"/>
          <w:b/>
          <w:bCs/>
          <w:i w:val="false"/>
          <w:iCs w:val="false"/>
          <w:sz w:val="22"/>
          <w:szCs w:val="22"/>
        </w:rPr>
        <w:t xml:space="preserve">Override path — </w:t>
      </w:r>
      <w:r>
        <w:rPr>
          <w:rFonts w:ascii="Arial" w:cs="Arial" w:eastAsia="Arial" w:hAnsi="Arial"/>
          <w:sz w:val="22"/>
          <w:szCs w:val="22"/>
        </w:rPr>
        <w:t xml:space="preserve">borrower row carries </w:t>
      </w:r>
      <w:r>
        <w:rPr>
          <w:rFonts w:ascii="Consolas" w:cs="Consolas" w:eastAsia="Consolas" w:hAnsi="Consolas"/>
          <w:b w:val="false"/>
          <w:bCs w:val="false"/>
          <w:i w:val="false"/>
          <w:iCs w:val="false"/>
          <w:sz w:val="22"/>
          <w:szCs w:val="22"/>
        </w:rPr>
        <w:t xml:space="preserve">lgd_observed</w:t>
      </w:r>
      <w:r>
        <w:rPr>
          <w:rFonts w:ascii="Arial" w:cs="Arial" w:eastAsia="Arial" w:hAnsi="Arial"/>
          <w:sz w:val="22"/>
          <w:szCs w:val="22"/>
        </w:rPr>
        <w:t xml:space="preserve">. Used directly, </w:t>
      </w:r>
      <w:r>
        <w:rPr>
          <w:rFonts w:ascii="Consolas" w:cs="Consolas" w:eastAsia="Consolas" w:hAnsi="Consolas"/>
          <w:b w:val="false"/>
          <w:bCs w:val="false"/>
          <w:i w:val="false"/>
          <w:iCs w:val="false"/>
          <w:sz w:val="22"/>
          <w:szCs w:val="22"/>
        </w:rPr>
        <w:t xml:space="preserve">lgd_source</w:t>
      </w:r>
      <w:r>
        <w:rPr>
          <w:rFonts w:ascii="Arial" w:cs="Arial" w:eastAsia="Arial" w:hAnsi="Arial"/>
          <w:sz w:val="22"/>
          <w:szCs w:val="22"/>
        </w:rPr>
        <w:t xml:space="preserve"> = "observed". Use when you have a calibrated internal LGD model.</w:t>
      </w:r>
    </w:p>
    <w:p>
      <w:pPr>
        <w:pStyle w:val="ListParagraph"/>
        <w:numPr>
          <w:ilvl w:val="0"/>
          <w:numId w:val="2"/>
        </w:numPr>
        <w:spacing w:after="80"/>
      </w:pPr>
      <w:r>
        <w:rPr>
          <w:rFonts w:ascii="Arial" w:cs="Arial" w:eastAsia="Arial" w:hAnsi="Arial"/>
          <w:b/>
          <w:bCs/>
          <w:i w:val="false"/>
          <w:iCs w:val="false"/>
          <w:sz w:val="22"/>
          <w:szCs w:val="22"/>
        </w:rPr>
        <w:t xml:space="preserve">Component path — </w:t>
      </w:r>
      <w:r>
        <w:rPr>
          <w:rFonts w:ascii="Arial" w:cs="Arial" w:eastAsia="Arial" w:hAnsi="Arial"/>
          <w:sz w:val="22"/>
          <w:szCs w:val="22"/>
        </w:rPr>
        <w:t xml:space="preserve">borrower row carries any of the four component fields. Formula assembles LGD, missing components fill from defaults, </w:t>
      </w:r>
      <w:r>
        <w:rPr>
          <w:rFonts w:ascii="Consolas" w:cs="Consolas" w:eastAsia="Consolas" w:hAnsi="Consolas"/>
          <w:b w:val="false"/>
          <w:bCs w:val="false"/>
          <w:i w:val="false"/>
          <w:iCs w:val="false"/>
          <w:sz w:val="22"/>
          <w:szCs w:val="22"/>
        </w:rPr>
        <w:t xml:space="preserve">lgd_source</w:t>
      </w:r>
      <w:r>
        <w:rPr>
          <w:rFonts w:ascii="Arial" w:cs="Arial" w:eastAsia="Arial" w:hAnsi="Arial"/>
          <w:sz w:val="22"/>
          <w:szCs w:val="22"/>
        </w:rPr>
        <w:t xml:space="preserve"> = "computed_from_components".</w:t>
      </w:r>
    </w:p>
    <w:p>
      <w:pPr>
        <w:pStyle w:val="ListParagraph"/>
        <w:numPr>
          <w:ilvl w:val="0"/>
          <w:numId w:val="2"/>
        </w:numPr>
        <w:spacing w:after="80"/>
      </w:pPr>
      <w:r>
        <w:rPr>
          <w:rFonts w:ascii="Arial" w:cs="Arial" w:eastAsia="Arial" w:hAnsi="Arial"/>
          <w:b/>
          <w:bCs/>
          <w:i w:val="false"/>
          <w:iCs w:val="false"/>
          <w:sz w:val="22"/>
          <w:szCs w:val="22"/>
        </w:rPr>
        <w:t xml:space="preserve">Default path — </w:t>
      </w:r>
      <w:r>
        <w:rPr>
          <w:rFonts w:ascii="Arial" w:cs="Arial" w:eastAsia="Arial" w:hAnsi="Arial"/>
          <w:sz w:val="22"/>
          <w:szCs w:val="22"/>
        </w:rPr>
        <w:t xml:space="preserve">borrower row carries no LGD fields. Formula runs with asset-class defaults. </w:t>
      </w:r>
      <w:r>
        <w:rPr>
          <w:rFonts w:ascii="Consolas" w:cs="Consolas" w:eastAsia="Consolas" w:hAnsi="Consolas"/>
          <w:b w:val="false"/>
          <w:bCs w:val="false"/>
          <w:i w:val="false"/>
          <w:iCs w:val="false"/>
          <w:sz w:val="22"/>
          <w:szCs w:val="22"/>
        </w:rPr>
        <w:t xml:space="preserve">lgd_source</w:t>
      </w:r>
      <w:r>
        <w:rPr>
          <w:rFonts w:ascii="Arial" w:cs="Arial" w:eastAsia="Arial" w:hAnsi="Arial"/>
          <w:sz w:val="22"/>
          <w:szCs w:val="22"/>
        </w:rPr>
        <w:t xml:space="preserve"> = "asset_class_default". This is the v1.0-equivalent backwards-compatible path.</w:t>
      </w:r>
    </w:p>
    <w:p>
      <w:pPr>
        <w:spacing w:after="120"/>
      </w:pPr>
      <w:r>
        <w:rPr>
          <w:rFonts w:ascii="Arial" w:cs="Arial" w:eastAsia="Arial" w:hAnsi="Arial"/>
          <w:sz w:val="22"/>
          <w:szCs w:val="22"/>
        </w:rPr>
        <w:t xml:space="preserve">The CreditDecision returned by the agent exposes lgd_source and lgd_components so consumers can see why each LGD is what it is. 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Borrower loan_59781960 · residential_mortgage</w:t>
            </w:r>
          </w:p>
          <w:p>
            <w:pPr>
              <w:spacing w:after="0" w:line="280"/>
            </w:pPr>
            <w:r>
              <w:rPr>
                <w:rFonts w:ascii="Consolas" w:cs="Consolas" w:eastAsia="Consolas" w:hAnsi="Consolas"/>
                <w:color w:val="334155"/>
                <w:sz w:val="18"/>
                <w:szCs w:val="18"/>
              </w:rPr>
              <w:t xml:space="preserve">  LGD:              6.78%    (downturn 10.51%, source=computed_from_components)</w:t>
            </w:r>
          </w:p>
          <w:p>
            <w:pPr>
              <w:spacing w:after="0" w:line="280"/>
            </w:pPr>
            <w:r>
              <w:rPr>
                <w:rFonts w:ascii="Consolas" w:cs="Consolas" w:eastAsia="Consolas" w:hAnsi="Consolas"/>
                <w:color w:val="334155"/>
                <w:sz w:val="18"/>
                <w:szCs w:val="18"/>
              </w:rPr>
              <w:t xml:space="preserve">  components: collateral_recovery £200,000, unsecured_recovery £0,</w:t>
            </w:r>
          </w:p>
          <w:p>
            <w:pPr>
              <w:spacing w:after="0" w:line="280"/>
            </w:pPr>
            <w:r>
              <w:rPr>
                <w:rFonts w:ascii="Consolas" w:cs="Consolas" w:eastAsia="Consolas" w:hAnsi="Consolas"/>
                <w:color w:val="334155"/>
                <w:sz w:val="18"/>
                <w:szCs w:val="18"/>
              </w:rPr>
              <w:t xml:space="preserve">              recovery_costs £14,000, discount_factor 0.929,</w:t>
            </w:r>
          </w:p>
          <w:p>
            <w:pPr>
              <w:spacing w:after="0" w:line="280"/>
            </w:pPr>
            <w:r>
              <w:rPr>
                <w:rFonts w:ascii="Consolas" w:cs="Consolas" w:eastAsia="Consolas" w:hAnsi="Consolas"/>
                <w:color w:val="334155"/>
                <w:sz w:val="18"/>
                <w:szCs w:val="18"/>
              </w:rPr>
              <w:t xml:space="preserve">              cure_prob 0.50, lgd_workout 13.6%</w:t>
            </w:r>
          </w:p>
        </w:tc>
      </w:tr>
    </w:tbl>
    <w:p>
      <w:pPr>
        <w:spacing w:after="120"/>
      </w:pPr>
      <w:r>
        <w:rPr>
          <w:rFonts w:ascii="Arial" w:cs="Arial" w:eastAsia="Arial" w:hAnsi="Arial"/>
          <w:sz w:val="22"/>
          <w:szCs w:val="22"/>
        </w:rPr>
        <w:t xml:space="preserve">In this example the borrower's collateral covers EAD fully, so the workout LGD is only 13.6% — and the 50% cure probability halves it again to 6.8%. Compare with the asset-class default LGD of 14% to see the value of the per-loan inputs.</w:t>
      </w:r>
    </w:p>
    <w:p>
      <w:pPr>
        <w:pStyle w:val="Heading3"/>
        <w:spacing w:after="100" w:before="240"/>
      </w:pPr>
      <w:r>
        <w:rPr>
          <w:rFonts w:ascii="Arial" w:cs="Arial" w:eastAsia="Arial" w:hAnsi="Arial"/>
          <w:b/>
          <w:bCs/>
          <w:sz w:val="24"/>
          <w:szCs w:val="24"/>
        </w:rPr>
        <w:t xml:space="preserve">Backwards compatibility</w:t>
      </w:r>
    </w:p>
    <w:p>
      <w:pPr>
        <w:spacing w:after="120"/>
      </w:pPr>
      <w:r>
        <w:rPr>
          <w:rFonts w:ascii="Arial" w:cs="Arial" w:eastAsia="Arial" w:hAnsi="Arial"/>
          <w:sz w:val="22"/>
          <w:szCs w:val="22"/>
        </w:rPr>
        <w:t xml:space="preserve">Workflows that call the LGD suite with just an asset class continue to work unchanged. The Section 7 chart sample above renders with the v1.0 calibration. No notebook or script edits are required for users not adopting the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TIP  </w:t>
            </w:r>
            <w:r>
              <w:rPr>
                <w:rFonts w:ascii="Arial" w:cs="Arial" w:eastAsia="Arial" w:hAnsi="Arial"/>
                <w:sz w:val="22"/>
                <w:szCs w:val="22"/>
              </w:rPr>
              <w:t xml:space="preserve">When ingesting a real book, look at the IngestionResult.report for columns mapped to lgd_observed, collateral_value, cure_prob, recovery_costs, or time_to_resolution_months. The aliases recognised include property_value, security_value, workout_costs, cure_rate, ttr_months, and many others. If your column was mapped, the agent will use it automatically.</w:t>
            </w:r>
          </w:p>
        </w:tc>
      </w:tr>
    </w:tbl>
    <w:p>
      <w:pPr>
        <w:pStyle w:val="Heading1"/>
        <w:spacing w:after="200" w:before="360"/>
      </w:pPr>
      <w:r>
        <w:rPr>
          <w:rFonts w:ascii="Arial" w:cs="Arial" w:eastAsia="Arial" w:hAnsi="Arial"/>
          <w:b/>
          <w:bCs/>
          <w:color w:val="0F766E"/>
          <w:sz w:val="36"/>
          <w:szCs w:val="36"/>
        </w:rPr>
        <w:t xml:space="preserve">10. Notebook 04 — IFRS 9 SICR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Assigns every loan to IFRS 9 Stage 1 (performing), Stage 2 (significant increase in credit risk), or Stage 3 (credit-impaired) according to the IFRS 9 trigger hierarchy. Tracks portfolio-level migration through a six-quarter stress cycle and tests how sensitive the staging is to the SICR thresholds.</w:t>
            </w:r>
          </w:p>
        </w:tc>
      </w:tr>
    </w:tbl>
    <w:p>
      <w:pPr>
        <w:pStyle w:val="Heading3"/>
        <w:spacing w:after="100" w:before="240"/>
      </w:pPr>
      <w:r>
        <w:rPr>
          <w:rFonts w:ascii="Arial" w:cs="Arial" w:eastAsia="Arial" w:hAnsi="Arial"/>
          <w:b/>
          <w:bCs/>
          <w:sz w:val="24"/>
          <w:szCs w:val="24"/>
        </w:rPr>
        <w:t xml:space="preserve">How a loan gets staged</w:t>
      </w:r>
    </w:p>
    <w:p>
      <w:pPr>
        <w:pStyle w:val="ListParagraph"/>
        <w:numPr>
          <w:ilvl w:val="0"/>
          <w:numId w:val="2"/>
        </w:numPr>
        <w:spacing w:after="80"/>
      </w:pPr>
      <w:r>
        <w:rPr>
          <w:rFonts w:ascii="Arial" w:cs="Arial" w:eastAsia="Arial" w:hAnsi="Arial"/>
          <w:b/>
          <w:bCs/>
          <w:i w:val="false"/>
          <w:iCs w:val="false"/>
          <w:sz w:val="22"/>
          <w:szCs w:val="22"/>
        </w:rPr>
        <w:t xml:space="preserve">Stage 3 </w:t>
      </w:r>
      <w:r>
        <w:rPr>
          <w:rFonts w:ascii="Arial" w:cs="Arial" w:eastAsia="Arial" w:hAnsi="Arial"/>
          <w:sz w:val="22"/>
          <w:szCs w:val="22"/>
        </w:rPr>
        <w:t xml:space="preserve">— if 90+ days past due OR a default / credit-impaired flag is set.</w:t>
      </w:r>
    </w:p>
    <w:p>
      <w:pPr>
        <w:pStyle w:val="ListParagraph"/>
        <w:numPr>
          <w:ilvl w:val="0"/>
          <w:numId w:val="2"/>
        </w:numPr>
        <w:spacing w:after="80"/>
      </w:pPr>
      <w:r>
        <w:rPr>
          <w:rFonts w:ascii="Arial" w:cs="Arial" w:eastAsia="Arial" w:hAnsi="Arial"/>
          <w:b/>
          <w:bCs/>
          <w:i w:val="false"/>
          <w:iCs w:val="false"/>
          <w:sz w:val="22"/>
          <w:szCs w:val="22"/>
        </w:rPr>
        <w:t xml:space="preserve">Stage 2 </w:t>
      </w:r>
      <w:r>
        <w:rPr>
          <w:rFonts w:ascii="Arial" w:cs="Arial" w:eastAsia="Arial" w:hAnsi="Arial"/>
          <w:sz w:val="22"/>
          <w:szCs w:val="22"/>
        </w:rPr>
        <w:t xml:space="preserve">— if absolute PD increase exceeds the asset-class threshold (200 bps for SME unsecured, 100 bps for mortgages, etc.); or relative PD increase &gt; 100%; or 30+ days past due (IFRS 9 B5.5.19 backstop); or forbearance flag set.</w:t>
      </w:r>
    </w:p>
    <w:p>
      <w:pPr>
        <w:pStyle w:val="ListParagraph"/>
        <w:numPr>
          <w:ilvl w:val="0"/>
          <w:numId w:val="2"/>
        </w:numPr>
        <w:spacing w:after="80"/>
      </w:pPr>
      <w:r>
        <w:rPr>
          <w:rFonts w:ascii="Arial" w:cs="Arial" w:eastAsia="Arial" w:hAnsi="Arial"/>
          <w:b/>
          <w:bCs/>
          <w:i w:val="false"/>
          <w:iCs w:val="false"/>
          <w:sz w:val="22"/>
          <w:szCs w:val="22"/>
        </w:rPr>
        <w:t xml:space="preserve">Stage 1 </w:t>
      </w:r>
      <w:r>
        <w:rPr>
          <w:rFonts w:ascii="Arial" w:cs="Arial" w:eastAsia="Arial" w:hAnsi="Arial"/>
          <w:sz w:val="22"/>
          <w:szCs w:val="22"/>
        </w:rPr>
        <w:t xml:space="preserve">— none of the above.</w:t>
      </w:r>
    </w:p>
    <w:p>
      <w:pPr>
        <w:spacing w:after="120"/>
      </w:pPr>
      <w:r>
        <w:rPr>
          <w:rFonts w:ascii="Arial" w:cs="Arial" w:eastAsia="Arial" w:hAnsi="Arial"/>
          <w:sz w:val="22"/>
          <w:szCs w:val="22"/>
        </w:rPr>
        <w:t xml:space="preserve">Worked examples are printed at the top of the notebook so you can sanity-check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Scenario                            Stage  ΔPD abs    ΔPD rel   DPD  Triggers</w:t>
            </w:r>
          </w:p>
          <w:p>
            <w:pPr>
              <w:spacing w:after="0" w:line="280"/>
            </w:pPr>
            <w:r>
              <w:rPr>
                <w:rFonts w:ascii="Consolas" w:cs="Consolas" w:eastAsia="Consolas" w:hAnsi="Consolas"/>
                <w:color w:val="334155"/>
                <w:sz w:val="18"/>
                <w:szCs w:val="18"/>
              </w:rPr>
              <w:t xml:space="preserve">────────────────────────────────────────────────────────────────────────────────</w:t>
            </w:r>
          </w:p>
          <w:p>
            <w:pPr>
              <w:spacing w:after="0" w:line="280"/>
            </w:pPr>
            <w:r>
              <w:rPr>
                <w:rFonts w:ascii="Consolas" w:cs="Consolas" w:eastAsia="Consolas" w:hAnsi="Consolas"/>
                <w:color w:val="334155"/>
                <w:sz w:val="18"/>
                <w:szCs w:val="18"/>
              </w:rPr>
              <w:t xml:space="preserve">  Clean performing                 Stage 1   20.0bps      25.0%   0  none</w:t>
            </w:r>
          </w:p>
          <w:p>
            <w:pPr>
              <w:spacing w:after="0" w:line="280"/>
            </w:pPr>
            <w:r>
              <w:rPr>
                <w:rFonts w:ascii="Consolas" w:cs="Consolas" w:eastAsia="Consolas" w:hAnsi="Consolas"/>
                <w:color w:val="334155"/>
                <w:sz w:val="18"/>
                <w:szCs w:val="18"/>
              </w:rPr>
              <w:t xml:space="preserve">  Mild PD drift                    Stage 2  100.0bps     125.0%   0  rel_pd_125pct_gt_100pct</w:t>
            </w:r>
          </w:p>
          <w:p>
            <w:pPr>
              <w:spacing w:after="0" w:line="280"/>
            </w:pPr>
            <w:r>
              <w:rPr>
                <w:rFonts w:ascii="Consolas" w:cs="Consolas" w:eastAsia="Consolas" w:hAnsi="Consolas"/>
                <w:color w:val="334155"/>
                <w:sz w:val="18"/>
                <w:szCs w:val="18"/>
              </w:rPr>
              <w:t xml:space="preserve">  SICR — absolute trigger          Stage 2  270.0bps     337.5%   0  abs_pd_270bps_gt_200bps</w:t>
            </w:r>
          </w:p>
          <w:p>
            <w:pPr>
              <w:spacing w:after="0" w:line="280"/>
            </w:pPr>
            <w:r>
              <w:rPr>
                <w:rFonts w:ascii="Consolas" w:cs="Consolas" w:eastAsia="Consolas" w:hAnsi="Consolas"/>
                <w:color w:val="334155"/>
                <w:sz w:val="18"/>
                <w:szCs w:val="18"/>
              </w:rPr>
              <w:t xml:space="preserve">  30 DPD backstop                  Stage 2   80.0bps      62.5%  35  dpd_35_backstop</w:t>
            </w:r>
          </w:p>
          <w:p>
            <w:pPr>
              <w:spacing w:after="0" w:line="280"/>
            </w:pPr>
            <w:r>
              <w:rPr>
                <w:rFonts w:ascii="Consolas" w:cs="Consolas" w:eastAsia="Consolas" w:hAnsi="Consolas"/>
                <w:color w:val="334155"/>
                <w:sz w:val="18"/>
                <w:szCs w:val="18"/>
              </w:rPr>
              <w:t xml:space="preserve">  Forbearance granted              Stage 2   50.0bps      33.3%   0  forbearance_flag</w:t>
            </w:r>
          </w:p>
          <w:p>
            <w:pPr>
              <w:spacing w:after="0" w:line="280"/>
            </w:pPr>
            <w:r>
              <w:rPr>
                <w:rFonts w:ascii="Consolas" w:cs="Consolas" w:eastAsia="Consolas" w:hAnsi="Consolas"/>
                <w:color w:val="334155"/>
                <w:sz w:val="18"/>
                <w:szCs w:val="18"/>
              </w:rPr>
              <w:t xml:space="preserve">  Stage 3 — 90+ DPD                Stage 3  900.0bps    2250.0%  92  dpd_92_stage3</w:t>
            </w:r>
          </w:p>
        </w:tc>
      </w:tr>
    </w:tbl>
    <w:p>
      <w:pPr>
        <w:pStyle w:val="Heading3"/>
        <w:spacing w:after="100" w:before="240"/>
      </w:pPr>
      <w:r>
        <w:rPr>
          <w:rFonts w:ascii="Arial" w:cs="Arial" w:eastAsia="Arial" w:hAnsi="Arial"/>
          <w:b/>
          <w:bCs/>
          <w:sz w:val="24"/>
          <w:szCs w:val="24"/>
        </w:rPr>
        <w:t xml:space="preserve">Outputs from your real book</w:t>
      </w:r>
    </w:p>
    <w:p>
      <w:pPr>
        <w:pStyle w:val="ListParagraph"/>
        <w:numPr>
          <w:ilvl w:val="0"/>
          <w:numId w:val="2"/>
        </w:numPr>
        <w:spacing w:after="80"/>
      </w:pPr>
      <w:r>
        <w:rPr>
          <w:rFonts w:ascii="Arial" w:cs="Arial" w:eastAsia="Arial" w:hAnsi="Arial"/>
          <w:b/>
          <w:bCs/>
          <w:i w:val="false"/>
          <w:iCs w:val="false"/>
          <w:sz w:val="22"/>
          <w:szCs w:val="22"/>
        </w:rPr>
        <w:t xml:space="preserve">Initial stage distribution </w:t>
      </w:r>
      <w:r>
        <w:rPr>
          <w:rFonts w:ascii="Arial" w:cs="Arial" w:eastAsia="Arial" w:hAnsi="Arial"/>
          <w:sz w:val="22"/>
          <w:szCs w:val="22"/>
        </w:rPr>
        <w:t xml:space="preserve">— a donut chart showing the % of your book in each stage.</w:t>
      </w:r>
    </w:p>
    <w:p>
      <w:pPr>
        <w:pStyle w:val="ListParagraph"/>
        <w:numPr>
          <w:ilvl w:val="0"/>
          <w:numId w:val="2"/>
        </w:numPr>
        <w:spacing w:after="80"/>
      </w:pPr>
      <w:r>
        <w:rPr>
          <w:rFonts w:ascii="Arial" w:cs="Arial" w:eastAsia="Arial" w:hAnsi="Arial"/>
          <w:b/>
          <w:bCs/>
          <w:i w:val="false"/>
          <w:iCs w:val="false"/>
          <w:sz w:val="22"/>
          <w:szCs w:val="22"/>
        </w:rPr>
        <w:t xml:space="preserve">Stage migration through stress </w:t>
      </w:r>
      <w:r>
        <w:rPr>
          <w:rFonts w:ascii="Arial" w:cs="Arial" w:eastAsia="Arial" w:hAnsi="Arial"/>
          <w:sz w:val="22"/>
          <w:szCs w:val="22"/>
        </w:rPr>
        <w:t xml:space="preserve">— a stacked area chart showing how stages migrate as PD scalars rise from 1.0× (Q1 base) to 2.2× (Q4 peak) and back.</w:t>
      </w:r>
    </w:p>
    <w:p>
      <w:pPr>
        <w:pStyle w:val="ListParagraph"/>
        <w:numPr>
          <w:ilvl w:val="0"/>
          <w:numId w:val="2"/>
        </w:numPr>
        <w:spacing w:after="80"/>
      </w:pPr>
      <w:r>
        <w:rPr>
          <w:rFonts w:ascii="Arial" w:cs="Arial" w:eastAsia="Arial" w:hAnsi="Arial"/>
          <w:b/>
          <w:bCs/>
          <w:i w:val="false"/>
          <w:iCs w:val="false"/>
          <w:sz w:val="22"/>
          <w:szCs w:val="22"/>
        </w:rPr>
        <w:t xml:space="preserve">PD distribution by stage </w:t>
      </w:r>
      <w:r>
        <w:rPr>
          <w:rFonts w:ascii="Arial" w:cs="Arial" w:eastAsia="Arial" w:hAnsi="Arial"/>
          <w:sz w:val="22"/>
          <w:szCs w:val="22"/>
        </w:rPr>
        <w:t xml:space="preserve">— overlaid histograms confirming the staging is monotone in PD.</w:t>
      </w:r>
    </w:p>
    <w:p>
      <w:pPr>
        <w:pStyle w:val="ListParagraph"/>
        <w:numPr>
          <w:ilvl w:val="0"/>
          <w:numId w:val="2"/>
        </w:numPr>
        <w:spacing w:after="80"/>
      </w:pPr>
      <w:r>
        <w:rPr>
          <w:rFonts w:ascii="Arial" w:cs="Arial" w:eastAsia="Arial" w:hAnsi="Arial"/>
          <w:b/>
          <w:bCs/>
          <w:i w:val="false"/>
          <w:iCs w:val="false"/>
          <w:sz w:val="22"/>
          <w:szCs w:val="22"/>
        </w:rPr>
        <w:t xml:space="preserve">Threshold sensitivity </w:t>
      </w:r>
      <w:r>
        <w:rPr>
          <w:rFonts w:ascii="Arial" w:cs="Arial" w:eastAsia="Arial" w:hAnsi="Arial"/>
          <w:sz w:val="22"/>
          <w:szCs w:val="22"/>
        </w:rPr>
        <w:t xml:space="preserve">— the % of book in Stage 2 as a function of the absolute PD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NOTE  </w:t>
            </w:r>
            <w:r>
              <w:rPr>
                <w:rFonts w:ascii="Arial" w:cs="Arial" w:eastAsia="Arial" w:hAnsi="Arial"/>
                <w:sz w:val="22"/>
                <w:szCs w:val="22"/>
              </w:rPr>
              <w:t xml:space="preserve">BetaCredit derives current PD from bureau score and cashflow coverage when running on real data — these are proxies, not calibrated PDs. If your file already has a real pd_orig and pd_curr column, the SICR staging is more accurate; otherwise treat the absolute stage counts as indicative and the relative migration as the more reliable signal.</w:t>
            </w:r>
          </w:p>
        </w:tc>
      </w:tr>
    </w:tbl>
    <w:p>
      <w:pPr>
        <w:pStyle w:val="Heading1"/>
        <w:spacing w:after="200" w:before="360"/>
      </w:pPr>
      <w:r>
        <w:rPr>
          <w:rFonts w:ascii="Arial" w:cs="Arial" w:eastAsia="Arial" w:hAnsi="Arial"/>
          <w:b/>
          <w:bCs/>
          <w:color w:val="0F766E"/>
          <w:sz w:val="36"/>
          <w:szCs w:val="36"/>
        </w:rPr>
        <w:t xml:space="preserve">11. Notebook 05 — Fairness and Responsible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Runs the standard fairness diagnostics — disparate impact, equal opportunity, predictive parity — across protected groups (gender, age band, region). Required reading for FCA Consumer Duty model risk reviews and any internal "responsible AI" pack. Surfaces approval-rate gaps, false-negative-rate gaps, and predicted-PD distribution differences between groups.</w:t>
            </w:r>
          </w:p>
        </w:tc>
      </w:tr>
    </w:tbl>
    <w:p>
      <w:pPr>
        <w:pStyle w:val="Heading3"/>
        <w:spacing w:after="100" w:before="240"/>
      </w:pPr>
      <w:r>
        <w:rPr>
          <w:rFonts w:ascii="Arial" w:cs="Arial" w:eastAsia="Arial" w:hAnsi="Arial"/>
          <w:b/>
          <w:bCs/>
          <w:sz w:val="24"/>
          <w:szCs w:val="24"/>
        </w:rPr>
        <w:t xml:space="preserve">What 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Test</w:t>
            </w:r>
          </w:p>
        </w:tc>
        <w:tc>
          <w:tcPr>
            <w:tcW w:type="dxa" w:w="7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Question it asks</w:t>
            </w:r>
          </w:p>
        </w:tc>
      </w:tr>
      <w:tr>
        <w:trPr>
          <w:cantSplit/>
        </w:trP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Disparate impact</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Are approval rates similar across protected groups? (FCA "fair access" lens.)</w:t>
            </w:r>
          </w:p>
        </w:tc>
      </w:tr>
      <w:tr>
        <w:trPr>
          <w:cantSplit/>
        </w:trP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Equal opportunity</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Among borrowers who do not default, are rejection rates similar across groups?</w:t>
            </w:r>
          </w:p>
        </w:tc>
      </w:tr>
      <w:tr>
        <w:trPr>
          <w:cantSplit/>
        </w:trP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Predictive parity</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When the model says "this borrower is high risk", is it equally accurate across groups?</w:t>
            </w:r>
          </w:p>
        </w:tc>
      </w:tr>
      <w:tr>
        <w:trPr>
          <w:cantSplit/>
        </w:trP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Calibration by group</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Is the predicted-vs-observed default rate well-calibrated within each group?</w:t>
            </w:r>
          </w:p>
        </w:tc>
      </w:tr>
    </w:tbl>
    <w:p>
      <w:pPr>
        <w:spacing w:after="100"/>
      </w:pPr>
      <w:r>
        <w:t xml:space="preserve"/>
      </w:r>
    </w:p>
    <w:p>
      <w:pPr>
        <w:pStyle w:val="Heading3"/>
        <w:spacing w:after="100" w:before="240"/>
      </w:pPr>
      <w:r>
        <w:rPr>
          <w:rFonts w:ascii="Arial" w:cs="Arial" w:eastAsia="Arial" w:hAnsi="Arial"/>
          <w:b/>
          <w:bCs/>
          <w:sz w:val="24"/>
          <w:szCs w:val="24"/>
        </w:rPr>
        <w:t xml:space="preserve">Outputs</w:t>
      </w:r>
    </w:p>
    <w:p>
      <w:pPr>
        <w:pStyle w:val="ListParagraph"/>
        <w:numPr>
          <w:ilvl w:val="0"/>
          <w:numId w:val="2"/>
        </w:numPr>
        <w:spacing w:after="80"/>
      </w:pPr>
      <w:r>
        <w:rPr>
          <w:rFonts w:ascii="Arial" w:cs="Arial" w:eastAsia="Arial" w:hAnsi="Arial"/>
          <w:b/>
          <w:bCs/>
          <w:i w:val="false"/>
          <w:iCs w:val="false"/>
          <w:sz w:val="22"/>
          <w:szCs w:val="22"/>
        </w:rPr>
        <w:t xml:space="preserve">Confusion matrices by group </w:t>
      </w:r>
      <w:r>
        <w:rPr>
          <w:rFonts w:ascii="Arial" w:cs="Arial" w:eastAsia="Arial" w:hAnsi="Arial"/>
          <w:sz w:val="22"/>
          <w:szCs w:val="22"/>
        </w:rPr>
        <w:t xml:space="preserve">— side-by-side for each protected attribute.</w:t>
      </w:r>
    </w:p>
    <w:p>
      <w:pPr>
        <w:pStyle w:val="ListParagraph"/>
        <w:numPr>
          <w:ilvl w:val="0"/>
          <w:numId w:val="2"/>
        </w:numPr>
        <w:spacing w:after="80"/>
      </w:pPr>
      <w:r>
        <w:rPr>
          <w:rFonts w:ascii="Arial" w:cs="Arial" w:eastAsia="Arial" w:hAnsi="Arial"/>
          <w:b/>
          <w:bCs/>
          <w:i w:val="false"/>
          <w:iCs w:val="false"/>
          <w:sz w:val="22"/>
          <w:szCs w:val="22"/>
        </w:rPr>
        <w:t xml:space="preserve">Approval-rate gaps </w:t>
      </w:r>
      <w:r>
        <w:rPr>
          <w:rFonts w:ascii="Arial" w:cs="Arial" w:eastAsia="Arial" w:hAnsi="Arial"/>
          <w:sz w:val="22"/>
          <w:szCs w:val="22"/>
        </w:rPr>
        <w:t xml:space="preserve">— bar charts of approval rate by group at the model's default threshold and at three counterfactual thresholds.</w:t>
      </w:r>
    </w:p>
    <w:p>
      <w:pPr>
        <w:pStyle w:val="ListParagraph"/>
        <w:numPr>
          <w:ilvl w:val="0"/>
          <w:numId w:val="2"/>
        </w:numPr>
        <w:spacing w:after="80"/>
      </w:pPr>
      <w:r>
        <w:rPr>
          <w:rFonts w:ascii="Arial" w:cs="Arial" w:eastAsia="Arial" w:hAnsi="Arial"/>
          <w:b/>
          <w:bCs/>
          <w:i w:val="false"/>
          <w:iCs w:val="false"/>
          <w:sz w:val="22"/>
          <w:szCs w:val="22"/>
        </w:rPr>
        <w:t xml:space="preserve">Reject-inference traceability </w:t>
      </w:r>
      <w:r>
        <w:rPr>
          <w:rFonts w:ascii="Arial" w:cs="Arial" w:eastAsia="Arial" w:hAnsi="Arial"/>
          <w:sz w:val="22"/>
          <w:szCs w:val="22"/>
        </w:rPr>
        <w:t xml:space="preserve">— the fairness lens specifically for the population that would be rejected.</w:t>
      </w:r>
    </w:p>
    <w:p>
      <w:pPr>
        <w:pStyle w:val="ListParagraph"/>
        <w:numPr>
          <w:ilvl w:val="0"/>
          <w:numId w:val="2"/>
        </w:numPr>
        <w:spacing w:after="80"/>
      </w:pPr>
      <w:r>
        <w:rPr>
          <w:rFonts w:ascii="Arial" w:cs="Arial" w:eastAsia="Arial" w:hAnsi="Arial"/>
          <w:b/>
          <w:bCs/>
          <w:i w:val="false"/>
          <w:iCs w:val="false"/>
          <w:sz w:val="22"/>
          <w:szCs w:val="22"/>
        </w:rPr>
        <w:t xml:space="preserve">Group-level calibration plots </w:t>
      </w:r>
      <w:r>
        <w:rPr>
          <w:rFonts w:ascii="Arial" w:cs="Arial" w:eastAsia="Arial" w:hAnsi="Arial"/>
          <w:sz w:val="22"/>
          <w:szCs w:val="22"/>
        </w:rPr>
        <w:t xml:space="preserve">— per-group calibration; misalignment between groups is the strongest single signal of unfair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WARNING  </w:t>
            </w:r>
            <w:r>
              <w:rPr>
                <w:rFonts w:ascii="Arial" w:cs="Arial" w:eastAsia="Arial" w:hAnsi="Arial"/>
                <w:sz w:val="22"/>
                <w:szCs w:val="22"/>
              </w:rPr>
              <w:t xml:space="preserve">Fairness analyses are only meaningful when the protected attributes are accurately recorded in your file. If your customer extract synthesises gender or region defaults, notebook 05 will report fairness on those defaults rather than on real demographics. Always check the IngestionResult.report for "filled with defaults" entries against gender, age_band, and region before running 05.</w:t>
            </w:r>
          </w:p>
        </w:tc>
      </w:tr>
    </w:tbl>
    <w:p>
      <w:pPr>
        <w:pStyle w:val="Heading1"/>
        <w:spacing w:after="200" w:before="360"/>
      </w:pPr>
      <w:r>
        <w:rPr>
          <w:rFonts w:ascii="Arial" w:cs="Arial" w:eastAsia="Arial" w:hAnsi="Arial"/>
          <w:b/>
          <w:bCs/>
          <w:color w:val="0F766E"/>
          <w:sz w:val="36"/>
          <w:szCs w:val="36"/>
        </w:rPr>
        <w:t xml:space="preserve">12. Notebook 06 — Outcome-driven re-weighting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A Bayesian reinforcement-learning agent that watches loan outcomes (repaid / early settlement / forbearance / default / write-off) and adjusts the importance weights of features in the PD model accordingly. Comes with an FCA SS1/23-compliant governance gate that holds large weight shifts for review. Think of it as continuous model calibration, with audit trail.</w:t>
            </w:r>
          </w:p>
        </w:tc>
      </w:tr>
    </w:tbl>
    <w:p>
      <w:pPr>
        <w:pStyle w:val="Heading3"/>
        <w:spacing w:after="100" w:before="240"/>
      </w:pPr>
      <w:r>
        <w:rPr>
          <w:rFonts w:ascii="Arial" w:cs="Arial" w:eastAsia="Arial" w:hAnsi="Arial"/>
          <w:b/>
          <w:bCs/>
          <w:sz w:val="24"/>
          <w:szCs w:val="24"/>
        </w:rPr>
        <w:t xml:space="preserve">How it works</w:t>
      </w:r>
    </w:p>
    <w:p>
      <w:pPr>
        <w:spacing w:after="120"/>
      </w:pPr>
      <w:r>
        <w:rPr>
          <w:rFonts w:ascii="Arial" w:cs="Arial" w:eastAsia="Arial" w:hAnsi="Arial"/>
          <w:sz w:val="22"/>
          <w:szCs w:val="22"/>
        </w:rPr>
        <w:t xml:space="preserve">Each observed outcome carries a reward signal between -1 and +1 — a fully-repaid loan rewards the features that flagged it as low-risk; a Stage 3 default penalises the features that said it was safe. The agent maintains a posterior distribution (mean μ and standard deviation σ) over each feature's weight per asset class, starting from a prior of μ=1.0, σ=0.15.</w:t>
      </w:r>
    </w:p>
    <w:p>
      <w:pPr>
        <w:pStyle w:val="Heading3"/>
        <w:spacing w:after="100" w:before="240"/>
      </w:pPr>
      <w:r>
        <w:rPr>
          <w:rFonts w:ascii="Arial" w:cs="Arial" w:eastAsia="Arial" w:hAnsi="Arial"/>
          <w:b/>
          <w:bCs/>
          <w:sz w:val="24"/>
          <w:szCs w:val="24"/>
        </w:rPr>
        <w:t xml:space="preserve">The governance gate</w:t>
      </w:r>
    </w:p>
    <w:p>
      <w:pPr>
        <w:pStyle w:val="ListParagraph"/>
        <w:numPr>
          <w:ilvl w:val="0"/>
          <w:numId w:val="2"/>
        </w:numPr>
        <w:spacing w:after="80"/>
      </w:pPr>
      <w:r>
        <w:rPr>
          <w:rFonts w:ascii="Arial" w:cs="Arial" w:eastAsia="Arial" w:hAnsi="Arial"/>
          <w:b/>
          <w:bCs/>
          <w:i w:val="false"/>
          <w:iCs w:val="false"/>
          <w:sz w:val="22"/>
          <w:szCs w:val="22"/>
        </w:rPr>
        <w:t xml:space="preserve">Auto-approved </w:t>
      </w:r>
      <w:r>
        <w:rPr>
          <w:rFonts w:ascii="Arial" w:cs="Arial" w:eastAsia="Arial" w:hAnsi="Arial"/>
          <w:sz w:val="22"/>
          <w:szCs w:val="22"/>
        </w:rPr>
        <w:t xml:space="preserve">— small shifts (under the per-asset-class review gate, typically 8–15%) flow through automatically.</w:t>
      </w:r>
    </w:p>
    <w:p>
      <w:pPr>
        <w:pStyle w:val="ListParagraph"/>
        <w:numPr>
          <w:ilvl w:val="0"/>
          <w:numId w:val="2"/>
        </w:numPr>
        <w:spacing w:after="80"/>
      </w:pPr>
      <w:r>
        <w:rPr>
          <w:rFonts w:ascii="Arial" w:cs="Arial" w:eastAsia="Arial" w:hAnsi="Arial"/>
          <w:b/>
          <w:bCs/>
          <w:i w:val="false"/>
          <w:iCs w:val="false"/>
          <w:sz w:val="22"/>
          <w:szCs w:val="22"/>
        </w:rPr>
        <w:t xml:space="preserve">Held for review </w:t>
      </w:r>
      <w:r>
        <w:rPr>
          <w:rFonts w:ascii="Arial" w:cs="Arial" w:eastAsia="Arial" w:hAnsi="Arial"/>
          <w:sz w:val="22"/>
          <w:szCs w:val="22"/>
        </w:rPr>
        <w:t xml:space="preserve">— shifts above the review gate but below the hard ceiling are flagged for manual sign-off by a model risk officer.</w:t>
      </w:r>
    </w:p>
    <w:p>
      <w:pPr>
        <w:pStyle w:val="ListParagraph"/>
        <w:numPr>
          <w:ilvl w:val="0"/>
          <w:numId w:val="2"/>
        </w:numPr>
        <w:spacing w:after="80"/>
      </w:pPr>
      <w:r>
        <w:rPr>
          <w:rFonts w:ascii="Arial" w:cs="Arial" w:eastAsia="Arial" w:hAnsi="Arial"/>
          <w:b/>
          <w:bCs/>
          <w:i w:val="false"/>
          <w:iCs w:val="false"/>
          <w:sz w:val="22"/>
          <w:szCs w:val="22"/>
        </w:rPr>
        <w:t xml:space="preserve">Auto-rejected </w:t>
      </w:r>
      <w:r>
        <w:rPr>
          <w:rFonts w:ascii="Arial" w:cs="Arial" w:eastAsia="Arial" w:hAnsi="Arial"/>
          <w:sz w:val="22"/>
          <w:szCs w:val="22"/>
        </w:rPr>
        <w:t xml:space="preserve">— shifts above the hard ceiling (typically 15–30% per asset class) are blocked entirely.</w:t>
      </w:r>
    </w:p>
    <w:p>
      <w:pPr>
        <w:spacing w:after="120"/>
      </w:pPr>
      <w:r>
        <w:rPr>
          <w:rFonts w:ascii="Arial" w:cs="Arial" w:eastAsia="Arial" w:hAnsi="Arial"/>
          <w:sz w:val="22"/>
          <w:szCs w:val="22"/>
        </w:rPr>
        <w:t xml:space="preserve">The thresholds are set per asset class — mortgages have the tightest gates because a small weight change in a high-LTV mortgage portfolio can move ECL substantially.</w:t>
      </w:r>
    </w:p>
    <w:p>
      <w:r>
        <w:br w:type="page"/>
      </w:r>
    </w:p>
    <w:p>
      <w:pPr>
        <w:pStyle w:val="Heading1"/>
        <w:spacing w:after="200" w:before="360"/>
      </w:pPr>
      <w:r>
        <w:rPr>
          <w:rFonts w:ascii="Arial" w:cs="Arial" w:eastAsia="Arial" w:hAnsi="Arial"/>
          <w:b/>
          <w:bCs/>
          <w:color w:val="0F766E"/>
          <w:sz w:val="36"/>
          <w:szCs w:val="36"/>
        </w:rPr>
        <w:t xml:space="preserve">13. Notebook 07 — Portfolio ECL and Basel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The capstone notebook. Scores every loan in your book with PD, LGD, and EAD models, computes 12-month and lifetime expected credit loss under four stress scenarios (Base / Adverse / Severe / Extreme), reports IFRS 9 stage allocation, and totals risk-weighted assets per Basel IV. In v1.2, it auto-loads pd_models.pkl when it exists, so the ECL and RWA figures reflect your retrained PD model rather than the benchmark calibration.</w:t>
            </w:r>
          </w:p>
        </w:tc>
      </w:tr>
    </w:tbl>
    <w:p>
      <w:pPr>
        <w:pStyle w:val="Heading3"/>
        <w:spacing w:after="100" w:before="240"/>
      </w:pPr>
      <w:r>
        <w:rPr>
          <w:rFonts w:ascii="Arial" w:cs="Arial" w:eastAsia="Arial" w:hAnsi="Arial"/>
          <w:b/>
          <w:bCs/>
          <w:sz w:val="24"/>
          <w:szCs w:val="24"/>
        </w:rPr>
        <w:t xml:space="preserve">Per-loan scoring</w:t>
      </w:r>
    </w:p>
    <w:p>
      <w:pPr>
        <w:spacing w:after="120"/>
      </w:pPr>
      <w:r>
        <w:rPr>
          <w:rFonts w:ascii="Arial" w:cs="Arial" w:eastAsia="Arial" w:hAnsi="Arial"/>
          <w:sz w:val="22"/>
          <w:szCs w:val="22"/>
        </w:rPr>
        <w:t xml:space="preserve">For each loan in df_all.parquet, the notebook computes pd_pit_1y, pd_ttc_1y, pd_pit_3y, pd_floored, capital_pd, lgd_be, lgd_dt, ead, risk_band, and stage. From these the four canonical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ecl_12m    = pd_floored × lgd_be × ead    (12-month ECL)</w:t>
            </w:r>
          </w:p>
          <w:p>
            <w:pPr>
              <w:spacing w:after="0" w:line="280"/>
            </w:pPr>
            <w:r>
              <w:rPr>
                <w:rFonts w:ascii="Consolas" w:cs="Consolas" w:eastAsia="Consolas" w:hAnsi="Consolas"/>
                <w:sz w:val="18"/>
                <w:szCs w:val="18"/>
              </w:rPr>
              <w:t xml:space="preserve">ecl_life   = pd_pit_3y  × lgd_be × ead    (lifetime ECL)</w:t>
            </w:r>
          </w:p>
          <w:p>
            <w:pPr>
              <w:spacing w:after="0" w:line="280"/>
            </w:pPr>
            <w:r>
              <w:rPr>
                <w:rFonts w:ascii="Consolas" w:cs="Consolas" w:eastAsia="Consolas" w:hAnsi="Consolas"/>
                <w:sz w:val="18"/>
                <w:szCs w:val="18"/>
              </w:rPr>
              <w:t xml:space="preserve">ecl_stress = pd_pit_3y  × lgd_dt × ead    (downturn lifetime ECL)</w:t>
            </w:r>
          </w:p>
          <w:p>
            <w:pPr>
              <w:spacing w:after="0" w:line="280"/>
            </w:pPr>
            <w:r>
              <w:rPr>
                <w:rFonts w:ascii="Consolas" w:cs="Consolas" w:eastAsia="Consolas" w:hAnsi="Consolas"/>
                <w:sz w:val="18"/>
                <w:szCs w:val="18"/>
              </w:rPr>
              <w:t xml:space="preserve">rwa        = capital_pd × lgd_dt × ead × 12.5  (Basel IV RWA)</w:t>
            </w:r>
          </w:p>
        </w:tc>
      </w:tr>
    </w:tbl>
    <w:p>
      <w:pPr>
        <w:pStyle w:val="Heading3"/>
        <w:spacing w:after="100" w:before="240"/>
      </w:pPr>
      <w:r>
        <w:rPr>
          <w:rFonts w:ascii="Arial" w:cs="Arial" w:eastAsia="Arial" w:hAnsi="Arial"/>
          <w:b/>
          <w:bCs/>
          <w:sz w:val="24"/>
          <w:szCs w:val="24"/>
        </w:rPr>
        <w:t xml:space="preserve">Stress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Scenario</w:t>
            </w:r>
          </w:p>
        </w:tc>
        <w:tc>
          <w:tcPr>
            <w:tcW w:type="dxa" w:w="31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PD multiplier</w:t>
            </w:r>
          </w:p>
        </w:tc>
        <w:tc>
          <w:tcPr>
            <w:tcW w:type="dxa" w:w="31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LGD multiplier</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Base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Adverse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1.50×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1.15×</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Severe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2.50×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1.35×</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Extreme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4.00×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1.35×</w:t>
            </w:r>
          </w:p>
        </w:tc>
      </w:tr>
    </w:tbl>
    <w:p>
      <w:pPr>
        <w:spacing w:after="100"/>
      </w:pPr>
      <w:r>
        <w:t xml:space="preserve"/>
      </w:r>
    </w:p>
    <w:p>
      <w:pPr>
        <w:spacing w:after="120"/>
      </w:pPr>
      <w:r>
        <w:rPr>
          <w:rFonts w:ascii="Arial" w:cs="Arial" w:eastAsia="Arial" w:hAnsi="Arial"/>
          <w:sz w:val="22"/>
          <w:szCs w:val="22"/>
        </w:rPr>
        <w:t xml:space="preserve">A typical run on the example portfolio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[Beta] Using INGESTED data from df_all.parquet: 1,746 borrowers.</w:t>
            </w:r>
          </w:p>
          <w:p>
            <w:pPr>
              <w:spacing w:after="0" w:line="280"/>
            </w:pPr>
            <w:r>
              <w:rPr>
                <w:rFonts w:ascii="Consolas" w:cs="Consolas" w:eastAsia="Consolas" w:hAnsi="Consolas"/>
                <w:color w:val="334155"/>
                <w:sz w:val="18"/>
                <w:szCs w:val="18"/>
              </w:rPr>
              <w:t xml:space="preserve">Scoring 1,746 loans... done.</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Scenario          ECL 12M    Lifetime ECL    S2%     S3%</w:t>
            </w:r>
          </w:p>
          <w:p>
            <w:pPr>
              <w:spacing w:after="0" w:line="280"/>
            </w:pPr>
            <w:r>
              <w:rPr>
                <w:rFonts w:ascii="Consolas" w:cs="Consolas" w:eastAsia="Consolas" w:hAnsi="Consolas"/>
                <w:color w:val="334155"/>
                <w:sz w:val="18"/>
                <w:szCs w:val="18"/>
              </w:rPr>
              <w:t xml:space="preserve">────────────────────────────────────────────────────────────</w:t>
            </w:r>
          </w:p>
          <w:p>
            <w:pPr>
              <w:spacing w:after="0" w:line="280"/>
            </w:pPr>
            <w:r>
              <w:rPr>
                <w:rFonts w:ascii="Consolas" w:cs="Consolas" w:eastAsia="Consolas" w:hAnsi="Consolas"/>
                <w:color w:val="334155"/>
                <w:sz w:val="18"/>
                <w:szCs w:val="18"/>
              </w:rPr>
              <w:t xml:space="preserve">  Base          £   6,937k  £     16,867k   27.4%    1.6%</w:t>
            </w:r>
          </w:p>
          <w:p>
            <w:pPr>
              <w:spacing w:after="0" w:line="280"/>
            </w:pPr>
            <w:r>
              <w:rPr>
                <w:rFonts w:ascii="Consolas" w:cs="Consolas" w:eastAsia="Consolas" w:hAnsi="Consolas"/>
                <w:color w:val="334155"/>
                <w:sz w:val="18"/>
                <w:szCs w:val="18"/>
              </w:rPr>
              <w:t xml:space="preserve">  Adverse       £  11,965k  £     29,096k   98.4%    1.6%</w:t>
            </w:r>
          </w:p>
          <w:p>
            <w:pPr>
              <w:spacing w:after="0" w:line="280"/>
            </w:pPr>
            <w:r>
              <w:rPr>
                <w:rFonts w:ascii="Consolas" w:cs="Consolas" w:eastAsia="Consolas" w:hAnsi="Consolas"/>
                <w:color w:val="334155"/>
                <w:sz w:val="18"/>
                <w:szCs w:val="18"/>
              </w:rPr>
              <w:t xml:space="preserve">  Severe        £  23,497k  £     56,925k  100.0%    1.6%</w:t>
            </w:r>
          </w:p>
          <w:p>
            <w:pPr>
              <w:spacing w:after="0" w:line="280"/>
            </w:pPr>
            <w:r>
              <w:rPr>
                <w:rFonts w:ascii="Consolas" w:cs="Consolas" w:eastAsia="Consolas" w:hAnsi="Consolas"/>
                <w:color w:val="334155"/>
                <w:sz w:val="18"/>
                <w:szCs w:val="18"/>
              </w:rPr>
              <w:t xml:space="preserve">  Extreme       £  37,608k  £     91,094k  100.0%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WARNING  </w:t>
            </w:r>
            <w:r>
              <w:rPr>
                <w:rFonts w:ascii="Arial" w:cs="Arial" w:eastAsia="Arial" w:hAnsi="Arial"/>
                <w:sz w:val="22"/>
                <w:szCs w:val="22"/>
              </w:rPr>
              <w:t xml:space="preserve">When pd_models.pkl is present, notebook 07 uses your retrained PD model and the resulting ECL/RWA figures reflect your book. When it is absent, the figures use BetaCredit's benchmark calibration and are illustrative only. The CreditDecisionAgent.pd_provenance property tells you which mode is in effect — surface it in any reporting alongside the headline numbers.</w:t>
            </w:r>
          </w:p>
        </w:tc>
      </w:tr>
    </w:tbl>
    <w:p>
      <w:r>
        <w:br w:type="page"/>
      </w:r>
    </w:p>
    <w:p>
      <w:pPr>
        <w:pStyle w:val="Heading1"/>
        <w:spacing w:after="200" w:before="360"/>
      </w:pPr>
      <w:r>
        <w:rPr>
          <w:rFonts w:ascii="Arial" w:cs="Arial" w:eastAsia="Arial" w:hAnsi="Arial"/>
          <w:b/>
          <w:bCs/>
          <w:color w:val="0F766E"/>
          <w:sz w:val="36"/>
          <w:szCs w:val="36"/>
        </w:rPr>
        <w:t xml:space="preserve">14. Back-testing the decision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New in v1.2. The CreditDecisionAgent's .backtest(df) method scores every loan in a labelled DataFrame and compares its APPROVE / REVIEW / DECLINE recommendations against the realised defaults. Output is a confusion matrix, precision/recall/FPR/FNR of the DECLINE policy, AUC and Gini, profit at policy under user-supplied unit economics, a threshold sweep from -50% to +50%, and cohort breakdowns by vintage and asset class. Plus a quality-warning system that flags overfit, polarity errors, and AUC barely above random.</w:t>
            </w:r>
          </w:p>
        </w:tc>
      </w:tr>
    </w:tbl>
    <w:p>
      <w:pPr>
        <w:pStyle w:val="Heading3"/>
        <w:spacing w:after="100" w:before="240"/>
      </w:pPr>
      <w:r>
        <w:rPr>
          <w:rFonts w:ascii="Arial" w:cs="Arial" w:eastAsia="Arial" w:hAnsi="Arial"/>
          <w:b/>
          <w:bCs/>
          <w:sz w:val="24"/>
          <w:szCs w:val="24"/>
        </w:rPr>
        <w:t xml:space="preserve">Why this matters</w:t>
      </w:r>
    </w:p>
    <w:p>
      <w:pPr>
        <w:spacing w:after="120"/>
      </w:pPr>
      <w:r>
        <w:rPr>
          <w:rFonts w:ascii="Arial" w:cs="Arial" w:eastAsia="Arial" w:hAnsi="Arial"/>
          <w:sz w:val="22"/>
          <w:szCs w:val="22"/>
        </w:rPr>
        <w:t xml:space="preserve">Until v1.2, the decision agent could tell you "this loan should be APPROVED" but you had no way to ask "are these APPROVE decisions actually any good?". The back-tester answers exactly that question. Given a book with default outcomes, it computes how many of the agent's declines were genuine defaulters (precision), how many of the actual defaulters got declined (recall), and what the policy is worth in pounds.</w:t>
      </w:r>
    </w:p>
    <w:p>
      <w:pPr>
        <w:pStyle w:val="Heading3"/>
        <w:spacing w:after="100" w:before="240"/>
      </w:pPr>
      <w:r>
        <w:rPr>
          <w:rFonts w:ascii="Arial" w:cs="Arial" w:eastAsia="Arial" w:hAnsi="Arial"/>
          <w:b/>
          <w:bCs/>
          <w:sz w:val="24"/>
          <w:szCs w:val="24"/>
        </w:rPr>
        <w:t xml:space="preserve">Quickstart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import pandas as pd</w:t>
            </w:r>
          </w:p>
          <w:p>
            <w:pPr>
              <w:spacing w:after="0" w:line="280"/>
            </w:pPr>
            <w:r>
              <w:rPr>
                <w:rFonts w:ascii="Consolas" w:cs="Consolas" w:eastAsia="Consolas" w:hAnsi="Consolas"/>
                <w:sz w:val="18"/>
                <w:szCs w:val="18"/>
              </w:rPr>
              <w:t xml:space="preserve">from risk_models import CreditDecisionAgent, BackTestEconomics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df = pd.read_parquet("df_all.parquet")</w:t>
            </w:r>
          </w:p>
          <w:p>
            <w:pPr>
              <w:spacing w:after="0" w:line="280"/>
            </w:pPr>
            <w:r>
              <w:rPr>
                <w:rFonts w:ascii="Consolas" w:cs="Consolas" w:eastAsia="Consolas" w:hAnsi="Consolas"/>
                <w:sz w:val="18"/>
                <w:szCs w:val="18"/>
              </w:rPr>
              <w:t xml:space="preserve">agent = CreditDecisionAgent()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Default economics (approve profit £1,200, default loss £8,500)</w:t>
            </w:r>
          </w:p>
          <w:p>
            <w:pPr>
              <w:spacing w:after="0" w:line="280"/>
            </w:pPr>
            <w:r>
              <w:rPr>
                <w:rFonts w:ascii="Consolas" w:cs="Consolas" w:eastAsia="Consolas" w:hAnsi="Consolas"/>
                <w:sz w:val="18"/>
                <w:szCs w:val="18"/>
              </w:rPr>
              <w:t xml:space="preserve">result = agent.backtest(df)</w:t>
            </w:r>
          </w:p>
          <w:p>
            <w:pPr>
              <w:spacing w:after="0" w:line="280"/>
            </w:pPr>
            <w:r>
              <w:rPr>
                <w:rFonts w:ascii="Consolas" w:cs="Consolas" w:eastAsia="Consolas" w:hAnsi="Consolas"/>
                <w:sz w:val="18"/>
                <w:szCs w:val="18"/>
              </w:rPr>
              <w:t xml:space="preserve">print(result.summary())</w:t>
            </w:r>
          </w:p>
        </w:tc>
      </w:tr>
    </w:tbl>
    <w:p>
      <w:pPr>
        <w:spacing w:after="120"/>
      </w:pPr>
      <w:r>
        <w:rPr>
          <w:rFonts w:ascii="Arial" w:cs="Arial" w:eastAsia="Arial" w:hAnsi="Arial"/>
          <w:sz w:val="22"/>
          <w:szCs w:val="22"/>
        </w:rPr>
        <w:t xml:space="preserve">A typical run on the example data with the synthetic-mode PD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BackTest Result</w:t>
            </w:r>
          </w:p>
          <w:p>
            <w:pPr>
              <w:spacing w:after="0" w:line="280"/>
            </w:pPr>
            <w:r>
              <w:rPr>
                <w:rFonts w:ascii="Consolas" w:cs="Consolas" w:eastAsia="Consolas" w:hAnsi="Consolas"/>
                <w:color w:val="334155"/>
                <w:sz w:val="18"/>
                <w:szCs w:val="18"/>
              </w:rPr>
              <w:t xml:space="preserve">============================================================</w:t>
            </w:r>
          </w:p>
          <w:p>
            <w:pPr>
              <w:spacing w:after="0" w:line="280"/>
            </w:pPr>
            <w:r>
              <w:rPr>
                <w:rFonts w:ascii="Consolas" w:cs="Consolas" w:eastAsia="Consolas" w:hAnsi="Consolas"/>
                <w:color w:val="334155"/>
                <w:sz w:val="18"/>
                <w:szCs w:val="18"/>
              </w:rPr>
              <w:t xml:space="preserve">  Loans:                       1,746</w:t>
            </w:r>
          </w:p>
          <w:p>
            <w:pPr>
              <w:spacing w:after="0" w:line="280"/>
            </w:pPr>
            <w:r>
              <w:rPr>
                <w:rFonts w:ascii="Consolas" w:cs="Consolas" w:eastAsia="Consolas" w:hAnsi="Consolas"/>
                <w:color w:val="334155"/>
                <w:sz w:val="18"/>
                <w:szCs w:val="18"/>
              </w:rPr>
              <w:t xml:space="preserve">  Actual defaulters:              77  ( 4.41%)</w:t>
            </w:r>
          </w:p>
          <w:p>
            <w:pPr>
              <w:spacing w:after="0" w:line="280"/>
            </w:pPr>
            <w:r>
              <w:rPr>
                <w:rFonts w:ascii="Consolas" w:cs="Consolas" w:eastAsia="Consolas" w:hAnsi="Consolas"/>
                <w:color w:val="334155"/>
                <w:sz w:val="18"/>
                <w:szCs w:val="18"/>
              </w:rPr>
              <w:t xml:space="preserve">  PD model source:        synthetic</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Confusion matrix (recommendation × actual outcome):</w:t>
            </w:r>
          </w:p>
          <w:p>
            <w:pPr>
              <w:spacing w:after="0" w:line="280"/>
            </w:pPr>
            <w:r>
              <w:rPr>
                <w:rFonts w:ascii="Consolas" w:cs="Consolas" w:eastAsia="Consolas" w:hAnsi="Consolas"/>
                <w:color w:val="334155"/>
                <w:sz w:val="18"/>
                <w:szCs w:val="18"/>
              </w:rPr>
              <w:t xml:space="preserve">  APPROVE    good=   738  default=   31  total=   769  dr= 4.03%</w:t>
            </w:r>
          </w:p>
          <w:p>
            <w:pPr>
              <w:spacing w:after="0" w:line="280"/>
            </w:pPr>
            <w:r>
              <w:rPr>
                <w:rFonts w:ascii="Consolas" w:cs="Consolas" w:eastAsia="Consolas" w:hAnsi="Consolas"/>
                <w:color w:val="334155"/>
                <w:sz w:val="18"/>
                <w:szCs w:val="18"/>
              </w:rPr>
              <w:t xml:space="preserve">  REVIEW     good=   540  default=   22  total=   562  dr= 3.91%</w:t>
            </w:r>
          </w:p>
          <w:p>
            <w:pPr>
              <w:spacing w:after="0" w:line="280"/>
            </w:pPr>
            <w:r>
              <w:rPr>
                <w:rFonts w:ascii="Consolas" w:cs="Consolas" w:eastAsia="Consolas" w:hAnsi="Consolas"/>
                <w:color w:val="334155"/>
                <w:sz w:val="18"/>
                <w:szCs w:val="18"/>
              </w:rPr>
              <w:t xml:space="preserve">  DECLINE    good=   391  default=   24  total=   415  dr= 5.78%</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  AUC:                    0.5959</w:t>
            </w:r>
          </w:p>
          <w:p>
            <w:pPr>
              <w:spacing w:after="0" w:line="280"/>
            </w:pPr>
            <w:r>
              <w:rPr>
                <w:rFonts w:ascii="Consolas" w:cs="Consolas" w:eastAsia="Consolas" w:hAnsi="Consolas"/>
                <w:color w:val="334155"/>
                <w:sz w:val="18"/>
                <w:szCs w:val="18"/>
              </w:rPr>
              <w:t xml:space="preserve">  Gini:                   0.1917</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DECLINE policy as a binary classifier of defaulters:</w:t>
            </w:r>
          </w:p>
          <w:p>
            <w:pPr>
              <w:spacing w:after="0" w:line="280"/>
            </w:pPr>
            <w:r>
              <w:rPr>
                <w:rFonts w:ascii="Consolas" w:cs="Consolas" w:eastAsia="Consolas" w:hAnsi="Consolas"/>
                <w:color w:val="334155"/>
                <w:sz w:val="18"/>
                <w:szCs w:val="18"/>
              </w:rPr>
              <w:t xml:space="preserve">  Precision:              5.78%</w:t>
            </w:r>
          </w:p>
          <w:p>
            <w:pPr>
              <w:spacing w:after="0" w:line="280"/>
            </w:pPr>
            <w:r>
              <w:rPr>
                <w:rFonts w:ascii="Consolas" w:cs="Consolas" w:eastAsia="Consolas" w:hAnsi="Consolas"/>
                <w:color w:val="334155"/>
                <w:sz w:val="18"/>
                <w:szCs w:val="18"/>
              </w:rPr>
              <w:t xml:space="preserve">  Recall:                 31.17%</w:t>
            </w:r>
          </w:p>
          <w:p>
            <w:pPr>
              <w:spacing w:after="0" w:line="280"/>
            </w:pPr>
            <w:r>
              <w:rPr>
                <w:rFonts w:ascii="Consolas" w:cs="Consolas" w:eastAsia="Consolas" w:hAnsi="Consolas"/>
                <w:color w:val="334155"/>
                <w:sz w:val="18"/>
                <w:szCs w:val="18"/>
              </w:rPr>
              <w:t xml:space="preserve">  False-positive rate:    23.43%</w:t>
            </w:r>
          </w:p>
          <w:p>
            <w:pPr>
              <w:spacing w:after="0" w:line="280"/>
            </w:pPr>
            <w:r>
              <w:rPr>
                <w:rFonts w:ascii="Consolas" w:cs="Consolas" w:eastAsia="Consolas" w:hAnsi="Consolas"/>
                <w:color w:val="334155"/>
                <w:sz w:val="18"/>
                <w:szCs w:val="18"/>
              </w:rPr>
              <w:t xml:space="preserve">  False-negative rate:    68.83%</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  Total portfolio profit: £      852,600</w:t>
            </w:r>
          </w:p>
          <w:p>
            <w:pPr>
              <w:spacing w:after="0" w:line="280"/>
            </w:pPr>
            <w:r>
              <w:rPr>
                <w:rFonts w:ascii="Consolas" w:cs="Consolas" w:eastAsia="Consolas" w:hAnsi="Consolas"/>
                <w:color w:val="334155"/>
                <w:sz w:val="18"/>
                <w:szCs w:val="18"/>
              </w:rPr>
              <w:t xml:space="preserve">  Avg profit per loan:    £       488.32</w:t>
            </w:r>
          </w:p>
          <w:p>
            <w:pPr>
              <w:spacing w:after="0" w:line="280"/>
            </w:pPr>
            <w:r>
              <w:rPr>
                <w:rFonts w:ascii="Consolas" w:cs="Consolas" w:eastAsia="Consolas" w:hAnsi="Consolas"/>
                <w:color w:val="334155"/>
                <w:sz w:val="18"/>
                <w:szCs w:val="18"/>
              </w:rPr>
              <w:t xml:space="preserve">============================================================</w:t>
            </w:r>
          </w:p>
        </w:tc>
      </w:tr>
    </w:tbl>
    <w:p>
      <w:pPr>
        <w:pStyle w:val="Heading3"/>
        <w:spacing w:after="100" w:before="240"/>
      </w:pPr>
      <w:r>
        <w:rPr>
          <w:rFonts w:ascii="Arial" w:cs="Arial" w:eastAsia="Arial" w:hAnsi="Arial"/>
          <w:b/>
          <w:bCs/>
          <w:sz w:val="24"/>
          <w:szCs w:val="24"/>
        </w:rPr>
        <w:t xml:space="preserve">Reading the headline numbers</w:t>
      </w:r>
    </w:p>
    <w:p>
      <w:pPr>
        <w:spacing w:after="120"/>
      </w:pPr>
      <w:r>
        <w:rPr>
          <w:rFonts w:ascii="Arial" w:cs="Arial" w:eastAsia="Arial" w:hAnsi="Arial"/>
          <w:sz w:val="22"/>
          <w:szCs w:val="22"/>
        </w:rPr>
        <w:t xml:space="preserve">AUC and Gini describe the underlying PD model's discriminative power on this book. Rules of thumb for UK credit: above 0.80 is strong, 0.70–0.80 acceptable, 0.60–0.70 weak, below 0.55 the back-tester warns you that the model is essentially guessing.</w:t>
      </w:r>
    </w:p>
    <w:p>
      <w:pPr>
        <w:spacing w:after="120"/>
      </w:pPr>
      <w:r>
        <w:rPr>
          <w:rFonts w:ascii="Arial" w:cs="Arial" w:eastAsia="Arial" w:hAnsi="Arial"/>
          <w:sz w:val="22"/>
          <w:szCs w:val="22"/>
        </w:rPr>
        <w:t xml:space="preserve">Precision of the DECLINE policy is "of all loans you declined, what fraction were actual defaulters". Recall is "of all actual defaulters, what fraction did you decline". In credit, recall usually matters more than precision because the cost of missing a defaulter (£8,500 default loss in the default economics) is much higher than the cost of turning away a good (£1,200 missed margin).</w:t>
      </w:r>
    </w:p>
    <w:p>
      <w:pPr>
        <w:pStyle w:val="Heading3"/>
        <w:spacing w:after="100" w:before="240"/>
      </w:pPr>
      <w:r>
        <w:rPr>
          <w:rFonts w:ascii="Arial" w:cs="Arial" w:eastAsia="Arial" w:hAnsi="Arial"/>
          <w:b/>
          <w:bCs/>
          <w:sz w:val="24"/>
          <w:szCs w:val="24"/>
        </w:rPr>
        <w:t xml:space="preserve">The threshold sweep</w:t>
      </w:r>
    </w:p>
    <w:p>
      <w:pPr>
        <w:spacing w:after="120"/>
      </w:pPr>
      <w:r>
        <w:rPr>
          <w:rFonts w:ascii="Arial" w:cs="Arial" w:eastAsia="Arial" w:hAnsi="Arial"/>
          <w:sz w:val="22"/>
          <w:szCs w:val="22"/>
        </w:rPr>
        <w:t xml:space="preserve">The result's .by_threshold DataFrame shows what happens if you tighten or loosen the per-asset-class DECLINE ceiling by ±10/25/50%. Each row shows declined count, approved count, fraction of defaulters caught, and profit at that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shift_pct  declined  approved  default_capture  defaults_approved   profit</w:t>
            </w:r>
          </w:p>
          <w:p>
            <w:pPr>
              <w:spacing w:after="0" w:line="280"/>
            </w:pPr>
            <w:r>
              <w:rPr>
                <w:rFonts w:ascii="Consolas" w:cs="Consolas" w:eastAsia="Consolas" w:hAnsi="Consolas"/>
                <w:color w:val="334155"/>
                <w:sz w:val="18"/>
                <w:szCs w:val="18"/>
              </w:rPr>
              <w:t xml:space="preserve">      -50       670      1076             0.49                 39   912900</w:t>
            </w:r>
          </w:p>
          <w:p>
            <w:pPr>
              <w:spacing w:after="0" w:line="280"/>
            </w:pPr>
            <w:r>
              <w:rPr>
                <w:rFonts w:ascii="Consolas" w:cs="Consolas" w:eastAsia="Consolas" w:hAnsi="Consolas"/>
                <w:color w:val="334155"/>
                <w:sz w:val="18"/>
                <w:szCs w:val="18"/>
              </w:rPr>
              <w:t xml:space="preserve">      -25       523      1223             0.42                 45  1031100</w:t>
            </w:r>
          </w:p>
          <w:p>
            <w:pPr>
              <w:spacing w:after="0" w:line="280"/>
            </w:pPr>
            <w:r>
              <w:rPr>
                <w:rFonts w:ascii="Consolas" w:cs="Consolas" w:eastAsia="Consolas" w:hAnsi="Consolas"/>
                <w:color w:val="334155"/>
                <w:sz w:val="18"/>
                <w:szCs w:val="18"/>
              </w:rPr>
              <w:t xml:space="preserve">      -10       459      1287             0.34                 51  1049700</w:t>
            </w:r>
          </w:p>
          <w:p>
            <w:pPr>
              <w:spacing w:after="0" w:line="280"/>
            </w:pPr>
            <w:r>
              <w:rPr>
                <w:rFonts w:ascii="Consolas" w:cs="Consolas" w:eastAsia="Consolas" w:hAnsi="Consolas"/>
                <w:color w:val="334155"/>
                <w:sz w:val="18"/>
                <w:szCs w:val="18"/>
              </w:rPr>
              <w:t xml:space="preserve">        0       415      1331             0.31                 53  1083100</w:t>
            </w:r>
          </w:p>
          <w:p>
            <w:pPr>
              <w:spacing w:after="0" w:line="280"/>
            </w:pPr>
            <w:r>
              <w:rPr>
                <w:rFonts w:ascii="Consolas" w:cs="Consolas" w:eastAsia="Consolas" w:hAnsi="Consolas"/>
                <w:color w:val="334155"/>
                <w:sz w:val="18"/>
                <w:szCs w:val="18"/>
              </w:rPr>
              <w:t xml:space="preserve">      +10       377      1369             0.31                 53  1128700</w:t>
            </w:r>
          </w:p>
          <w:p>
            <w:pPr>
              <w:spacing w:after="0" w:line="280"/>
            </w:pPr>
            <w:r>
              <w:rPr>
                <w:rFonts w:ascii="Consolas" w:cs="Consolas" w:eastAsia="Consolas" w:hAnsi="Consolas"/>
                <w:color w:val="334155"/>
                <w:sz w:val="18"/>
                <w:szCs w:val="18"/>
              </w:rPr>
              <w:t xml:space="preserve">      +25       325      1421             0.29                 55  1171700</w:t>
            </w:r>
          </w:p>
          <w:p>
            <w:pPr>
              <w:spacing w:after="0" w:line="280"/>
            </w:pPr>
            <w:r>
              <w:rPr>
                <w:rFonts w:ascii="Consolas" w:cs="Consolas" w:eastAsia="Consolas" w:hAnsi="Consolas"/>
                <w:color w:val="334155"/>
                <w:sz w:val="18"/>
                <w:szCs w:val="18"/>
              </w:rPr>
              <w:t xml:space="preserve">      +50       266      1480             0.22                 60  1194000</w:t>
            </w:r>
          </w:p>
        </w:tc>
      </w:tr>
    </w:tbl>
    <w:p>
      <w:pPr>
        <w:spacing w:after="120"/>
      </w:pPr>
      <w:r>
        <w:rPr>
          <w:rFonts w:ascii="Arial" w:cs="Arial" w:eastAsia="Arial" w:hAnsi="Arial"/>
          <w:sz w:val="22"/>
          <w:szCs w:val="22"/>
        </w:rPr>
        <w:t xml:space="preserve">Find the row with the highest profit; that is the policy change worth taking to your underwriting committee. On this dataset, looser thresholds increase profit because the PD model has weak discriminative power. On a real book with a properly-fit PD model, the optimum is usually somewhere tighter than the +50% extreme.</w:t>
      </w:r>
    </w:p>
    <w:p>
      <w:pPr>
        <w:pStyle w:val="Heading3"/>
        <w:spacing w:after="100" w:before="240"/>
      </w:pPr>
      <w:r>
        <w:rPr>
          <w:rFonts w:ascii="Arial" w:cs="Arial" w:eastAsia="Arial" w:hAnsi="Arial"/>
          <w:b/>
          <w:bCs/>
          <w:sz w:val="24"/>
          <w:szCs w:val="24"/>
        </w:rPr>
        <w:t xml:space="preserve">Cohort breakdowns</w:t>
      </w:r>
    </w:p>
    <w:p>
      <w:pPr>
        <w:spacing w:after="120"/>
      </w:pPr>
      <w:r>
        <w:rPr>
          <w:rFonts w:ascii="Arial" w:cs="Arial" w:eastAsia="Arial" w:hAnsi="Arial"/>
          <w:sz w:val="22"/>
          <w:szCs w:val="22"/>
        </w:rPr>
        <w:t xml:space="preserve">.by_vintage and .by_asset_class are DataFrames giving the same per-cohort headline metrics. Sort .by_vintage by default_rate descending — the top three rows are the cohorts a credit committee would investigate first.</w:t>
      </w:r>
    </w:p>
    <w:p>
      <w:pPr>
        <w:pStyle w:val="Heading3"/>
        <w:spacing w:after="100" w:before="240"/>
      </w:pPr>
      <w:r>
        <w:rPr>
          <w:rFonts w:ascii="Arial" w:cs="Arial" w:eastAsia="Arial" w:hAnsi="Arial"/>
          <w:b/>
          <w:bCs/>
          <w:sz w:val="24"/>
          <w:szCs w:val="24"/>
        </w:rPr>
        <w:t xml:space="preserve">Quality warnings</w:t>
      </w:r>
    </w:p>
    <w:p>
      <w:pPr>
        <w:spacing w:after="120"/>
      </w:pPr>
      <w:r>
        <w:rPr>
          <w:rFonts w:ascii="Arial" w:cs="Arial" w:eastAsia="Arial" w:hAnsi="Arial"/>
          <w:sz w:val="22"/>
          <w:szCs w:val="22"/>
        </w:rPr>
        <w:t xml:space="preserve">The summary() output starts with a "Quality warnings" block when any of these conditions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Warning</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Trigger</w:t>
            </w:r>
          </w:p>
        </w:tc>
        <w:tc>
          <w:tcPr>
            <w:tcW w:type="dxa" w:w="4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What to do</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AUC barely above random</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auc &lt; 0.55</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Inspect feature distributions and default_flag polarity</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Strong overfit</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in_sample_auc − cv_auc &gt; 0.20</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Lower n_estimators or regularise in fit_from_dataframe</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Polarity error suspected</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default_rate &gt; 0.6</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Flip default_flag (1=good, 0=bad is reversed)</w:t>
            </w:r>
          </w:p>
        </w:tc>
      </w:tr>
      <w:tr>
        <w:trPr>
          <w:cantSplit/>
        </w:trP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Policy never DECLINES</w:t>
            </w:r>
          </w:p>
        </w:tc>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No DECLINE recommendations at all</w:t>
            </w:r>
          </w:p>
        </w:tc>
        <w:tc>
          <w:tcPr>
            <w:tcW w:type="dxa" w:w="4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Thresholds too loose; see the by_threshold sweep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NOTE  </w:t>
            </w:r>
            <w:r>
              <w:rPr>
                <w:rFonts w:ascii="Arial" w:cs="Arial" w:eastAsia="Arial" w:hAnsi="Arial"/>
                <w:sz w:val="22"/>
                <w:szCs w:val="22"/>
              </w:rPr>
              <w:t xml:space="preserve">When a warning fires, surface it before the headline numbers in any report. The point of the warning system is that a profit figure from a model with AUC 0.51 is meaningless — the recommendations are essentially random, and so is the profit calculation.</w:t>
            </w:r>
          </w:p>
        </w:tc>
      </w:tr>
    </w:tbl>
    <w:p>
      <w:pPr>
        <w:pStyle w:val="Heading3"/>
        <w:spacing w:after="100" w:before="240"/>
      </w:pPr>
      <w:r>
        <w:rPr>
          <w:rFonts w:ascii="Arial" w:cs="Arial" w:eastAsia="Arial" w:hAnsi="Arial"/>
          <w:b/>
          <w:bCs/>
          <w:sz w:val="24"/>
          <w:szCs w:val="24"/>
        </w:rPr>
        <w:t xml:space="preserve">Unit economics by asset class</w:t>
      </w:r>
    </w:p>
    <w:p>
      <w:pPr>
        <w:spacing w:after="120"/>
      </w:pPr>
      <w:r>
        <w:rPr>
          <w:rFonts w:ascii="Arial" w:cs="Arial" w:eastAsia="Arial" w:hAnsi="Arial"/>
          <w:sz w:val="22"/>
          <w:szCs w:val="22"/>
        </w:rPr>
        <w:t xml:space="preserve">The default BackTestEconomics (£1,200 approval profit, £8,500 default loss) reflects UK SME unsecured lending. For other contexts, a real firm should pass its own figures based on its own historical lifetime margins and loss-given-default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Asset class</w:t>
            </w:r>
          </w:p>
        </w:tc>
        <w:tc>
          <w:tcPr>
            <w:tcW w:type="dxa" w:w="31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Approval profit (£)</w:t>
            </w:r>
          </w:p>
        </w:tc>
        <w:tc>
          <w:tcPr>
            <w:tcW w:type="dxa" w:w="31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Default loss (£)</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SME unsecured</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1,200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8,500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SME secured</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3,500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12,000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Consumer unsecured</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600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4,200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Residential mortgage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8,000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25,000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Buy to let</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6,500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20,000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Motor finance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800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6,500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Invoice finance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1,500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5,500</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Asset finance</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2,800</w:t>
            </w:r>
          </w:p>
        </w:tc>
        <w:tc>
          <w:tcPr>
            <w:tcW w:type="dxa" w:w="31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11,000</w:t>
            </w:r>
          </w:p>
        </w:tc>
      </w:tr>
    </w:tbl>
    <w:p>
      <w:pPr>
        <w:pStyle w:val="Heading1"/>
        <w:spacing w:after="200" w:before="360"/>
      </w:pPr>
      <w:r>
        <w:rPr>
          <w:rFonts w:ascii="Arial" w:cs="Arial" w:eastAsia="Arial" w:hAnsi="Arial"/>
          <w:b/>
          <w:bCs/>
          <w:color w:val="0F766E"/>
          <w:sz w:val="36"/>
          <w:szCs w:val="36"/>
        </w:rPr>
        <w:t xml:space="preserve">15. How real data flows through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The whole real-vs-synthetic switch is one file: df_all.parquet. If it exists in your working directory, every modelling notebook reads it and uses your data. If it does not, every modelling notebook falls back to its built-in synthetic generator. As of v1.2, a second file — pd_models.pkl — controls whether the PD model is your retrained one or the benchmark calibration. The CreditDecisionAgent and notebook 07 both check for it.</w:t>
            </w:r>
          </w:p>
        </w:tc>
      </w:tr>
    </w:tbl>
    <w:p>
      <w:pPr>
        <w:pStyle w:val="Heading3"/>
        <w:spacing w:after="100" w:before="240"/>
      </w:pPr>
      <w:r>
        <w:rPr>
          <w:rFonts w:ascii="Arial" w:cs="Arial" w:eastAsia="Arial" w:hAnsi="Arial"/>
          <w:b/>
          <w:bCs/>
          <w:sz w:val="24"/>
          <w:szCs w:val="24"/>
        </w:rPr>
        <w:t xml:space="preserve">Switching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You want to</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Do this</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Run on real data</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Run notebook 00, then run any modelling notebook.</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Use your retrained PD model downstream</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Run notebook 02 to the end. pd_models.pkl is saved automatically.</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Revert to synthetic data for one notebook</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rm df_all.parquet</w:t>
            </w:r>
            <w:r>
              <w:rPr>
                <w:rFonts w:ascii="Arial" w:cs="Arial" w:eastAsia="Arial" w:hAnsi="Arial"/>
                <w:b w:val="false"/>
                <w:bCs w:val="false"/>
                <w:i w:val="false"/>
                <w:iCs w:val="false"/>
                <w:sz w:val="20"/>
                <w:szCs w:val="20"/>
              </w:rPr>
              <w:t xml:space="preserve">, then re-run that notebook.</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Revert to the benchmark PD calibration</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rm pd_models.pkl</w:t>
            </w:r>
            <w:r>
              <w:rPr>
                <w:rFonts w:ascii="Arial" w:cs="Arial" w:eastAsia="Arial" w:hAnsi="Arial"/>
                <w:b w:val="false"/>
                <w:bCs w:val="false"/>
                <w:i w:val="false"/>
                <w:iCs w:val="false"/>
                <w:sz w:val="20"/>
                <w:szCs w:val="20"/>
              </w:rPr>
              <w:t xml:space="preserve">, then re-run.</w:t>
            </w:r>
          </w:p>
        </w:tc>
      </w:tr>
      <w:tr>
        <w:trPr>
          <w:cantSplit/>
        </w:trP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sz w:val="20"/>
                <w:szCs w:val="20"/>
              </w:rPr>
              <w:t xml:space="preserve">Verify which mode you are in</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Check the banner; run </w:t>
            </w:r>
            <w:r>
              <w:rPr>
                <w:rFonts w:ascii="Consolas" w:cs="Consolas" w:eastAsia="Consolas" w:hAnsi="Consolas"/>
                <w:b w:val="false"/>
                <w:bCs w:val="false"/>
                <w:i w:val="false"/>
                <w:iCs w:val="false"/>
                <w:sz w:val="20"/>
                <w:szCs w:val="20"/>
              </w:rPr>
              <w:t xml:space="preserve">agent.pd_provenance["source"]</w:t>
            </w:r>
            <w:r>
              <w:rPr>
                <w:rFonts w:ascii="Arial" w:cs="Arial" w:eastAsia="Arial" w:hAnsi="Arial"/>
                <w:b w:val="false"/>
                <w:bCs w:val="false"/>
                <w:i w:val="false"/>
                <w:iCs w:val="false"/>
                <w:sz w:val="20"/>
                <w:szCs w:val="20"/>
              </w:rPr>
              <w:t xml:space="preserve"> (returns "real" or "synthetic").</w:t>
            </w:r>
          </w:p>
        </w:tc>
      </w:tr>
    </w:tbl>
    <w:p>
      <w:pPr>
        <w:pStyle w:val="Heading1"/>
        <w:spacing w:after="200" w:before="360"/>
      </w:pPr>
      <w:r>
        <w:rPr>
          <w:rFonts w:ascii="Arial" w:cs="Arial" w:eastAsia="Arial" w:hAnsi="Arial"/>
          <w:b/>
          <w:bCs/>
          <w:color w:val="0F766E"/>
          <w:sz w:val="36"/>
          <w:szCs w:val="36"/>
        </w:rPr>
        <w:t xml:space="preserve">16. Customisation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Three extension points cover almost every customer-data shape: (1) pass column_map for one-off column overrides, (2) edit the alias table in data_ingestion.py for names you encounter often, (3) replace a loader function for a fundamentally different file shape. The cost of each rises sharply, so reach for the lightest one that solves your problem.</w:t>
            </w:r>
          </w:p>
        </w:tc>
      </w:tr>
    </w:tbl>
    <w:p>
      <w:pPr>
        <w:pStyle w:val="Heading3"/>
        <w:spacing w:after="100" w:before="240"/>
      </w:pPr>
      <w:r>
        <w:rPr>
          <w:rFonts w:ascii="Arial" w:cs="Arial" w:eastAsia="Arial" w:hAnsi="Arial"/>
          <w:b/>
          <w:bCs/>
          <w:sz w:val="24"/>
          <w:szCs w:val="24"/>
        </w:rPr>
        <w:t xml:space="preserve">A. column_map for one-off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ingest(</w:t>
            </w:r>
          </w:p>
          <w:p>
            <w:pPr>
              <w:spacing w:after="0" w:line="280"/>
            </w:pPr>
            <w:r>
              <w:rPr>
                <w:rFonts w:ascii="Consolas" w:cs="Consolas" w:eastAsia="Consolas" w:hAnsi="Consolas"/>
                <w:sz w:val="18"/>
                <w:szCs w:val="18"/>
              </w:rPr>
              <w:t xml:space="preserve">    "customer.csv",</w:t>
            </w:r>
          </w:p>
          <w:p>
            <w:pPr>
              <w:spacing w:after="0" w:line="280"/>
            </w:pPr>
            <w:r>
              <w:rPr>
                <w:rFonts w:ascii="Consolas" w:cs="Consolas" w:eastAsia="Consolas" w:hAnsi="Consolas"/>
                <w:sz w:val="18"/>
                <w:szCs w:val="18"/>
              </w:rPr>
              <w:t xml:space="preserve">    asset_class="sme_unsecured",</w:t>
            </w:r>
          </w:p>
          <w:p>
            <w:pPr>
              <w:spacing w:after="0" w:line="280"/>
            </w:pPr>
            <w:r>
              <w:rPr>
                <w:rFonts w:ascii="Consolas" w:cs="Consolas" w:eastAsia="Consolas" w:hAnsi="Consolas"/>
                <w:sz w:val="18"/>
                <w:szCs w:val="18"/>
              </w:rPr>
              <w:t xml:space="preserve">    column_map={</w:t>
            </w:r>
          </w:p>
          <w:p>
            <w:pPr>
              <w:spacing w:after="0" w:line="280"/>
            </w:pPr>
            <w:r>
              <w:rPr>
                <w:rFonts w:ascii="Consolas" w:cs="Consolas" w:eastAsia="Consolas" w:hAnsi="Consolas"/>
                <w:sz w:val="18"/>
                <w:szCs w:val="18"/>
              </w:rPr>
              <w:t xml:space="preserve">        "score_v3":      "bureau_score",</w:t>
            </w:r>
          </w:p>
          <w:p>
            <w:pPr>
              <w:spacing w:after="0" w:line="280"/>
            </w:pPr>
            <w:r>
              <w:rPr>
                <w:rFonts w:ascii="Consolas" w:cs="Consolas" w:eastAsia="Consolas" w:hAnsi="Consolas"/>
                <w:sz w:val="18"/>
                <w:szCs w:val="18"/>
              </w:rPr>
              <w:t xml:space="preserve">        "monthly_DSCR":  "cashflow_coverage",</w:t>
            </w:r>
          </w:p>
          <w:p>
            <w:pPr>
              <w:spacing w:after="0" w:line="280"/>
            </w:pPr>
            <w:r>
              <w:rPr>
                <w:rFonts w:ascii="Consolas" w:cs="Consolas" w:eastAsia="Consolas" w:hAnsi="Consolas"/>
                <w:sz w:val="18"/>
                <w:szCs w:val="18"/>
              </w:rPr>
              <w:t xml:space="preserve">        "ltv_at_origin": "ltv",</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tc>
      </w:tr>
    </w:tbl>
    <w:p>
      <w:pPr>
        <w:pStyle w:val="Heading3"/>
        <w:spacing w:after="100" w:before="240"/>
      </w:pPr>
      <w:r>
        <w:rPr>
          <w:rFonts w:ascii="Arial" w:cs="Arial" w:eastAsia="Arial" w:hAnsi="Arial"/>
          <w:b/>
          <w:bCs/>
          <w:sz w:val="24"/>
          <w:szCs w:val="24"/>
        </w:rPr>
        <w:t xml:space="preserve">B. Adding a permanent alias</w:t>
      </w:r>
    </w:p>
    <w:p>
      <w:pPr>
        <w:spacing w:after="120"/>
      </w:pPr>
      <w:r>
        <w:rPr>
          <w:rFonts w:ascii="Arial" w:cs="Arial" w:eastAsia="Arial" w:hAnsi="Arial"/>
          <w:sz w:val="22"/>
          <w:szCs w:val="22"/>
        </w:rPr>
        <w:t xml:space="preserve">Edit COLUMN_ALIASES in data_ingestion.py for names you encounter across many files. Aliases are matched case-insensitively after underscore/dash/whitespace normalisation.</w:t>
      </w:r>
    </w:p>
    <w:p>
      <w:pPr>
        <w:pStyle w:val="Heading3"/>
        <w:spacing w:after="100" w:before="240"/>
      </w:pPr>
      <w:r>
        <w:rPr>
          <w:rFonts w:ascii="Arial" w:cs="Arial" w:eastAsia="Arial" w:hAnsi="Arial"/>
          <w:b/>
          <w:bCs/>
          <w:sz w:val="24"/>
          <w:szCs w:val="24"/>
        </w:rPr>
        <w:t xml:space="preserve">C. Overriding the agent's decision thresholds</w:t>
      </w:r>
    </w:p>
    <w:p>
      <w:pPr>
        <w:spacing w:after="120"/>
      </w:pPr>
      <w:r>
        <w:rPr>
          <w:rFonts w:ascii="Arial" w:cs="Arial" w:eastAsia="Arial" w:hAnsi="Arial"/>
          <w:sz w:val="22"/>
          <w:szCs w:val="22"/>
        </w:rPr>
        <w:t xml:space="preserve">The CreditDecisionAgent accepts a thresholds dict on construction. Each entry is (approve_below, decline_above) in 12-month PD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F8FAFC" w:val="clear"/>
            <w:tcMar>
              <w:top w:type="dxa" w:w="140"/>
              <w:left w:type="dxa" w:w="200"/>
              <w:bottom w:type="dxa" w:w="140"/>
              <w:right w:type="dxa" w:w="200"/>
            </w:tcMar>
          </w:tcPr>
          <w:p>
            <w:pPr>
              <w:spacing w:after="0" w:line="280"/>
            </w:pPr>
            <w:r>
              <w:rPr>
                <w:rFonts w:ascii="Consolas" w:cs="Consolas" w:eastAsia="Consolas" w:hAnsi="Consolas"/>
                <w:sz w:val="18"/>
                <w:szCs w:val="18"/>
              </w:rPr>
              <w:t xml:space="preserve">from risk_models import CreditDecisionAgent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agent = CreditDecisionAgent(thresholds={</w:t>
            </w:r>
          </w:p>
          <w:p>
            <w:pPr>
              <w:spacing w:after="0" w:line="280"/>
            </w:pPr>
            <w:r>
              <w:rPr>
                <w:rFonts w:ascii="Consolas" w:cs="Consolas" w:eastAsia="Consolas" w:hAnsi="Consolas"/>
                <w:sz w:val="18"/>
                <w:szCs w:val="18"/>
              </w:rPr>
              <w:t xml:space="preserve">    "residential_mortgage": (0.005, 0.025),  # tighter than default</w:t>
            </w:r>
          </w:p>
          <w:p>
            <w:pPr>
              <w:spacing w:after="0" w:line="280"/>
            </w:pPr>
            <w:r>
              <w:rPr>
                <w:rFonts w:ascii="Consolas" w:cs="Consolas" w:eastAsia="Consolas" w:hAnsi="Consolas"/>
                <w:sz w:val="18"/>
                <w:szCs w:val="18"/>
              </w:rPr>
              <w:t xml:space="preserve">    "buy_to_let":           (0.008, 0.040),</w:t>
            </w:r>
          </w:p>
          <w:p>
            <w:pPr>
              <w:spacing w:after="0" w:line="280"/>
            </w:pPr>
            <w:r>
              <w:rPr>
                <w:rFonts w:ascii="Consolas" w:cs="Consolas" w:eastAsia="Consolas" w:hAnsi="Consolas"/>
                <w:sz w:val="18"/>
                <w:szCs w:val="18"/>
              </w:rPr>
              <w:t xml:space="preserve">})</w:t>
            </w:r>
          </w:p>
        </w:tc>
      </w:tr>
    </w:tbl>
    <w:p>
      <w:pPr>
        <w:pStyle w:val="Heading1"/>
        <w:spacing w:after="200" w:before="360"/>
      </w:pPr>
      <w:r>
        <w:rPr>
          <w:rFonts w:ascii="Arial" w:cs="Arial" w:eastAsia="Arial" w:hAnsi="Arial"/>
          <w:b/>
          <w:bCs/>
          <w:color w:val="0F766E"/>
          <w:sz w:val="36"/>
          <w:szCs w:val="36"/>
        </w:rPr>
        <w:t xml:space="preserve">17. Common gotchas</w:t>
      </w:r>
    </w:p>
    <w:p>
      <w:pPr>
        <w:spacing w:after="120"/>
      </w:pPr>
      <w:r>
        <w:rPr>
          <w:rFonts w:ascii="Arial" w:cs="Arial" w:eastAsia="Arial" w:hAnsi="Arial"/>
          <w:sz w:val="22"/>
          <w:szCs w:val="22"/>
        </w:rPr>
        <w:t xml:space="preserve">When something goes wrong, the ingester tries to fail fast with a message that points at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F766E" w:sz="16"/>
              <w:bottom w:val="single" w:color="0F766E" w:sz="4"/>
              <w:right w:val="none" w:color="auto" w:sz="0"/>
            </w:tcBorders>
            <w:shd w:fill="ECFDF5" w:val="clear"/>
            <w:tcMar>
              <w:top w:type="dxa" w:w="140"/>
              <w:left w:type="dxa" w:w="200"/>
              <w:bottom w:type="dxa" w:w="140"/>
              <w:right w:type="dxa" w:w="200"/>
            </w:tcMar>
          </w:tcPr>
          <w:p>
            <w:pPr>
              <w:spacing w:after="80" w:line="280"/>
            </w:pPr>
            <w:r>
              <w:rPr>
                <w:rFonts w:ascii="Arial" w:cs="Arial" w:eastAsia="Arial" w:hAnsi="Arial"/>
                <w:b/>
                <w:bCs/>
                <w:i/>
                <w:iCs/>
                <w:color w:val="0F766E"/>
                <w:sz w:val="16"/>
                <w:szCs w:val="16"/>
              </w:rPr>
              <w:t xml:space="preserve">→ output</w:t>
            </w:r>
          </w:p>
          <w:p>
            <w:pPr>
              <w:spacing w:after="0" w:line="280"/>
            </w:pPr>
            <w:r>
              <w:rPr>
                <w:rFonts w:ascii="Consolas" w:cs="Consolas" w:eastAsia="Consolas" w:hAnsi="Consolas"/>
                <w:color w:val="334155"/>
                <w:sz w:val="18"/>
                <w:szCs w:val="18"/>
              </w:rPr>
              <w:t xml:space="preserve">IngestionError:</w:t>
            </w:r>
          </w:p>
          <w:p>
            <w:pPr>
              <w:spacing w:after="0" w:line="280"/>
            </w:pPr>
            <w:r>
              <w:rPr>
                <w:rFonts w:ascii="Consolas" w:cs="Consolas" w:eastAsia="Consolas" w:hAnsi="Consolas"/>
                <w:color w:val="334155"/>
                <w:sz w:val="18"/>
                <w:szCs w:val="18"/>
              </w:rPr>
              <w:t xml:space="preserve">Required columns are missing from the file (after column mapping):</w:t>
            </w:r>
          </w:p>
          <w:p>
            <w:pPr>
              <w:spacing w:after="0" w:line="280"/>
            </w:pPr>
            <w:r>
              <w:rPr>
                <w:rFonts w:ascii="Consolas" w:cs="Consolas" w:eastAsia="Consolas" w:hAnsi="Consolas"/>
                <w:color w:val="334155"/>
                <w:sz w:val="18"/>
                <w:szCs w:val="18"/>
              </w:rPr>
              <w:t xml:space="preserve">  ['loan_term_months', 'default_flag']</w:t>
            </w:r>
          </w:p>
          <w:p>
            <w:pPr>
              <w:spacing w:after="0" w:line="280"/>
            </w:pPr>
            <w:r>
              <w:rPr>
                <w:rFonts w:ascii="Consolas" w:cs="Consolas" w:eastAsia="Consolas" w:hAnsi="Consolas"/>
                <w:color w:val="334155"/>
                <w:sz w:val="18"/>
                <w:szCs w:val="18"/>
              </w:rPr>
              <w:t xml:space="preserve"> </w:t>
            </w:r>
          </w:p>
          <w:p>
            <w:pPr>
              <w:spacing w:after="0" w:line="280"/>
            </w:pPr>
            <w:r>
              <w:rPr>
                <w:rFonts w:ascii="Consolas" w:cs="Consolas" w:eastAsia="Consolas" w:hAnsi="Consolas"/>
                <w:color w:val="334155"/>
                <w:sz w:val="18"/>
                <w:szCs w:val="18"/>
              </w:rPr>
              <w:t xml:space="preserve">Use the `column_map` argument to map your file's columns explicitly,</w:t>
            </w:r>
          </w:p>
          <w:p>
            <w:pPr>
              <w:spacing w:after="0" w:line="280"/>
            </w:pPr>
            <w:r>
              <w:rPr>
                <w:rFonts w:ascii="Consolas" w:cs="Consolas" w:eastAsia="Consolas" w:hAnsi="Consolas"/>
                <w:color w:val="334155"/>
                <w:sz w:val="18"/>
                <w:szCs w:val="18"/>
              </w:rPr>
              <w:t xml:space="preserve">or rename them in the source file. Run `describe_schema()` to see</w:t>
            </w:r>
          </w:p>
          <w:p>
            <w:pPr>
              <w:spacing w:after="0" w:line="280"/>
            </w:pPr>
            <w:r>
              <w:rPr>
                <w:rFonts w:ascii="Consolas" w:cs="Consolas" w:eastAsia="Consolas" w:hAnsi="Consolas"/>
                <w:color w:val="334155"/>
                <w:sz w:val="18"/>
                <w:szCs w:val="18"/>
              </w:rPr>
              <w:t xml:space="preserve">the full canonical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Symptom</w:t>
            </w:r>
          </w:p>
        </w:tc>
        <w:tc>
          <w:tcPr>
            <w:tcW w:type="dxa" w:w="3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Likely cause</w:t>
            </w:r>
          </w:p>
        </w:tc>
        <w:tc>
          <w:tcPr>
            <w:tcW w:type="dxa" w:w="3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Fix</w:t>
            </w:r>
          </w:p>
        </w:tc>
      </w:tr>
      <w:tr>
        <w:trPr>
          <w:cantSplit/>
        </w:trPr>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IngestionError: Required columns are missing</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Required column is in the file under a different name.</w:t>
            </w:r>
          </w:p>
        </w:tc>
        <w:tc>
          <w:tcPr>
            <w:tcW w:type="dxa" w:w="32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Pass column_map={"your_name": "canonical_name"}.</w:t>
            </w:r>
          </w:p>
        </w:tc>
      </w:tr>
      <w:tr>
        <w:trPr>
          <w:cantSplit/>
        </w:trPr>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Default rate flagged at 100%</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Polarity inverted — default_flag has 1=good, 0=bad.</w:t>
            </w:r>
          </w:p>
        </w:tc>
        <w:tc>
          <w:tcPr>
            <w:tcW w:type="dxa" w:w="32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Flip: df["bad"] = 1 - df["good"], save, re-ingest.</w:t>
            </w:r>
          </w:p>
        </w:tc>
      </w:tr>
      <w:tr>
        <w:trPr>
          <w:cantSplit/>
        </w:trPr>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PD model AUC weak on real data</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Real data is smaller, noisier than synthetic baseline.</w:t>
            </w:r>
          </w:p>
        </w:tc>
        <w:tc>
          <w:tcPr>
            <w:tcW w:type="dxa" w:w="32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Compare against your historical AUC, not the synthetic 0.85+.</w:t>
            </w:r>
          </w:p>
        </w:tc>
      </w:tr>
      <w:tr>
        <w:trPr>
          <w:cantSplit/>
        </w:trPr>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Consolas" w:cs="Consolas" w:eastAsia="Consolas" w:hAnsi="Consolas"/>
                <w:b w:val="false"/>
                <w:bCs w:val="false"/>
                <w:i w:val="false"/>
                <w:iCs w:val="false"/>
                <w:sz w:val="20"/>
                <w:szCs w:val="20"/>
              </w:rPr>
              <w:t xml:space="preserve">agent.pd_provenance["source"] = "synthetic" but pd_models.pkl exists</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Agent invoked from a different working directory.</w:t>
            </w:r>
          </w:p>
        </w:tc>
        <w:tc>
          <w:tcPr>
            <w:tcW w:type="dxa" w:w="32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cd to the bundle directory, or pass pd_model_path="full/path".</w:t>
            </w:r>
          </w:p>
        </w:tc>
      </w:tr>
      <w:tr>
        <w:trPr>
          <w:cantSplit/>
        </w:trPr>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Back-tester reports "Strong overfit"</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in_sample_auc - cv_auc &gt; 0.20 (LightGBM too aggressive).</w:t>
            </w:r>
          </w:p>
        </w:tc>
        <w:tc>
          <w:tcPr>
            <w:tcW w:type="dxa" w:w="32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Lower n_estimators (try 100) in fit_from_dataframe.</w:t>
            </w:r>
          </w:p>
        </w:tc>
      </w:tr>
      <w:tr>
        <w:trPr>
          <w:cantSplit/>
        </w:trPr>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origination_date column ignored</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Column name not in the alias table.</w:t>
            </w:r>
          </w:p>
        </w:tc>
        <w:tc>
          <w:tcPr>
            <w:tcW w:type="dxa" w:w="32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Rename in source, or add via column_map={...: "origination_date"}.</w:t>
            </w:r>
          </w:p>
        </w:tc>
      </w:tr>
      <w:tr>
        <w:trPr>
          <w:cantSplit/>
        </w:trPr>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Asset-class share looks wrong (one class has 0%)</w:t>
            </w:r>
          </w:p>
        </w:tc>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Asset-class label did not normalise.</w:t>
            </w:r>
          </w:p>
        </w:tc>
        <w:tc>
          <w:tcPr>
            <w:tcW w:type="dxa" w:w="32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spacing w:after="0"/>
            </w:pPr>
            <w:r>
              <w:rPr>
                <w:rFonts w:ascii="Arial" w:cs="Arial" w:eastAsia="Arial" w:hAnsi="Arial"/>
                <w:b w:val="false"/>
                <w:bCs w:val="false"/>
                <w:i w:val="false"/>
                <w:iCs w:val="false"/>
                <w:sz w:val="20"/>
                <w:szCs w:val="20"/>
              </w:rPr>
              <w:t xml:space="preserve">Read IngestionResult warnings; add label to ASSET_CLASS_ALIASES.</w:t>
            </w:r>
          </w:p>
        </w:tc>
      </w:tr>
    </w:tbl>
    <w:p>
      <w:r>
        <w:br w:type="page"/>
      </w:r>
    </w:p>
    <w:p>
      <w:pPr>
        <w:pStyle w:val="Heading1"/>
        <w:spacing w:after="200" w:before="360"/>
      </w:pPr>
      <w:r>
        <w:rPr>
          <w:rFonts w:ascii="Arial" w:cs="Arial" w:eastAsia="Arial" w:hAnsi="Arial"/>
          <w:b/>
          <w:bCs/>
          <w:color w:val="0F766E"/>
          <w:sz w:val="36"/>
          <w:szCs w:val="36"/>
        </w:rPr>
        <w:t xml:space="preserve">18. Calibration and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0284C7" w:sz="18"/>
              <w:bottom w:val="none" w:color="auto" w:sz="0"/>
              <w:right w:val="none" w:color="auto" w:sz="0"/>
            </w:tcBorders>
            <w:shd w:fill="F0F9FF" w:val="clear"/>
            <w:tcMar>
              <w:top w:type="dxa" w:w="160"/>
              <w:left w:type="dxa" w:w="240"/>
              <w:bottom w:type="dxa" w:w="160"/>
              <w:right w:type="dxa" w:w="240"/>
            </w:tcMar>
          </w:tcPr>
          <w:p>
            <w:pPr>
              <w:spacing w:after="80"/>
            </w:pPr>
            <w:r>
              <w:rPr>
                <w:rFonts w:ascii="Arial" w:cs="Arial" w:eastAsia="Arial" w:hAnsi="Arial"/>
                <w:b/>
                <w:bCs/>
                <w:color w:val="0284C7"/>
                <w:sz w:val="18"/>
                <w:szCs w:val="18"/>
              </w:rPr>
              <w:t xml:space="preserve">IN BRIEF</w:t>
            </w:r>
          </w:p>
          <w:p>
            <w:pPr>
              <w:spacing w:after="0" w:line="320"/>
            </w:pPr>
            <w:r>
              <w:rPr>
                <w:rFonts w:ascii="Arial" w:cs="Arial" w:eastAsia="Arial" w:hAnsi="Arial"/>
                <w:sz w:val="22"/>
                <w:szCs w:val="22"/>
              </w:rPr>
              <w:t xml:space="preserve">BetaCredit produces three classes of number. Descriptive statistics of your data are exact. Model rank-orderings (AUC, Gini, fairness gaps) are valid as long as your default flag is correctly mapped. Absolute PD / LGD / EAD / ECL / RWA values are calibrated to UK lending benchmarks unless you have retrained via notebook 02 — in which case they reflect your book, with provenance stamped on every CreditDecision.</w:t>
            </w:r>
          </w:p>
        </w:tc>
      </w:tr>
    </w:tbl>
    <w:p>
      <w:pPr>
        <w:pStyle w:val="Heading3"/>
        <w:spacing w:after="100" w:before="240"/>
      </w:pPr>
      <w:r>
        <w:rPr>
          <w:rFonts w:ascii="Arial" w:cs="Arial" w:eastAsia="Arial" w:hAnsi="Arial"/>
          <w:b/>
          <w:bCs/>
          <w:sz w:val="24"/>
          <w:szCs w:val="24"/>
        </w:rPr>
        <w:t xml:space="preserve">Numbers you can trust directly</w:t>
      </w:r>
    </w:p>
    <w:p>
      <w:pPr>
        <w:pStyle w:val="ListParagraph"/>
        <w:numPr>
          <w:ilvl w:val="0"/>
          <w:numId w:val="2"/>
        </w:numPr>
        <w:spacing w:after="80"/>
      </w:pPr>
      <w:r>
        <w:rPr>
          <w:rFonts w:ascii="Arial" w:cs="Arial" w:eastAsia="Arial" w:hAnsi="Arial"/>
          <w:b/>
          <w:bCs/>
          <w:i w:val="false"/>
          <w:iCs w:val="false"/>
          <w:sz w:val="22"/>
          <w:szCs w:val="22"/>
        </w:rPr>
        <w:t xml:space="preserve">Borrower count, asset-class mix, default rate, </w:t>
      </w:r>
      <w:r>
        <w:rPr>
          <w:rFonts w:ascii="Arial" w:cs="Arial" w:eastAsia="Arial" w:hAnsi="Arial"/>
          <w:sz w:val="22"/>
          <w:szCs w:val="22"/>
        </w:rPr>
        <w:t xml:space="preserve">and any other purely descriptive statistic of your ingested data.</w:t>
      </w:r>
    </w:p>
    <w:p>
      <w:pPr>
        <w:pStyle w:val="ListParagraph"/>
        <w:numPr>
          <w:ilvl w:val="0"/>
          <w:numId w:val="2"/>
        </w:numPr>
        <w:spacing w:after="80"/>
      </w:pPr>
      <w:r>
        <w:rPr>
          <w:rFonts w:ascii="Arial" w:cs="Arial" w:eastAsia="Arial" w:hAnsi="Arial"/>
          <w:b/>
          <w:bCs/>
          <w:i w:val="false"/>
          <w:iCs w:val="false"/>
          <w:sz w:val="22"/>
          <w:szCs w:val="22"/>
        </w:rPr>
        <w:t xml:space="preserve">Default flag, days past due, forbearance, </w:t>
      </w:r>
      <w:r>
        <w:rPr>
          <w:rFonts w:ascii="Arial" w:cs="Arial" w:eastAsia="Arial" w:hAnsi="Arial"/>
          <w:sz w:val="22"/>
          <w:szCs w:val="22"/>
        </w:rPr>
        <w:t xml:space="preserve">and other observed outcomes wherever they exist in your source file.</w:t>
      </w:r>
    </w:p>
    <w:p>
      <w:pPr>
        <w:pStyle w:val="ListParagraph"/>
        <w:numPr>
          <w:ilvl w:val="0"/>
          <w:numId w:val="2"/>
        </w:numPr>
        <w:spacing w:after="80"/>
      </w:pPr>
      <w:r>
        <w:rPr>
          <w:rFonts w:ascii="Arial" w:cs="Arial" w:eastAsia="Arial" w:hAnsi="Arial"/>
          <w:b/>
          <w:bCs/>
          <w:i w:val="false"/>
          <w:iCs w:val="false"/>
          <w:sz w:val="22"/>
          <w:szCs w:val="22"/>
        </w:rPr>
        <w:t xml:space="preserve">PD model rank-ordering </w:t>
      </w:r>
      <w:r>
        <w:rPr>
          <w:rFonts w:ascii="Arial" w:cs="Arial" w:eastAsia="Arial" w:hAnsi="Arial"/>
          <w:sz w:val="22"/>
          <w:szCs w:val="22"/>
        </w:rPr>
        <w:t xml:space="preserve">(AUC, KS, Gini) — these are properties of the model trained on your data and are valid as long as default_flag is correctly mapped.</w:t>
      </w:r>
    </w:p>
    <w:p>
      <w:pPr>
        <w:pStyle w:val="ListParagraph"/>
        <w:numPr>
          <w:ilvl w:val="0"/>
          <w:numId w:val="2"/>
        </w:numPr>
        <w:spacing w:after="80"/>
      </w:pPr>
      <w:r>
        <w:rPr>
          <w:rFonts w:ascii="Arial" w:cs="Arial" w:eastAsia="Arial" w:hAnsi="Arial"/>
          <w:b/>
          <w:bCs/>
          <w:i w:val="false"/>
          <w:iCs w:val="false"/>
          <w:sz w:val="22"/>
          <w:szCs w:val="22"/>
        </w:rPr>
        <w:t xml:space="preserve">Back-tester cross-validated AUC </w:t>
      </w:r>
      <w:r>
        <w:rPr>
          <w:rFonts w:ascii="Arial" w:cs="Arial" w:eastAsia="Arial" w:hAnsi="Arial"/>
          <w:sz w:val="22"/>
          <w:szCs w:val="22"/>
        </w:rPr>
        <w:t xml:space="preserve">— the honest out-of-fold metric from notebook 02's fit_from_dataframe.</w:t>
      </w:r>
    </w:p>
    <w:p>
      <w:pPr>
        <w:pStyle w:val="ListParagraph"/>
        <w:numPr>
          <w:ilvl w:val="0"/>
          <w:numId w:val="2"/>
        </w:numPr>
        <w:spacing w:after="80"/>
      </w:pPr>
      <w:r>
        <w:rPr>
          <w:rFonts w:ascii="Arial" w:cs="Arial" w:eastAsia="Arial" w:hAnsi="Arial"/>
          <w:b/>
          <w:bCs/>
          <w:i w:val="false"/>
          <w:iCs w:val="false"/>
          <w:sz w:val="22"/>
          <w:szCs w:val="22"/>
        </w:rPr>
        <w:t xml:space="preserve">Fairness rank-ordering </w:t>
      </w:r>
      <w:r>
        <w:rPr>
          <w:rFonts w:ascii="Arial" w:cs="Arial" w:eastAsia="Arial" w:hAnsi="Arial"/>
          <w:sz w:val="22"/>
          <w:szCs w:val="22"/>
        </w:rPr>
        <w:t xml:space="preserve">— relative gaps between protected groups are reliable; absolute gap values depend on calibration.</w:t>
      </w:r>
    </w:p>
    <w:p>
      <w:pPr>
        <w:pStyle w:val="Heading3"/>
        <w:spacing w:after="100" w:before="240"/>
      </w:pPr>
      <w:r>
        <w:rPr>
          <w:rFonts w:ascii="Arial" w:cs="Arial" w:eastAsia="Arial" w:hAnsi="Arial"/>
          <w:b/>
          <w:bCs/>
          <w:sz w:val="24"/>
          <w:szCs w:val="24"/>
        </w:rPr>
        <w:t xml:space="preserve">Numbers that are derived but defensible</w:t>
      </w:r>
    </w:p>
    <w:p>
      <w:pPr>
        <w:pStyle w:val="ListParagraph"/>
        <w:numPr>
          <w:ilvl w:val="0"/>
          <w:numId w:val="2"/>
        </w:numPr>
        <w:spacing w:after="80"/>
      </w:pPr>
      <w:r>
        <w:rPr>
          <w:rFonts w:ascii="Arial" w:cs="Arial" w:eastAsia="Arial" w:hAnsi="Arial"/>
          <w:b/>
          <w:bCs/>
          <w:i w:val="false"/>
          <w:iCs w:val="false"/>
          <w:sz w:val="22"/>
          <w:szCs w:val="22"/>
        </w:rPr>
        <w:t xml:space="preserve">pd_orig and pd_curr in notebook 04 </w:t>
      </w:r>
      <w:r>
        <w:rPr>
          <w:rFonts w:ascii="Arial" w:cs="Arial" w:eastAsia="Arial" w:hAnsi="Arial"/>
          <w:sz w:val="22"/>
          <w:szCs w:val="22"/>
        </w:rPr>
        <w:t xml:space="preserve">— derived from bureau score and cashflow coverage when the file does not carry real PDs.</w:t>
      </w:r>
    </w:p>
    <w:p>
      <w:pPr>
        <w:pStyle w:val="ListParagraph"/>
        <w:numPr>
          <w:ilvl w:val="0"/>
          <w:numId w:val="2"/>
        </w:numPr>
        <w:spacing w:after="80"/>
      </w:pPr>
      <w:r>
        <w:rPr>
          <w:rFonts w:ascii="Arial" w:cs="Arial" w:eastAsia="Arial" w:hAnsi="Arial"/>
          <w:b/>
          <w:bCs/>
          <w:i w:val="false"/>
          <w:iCs w:val="false"/>
          <w:sz w:val="22"/>
          <w:szCs w:val="22"/>
        </w:rPr>
        <w:t xml:space="preserve">Income-volatility proxy in notebook 02 </w:t>
      </w:r>
      <w:r>
        <w:rPr>
          <w:rFonts w:ascii="Arial" w:cs="Arial" w:eastAsia="Arial" w:hAnsi="Arial"/>
          <w:sz w:val="22"/>
          <w:szCs w:val="22"/>
        </w:rPr>
        <w:t xml:space="preserve">— synthesised from income stability with light noise.</w:t>
      </w:r>
    </w:p>
    <w:p>
      <w:pPr>
        <w:pStyle w:val="ListParagraph"/>
        <w:numPr>
          <w:ilvl w:val="0"/>
          <w:numId w:val="2"/>
        </w:numPr>
        <w:spacing w:after="80"/>
      </w:pPr>
      <w:r>
        <w:rPr>
          <w:rFonts w:ascii="Arial" w:cs="Arial" w:eastAsia="Arial" w:hAnsi="Arial"/>
          <w:b/>
          <w:bCs/>
          <w:i w:val="false"/>
          <w:iCs w:val="false"/>
          <w:sz w:val="22"/>
          <w:szCs w:val="22"/>
        </w:rPr>
        <w:t xml:space="preserve">SHAP values for historical loans in notebook 06 </w:t>
      </w:r>
      <w:r>
        <w:rPr>
          <w:rFonts w:ascii="Arial" w:cs="Arial" w:eastAsia="Arial" w:hAnsi="Arial"/>
          <w:sz w:val="22"/>
          <w:szCs w:val="22"/>
        </w:rPr>
        <w:t xml:space="preserve">— synthetic when the file does not carry real SHAP values; the reward signal driving the RL update is always real.</w:t>
      </w:r>
    </w:p>
    <w:p>
      <w:pPr>
        <w:pStyle w:val="Heading3"/>
        <w:spacing w:after="100" w:before="240"/>
      </w:pPr>
      <w:r>
        <w:rPr>
          <w:rFonts w:ascii="Arial" w:cs="Arial" w:eastAsia="Arial" w:hAnsi="Arial"/>
          <w:b/>
          <w:bCs/>
          <w:sz w:val="24"/>
          <w:szCs w:val="24"/>
        </w:rPr>
        <w:t xml:space="preserve">Numbers that need re-calibration before production use</w:t>
      </w:r>
    </w:p>
    <w:p>
      <w:pPr>
        <w:pStyle w:val="ListParagraph"/>
        <w:numPr>
          <w:ilvl w:val="0"/>
          <w:numId w:val="2"/>
        </w:numPr>
        <w:spacing w:after="80"/>
      </w:pPr>
      <w:r>
        <w:rPr>
          <w:rFonts w:ascii="Arial" w:cs="Arial" w:eastAsia="Arial" w:hAnsi="Arial"/>
          <w:b/>
          <w:bCs/>
          <w:i w:val="false"/>
          <w:iCs w:val="false"/>
          <w:sz w:val="22"/>
          <w:szCs w:val="22"/>
        </w:rPr>
        <w:t xml:space="preserve">Absolute PD / LGD / EAD values when pd_models.pkl is absent </w:t>
      </w:r>
      <w:r>
        <w:rPr>
          <w:rFonts w:ascii="Arial" w:cs="Arial" w:eastAsia="Arial" w:hAnsi="Arial"/>
          <w:sz w:val="22"/>
          <w:szCs w:val="22"/>
        </w:rPr>
        <w:t xml:space="preserve">— synthetic benchmark calibration. Run notebook 02 to the end to replace with a fit to your data.</w:t>
      </w:r>
    </w:p>
    <w:p>
      <w:pPr>
        <w:pStyle w:val="ListParagraph"/>
        <w:numPr>
          <w:ilvl w:val="0"/>
          <w:numId w:val="2"/>
        </w:numPr>
        <w:spacing w:after="80"/>
      </w:pPr>
      <w:r>
        <w:rPr>
          <w:rFonts w:ascii="Arial" w:cs="Arial" w:eastAsia="Arial" w:hAnsi="Arial"/>
          <w:b/>
          <w:bCs/>
          <w:i w:val="false"/>
          <w:iCs w:val="false"/>
          <w:sz w:val="22"/>
          <w:szCs w:val="22"/>
        </w:rPr>
        <w:t xml:space="preserve">IRB capital and RWA totals when the PD model is overfit </w:t>
      </w:r>
      <w:r>
        <w:rPr>
          <w:rFonts w:ascii="Arial" w:cs="Arial" w:eastAsia="Arial" w:hAnsi="Arial"/>
          <w:sz w:val="22"/>
          <w:szCs w:val="22"/>
        </w:rPr>
        <w:t xml:space="preserve">— in_sample_auc near 1.0 with much lower CV AUC means the absolute PDs are not trustworthy. The back-tester will warn you.</w:t>
      </w:r>
    </w:p>
    <w:p>
      <w:pPr>
        <w:pStyle w:val="ListParagraph"/>
        <w:numPr>
          <w:ilvl w:val="0"/>
          <w:numId w:val="2"/>
        </w:numPr>
        <w:spacing w:after="80"/>
      </w:pPr>
      <w:r>
        <w:rPr>
          <w:rFonts w:ascii="Arial" w:cs="Arial" w:eastAsia="Arial" w:hAnsi="Arial"/>
          <w:b/>
          <w:bCs/>
          <w:i w:val="false"/>
          <w:iCs w:val="false"/>
          <w:sz w:val="22"/>
          <w:szCs w:val="22"/>
        </w:rPr>
        <w:t xml:space="preserve">Per-asset-class default-rate intercepts in notebook 01 </w:t>
      </w:r>
      <w:r>
        <w:rPr>
          <w:rFonts w:ascii="Arial" w:cs="Arial" w:eastAsia="Arial" w:hAnsi="Arial"/>
          <w:sz w:val="22"/>
          <w:szCs w:val="22"/>
        </w:rPr>
        <w:t xml:space="preserve">— calibrated to UK benchmarks. Use notebook 01 as a baseline reference, not a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auto" w:sz="0"/>
              <w:left w:val="single" w:color="D97706" w:sz="16"/>
              <w:bottom w:val="none" w:color="auto" w:sz="0"/>
              <w:right w:val="none" w:color="auto" w:sz="0"/>
            </w:tcBorders>
            <w:shd w:fill="FEF3C7" w:val="clear"/>
            <w:tcMar>
              <w:top w:type="dxa" w:w="140"/>
              <w:left w:type="dxa" w:w="240"/>
              <w:bottom w:type="dxa" w:w="140"/>
              <w:right w:type="dxa" w:w="240"/>
            </w:tcMar>
          </w:tcPr>
          <w:p>
            <w:pPr>
              <w:spacing w:after="0"/>
            </w:pPr>
            <w:r>
              <w:rPr>
                <w:rFonts w:ascii="Arial" w:cs="Arial" w:eastAsia="Arial" w:hAnsi="Arial"/>
                <w:b/>
                <w:bCs/>
                <w:color w:val="D97706"/>
                <w:sz w:val="20"/>
                <w:szCs w:val="20"/>
              </w:rPr>
              <w:t xml:space="preserve">NOTE  </w:t>
            </w:r>
            <w:r>
              <w:rPr>
                <w:rFonts w:ascii="Arial" w:cs="Arial" w:eastAsia="Arial" w:hAnsi="Arial"/>
                <w:sz w:val="22"/>
                <w:szCs w:val="22"/>
              </w:rPr>
              <w:t xml:space="preserve">BetaCredit is an analytical workbench, not a regulatory submission tool. The numbers it produces are correct in form (IFRS 9 stages, Basel IV RWA scalars, FCA Consumer Duty fairness metrics) but the calibration must still be reviewed by your model risk team before any submission. The v1.2 back-tester surfaces calibration problems via its quality warnings — use it.</w:t>
            </w:r>
          </w:p>
        </w:tc>
      </w:tr>
    </w:tbl>
    <w:p>
      <w:pPr>
        <w:pStyle w:val="Heading1"/>
        <w:spacing w:after="200" w:before="360"/>
      </w:pPr>
      <w:r>
        <w:rPr>
          <w:rFonts w:ascii="Arial" w:cs="Arial" w:eastAsia="Arial" w:hAnsi="Arial"/>
          <w:b/>
          <w:bCs/>
          <w:color w:val="0F766E"/>
          <w:sz w:val="36"/>
          <w:szCs w:val="36"/>
        </w:rPr>
        <w:t xml:space="preserve">19. Reference: every public function</w:t>
      </w:r>
    </w:p>
    <w:p>
      <w:pPr>
        <w:pStyle w:val="Heading2"/>
        <w:spacing w:after="140" w:before="320"/>
      </w:pPr>
      <w:r>
        <w:rPr>
          <w:rFonts w:ascii="Arial" w:cs="Arial" w:eastAsia="Arial" w:hAnsi="Arial"/>
          <w:b/>
          <w:bCs/>
          <w:color w:val="0F766E"/>
          <w:sz w:val="28"/>
          <w:szCs w:val="28"/>
        </w:rPr>
        <w:t xml:space="preserve">risk_models.data_ingestion</w:t>
      </w:r>
    </w:p>
    <w:p>
      <w:pPr>
        <w:spacing w:after="120"/>
      </w:pPr>
      <w:r>
        <w:rPr>
          <w:rFonts w:ascii="Consolas" w:cs="Consolas" w:eastAsia="Consolas" w:hAnsi="Consolas"/>
          <w:b w:val="false"/>
          <w:bCs w:val="false"/>
          <w:i w:val="false"/>
          <w:iCs w:val="false"/>
          <w:sz w:val="22"/>
          <w:szCs w:val="22"/>
        </w:rPr>
        <w:t xml:space="preserve">ingest(source, *, asset_class=None, column_map=None, sep=None, sheet_name=0, encoding='utf-8', strict=False, drop_invalid_rows=True)</w:t>
      </w:r>
    </w:p>
    <w:p>
      <w:pPr>
        <w:spacing w:after="120"/>
      </w:pPr>
      <w:r>
        <w:rPr>
          <w:rFonts w:ascii="Arial" w:cs="Arial" w:eastAsia="Arial" w:hAnsi="Arial"/>
          <w:sz w:val="22"/>
          <w:szCs w:val="22"/>
        </w:rPr>
        <w:t xml:space="preserve">Read a file and convert to canonical schema. Returns IngestionResult with .dataframe, .report, .rejected_rows, .warnings_, .column_map_used.</w:t>
      </w:r>
    </w:p>
    <w:p>
      <w:pPr>
        <w:spacing w:after="120"/>
      </w:pPr>
      <w:r>
        <w:rPr>
          <w:rFonts w:ascii="Consolas" w:cs="Consolas" w:eastAsia="Consolas" w:hAnsi="Consolas"/>
          <w:b w:val="false"/>
          <w:bCs w:val="false"/>
          <w:i w:val="false"/>
          <w:iCs w:val="false"/>
          <w:sz w:val="22"/>
          <w:szCs w:val="22"/>
        </w:rPr>
        <w:t xml:space="preserve">ingest_dataframe(df, *, asset_class=None, ...)</w:t>
      </w:r>
    </w:p>
    <w:p>
      <w:pPr>
        <w:spacing w:after="120"/>
      </w:pPr>
      <w:r>
        <w:rPr>
          <w:rFonts w:ascii="Arial" w:cs="Arial" w:eastAsia="Arial" w:hAnsi="Arial"/>
          <w:sz w:val="22"/>
          <w:szCs w:val="22"/>
        </w:rPr>
        <w:t xml:space="preserve">Same as ingest() but takes an in-memory DataFrame.</w:t>
      </w:r>
    </w:p>
    <w:p>
      <w:pPr>
        <w:spacing w:after="120"/>
      </w:pPr>
      <w:r>
        <w:rPr>
          <w:rFonts w:ascii="Consolas" w:cs="Consolas" w:eastAsia="Consolas" w:hAnsi="Consolas"/>
          <w:b w:val="false"/>
          <w:bCs w:val="false"/>
          <w:i w:val="false"/>
          <w:iCs w:val="false"/>
          <w:sz w:val="22"/>
          <w:szCs w:val="22"/>
        </w:rPr>
        <w:t xml:space="preserve">describe_schema() · validate_schema(df)</w:t>
      </w:r>
    </w:p>
    <w:p>
      <w:pPr>
        <w:spacing w:after="120"/>
      </w:pPr>
      <w:r>
        <w:rPr>
          <w:rFonts w:ascii="Arial" w:cs="Arial" w:eastAsia="Arial" w:hAnsi="Arial"/>
          <w:sz w:val="22"/>
          <w:szCs w:val="22"/>
        </w:rPr>
        <w:t xml:space="preserve">Schema metadata and validation.</w:t>
      </w:r>
    </w:p>
    <w:p>
      <w:pPr>
        <w:pStyle w:val="Heading2"/>
        <w:spacing w:after="140" w:before="320"/>
      </w:pPr>
      <w:r>
        <w:rPr>
          <w:rFonts w:ascii="Arial" w:cs="Arial" w:eastAsia="Arial" w:hAnsi="Arial"/>
          <w:b/>
          <w:bCs/>
          <w:color w:val="0F766E"/>
          <w:sz w:val="28"/>
          <w:szCs w:val="28"/>
        </w:rPr>
        <w:t xml:space="preserve">risk_models.pd_models — v1.1 additions</w:t>
      </w:r>
    </w:p>
    <w:p>
      <w:pPr>
        <w:spacing w:after="120"/>
      </w:pPr>
      <w:r>
        <w:rPr>
          <w:rFonts w:ascii="Consolas" w:cs="Consolas" w:eastAsia="Consolas" w:hAnsi="Consolas"/>
          <w:b w:val="false"/>
          <w:bCs w:val="false"/>
          <w:i w:val="false"/>
          <w:iCs w:val="false"/>
          <w:sz w:val="22"/>
          <w:szCs w:val="22"/>
        </w:rPr>
        <w:t xml:space="preserve">PDModelSuite.fit_from_dataframe(df) → dict</w:t>
      </w:r>
    </w:p>
    <w:p>
      <w:pPr>
        <w:spacing w:after="120"/>
      </w:pPr>
      <w:r>
        <w:rPr>
          <w:rFonts w:ascii="Arial" w:cs="Arial" w:eastAsia="Arial" w:hAnsi="Arial"/>
          <w:sz w:val="22"/>
          <w:szCs w:val="22"/>
        </w:rPr>
        <w:t xml:space="preserve">Train LightGBM on canonical df. Returns diagnostics including cv_auc (honest, 5-fold) and in_sample_auc.</w:t>
      </w:r>
    </w:p>
    <w:p>
      <w:pPr>
        <w:spacing w:after="120"/>
      </w:pPr>
      <w:r>
        <w:rPr>
          <w:rFonts w:ascii="Consolas" w:cs="Consolas" w:eastAsia="Consolas" w:hAnsi="Consolas"/>
          <w:b w:val="false"/>
          <w:bCs w:val="false"/>
          <w:i w:val="false"/>
          <w:iCs w:val="false"/>
          <w:sz w:val="22"/>
          <w:szCs w:val="22"/>
        </w:rPr>
        <w:t xml:space="preserve">PDModelSuite.save(path) · PDModelSuite.load(path)</w:t>
      </w:r>
    </w:p>
    <w:p>
      <w:pPr>
        <w:spacing w:after="120"/>
      </w:pPr>
      <w:r>
        <w:rPr>
          <w:rFonts w:ascii="Arial" w:cs="Arial" w:eastAsia="Arial" w:hAnsi="Arial"/>
          <w:sz w:val="22"/>
          <w:szCs w:val="22"/>
        </w:rPr>
        <w:t xml:space="preserve">Persistence. Pickle, with provenance metadata.</w:t>
      </w:r>
    </w:p>
    <w:p>
      <w:pPr>
        <w:spacing w:after="120"/>
      </w:pPr>
      <w:r>
        <w:rPr>
          <w:rFonts w:ascii="Consolas" w:cs="Consolas" w:eastAsia="Consolas" w:hAnsi="Consolas"/>
          <w:b w:val="false"/>
          <w:bCs w:val="false"/>
          <w:i w:val="false"/>
          <w:iCs w:val="false"/>
          <w:sz w:val="22"/>
          <w:szCs w:val="22"/>
        </w:rPr>
        <w:t xml:space="preserve">PDModelSuite.is_real_fit · PDModelSuite.fit_provenance</w:t>
      </w:r>
    </w:p>
    <w:p>
      <w:pPr>
        <w:spacing w:after="120"/>
      </w:pPr>
      <w:r>
        <w:rPr>
          <w:rFonts w:ascii="Arial" w:cs="Arial" w:eastAsia="Arial" w:hAnsi="Arial"/>
          <w:sz w:val="22"/>
          <w:szCs w:val="22"/>
        </w:rPr>
        <w:t xml:space="preserve">Whether the suite was fit on real data, and the full provenance dict.</w:t>
      </w:r>
    </w:p>
    <w:p>
      <w:pPr>
        <w:pStyle w:val="Heading2"/>
        <w:spacing w:after="140" w:before="320"/>
      </w:pPr>
      <w:r>
        <w:rPr>
          <w:rFonts w:ascii="Arial" w:cs="Arial" w:eastAsia="Arial" w:hAnsi="Arial"/>
          <w:b/>
          <w:bCs/>
          <w:color w:val="0F766E"/>
          <w:sz w:val="28"/>
          <w:szCs w:val="28"/>
        </w:rPr>
        <w:t xml:space="preserve">risk_models.lgd_models — v1.2 additions</w:t>
      </w:r>
    </w:p>
    <w:p>
      <w:pPr>
        <w:spacing w:after="120"/>
      </w:pPr>
      <w:r>
        <w:rPr>
          <w:rFonts w:ascii="Consolas" w:cs="Consolas" w:eastAsia="Consolas" w:hAnsi="Consolas"/>
          <w:b w:val="false"/>
          <w:bCs w:val="false"/>
          <w:i w:val="false"/>
          <w:iCs w:val="false"/>
          <w:sz w:val="22"/>
          <w:szCs w:val="22"/>
        </w:rPr>
        <w:t xml:space="preserve">LGDModelSuite.estimate(ac, row=None, ead=None) → LGDEstimate</w:t>
      </w:r>
    </w:p>
    <w:p>
      <w:pPr>
        <w:spacing w:after="120"/>
      </w:pPr>
      <w:r>
        <w:rPr>
          <w:rFonts w:ascii="Arial" w:cs="Arial" w:eastAsia="Arial" w:hAnsi="Arial"/>
          <w:sz w:val="22"/>
          <w:szCs w:val="22"/>
        </w:rPr>
        <w:t xml:space="preserve">Compute LGD for an asset class. Pass a borrower row to engage the component path; include lgd_observed in the row to engage the override path. Backwards-compatible: single-arg calls reproduce v1.0 results.</w:t>
      </w:r>
    </w:p>
    <w:p>
      <w:pPr>
        <w:spacing w:after="120"/>
      </w:pPr>
      <w:r>
        <w:rPr>
          <w:rFonts w:ascii="Consolas" w:cs="Consolas" w:eastAsia="Consolas" w:hAnsi="Consolas"/>
          <w:b w:val="false"/>
          <w:bCs w:val="false"/>
          <w:i w:val="false"/>
          <w:iCs w:val="false"/>
          <w:sz w:val="22"/>
          <w:szCs w:val="22"/>
        </w:rPr>
        <w:t xml:space="preserve">LGDModelSuite.sensitivity(ac, ead) → dict</w:t>
      </w:r>
    </w:p>
    <w:p>
      <w:pPr>
        <w:spacing w:after="120"/>
      </w:pPr>
      <w:r>
        <w:rPr>
          <w:rFonts w:ascii="Arial" w:cs="Arial" w:eastAsia="Arial" w:hAnsi="Arial"/>
          <w:sz w:val="22"/>
          <w:szCs w:val="22"/>
        </w:rPr>
        <w:t xml:space="preserve">Return bps LGD impact of an adverse one-stdev shift in each component (cure_prob, collateral_value, recovery_costs, time_to_resolution_months). Drives notebook 03's tornado chart.</w:t>
      </w:r>
    </w:p>
    <w:p>
      <w:pPr>
        <w:spacing w:after="120"/>
      </w:pPr>
      <w:r>
        <w:rPr>
          <w:rFonts w:ascii="Consolas" w:cs="Consolas" w:eastAsia="Consolas" w:hAnsi="Consolas"/>
          <w:b w:val="false"/>
          <w:bCs w:val="false"/>
          <w:i w:val="false"/>
          <w:iCs w:val="false"/>
          <w:sz w:val="22"/>
          <w:szCs w:val="22"/>
        </w:rPr>
        <w:t xml:space="preserve">LGDEstimate.components · LGDEstimate.source</w:t>
      </w:r>
    </w:p>
    <w:p>
      <w:pPr>
        <w:spacing w:after="120"/>
      </w:pPr>
      <w:r>
        <w:rPr>
          <w:rFonts w:ascii="Arial" w:cs="Arial" w:eastAsia="Arial" w:hAnsi="Arial"/>
          <w:sz w:val="22"/>
          <w:szCs w:val="22"/>
        </w:rPr>
        <w:t xml:space="preserve">The four-component breakdown (cure_prob, collateral_recovery, unsecured_recovery, recovery_costs, discount_factor, lgd_workout) and a source label ("observed" / "computed_from_components" / "asset_class_default").</w:t>
      </w:r>
    </w:p>
    <w:p>
      <w:pPr>
        <w:pStyle w:val="Heading2"/>
        <w:spacing w:after="140" w:before="320"/>
      </w:pPr>
      <w:r>
        <w:rPr>
          <w:rFonts w:ascii="Arial" w:cs="Arial" w:eastAsia="Arial" w:hAnsi="Arial"/>
          <w:b/>
          <w:bCs/>
          <w:color w:val="0F766E"/>
          <w:sz w:val="28"/>
          <w:szCs w:val="28"/>
        </w:rPr>
        <w:t xml:space="preserve">risk_models — top-level (the CreditDecisionAgent and v1.1 back-tester)</w:t>
      </w:r>
    </w:p>
    <w:p>
      <w:pPr>
        <w:spacing w:after="120"/>
      </w:pPr>
      <w:r>
        <w:rPr>
          <w:rFonts w:ascii="Consolas" w:cs="Consolas" w:eastAsia="Consolas" w:hAnsi="Consolas"/>
          <w:b w:val="false"/>
          <w:bCs w:val="false"/>
          <w:i w:val="false"/>
          <w:iCs w:val="false"/>
          <w:sz w:val="22"/>
          <w:szCs w:val="22"/>
        </w:rPr>
        <w:t xml:space="preserve">CreditDecisionAgent(pd_suite=None, ..., pd_model_path='pd_models.pkl')</w:t>
      </w:r>
    </w:p>
    <w:p>
      <w:pPr>
        <w:spacing w:after="120"/>
      </w:pPr>
      <w:r>
        <w:rPr>
          <w:rFonts w:ascii="Arial" w:cs="Arial" w:eastAsia="Arial" w:hAnsi="Arial"/>
          <w:sz w:val="22"/>
          <w:szCs w:val="22"/>
        </w:rPr>
        <w:t xml:space="preserve">Orchestrates PD, LGD, EAD, SICR. Auto-loads pd_models.pkl from the working directory unless overridden.</w:t>
      </w:r>
    </w:p>
    <w:p>
      <w:pPr>
        <w:spacing w:after="120"/>
      </w:pPr>
      <w:r>
        <w:rPr>
          <w:rFonts w:ascii="Consolas" w:cs="Consolas" w:eastAsia="Consolas" w:hAnsi="Consolas"/>
          <w:b w:val="false"/>
          <w:bCs w:val="false"/>
          <w:i w:val="false"/>
          <w:iCs w:val="false"/>
          <w:sz w:val="22"/>
          <w:szCs w:val="22"/>
        </w:rPr>
        <w:t xml:space="preserve">agent.decide_one(borrower) → CreditDecision</w:t>
      </w:r>
    </w:p>
    <w:p>
      <w:pPr>
        <w:spacing w:after="120"/>
      </w:pPr>
      <w:r>
        <w:rPr>
          <w:rFonts w:ascii="Arial" w:cs="Arial" w:eastAsia="Arial" w:hAnsi="Arial"/>
          <w:sz w:val="22"/>
          <w:szCs w:val="22"/>
        </w:rPr>
        <w:t xml:space="preserve">Score one borrower. CreditDecision carries recommendation, rationale, confidence, all PDs/LGD/EAD, IFRS 9 stage, four ECL/RWA measures, (v1.1) vintage_quarter, and (v1.2) lgd_source plus lgd_components.</w:t>
      </w:r>
    </w:p>
    <w:p>
      <w:pPr>
        <w:spacing w:after="120"/>
      </w:pPr>
      <w:r>
        <w:rPr>
          <w:rFonts w:ascii="Consolas" w:cs="Consolas" w:eastAsia="Consolas" w:hAnsi="Consolas"/>
          <w:b w:val="false"/>
          <w:bCs w:val="false"/>
          <w:i w:val="false"/>
          <w:iCs w:val="false"/>
          <w:sz w:val="22"/>
          <w:szCs w:val="22"/>
        </w:rPr>
        <w:t xml:space="preserve">agent.decide_portfolio(df) → PortfolioDecisionResult</w:t>
      </w:r>
    </w:p>
    <w:p>
      <w:pPr>
        <w:spacing w:after="120"/>
      </w:pPr>
      <w:r>
        <w:rPr>
          <w:rFonts w:ascii="Arial" w:cs="Arial" w:eastAsia="Arial" w:hAnsi="Arial"/>
          <w:sz w:val="22"/>
          <w:szCs w:val="22"/>
        </w:rPr>
        <w:t xml:space="preserve">Score every loan in a DataFrame.</w:t>
      </w:r>
    </w:p>
    <w:p>
      <w:pPr>
        <w:spacing w:after="120"/>
      </w:pPr>
      <w:r>
        <w:rPr>
          <w:rFonts w:ascii="Consolas" w:cs="Consolas" w:eastAsia="Consolas" w:hAnsi="Consolas"/>
          <w:b w:val="false"/>
          <w:bCs w:val="false"/>
          <w:i w:val="false"/>
          <w:iCs w:val="false"/>
          <w:sz w:val="22"/>
          <w:szCs w:val="22"/>
        </w:rPr>
        <w:t xml:space="preserve">agent.backtest(df, economics=None) → BackTestResult</w:t>
      </w:r>
    </w:p>
    <w:p>
      <w:pPr>
        <w:spacing w:after="120"/>
      </w:pPr>
      <w:r>
        <w:rPr>
          <w:rFonts w:ascii="Arial" w:cs="Arial" w:eastAsia="Arial" w:hAnsi="Arial"/>
          <w:sz w:val="22"/>
          <w:szCs w:val="22"/>
        </w:rPr>
        <w:t xml:space="preserve">Back-test the agent's policy against a labelled book. Returns BackTestResult with .cm, .auc, .gini, .precision_decline, .recall_decline, .total_profit, .by_threshold, .by_vintage, .by_asset_class, .warnings().</w:t>
      </w:r>
    </w:p>
    <w:p>
      <w:pPr>
        <w:spacing w:after="120"/>
      </w:pPr>
      <w:r>
        <w:rPr>
          <w:rFonts w:ascii="Consolas" w:cs="Consolas" w:eastAsia="Consolas" w:hAnsi="Consolas"/>
          <w:b w:val="false"/>
          <w:bCs w:val="false"/>
          <w:i w:val="false"/>
          <w:iCs w:val="false"/>
          <w:sz w:val="22"/>
          <w:szCs w:val="22"/>
        </w:rPr>
        <w:t xml:space="preserve">agent.pd_provenance → dict</w:t>
      </w:r>
    </w:p>
    <w:p>
      <w:pPr>
        <w:spacing w:after="120"/>
      </w:pPr>
      <w:r>
        <w:rPr>
          <w:rFonts w:ascii="Arial" w:cs="Arial" w:eastAsia="Arial" w:hAnsi="Arial"/>
          <w:sz w:val="22"/>
          <w:szCs w:val="22"/>
        </w:rPr>
        <w:t xml:space="preserve">Where the agent's PD model came from (source = synthetic / real, n_rows, cv_auc, etc.).</w:t>
      </w:r>
    </w:p>
    <w:p>
      <w:pPr>
        <w:spacing w:after="120"/>
      </w:pPr>
      <w:r>
        <w:rPr>
          <w:rFonts w:ascii="Consolas" w:cs="Consolas" w:eastAsia="Consolas" w:hAnsi="Consolas"/>
          <w:b w:val="false"/>
          <w:bCs w:val="false"/>
          <w:i w:val="false"/>
          <w:iCs w:val="false"/>
          <w:sz w:val="22"/>
          <w:szCs w:val="22"/>
        </w:rPr>
        <w:t xml:space="preserve">BackTestEconomics(approval_profit, default_loss_per_loan, review_profit=0, decline_profit=0)</w:t>
      </w:r>
    </w:p>
    <w:p>
      <w:pPr>
        <w:spacing w:after="120"/>
      </w:pPr>
      <w:r>
        <w:rPr>
          <w:rFonts w:ascii="Arial" w:cs="Arial" w:eastAsia="Arial" w:hAnsi="Arial"/>
          <w:sz w:val="22"/>
          <w:szCs w:val="22"/>
        </w:rPr>
        <w:t xml:space="preserve">Unit economics for the profit-at-policy calculation. Defaults to UK SME unsecured assumptions.</w:t>
      </w:r>
    </w:p>
    <w:p>
      <w:pPr>
        <w:spacing w:after="100"/>
      </w:pPr>
      <w:r>
        <w:t xml:space="preserve"/>
      </w:r>
    </w:p>
    <w:p>
      <w:pPr>
        <w:spacing w:after="100"/>
      </w:pPr>
      <w:r>
        <w:t xml:space="preserve"/>
      </w:r>
    </w:p>
    <w:p>
      <w:pPr>
        <w:spacing w:after="0" w:before="360"/>
        <w:jc w:val="center"/>
      </w:pPr>
      <w:r>
        <w:rPr>
          <w:rFonts w:ascii="Arial" w:cs="Arial" w:eastAsia="Arial" w:hAnsi="Arial"/>
          <w:i/>
          <w:iCs/>
          <w:color w:val="475569"/>
          <w:sz w:val="22"/>
          <w:szCs w:val="2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8"/>
        <w:szCs w:val="18"/>
      </w:rPr>
      <w:t xml:space="preserve">BetaCredit  ·  User Guide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766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F766E"/>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BetaCredit User Guide v1.2</dc:title>
  <dc:creator>BetaCredit</dc:creator>
  <cp:lastModifiedBy>Un-named</cp:lastModifiedBy>
  <cp:revision>1</cp:revision>
  <dcterms:created xsi:type="dcterms:W3CDTF">2026-05-27T15:02:50.854Z</dcterms:created>
  <dcterms:modified xsi:type="dcterms:W3CDTF">2026-05-27T15:02:50.866Z</dcterms:modified>
</cp:coreProperties>
</file>

<file path=docProps/custom.xml><?xml version="1.0" encoding="utf-8"?>
<Properties xmlns="http://schemas.openxmlformats.org/officeDocument/2006/custom-properties" xmlns:vt="http://schemas.openxmlformats.org/officeDocument/2006/docPropsVTypes"/>
</file>