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sz w:val="48"/>
          <w:szCs w:val="48"/>
        </w:rPr>
        <w:t xml:space="preserve">Plan de Pruebas</w:t>
      </w:r>
    </w:p>
    <w:p>
      <w:pPr>
        <w:spacing w:after="1000"/>
        <w:jc w:val="center"/>
      </w:pPr>
      <w:r>
        <w:rPr>
          <w:sz w:val="28"/>
          <w:szCs w:val="28"/>
        </w:rPr>
        <w:t xml:space="preserve">SotLoy Conecta – Plataforma SaaS Multi-tenant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Campo</w:t>
            </w:r>
          </w:p>
        </w:tc>
        <w:tc>
          <w:tcPr>
            <w:tcW w:type="dxa" w:w="60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Detalle</w:t>
            </w:r>
          </w:p>
        </w:tc>
      </w:tr>
      <w:t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Proyecto</w:t>
            </w:r>
          </w:p>
        </w:tc>
        <w:tc>
          <w:tcPr>
            <w:tcW w:type="dxa" w:w="6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SotLoy Conecta – Plataforma SaaS Multi-tenant B2B</w:t>
            </w:r>
          </w:p>
        </w:tc>
      </w:tr>
      <w:t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Cliente</w:t>
            </w:r>
          </w:p>
        </w:tc>
        <w:tc>
          <w:tcPr>
            <w:tcW w:type="dxa" w:w="6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SotLoy Asesorías</w:t>
            </w:r>
          </w:p>
        </w:tc>
      </w:tr>
      <w:t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Asignatura</w:t>
            </w:r>
          </w:p>
        </w:tc>
        <w:tc>
          <w:tcPr>
            <w:tcW w:type="dxa" w:w="6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TPY1101 – Taller Aplicado de Programación</w:t>
            </w:r>
          </w:p>
        </w:tc>
      </w:tr>
      <w:t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Equipo</w:t>
            </w:r>
          </w:p>
        </w:tc>
        <w:tc>
          <w:tcPr>
            <w:tcW w:type="dxa" w:w="6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Cristian Soto (Lead Backend &amp; Data Architect) · John Cruz (Full-Stack &amp; AI Specialist)</w:t>
            </w:r>
          </w:p>
        </w:tc>
      </w:tr>
      <w:t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Versión del documento</w:t>
            </w:r>
          </w:p>
        </w:tc>
        <w:tc>
          <w:tcPr>
            <w:tcW w:type="dxa" w:w="6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1.0</w:t>
            </w:r>
          </w:p>
        </w:tc>
      </w:tr>
      <w:t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Fecha de elaboración</w:t>
            </w:r>
          </w:p>
        </w:tc>
        <w:tc>
          <w:tcPr>
            <w:tcW w:type="dxa" w:w="6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19 de junio de 2026</w:t>
            </w:r>
          </w:p>
        </w:tc>
      </w:tr>
      <w:t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Fase del proyecto</w:t>
            </w:r>
          </w:p>
        </w:tc>
        <w:tc>
          <w:tcPr>
            <w:tcW w:type="dxa" w:w="6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Sprint 8 – “Sprint de revisión” / Cierre de Proyecto (Fase 4, según Carta Gantt y planificación de Sprints)</w:t>
            </w:r>
          </w:p>
        </w:tc>
      </w:tr>
      <w:t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Fuente técnica de verdad</w:t>
            </w:r>
          </w:p>
        </w:tc>
        <w:tc>
          <w:tcPr>
            <w:tcW w:type="dxa" w:w="6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Documentación técnica del proyecto v1.4 (19 jun 2026)</w:t>
            </w:r>
          </w:p>
        </w:tc>
      </w:tr>
    </w:tbl>
    <w:p>
      <w:r>
        <w:br w:type="page"/>
      </w:r>
    </w:p>
    <w:p>
      <w:pPr>
        <w:pStyle w:val="Heading1"/>
      </w:pPr>
      <w:r>
        <w:t xml:space="preserve">1. Introducción y objetivo</w:t>
      </w:r>
    </w:p>
    <w:p>
      <w:pPr>
        <w:spacing w:after="160"/>
      </w:pPr>
      <w:r>
        <w:t xml:space="preserve">Este documento consolida la estrategia y los casos de prueba aplicados a SotLoy Conecta durante el ciclo de desarrollo, con foco en los módulos críticos: gestión documental, auditoría, seguridad multi-tenant, motor de IA (LOY) y pagos.</w:t>
      </w:r>
    </w:p>
    <w:p>
      <w:pPr>
        <w:spacing w:after="160"/>
      </w:pPr>
      <w:r>
        <w:t xml:space="preserve">Su objetivo es dejar evidencia formal de que el sistema fue validado contra los requerimientos funcionales (RF) y no funcionales (RNF) definidos en el ERS v1.5, y de que las vulnerabilidades detectadas durante las auditorías de seguridad del 16 y 19 de junio de 2026 quedaron corregidas y cubiertas por casos de prueba de regresión.</w:t>
      </w:r>
    </w:p>
    <w:p>
      <w:pPr>
        <w:pStyle w:val="Heading1"/>
      </w:pPr>
      <w:r>
        <w:t xml:space="preserve">2. Alcance</w:t>
      </w:r>
    </w:p>
    <w:p>
      <w:pPr>
        <w:spacing w:after="160"/>
      </w:pPr>
      <w:r>
        <w:t xml:space="preserve">Incluye:</w:t>
      </w:r>
    </w:p>
    <w:p>
      <w:pPr>
        <w:pStyle w:val="ListParagraph"/>
        <w:numPr>
          <w:ilvl w:val="0"/>
          <w:numId w:val="2"/>
        </w:numPr>
        <w:spacing w:after="60"/>
      </w:pPr>
      <w:r>
        <w:t xml:space="preserve">Módulo de gestión multi-tenant y usuarios (RBAC, aislamiento de datos, bloqueo por mora/eliminación).</w:t>
      </w:r>
    </w:p>
    <w:p>
      <w:pPr>
        <w:pStyle w:val="ListParagraph"/>
        <w:numPr>
          <w:ilvl w:val="0"/>
          <w:numId w:val="2"/>
        </w:numPr>
        <w:spacing w:after="60"/>
      </w:pPr>
      <w:r>
        <w:t xml:space="preserve">Módulo de gestión documental (carga, descarga segura, sellado SHA-256, Buzón de insumos).</w:t>
      </w:r>
    </w:p>
    <w:p>
      <w:pPr>
        <w:pStyle w:val="ListParagraph"/>
        <w:numPr>
          <w:ilvl w:val="0"/>
          <w:numId w:val="2"/>
        </w:numPr>
        <w:spacing w:after="60"/>
      </w:pPr>
      <w:r>
        <w:t xml:space="preserve">Módulo de auditoría e inmutabilidad (audit_logs append-only).</w:t>
      </w:r>
    </w:p>
    <w:p>
      <w:pPr>
        <w:pStyle w:val="ListParagraph"/>
        <w:numPr>
          <w:ilvl w:val="0"/>
          <w:numId w:val="2"/>
        </w:numPr>
        <w:spacing w:after="60"/>
      </w:pPr>
      <w:r>
        <w:t xml:space="preserve">Asistente LOY (IA): RAG, búsqueda vectorial, Web Spider.</w:t>
      </w:r>
    </w:p>
    <w:p>
      <w:pPr>
        <w:pStyle w:val="ListParagraph"/>
        <w:numPr>
          <w:ilvl w:val="0"/>
          <w:numId w:val="2"/>
        </w:numPr>
        <w:spacing w:after="60"/>
      </w:pPr>
      <w:r>
        <w:t xml:space="preserve">Pasarela de pagos Flow Chile y gating de planes (PlanGate).</w:t>
      </w:r>
    </w:p>
    <w:p>
      <w:pPr>
        <w:pStyle w:val="ListParagraph"/>
        <w:numPr>
          <w:ilvl w:val="0"/>
          <w:numId w:val="2"/>
        </w:numPr>
        <w:spacing w:after="60"/>
      </w:pPr>
      <w:r>
        <w:t xml:space="preserve">Seguridad a nivel de base de datos (RLS) y de Edge Functions (control de acceso por rol).</w:t>
      </w:r>
    </w:p>
    <w:p>
      <w:pPr>
        <w:spacing w:after="160"/>
      </w:pPr>
      <w:r>
        <w:t xml:space="preserve">No incluye (deuda de negocio conocida, fuera de alcance de este plan):</w:t>
      </w:r>
    </w:p>
    <w:p>
      <w:pPr>
        <w:pStyle w:val="ListParagraph"/>
        <w:numPr>
          <w:ilvl w:val="0"/>
          <w:numId w:val="2"/>
        </w:numPr>
        <w:spacing w:after="60"/>
      </w:pPr>
      <w:r>
        <w:t xml:space="preserve">Gatekeeper automático del Spider – actualmente inserta documentos con status: ‘approved’ directo, sin aprobación previa del superadmin.</w:t>
      </w:r>
    </w:p>
    <w:p>
      <w:pPr>
        <w:pStyle w:val="ListParagraph"/>
        <w:numPr>
          <w:ilvl w:val="0"/>
          <w:numId w:val="2"/>
        </w:numPr>
        <w:spacing w:after="60"/>
      </w:pPr>
      <w:r>
        <w:t xml:space="preserve">Verificación de robots.txt en el Web Spider – no implementada.</w:t>
      </w:r>
    </w:p>
    <w:p>
      <w:pPr>
        <w:pStyle w:val="ListParagraph"/>
        <w:numPr>
          <w:ilvl w:val="0"/>
          <w:numId w:val="2"/>
        </w:numPr>
        <w:spacing w:after="60"/>
      </w:pPr>
      <w:r>
        <w:t xml:space="preserve">Leaked Password Protection (HaveIBeenPwned) – requiere plan Pro de Supabase, no disponible en el proyecto actual.</w:t>
      </w:r>
    </w:p>
    <w:p>
      <w:pPr>
        <w:pStyle w:val="Heading1"/>
      </w:pPr>
      <w:r>
        <w:t xml:space="preserve">3. Estrategia y tipos de prueba</w:t>
      </w:r>
    </w:p>
    <w:p>
      <w:pPr>
        <w:pStyle w:val="Heading2"/>
      </w:pPr>
      <w:r>
        <w:t xml:space="preserve">3.1 Pruebas unitarias (Vitest + jsdom)</w:t>
      </w:r>
    </w:p>
    <w:p>
      <w:pPr>
        <w:spacing w:after="160"/>
      </w:pPr>
      <w:r>
        <w:t xml:space="preserve">Archivos: src/App.test.tsx y src/app/hooks/useNotifications.test.tsx. Ejecución: npm run test:run. Estado actual: 4/4 pruebas aprobadas (se corrigió la suite, que estaba completamente rota por un import a una ruta inexistente).</w:t>
      </w:r>
    </w:p>
    <w:p>
      <w:pPr>
        <w:pStyle w:val="Heading2"/>
      </w:pPr>
      <w:r>
        <w:t xml:space="preserve">3.2 Pruebas funcionales manuales (QA)</w:t>
      </w:r>
    </w:p>
    <w:p>
      <w:pPr>
        <w:spacing w:after="160"/>
      </w:pPr>
      <w:r>
        <w:t xml:space="preserve">Casos TC-DOC / TC-AUD / TC-IA / TC-SEC originales, ejecutados manualmente sobre el flujo de negocio real (ver tabla 6.1).</w:t>
      </w:r>
    </w:p>
    <w:p>
      <w:pPr>
        <w:pStyle w:val="Heading2"/>
      </w:pPr>
      <w:r>
        <w:t xml:space="preserve">3.3 Pruebas de seguridad y multi-tenancy</w:t>
      </w:r>
    </w:p>
    <w:p>
      <w:pPr>
        <w:spacing w:after="160"/>
      </w:pPr>
      <w:r>
        <w:t xml:space="preserve">Verificación de RLS mediante llamadas directas a la API (tipo Postman) alterando enterprise_id, y revisión cruzada con el Security Advisor de Supabase (supabase db advisors --linked) contra el estado real de producción.</w:t>
      </w:r>
    </w:p>
    <w:p>
      <w:pPr>
        <w:pStyle w:val="Heading2"/>
      </w:pPr>
      <w:r>
        <w:t xml:space="preserve">3.4 Pruebas de regresión</w:t>
      </w:r>
    </w:p>
    <w:p>
      <w:pPr>
        <w:spacing w:after="160"/>
      </w:pPr>
      <w:r>
        <w:t xml:space="preserve">Casos derivados de vulnerabilidades y bugs reales encontrados y corregidos en las auditorías del 16 y 19 de junio de 2026 (control de acceso en Edge Functions, RLS deshabilitado en producción, Rules of Hooks, bloqueo por mora, PlanGate, etc.). Cada hallazgo de auditoría se transforma en un caso de prueba permanente para evitar reincidencia.</w:t>
      </w:r>
    </w:p>
    <w:p>
      <w:pPr>
        <w:pStyle w:val="Heading2"/>
      </w:pPr>
      <w:r>
        <w:t xml:space="preserve">3.5 Verificaciones manuales de base de datos</w:t>
      </w:r>
    </w:p>
    <w:p>
      <w:pPr>
        <w:spacing w:after="160"/>
      </w:pPr>
      <w:r>
        <w:t xml:space="preserve">Conteos de control (“sanity checks”) ejecutados directamente en el SQL Editor de Supabase sobre tablas críticas (ver sección 7).</w:t>
      </w:r>
    </w:p>
    <w:p>
      <w:pPr>
        <w:pStyle w:val="Heading1"/>
      </w:pPr>
      <w:r>
        <w:t xml:space="preserve">4. Entorno y herramientas</w:t>
      </w:r>
    </w:p>
    <w:p>
      <w:pPr>
        <w:pStyle w:val="ListParagraph"/>
        <w:numPr>
          <w:ilvl w:val="0"/>
          <w:numId w:val="2"/>
        </w:numPr>
        <w:spacing w:after="60"/>
      </w:pPr>
      <w:r>
        <w:t xml:space="preserve">Vitest + jsdom + jest-dom – pruebas unitarias de frontend.</w:t>
      </w:r>
    </w:p>
    <w:p>
      <w:pPr>
        <w:pStyle w:val="ListParagraph"/>
        <w:numPr>
          <w:ilvl w:val="0"/>
          <w:numId w:val="2"/>
        </w:numPr>
        <w:spacing w:after="60"/>
      </w:pPr>
      <w:r>
        <w:t xml:space="preserve">Supabase SQL Editor – sanity checks de base de datos.</w:t>
      </w:r>
    </w:p>
    <w:p>
      <w:pPr>
        <w:pStyle w:val="ListParagraph"/>
        <w:numPr>
          <w:ilvl w:val="0"/>
          <w:numId w:val="2"/>
        </w:numPr>
        <w:spacing w:after="60"/>
      </w:pPr>
      <w:r>
        <w:t xml:space="preserve">Postman / llamadas API directas – pruebas de penetración multi-tenant (anti-RLS).</w:t>
      </w:r>
    </w:p>
    <w:p>
      <w:pPr>
        <w:pStyle w:val="ListParagraph"/>
        <w:numPr>
          <w:ilvl w:val="0"/>
          <w:numId w:val="2"/>
        </w:numPr>
        <w:spacing w:after="60"/>
      </w:pPr>
      <w:r>
        <w:t xml:space="preserve">Supabase Security Advisor (supabase db advisors --linked) – hallazgos CRITICAL/WARN.</w:t>
      </w:r>
    </w:p>
    <w:p>
      <w:pPr>
        <w:pStyle w:val="ListParagraph"/>
        <w:numPr>
          <w:ilvl w:val="0"/>
          <w:numId w:val="2"/>
        </w:numPr>
        <w:spacing w:after="60"/>
      </w:pPr>
      <w:r>
        <w:t xml:space="preserve">Netlify – build de producción usado como ambiente de prueba end-to-end.</w:t>
      </w:r>
    </w:p>
    <w:p>
      <w:r>
        <w:br w:type="page"/>
      </w:r>
    </w:p>
    <w:p>
      <w:pPr>
        <w:pStyle w:val="Heading1"/>
      </w:pPr>
      <w:r>
        <w:t xml:space="preserve">5. Resumen de cobertura</w:t>
      </w:r>
    </w:p>
    <w:p>
      <w:pPr>
        <w:spacing w:after="160"/>
      </w:pPr>
      <w:r>
        <w:t xml:space="preserve">Total de casos de prueba documentados: 31, distribuidos en 7 grupos (funcionales originales, seguridad/control de acceso, frontend/Rules of Hooks, bloqueo por mora y eliminación, PlanGate/pagos, mensajería y documentos del trabajador, UX/auditoría/autenticación).</w:t>
      </w:r>
    </w:p>
    <w:p>
      <w:pPr>
        <w:pStyle w:val="Heading1"/>
      </w:pPr>
      <w:r>
        <w:t xml:space="preserve">6. Casos de prueba</w:t>
      </w:r>
    </w:p>
    <w:p>
      <w:pPr>
        <w:pStyle w:val="Heading2"/>
      </w:pPr>
      <w:r>
        <w:t xml:space="preserve">6.1 Casos funcionales originales (Plan de Pruebas Funcionales del 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960"/>
        <w:gridCol w:w="3200"/>
        <w:gridCol w:w="1000"/>
      </w:tblGrid>
      <w:tr>
        <w:tc>
          <w:tcPr>
            <w:tcW w:type="dxa" w:w="9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ID</w:t>
            </w:r>
          </w:p>
        </w:tc>
        <w:tc>
          <w:tcPr>
            <w:tcW w:type="dxa" w:w="13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Módulo</w:t>
            </w:r>
          </w:p>
        </w:tc>
        <w:tc>
          <w:tcPr>
            <w:tcW w:type="dxa" w:w="296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Escenario</w:t>
            </w:r>
          </w:p>
        </w:tc>
        <w:tc>
          <w:tcPr>
            <w:tcW w:type="dxa" w:w="32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Resultado esperado</w:t>
            </w:r>
          </w:p>
        </w:tc>
        <w:tc>
          <w:tcPr>
            <w:tcW w:type="dxa" w:w="10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TC-DOC-01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Centralización</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Admin sube lote de PDFs de “Pyme Alfa”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Hash SHA-256 calculado, archivo en Storage, metadatos en documents, acceso restringido por tenant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Aprobado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TC-DOC-02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Centralización</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Cliente Pyme Alfa descarga documento</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URL firmada de Supabase Storage con expiración de 60 minutos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Aprobado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TC-AUD-01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Trazabilidad</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Trabajador visualiza/descarga su contrato</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Inserción append-only en audit_logs con timestamp servidor, ID usuario, acción e IP</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Aprobado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TC-AUD-02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Trazabilidad</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Dueño Pyme exporta reporte LRE</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Archivo CSV o XML compatible con normas DT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Aprobado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TC-IA-01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Automatización</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Ejecución del Web Spider</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Datos en loy_spider_logs; documentos insertados en loy_knowledge_documents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Aprobado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TC-IA-02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IA (LOY)</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Pregunta: “¿Cuál es el plazo legal para pagar un finiquito?”</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Respuesta con contexto pgvector + LLM + sección de fuentes + disclaimer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Aprobado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Seguridad</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Usuario Pyme A intenta leer datos de Pyme B vía Postman (alterando enterprise_id)</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RLS de PostgreSQL intercepta → arreglo vacío o error 403, sin fuga de datos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Aprobado</w:t>
            </w:r>
          </w:p>
        </w:tc>
      </w:tr>
    </w:tbl>
    <w:p>
      <w:pPr>
        <w:pStyle w:val="Heading2"/>
      </w:pPr>
      <w:r>
        <w:t xml:space="preserve">6.2 Regresión – control de acceso y RLS (auditoría 16 de junio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960"/>
        <w:gridCol w:w="3200"/>
        <w:gridCol w:w="1000"/>
      </w:tblGrid>
      <w:tr>
        <w:tc>
          <w:tcPr>
            <w:tcW w:type="dxa" w:w="9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ID</w:t>
            </w:r>
          </w:p>
        </w:tc>
        <w:tc>
          <w:tcPr>
            <w:tcW w:type="dxa" w:w="13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Módulo</w:t>
            </w:r>
          </w:p>
        </w:tc>
        <w:tc>
          <w:tcPr>
            <w:tcW w:type="dxa" w:w="296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Escenario</w:t>
            </w:r>
          </w:p>
        </w:tc>
        <w:tc>
          <w:tcPr>
            <w:tcW w:type="dxa" w:w="32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Resultado esperado</w:t>
            </w:r>
          </w:p>
        </w:tc>
        <w:tc>
          <w:tcPr>
            <w:tcW w:type="dxa" w:w="10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secure-document-url</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Rol ‘usuario’ intenta acceder, vía API, a un documento de OTRO trabajador de su misma empresa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Acceso denegado (antes: el bug daba acceso a todos los documentos de la empresa)</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TC-SEC-03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documents (upload)</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Rol ‘usuario’ intenta subir un documento al Buzón sin ser empresa/admin/superadmin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Acceso denegado (antes: cualquier rol con el mismo enterprise_id podía subir)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TC-SEC-04</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RLS – enterprises</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Verificar flag RLS habilitado + políticas enterprises_select_tenant y enterprises_update_admin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RLS activo, 4/4 políticas presentes en producción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TC-SEC-05</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RLS – loy_knowledge_documents</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Verificar flag RLS habilitado (afecta directamente al Gatekeeper)</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RLS activo; la anon key ya no puede leer/modificar la base de conocimiento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TC-SEC-06</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Vista document_view_stats</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Verificar security_invoker = on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La vista respeta el RLS de document_views (ya no corre como SECURITY DEFINER)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TC-SEC-07</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payments / subscriptions / pending_emails / notifications</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Verificar ausencia de política “Allow all” pública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Sin acceso anónimo; pending_emails solo permite INSERT a authenticated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TC-SEC-08</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document_views (INSERT)</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Intentar insertar un registro de vista atribuido a otro viewer_id</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Rechazado – WITH CHECK (viewer_id = auth.uid())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TC-SEC-09</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current_profile()</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Verificar que el rol anon no puede ejecutar la función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Ejecución denegada a anon (grant implícito a PUBLIC revocado)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TC-SEC-10</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Funciones RBAC</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Verificar search_path fijo en is_sotloy_admin, current_app_role, current_empresa_id, safe_uuid y demás (17 funciones)</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search_path = public en todas; sin riesgo de search_path hijacking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bl>
    <w:p>
      <w:pPr>
        <w:pStyle w:val="Heading2"/>
      </w:pPr>
      <w:r>
        <w:t xml:space="preserve">6.3 Frontend – Rules of Hooks y suite de tests (auditoría 16 de junio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960"/>
        <w:gridCol w:w="3200"/>
        <w:gridCol w:w="1000"/>
      </w:tblGrid>
      <w:tr>
        <w:tc>
          <w:tcPr>
            <w:tcW w:type="dxa" w:w="9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ID</w:t>
            </w:r>
          </w:p>
        </w:tc>
        <w:tc>
          <w:tcPr>
            <w:tcW w:type="dxa" w:w="13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Módulo</w:t>
            </w:r>
          </w:p>
        </w:tc>
        <w:tc>
          <w:tcPr>
            <w:tcW w:type="dxa" w:w="296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Escenario</w:t>
            </w:r>
          </w:p>
        </w:tc>
        <w:tc>
          <w:tcPr>
            <w:tcW w:type="dxa" w:w="32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Resultado esperado</w:t>
            </w:r>
          </w:p>
        </w:tc>
        <w:tc>
          <w:tcPr>
            <w:tcW w:type="dxa" w:w="10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TC-FE-01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PerfilPage.tsx</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Render inicial cuando cae en la rama de guard de ruta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No debe lanzar “Rendered fewer hooks than expected”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TC-FE-02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PagosPage.tsx</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Ídem</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Ídem</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TC-TEST-01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Suite Vitest</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Ejecutar npm run test:run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Suite completa pasa (4/4); useNotifications.test.tsx alineado con el hook real</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bl>
    <w:p>
      <w:pPr>
        <w:pStyle w:val="Heading2"/>
      </w:pPr>
      <w:r>
        <w:t xml:space="preserve">6.4 Bloqueo por mora y eliminación de cuentas (sesión 19 de junio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960"/>
        <w:gridCol w:w="3200"/>
        <w:gridCol w:w="1000"/>
      </w:tblGrid>
      <w:tr>
        <w:tc>
          <w:tcPr>
            <w:tcW w:type="dxa" w:w="9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ID</w:t>
            </w:r>
          </w:p>
        </w:tc>
        <w:tc>
          <w:tcPr>
            <w:tcW w:type="dxa" w:w="13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Módulo</w:t>
            </w:r>
          </w:p>
        </w:tc>
        <w:tc>
          <w:tcPr>
            <w:tcW w:type="dxa" w:w="296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Escenario</w:t>
            </w:r>
          </w:p>
        </w:tc>
        <w:tc>
          <w:tcPr>
            <w:tcW w:type="dxa" w:w="32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Resultado esperado</w:t>
            </w:r>
          </w:p>
        </w:tc>
        <w:tc>
          <w:tcPr>
            <w:tcW w:type="dxa" w:w="10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TC-ACC-01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AuthContext / login</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Empresa con subscription_status = ‘suspended’ intenta iniciar sesión (empresa o trabajador asociado)</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Login rechazado; mensaje “Acceso suspendido por mora”</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TC-ACC-02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AuthContext / login</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Empresa con subscription_status = ‘archived’ intenta iniciar sesión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Login rechazado con el mensaje correspondiente a empresa archivada</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TC-ACC-03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AuthContext / sesión activa</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La empresa pasa a suspended/archived mientras un trabajador tiene sesión abierta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Sesión expulsada en ≤60 s (intervalo de verificación)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TC-ACC-04</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AuthContext</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Admin/superadmin de una empresa suspendida intenta iniciar sesión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Nunca se bloquea (admin/superadmin exentos del bloqueo por mora)</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TC-DEL-01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delete-enterprise (Edge Function)</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Superadmin elimina una empresa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Soft-delete (archived), suscripción cancelada; documentos y perfiles NO se borran; ENTERPRISE_DELETE en audit_logs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 – pendiente deploy</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TC-DEL-02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delete-user (Edge Function)</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 elimina un usuario que tiene documentos asociados</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Documentos preservados: user_id → NULL, uploaded_by → actorId, enterprise_id intacto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 – pendiente deploy</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TC-DEL-03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delete-user</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Un usuario intenta autoeliminarse</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Rechazado (guard anti-auto-borrado)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 – pendiente deploy</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TC-DEL-04</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delete-user</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 intenta eliminar al último superadmin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Rechazado (guard último superadmin)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 – pendiente deploy</w:t>
            </w:r>
          </w:p>
        </w:tc>
      </w:tr>
    </w:tbl>
    <w:p>
      <w:pPr>
        <w:pStyle w:val="Heading2"/>
      </w:pPr>
      <w:r>
        <w:t xml:space="preserve">6.5 PlanGate, suscripción y pagos (sesión 19 de junio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960"/>
        <w:gridCol w:w="3200"/>
        <w:gridCol w:w="1000"/>
      </w:tblGrid>
      <w:tr>
        <w:tc>
          <w:tcPr>
            <w:tcW w:type="dxa" w:w="9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ID</w:t>
            </w:r>
          </w:p>
        </w:tc>
        <w:tc>
          <w:tcPr>
            <w:tcW w:type="dxa" w:w="13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Módulo</w:t>
            </w:r>
          </w:p>
        </w:tc>
        <w:tc>
          <w:tcPr>
            <w:tcW w:type="dxa" w:w="296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Escenario</w:t>
            </w:r>
          </w:p>
        </w:tc>
        <w:tc>
          <w:tcPr>
            <w:tcW w:type="dxa" w:w="32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Resultado esperado</w:t>
            </w:r>
          </w:p>
        </w:tc>
        <w:tc>
          <w:tcPr>
            <w:tcW w:type="dxa" w:w="10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TC-PLAN-01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PlanGate</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Empresa sin primer_mes_pagado y subscription_status ≠ active intenta acceder a Documentos/Mensajes</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Acceso bloqueado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TC-PLAN-02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PlanGate</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Empresa con plan pagado pero estado suspended/archived</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Acceso bloqueado igualmente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TC-PLAN-03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PlanGate – “Mi Suscripción”</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Acceder a “Mi Suscripción” en cualquier estado de plan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Nunca se bloquea (regresión del bug que la bloqueaba vía selectedWorker)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TC-PAY-01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SubscriptionManager</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Empresa con plan activo dentro del periodo pagado intenta cambiar de plan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Bloqueado (candado de cambio de plan); exento para admin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TC-PAY-02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SubscriptionManager / applyPayment</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Pago combinado auditoría + plan en una sola transacción</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auditoria_pagada = true y plan activo tras un solo pago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TC-PAY-03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SuperAdminView</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Alta de una empresa nueva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Nace en trial, plan = null, auditoria_pagada = false (sin selector de plan en la creación)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bl>
    <w:p>
      <w:pPr>
        <w:pStyle w:val="Heading2"/>
      </w:pPr>
      <w:r>
        <w:t xml:space="preserve">6.6 Mensajería, documentos del trabajador, UX, auditoría y autenticación (sesión 19 de junio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960"/>
        <w:gridCol w:w="3200"/>
        <w:gridCol w:w="1000"/>
      </w:tblGrid>
      <w:tr>
        <w:tc>
          <w:tcPr>
            <w:tcW w:type="dxa" w:w="9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ID</w:t>
            </w:r>
          </w:p>
        </w:tc>
        <w:tc>
          <w:tcPr>
            <w:tcW w:type="dxa" w:w="13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Módulo</w:t>
            </w:r>
          </w:p>
        </w:tc>
        <w:tc>
          <w:tcPr>
            <w:tcW w:type="dxa" w:w="296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Escenario</w:t>
            </w:r>
          </w:p>
        </w:tc>
        <w:tc>
          <w:tcPr>
            <w:tcW w:type="dxa" w:w="32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Resultado esperado</w:t>
            </w:r>
          </w:p>
        </w:tc>
        <w:tc>
          <w:tcPr>
            <w:tcW w:type="dxa" w:w="10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TC-MSG-01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MessageCenter</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Trabajador intenta contactar a una cuenta ‘empresa’ que no es la suya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Contacto no visible / no permitido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TC-DOC-04</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documents (upload)</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Rol ‘usuario’ sube un documento a su propia empresa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Permitido solo si profileEnterpriseId === enterpriseId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 – pendiente deploy</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TC-UX-01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Formulario empresa / empleado</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Ingreso de RUT en el formulario</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Autoformateo xx.xxx.xxx-x mientras se escribe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TC-AUD-03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AuditLogViewer / reporte PDF</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Visualizar el timestamp de un evento de auditoría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 muestra en hora de Chile (America/Santiago, 24h), no en UTC crudo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Corregido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TC-AUTH-02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ResetPassword.tsx</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Usuario completa el flujo de recuperación y define nueva contraseña</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signOut() automático y redirección a login; sin auto-login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TC-AUTH-03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AuthContext.changePassword</w:t>
            </w:r>
          </w:p>
        </w:tc>
        <w:tc>
          <w:tcPr>
            <w:tcW w:type="dxa" w:w="29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Usuario cambia su contraseña desde el perfil ya autenticado</w:t>
            </w:r>
          </w:p>
        </w:tc>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Mantiene la sesión activa (comportamiento distinto a TC-AUTH-02, intencional)</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Implementado</w:t>
            </w:r>
          </w:p>
        </w:tc>
      </w:tr>
    </w:tbl>
    <w:p>
      <w:pPr>
        <w:pStyle w:val="Heading1"/>
      </w:pPr>
      <w:r>
        <w:t xml:space="preserve">7. Verificaciones manuales de base de datos (sanity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1700"/>
        <w:gridCol w:w="1300"/>
      </w:tblGrid>
      <w:tr>
        <w:tc>
          <w:tcPr>
            <w:tcW w:type="dxa" w:w="26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Verificación</w:t>
            </w:r>
          </w:p>
        </w:tc>
        <w:tc>
          <w:tcPr>
            <w:tcW w:type="dxa" w:w="376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Consulta SQL</w:t>
            </w:r>
          </w:p>
        </w:tc>
        <w:tc>
          <w:tcPr>
            <w:tcW w:type="dxa" w:w="17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Valor esperado</w:t>
            </w:r>
          </w:p>
        </w:tc>
        <w:tc>
          <w:tcPr>
            <w:tcW w:type="dxa" w:w="1300"/>
            <w:tcBorders>
              <w:top w:val="single" w:color="BFBFBF" w:sz="2"/>
              <w:left w:val="single" w:color="BFBFBF" w:sz="2"/>
              <w:bottom w:val="single" w:color="BFBFBF" w:sz="2"/>
              <w:right w:val="single" w:color="BFBFBF" w:sz="2"/>
            </w:tcBorders>
            <w:shd w:fill="D9D9D9" w:val="clear"/>
            <w:tcMar>
              <w:top w:type="dxa" w:w="60"/>
              <w:left w:type="dxa" w:w="100"/>
              <w:bottom w:type="dxa" w:w="60"/>
              <w:right w:type="dxa" w:w="100"/>
            </w:tcMar>
          </w:tcPr>
          <w:p>
            <w:r>
              <w:rPr>
                <w:b/>
                <w:bCs/>
                <w:sz w:val="18"/>
                <w:szCs w:val="18"/>
              </w:rPr>
              <w:t xml:space="preserve">Estado</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Base vectorial LOY</w:t>
            </w:r>
          </w:p>
        </w:tc>
        <w:tc>
          <w:tcPr>
            <w:tcW w:type="dxa" w:w="37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SELECT COUNT(*) FROM loy_knowledge_documents;</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 1.507</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OK</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Integridad relacional LOY</w:t>
            </w:r>
          </w:p>
        </w:tc>
        <w:tc>
          <w:tcPr>
            <w:tcW w:type="dxa" w:w="37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SELECT COUNT(*) FROM loy_messages m JOIN loy_conversations c ON m.conversation_id = c.id;</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Sin error</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OK</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Semilla document_legal_categories</w:t>
            </w:r>
          </w:p>
        </w:tc>
        <w:tc>
          <w:tcPr>
            <w:tcW w:type="dxa" w:w="37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SELECT COUNT(*) FROM document_legal_categories;</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55</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OK</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Sanity check post-restauración</w:t>
            </w:r>
          </w:p>
        </w:tc>
        <w:tc>
          <w:tcPr>
            <w:tcW w:type="dxa" w:w="37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SELECT COUNT(*) FROM loy_conversations;</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14</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18"/>
                <w:szCs w:val="18"/>
              </w:rPr>
              <w:t xml:space="preserve">OK</w:t>
            </w:r>
          </w:p>
        </w:tc>
      </w:tr>
    </w:tbl>
    <w:p>
      <w:pPr>
        <w:pStyle w:val="Heading1"/>
      </w:pPr>
      <w:r>
        <w:t xml:space="preserve">8. Riesgos y pendientes</w:t>
      </w:r>
    </w:p>
    <w:p>
      <w:pPr>
        <w:pStyle w:val="ListParagraph"/>
        <w:numPr>
          <w:ilvl w:val="0"/>
          <w:numId w:val="2"/>
        </w:numPr>
        <w:spacing w:after="60"/>
      </w:pPr>
      <w:r>
        <w:t xml:space="preserve">Edge Functions pendientes de despliegue para que los casos TC-DEL-01/02/03/04 y TC-DOC-04 apliquen en producción: supabase functions deploy delete-enterprise delete-user documents.</w:t>
      </w:r>
    </w:p>
    <w:p>
      <w:pPr>
        <w:pStyle w:val="ListParagraph"/>
        <w:numPr>
          <w:ilvl w:val="0"/>
          <w:numId w:val="2"/>
        </w:numPr>
        <w:spacing w:after="60"/>
      </w:pPr>
      <w:r>
        <w:t xml:space="preserve">El Gatekeeper del Spider sigue auto-aprobando normativa (status: ‘approved’ directo) – deuda de negocio conocida, no resuelta en este ciclo.</w:t>
      </w:r>
    </w:p>
    <w:p>
      <w:pPr>
        <w:pStyle w:val="ListParagraph"/>
        <w:numPr>
          <w:ilvl w:val="0"/>
          <w:numId w:val="2"/>
        </w:numPr>
        <w:spacing w:after="60"/>
      </w:pPr>
      <w:r>
        <w:t xml:space="preserve">Verificación de robots.txt no implementada en el Web Spider.</w:t>
      </w:r>
    </w:p>
    <w:p>
      <w:pPr>
        <w:pStyle w:val="ListParagraph"/>
        <w:numPr>
          <w:ilvl w:val="0"/>
          <w:numId w:val="2"/>
        </w:numPr>
        <w:spacing w:after="60"/>
      </w:pPr>
      <w:r>
        <w:t xml:space="preserve">Leaked Password Protection no disponible (requiere upgrade a plan Pro de Supabase).</w:t>
      </w:r>
    </w:p>
    <w:p>
      <w:pPr>
        <w:pStyle w:val="ListParagraph"/>
        <w:numPr>
          <w:ilvl w:val="0"/>
          <w:numId w:val="2"/>
        </w:numPr>
        <w:spacing w:after="60"/>
      </w:pPr>
      <w:r>
        <w:t xml:space="preserve">182 advertencias/errores de ESLint preexistentes (variables sin usar, tipos any) – no bloquean el build de Netlify; deuda técnica pendiente de limpieza.</w:t>
      </w:r>
    </w:p>
    <w:p>
      <w:pPr>
        <w:pStyle w:val="Heading1"/>
      </w:pPr>
      <w:r>
        <w:t xml:space="preserve">9. Conclusiones</w:t>
      </w:r>
    </w:p>
    <w:p>
      <w:pPr>
        <w:spacing w:after="160"/>
      </w:pPr>
      <w:r>
        <w:t xml:space="preserve">El sistema cuenta con una base de pruebas funcionales originales ya aprobadas (TC-DOC, TC-AUD, TC-IA, TC-SEC) y, adicionalmente, con un conjunto robusto de casos de regresión nacidos directamente de auditorías de seguridad reales ejecutadas sobre el código y la base de datos en producción. Esto eleva el nivel de confianza del cierre de proyecto por sobre una simple lista de requerimientos cumplidos: cada vulnerabilidad real detectada quedó institucionalizada como caso de prueba permanente. El principal pendiente para el sprint final es desplegar las Edge Functions modificadas (delete-enterprise, delete-user, documents) para que los casos correspondientes queden activos también en producción.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0"/>
      <w:szCs w:val="30"/>
    </w:rPr>
  </w:style>
  <w:style w:type="paragraph" w:styleId="Heading2">
    <w:name w:val="Heading 2"/>
    <w:basedOn w:val="Normal"/>
    <w:next w:val="Normal"/>
    <w:qFormat/>
    <w:pPr>
      <w:spacing w:after="14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2026-06-23T08:55:45.040Z</dcterms:created>
  <dcterms:modified xsi:type="dcterms:W3CDTF">2026-06-23T08:55:45.040Z</dcterms:modified>
</cp:coreProperties>
</file>

<file path=docProps/custom.xml><?xml version="1.0" encoding="utf-8"?>
<Properties xmlns="http://schemas.openxmlformats.org/officeDocument/2006/custom-properties" xmlns:vt="http://schemas.openxmlformats.org/officeDocument/2006/docPropsVTypes"/>
</file>