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xyke4kqx0u7j" w:id="0"/>
      <w:bookmarkEnd w:id="0"/>
      <w:r>
        <w:rPr>
          <w:b w:val="1"/>
          <w:bCs w:val="1"/>
          <w:rtl w:val="0"/>
        </w:rPr>
        <w:t xml:space="preserve">Documento de Justificación de Entorno Cloud e Infraestructura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Proyecto:</w:t>
      </w:r>
      <w:r>
        <w:rPr>
          <w:rtl w:val="0"/>
        </w:rPr>
        <w:t xml:space="preserve"> SotLoy Conecta – Plataforma SaaS Multi-tenant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Versión:</w:t>
      </w:r>
      <w:r>
        <w:rPr>
          <w:rtl w:val="0"/>
        </w:rPr>
        <w:t xml:space="preserve"> 1.1 | </w:t>
      </w:r>
      <w:r>
        <w:rPr>
          <w:b w:val="1"/>
          <w:bCs w:val="1"/>
          <w:rtl w:val="0"/>
        </w:rPr>
        <w:t xml:space="preserve">Fecha:</w:t>
      </w:r>
      <w:r>
        <w:rPr>
          <w:rtl w:val="0"/>
        </w:rPr>
        <w:t xml:space="preserve"> 26 de Marzo de 2026</w:t>
      </w:r>
    </w:p>
    <w:p w:rsidR="00000000" w:rsidDel="00000000" w:rsidP="00000000" w:rsidRDefault="00000000" w:rsidRPr="00000000" w14:paraId="00000004">
      <w:pPr>
        <w:spacing w:after="240" w:lineRule="auto"/>
        <w:rPr/>
      </w:pPr>
      <w:r>
        <w:rPr>
          <w:b w:val="1"/>
          <w:bCs w:val="1"/>
          <w:rtl w:val="0"/>
        </w:rPr>
        <w:t xml:space="preserve">Responsables Técnicos:</w:t>
      </w:r>
      <w:r>
        <w:rPr>
          <w:rtl w:val="0"/>
        </w:rPr>
        <w:t xml:space="preserve"> Cristian Soto (Lead Backend &amp; Data Architect) y John Cruz (Full-Stack &amp; AI Specialist)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bq8356gx5v" w:id="1"/>
      <w:bookmarkEnd w:id="1"/>
      <w:r>
        <w:rPr>
          <w:b w:val="1"/>
          <w:bCs w:val="1"/>
          <w:color w:val="000000"/>
          <w:sz w:val="26"/>
          <w:szCs w:val="26"/>
          <w:rtl w:val="0"/>
        </w:rPr>
        <w:t xml:space="preserve">0. Glosario de Términos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>
        <w:rPr>
          <w:b w:val="1"/>
          <w:bCs w:val="1"/>
          <w:rtl w:val="0"/>
        </w:rPr>
        <w:t xml:space="preserve">Edge Functions:</w:t>
      </w:r>
      <w:r>
        <w:rPr>
          <w:rtl w:val="0"/>
        </w:rPr>
        <w:t xml:space="preserve"> Funciones serverless de Supabase que se ejecutan en la red global de edge computing (Deno/TypeScript).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pgvector:</w:t>
      </w:r>
      <w:r>
        <w:rPr>
          <w:rtl w:val="0"/>
        </w:rPr>
        <w:t xml:space="preserve"> Extensión de PostgreSQL para almacenar y buscar embeddings vectoriales (búsqueda semántica).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RLS (Row Level Security):</w:t>
      </w:r>
      <w:r>
        <w:rPr>
          <w:rtl w:val="0"/>
        </w:rPr>
        <w:t xml:space="preserve"> Seguridad a nivel de fila nativa en PostgreSQL que permite aislar datos por tenant.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RAG:</w:t>
      </w:r>
      <w:r>
        <w:rPr>
          <w:rtl w:val="0"/>
        </w:rPr>
        <w:t xml:space="preserve"> Retrieval-Augmented Generation – Arquitectura que combina recuperación de datos propios con un LLM.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URLs Firmadas:</w:t>
      </w:r>
      <w:r>
        <w:rPr>
          <w:rtl w:val="0"/>
        </w:rPr>
        <w:t xml:space="preserve"> Enlaces temporales generados por Supabase Storage para descargas seguras.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nxqxugg2m4" w:id="2"/>
      <w:bookmarkEnd w:id="2"/>
      <w:r>
        <w:rPr>
          <w:b w:val="1"/>
          <w:bCs w:val="1"/>
          <w:color w:val="000000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xrktyjg6cx1" w:id="3"/>
      <w:bookmarkEnd w:id="3"/>
      <w:r>
        <w:rPr>
          <w:b w:val="1"/>
          <w:bCs w:val="1"/>
          <w:color w:val="000000"/>
          <w:sz w:val="22"/>
          <w:szCs w:val="22"/>
          <w:rtl w:val="0"/>
        </w:rPr>
        <w:t xml:space="preserve">1.1 Propósito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>
        <w:rPr>
          <w:rtl w:val="0"/>
        </w:rPr>
        <w:t xml:space="preserve">Justificar la selección de la infraestructura cloud para SotLoy Conecta, garantizando escalabilidad, seguridad, aislamiento multi-tenant y cumplimiento normativo, alineado con los requerimientos definidos en la Especificación de Requerimientos de Software (ERS v1.5).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qbkq0edw18b" w:id="4"/>
      <w:bookmarkEnd w:id="4"/>
      <w:r>
        <w:rPr>
          <w:b w:val="1"/>
          <w:bCs w:val="1"/>
          <w:color w:val="000000"/>
          <w:sz w:val="22"/>
          <w:szCs w:val="22"/>
          <w:rtl w:val="0"/>
        </w:rPr>
        <w:t xml:space="preserve">1.2 Alcance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>
        <w:rPr>
          <w:rtl w:val="0"/>
        </w:rPr>
        <w:t xml:space="preserve">Este documento cubre la arquitectura completa: base de datos, autenticación, almacenamiento, cómputo serverless, IA (RAG) y automatizaciones. Se excluyen el frontend (React + Vite + Tailwind) y la pasarela de pagos Flow (integrada vía Edge Functions).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kzl8o259ig" w:id="5"/>
      <w:bookmarkEnd w:id="5"/>
      <w:r>
        <w:rPr>
          <w:b w:val="1"/>
          <w:bCs w:val="1"/>
          <w:color w:val="000000"/>
          <w:sz w:val="26"/>
          <w:szCs w:val="26"/>
          <w:rtl w:val="0"/>
        </w:rPr>
        <w:t xml:space="preserve">2. Descripción General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>
        <w:rPr>
          <w:rtl w:val="0"/>
        </w:rPr>
        <w:t xml:space="preserve">La arquitectura se basa en un modelo </w:t>
      </w:r>
      <w:r>
        <w:rPr>
          <w:b w:val="1"/>
          <w:bCs w:val="1"/>
          <w:rtl w:val="0"/>
        </w:rPr>
        <w:t xml:space="preserve">PaaS (Platform as a Service)</w:t>
      </w:r>
      <w:r>
        <w:rPr>
          <w:rtl w:val="0"/>
        </w:rPr>
        <w:t xml:space="preserve"> centrado en </w:t>
      </w:r>
      <w:r>
        <w:rPr>
          <w:b w:val="1"/>
          <w:bCs w:val="1"/>
          <w:rtl w:val="0"/>
        </w:rPr>
        <w:t xml:space="preserve">Supabase</w:t>
      </w:r>
      <w:r>
        <w:rPr>
          <w:rtl w:val="0"/>
        </w:rPr>
        <w:t xml:space="preserve"> como núcleo principal. Esta decisión permite un ecosistema unificado (PostgreSQL, Auth, Storage, Edge Functions y Vector Search) reduciendo complejidad operativa y costos de integración.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Ventajas clave de Supabase frente a alternativas: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b w:val="1"/>
          <w:bCs w:val="1"/>
          <w:rtl w:val="0"/>
        </w:rPr>
        <w:t xml:space="preserve">Vs Firebase:</w:t>
      </w:r>
      <w:r>
        <w:rPr>
          <w:rtl w:val="0"/>
        </w:rPr>
        <w:t xml:space="preserve"> PostgreSQL relacional + RLS nativo (mejor para multi-tenancy y trazabilidad legal) y pgvector integrado (superior para RAG).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Vs AWS Amplify / RDS:</w:t>
      </w:r>
      <w:r>
        <w:rPr>
          <w:rtl w:val="0"/>
        </w:rPr>
        <w:t xml:space="preserve"> Menor complejidad operativa y mejor experiencia de desarrollador para startups, manteniendo la opción futura de self-hosting.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Beneficios generales:</w:t>
      </w:r>
      <w:r>
        <w:rPr>
          <w:rtl w:val="0"/>
        </w:rPr>
        <w:t xml:space="preserve"> Facturación predecible, integración nativa con PostgreSQL, y soporte para extensiones como pg_cron y pgvector.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n35q8kpvpb" w:id="6"/>
      <w:bookmarkEnd w:id="6"/>
      <w:r>
        <w:rPr>
          <w:b w:val="1"/>
          <w:bCs w:val="1"/>
          <w:color w:val="000000"/>
          <w:sz w:val="26"/>
          <w:szCs w:val="26"/>
          <w:rtl w:val="0"/>
        </w:rPr>
        <w:t xml:space="preserve">3. Requerimientos Funcionales de Infraestructura (RFI)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RFI-1.01: Motor de Base de Datos y Multi-tenancy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>
        <w:rPr>
          <w:rtl w:val="0"/>
        </w:rPr>
        <w:t xml:space="preserve">Especificación: Utilizar PostgreSQL gestionado por Supabase con extensión pgvector.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>
        <w:rPr>
          <w:rtl w:val="0"/>
        </w:rPr>
        <w:t xml:space="preserve">CA: Implementar políticas RLS para filtrar todos los datos por tenant_id (ver ERS RF-1.02). Un usuario de una Pyme no debe acceder a datos de otra ni por API directa.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RFI-1.02: Almacenamiento Documental Seguro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>
        <w:rPr>
          <w:rtl w:val="0"/>
        </w:rPr>
        <w:t xml:space="preserve">Especificación: Supabase Storage (compatible con S3) con encriptación AES-256 en reposo.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rtl w:val="0"/>
        </w:rPr>
        <w:t xml:space="preserve">CA: Todas las descargas se realizarán mediante URLs firmadas con caducidad de 60 minutos (ERS RF-2.02).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RFI-1.03: Automatización de Actualizaciones Normativas</w:t>
      </w:r>
      <w:r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>
        <w:rPr>
          <w:rtl w:val="0"/>
        </w:rPr>
        <w:t xml:space="preserve">Especificación: Web Spider ejecutado vía pg_cron + Edge Function cada jueves a las 00:00 AM.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>
        <w:rPr>
          <w:rtl w:val="0"/>
        </w:rPr>
        <w:t xml:space="preserve">CA: El proceso respetará robots.txt y tendrá delay entre peticiones. Ningún contenido será indexado en pgvector sin aprobación manual del Super Admin (Gatekeeper – ERS RF-4.04).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RFI-1.04: Integración de Pasarela de Pagos</w:t>
      </w:r>
      <w:r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>
        <w:rPr>
          <w:rtl w:val="0"/>
        </w:rPr>
        <w:t xml:space="preserve">Especificación: Procesamiento de Webhooks de Flow mediante Edge Functions.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>
        <w:rPr>
          <w:rtl w:val="0"/>
        </w:rPr>
        <w:t xml:space="preserve">CA: Al recibir estado “2” (Aceptado), actualizar automáticamente el estado de suscripción de la Pyme a “Vigente” en menos de 30 segundos (ERS RF-1.04).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43prwsa6it" w:id="7"/>
      <w:bookmarkEnd w:id="7"/>
      <w:r>
        <w:rPr>
          <w:b w:val="1"/>
          <w:bCs w:val="1"/>
          <w:color w:val="000000"/>
          <w:sz w:val="26"/>
          <w:szCs w:val="26"/>
          <w:rtl w:val="0"/>
        </w:rPr>
        <w:t xml:space="preserve">4. Requerimientos No Funcionales de Infraestructura (RNFI)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Módulo 1: Seguridad y Cumplimiento</w:t>
      </w:r>
      <w:r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>
        <w:rPr>
          <w:rtl w:val="0"/>
        </w:rPr>
        <w:t xml:space="preserve">RNFI-1.01: Autenticación y Sesiones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>
        <w:rPr>
          <w:rtl w:val="0"/>
        </w:rPr>
        <w:t xml:space="preserve">Especificación: Supabase Auth con JWT y rotación. Contraseñas almacenadas con Argon2id (ERS RNF-1.01 y RNF-1.02).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>
        <w:rPr>
          <w:rtl w:val="0"/>
        </w:rPr>
        <w:t xml:space="preserve">RNFI-1.02: Trazabilidad Inmutable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>
        <w:rPr>
          <w:rtl w:val="0"/>
        </w:rPr>
        <w:t xml:space="preserve">Especificación: Tabla audit_logs con triggers de solo inserción (append-only).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>
        <w:rPr>
          <w:rtl w:val="0"/>
        </w:rPr>
        <w:t xml:space="preserve">CA: Registrar IP, User-Agent, Timestamp y Hash SHA-256 en toda interacción con documentos (ERS RF-3.01).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Módulo 2: Inteligencia Artificial y RAG</w:t>
      </w:r>
      <w:r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>
        <w:rPr>
          <w:rtl w:val="0"/>
        </w:rPr>
        <w:t xml:space="preserve">RNFI-2.01: Motor LOY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>
        <w:rPr>
          <w:rtl w:val="0"/>
        </w:rPr>
        <w:t xml:space="preserve">Especificación: GPT-4o mini vía API OpenAI Enterprise + RAG sobre pgvector.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>
        <w:rPr>
          <w:rtl w:val="0"/>
        </w:rPr>
        <w:t xml:space="preserve">CA 1: Los datos de consultas de Pymes no se utilizan para entrenar modelos de OpenAI (compromiso Enterprise).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>
        <w:rPr>
          <w:rtl w:val="0"/>
        </w:rPr>
        <w:t xml:space="preserve">CA 2: Cada respuesta incluirá disclaimer legal y sección “Fuentes Consultadas” (ERS RNF-4.01 y RF-4.02).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Módulo 3: Rendimiento y Escalabilidad</w:t>
      </w:r>
      <w:r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>
        <w:rPr>
          <w:rtl w:val="0"/>
        </w:rPr>
        <w:t xml:space="preserve">RNFI-3.01: Tiempos de Respuesta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>
        <w:rPr>
          <w:rtl w:val="0"/>
        </w:rPr>
        <w:t xml:space="preserve">Especificación: Consultas relacionales &lt; 2s y búsquedas vectoriales &lt; 5s.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>
        <w:rPr>
          <w:rtl w:val="0"/>
        </w:rPr>
        <w:t xml:space="preserve">CA: Procesos pesados (vectorización, Spider) se ejecutan en Edge Functions aisladas para no afectar la API principal (ERS RNF-2.01).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>
        <w:rPr>
          <w:rtl w:val="0"/>
        </w:rPr>
        <w:t xml:space="preserve">RNFI-3.02: Disponibilidad y Resiliencia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>
        <w:rPr>
          <w:rtl w:val="0"/>
        </w:rPr>
        <w:t xml:space="preserve">Especificación: Arquitectura serverless con escalamiento automático. Frontend en Vercel/Netlify, backend y DB en Supabase.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Módulo 4: Operación y Mantenimiento</w:t>
      </w:r>
      <w:r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>
        <w:rPr>
          <w:rtl w:val="0"/>
        </w:rPr>
        <w:t xml:space="preserve">RNFI-4.01: Tareas Programadas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>
        <w:rPr>
          <w:rtl w:val="0"/>
        </w:rPr>
        <w:t xml:space="preserve">Especificación: Uso de pg_cron para cron jobs. Edge Functions tienen límite práctico de ~400 segundos en planes pagos.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bqgteow3yg" w:id="8"/>
      <w:bookmarkEnd w:id="8"/>
      <w:r>
        <w:rPr>
          <w:b w:val="1"/>
          <w:bCs w:val="1"/>
          <w:color w:val="000000"/>
          <w:sz w:val="26"/>
          <w:szCs w:val="26"/>
          <w:rtl w:val="0"/>
        </w:rPr>
        <w:t xml:space="preserve">5. Atributos de Calidad de la Infraestructura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>
        <w:rPr>
          <w:b w:val="1"/>
          <w:bCs w:val="1"/>
          <w:rtl w:val="0"/>
        </w:rPr>
        <w:t xml:space="preserve">5.1 Seguridad:</w:t>
      </w:r>
      <w:r>
        <w:rPr>
          <w:rtl w:val="0"/>
        </w:rPr>
        <w:t xml:space="preserve"> Encriptación AES-256 en reposo, TLS 1.2+ en tránsito, RLS a nivel de base de datos y audit log inmutable.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5.2 Escalabilidad:</w:t>
      </w:r>
      <w:r>
        <w:rPr>
          <w:rtl w:val="0"/>
        </w:rPr>
        <w:t xml:space="preserve"> Diseño serverless permite manejar picos de cierres de mes sin provisionamiento manual.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5.3 Confiabilidad:</w:t>
      </w:r>
      <w:r>
        <w:rPr>
          <w:rtl w:val="0"/>
        </w:rPr>
        <w:t xml:space="preserve"> Gatekeeper manual asegura que solo normativa validada llegue al asistente LOY.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5.4 Costo-Eficiencia:</w:t>
      </w:r>
      <w:r>
        <w:rPr>
          <w:rtl w:val="0"/>
        </w:rPr>
        <w:t xml:space="preserve"> GPT-4o mini + Supabase reduce costos operativos para un modelo SaaS orientado a Pymes.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5.5 Mantenibilidad:</w:t>
      </w:r>
      <w:r>
        <w:rPr>
          <w:rtl w:val="0"/>
        </w:rPr>
        <w:t xml:space="preserve"> Ecosistema unificado reduce la curva de aprendizaje y puntos de falla.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skviaxwjd5" w:id="9"/>
      <w:bookmarkEnd w:id="9"/>
      <w:r>
        <w:rPr>
          <w:b w:val="1"/>
          <w:bCs w:val="1"/>
          <w:color w:val="000000"/>
          <w:sz w:val="26"/>
          <w:szCs w:val="26"/>
          <w:rtl w:val="0"/>
        </w:rPr>
        <w:t xml:space="preserve">6. Conclusión y Recomendación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>
        <w:rPr>
          <w:rtl w:val="0"/>
        </w:rPr>
        <w:t xml:space="preserve">La combinación de </w:t>
      </w:r>
      <w:r>
        <w:rPr>
          <w:b w:val="1"/>
          <w:bCs w:val="1"/>
          <w:rtl w:val="0"/>
        </w:rPr>
        <w:t xml:space="preserve">Supabase + OpenAI Enterprise (GPT-4o mini)</w:t>
      </w:r>
      <w:r>
        <w:rPr>
          <w:rtl w:val="0"/>
        </w:rPr>
        <w:t xml:space="preserve"> constituye la opción óptima para SotLoy Conecta. Proporciona aislamiento multi-tenant robusto mediante RLS, soporte nativo para RAG con pgvector, automatizaciones serverless y un nivel de seguridad adecuado para información laboral sensible.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>
        <w:rPr>
          <w:rtl w:val="0"/>
        </w:rPr>
        <w:t xml:space="preserve">Esta arquitectura se alinea perfectamente con los requerimientos funcionales y no funcionales definidos en la ERS v1.5, minimizando riesgos técnicos y operativos mientras mantiene costos controlados.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Declaración de Viabilidad:</w:t>
      </w:r>
      <w:r>
        <w:rPr>
          <w:rtl w:val="0"/>
        </w:rPr>
        <w:t xml:space="preserve"> La infraestructura propuesta es técnicamente viable con la stack actual de Supabase (2026). Se recomienda iniciar con plan Pro y monitorear costos de Edge Functions y uso de OpenAI durante los primeros sprints.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