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INFORME TÉCNICO CONSOLIDADO</w:t>
      </w:r>
    </w:p>
    <w:p>
      <w:pPr>
        <w:spacing w:after="40"/>
        <w:jc w:val="center"/>
      </w:pPr>
      <w:r>
        <w:rPr>
          <w:b/>
          <w:bCs/>
          <w:color w:val="2E5395"/>
          <w:sz w:val="28"/>
          <w:szCs w:val="28"/>
        </w:rPr>
        <w:t xml:space="preserve">Proyecto SotLoy Conecta</w:t>
      </w:r>
    </w:p>
    <w:p>
      <w:pPr>
        <w:spacing w:after="300"/>
        <w:jc w:val="center"/>
      </w:pPr>
      <w:r>
        <w:rPr>
          <w:color w:val="555555"/>
          <w:sz w:val="22"/>
          <w:szCs w:val="22"/>
        </w:rPr>
        <w:t xml:space="preserve">Asignatura: Taller Aplicado de Programación (TPY1101)</w:t>
      </w:r>
    </w:p>
    <w:p>
      <w:pPr>
        <w:spacing w:after="60"/>
        <w:jc w:val="center"/>
      </w:pPr>
      <w:r>
        <w:rPr>
          <w:sz w:val="22"/>
          <w:szCs w:val="22"/>
        </w:rPr>
        <w:t xml:space="preserve">Autores: Cristian Soto &amp; John Cruz</w:t>
      </w:r>
    </w:p>
    <w:p>
      <w:pPr>
        <w:spacing w:after="400"/>
        <w:jc w:val="center"/>
      </w:pPr>
      <w:r>
        <w:rPr>
          <w:i/>
          <w:iCs/>
          <w:color w:val="888888"/>
          <w:sz w:val="18"/>
          <w:szCs w:val="18"/>
        </w:rPr>
        <w:t xml:space="preserve">Informe técnico consolidado — estado actual del proyecto</w:t>
      </w:r>
    </w:p>
    <w:p>
      <w:pPr>
        <w:pStyle w:val="Heading1"/>
      </w:pPr>
      <w:r>
        <w:t xml:space="preserve">1. Contexto y Análisis del Problema</w:t>
      </w:r>
    </w:p>
    <w:p>
      <w:pPr>
        <w:pStyle w:val="Heading2"/>
      </w:pPr>
      <w:r>
        <w:t xml:space="preserve">1.1 Descripción de la Problemática (Análisis Ishikawa)</w:t>
      </w:r>
    </w:p>
    <w:p>
      <w:pPr>
        <w:spacing w:after="160"/>
      </w:pPr>
      <w:r>
        <w:t xml:space="preserve">SotLoy Conecta nace para resolver una problemática crítica en las Pymes chilenas: la gestión informal de documentos laborales. Mediante el diagrama de Ishikawa (Espina de Pescado) se identificaron las siguientes causas principales:</w:t>
      </w:r>
    </w:p>
    <w:p>
      <w:pPr>
        <w:pStyle w:val="ListParagraph"/>
        <w:numPr>
          <w:ilvl w:val="0"/>
          <w:numId w:val="2"/>
        </w:numPr>
        <w:spacing w:after="80"/>
      </w:pPr>
      <w:r>
        <w:t xml:space="preserve">Uso de canales informales (WhatsApp, correos) que generan dispersión de información.</w:t>
      </w:r>
    </w:p>
    <w:p>
      <w:pPr>
        <w:pStyle w:val="ListParagraph"/>
        <w:numPr>
          <w:ilvl w:val="0"/>
          <w:numId w:val="2"/>
        </w:numPr>
        <w:spacing w:after="80"/>
      </w:pPr>
      <w:r>
        <w:t xml:space="preserve">Riesgo de multas ante la Dirección del Trabajo (DT) por falta de trazabilidad y acuses de recibo verificables.</w:t>
      </w:r>
    </w:p>
    <w:p>
      <w:pPr>
        <w:pStyle w:val="ListParagraph"/>
        <w:numPr>
          <w:ilvl w:val="0"/>
          <w:numId w:val="2"/>
        </w:numPr>
        <w:spacing w:after="80"/>
      </w:pPr>
      <w:r>
        <w:t xml:space="preserve">Sobrecarga operativa de la consultora SotLoy al resolver consultas legales repetitivas de sus clientes.</w:t>
      </w:r>
    </w:p>
    <w:p>
      <w:pPr>
        <w:pStyle w:val="Heading2"/>
      </w:pPr>
      <w:r>
        <w:t xml:space="preserve">1.2 Estado del Arte y Tabla de Homologación</w:t>
      </w:r>
    </w:p>
    <w:p>
      <w:pPr>
        <w:spacing w:after="160"/>
      </w:pPr>
      <w:r>
        <w:t xml:space="preserve">Al analizar soluciones existentes como Buk o Talana, se observó que dominan el sector corporativo, pero suelen ser costosas y complejas para las Pymes. SotLoy Conecta se diferencia homologando servicios esenciales de gestión documental y añadiendo un valor único: un asistente normativo (LOY) basado en IA con arquitectura RAG (Retrieval-Augmented Generation), alimentado por un Web Spider que extrae normativa desde portales oficiales, garantizando respuestas precisas y aisladas por seguridad multi-tenant.</w:t>
      </w:r>
    </w:p>
    <w:p>
      <w:pPr>
        <w:pStyle w:val="Heading1"/>
      </w:pPr>
      <w:r>
        <w:t xml:space="preserve">2. Planificación y Gestión de Riesgos</w:t>
      </w:r>
    </w:p>
    <w:p>
      <w:pPr>
        <w:pStyle w:val="Heading2"/>
      </w:pPr>
      <w:r>
        <w:t xml:space="preserve">2.1 Metodología de Trabajo</w:t>
      </w:r>
    </w:p>
    <w:p>
      <w:pPr>
        <w:spacing w:after="160"/>
      </w:pPr>
      <w:r>
        <w:t xml:space="preserve">Se aplicó una metodología híbrida. En las fases iniciales (Sprints 1 y 2) se utilizó un enfoque tradicional (Waterfall) para congelar requerimientos (ERS) y arquitectura. En la fase de desarrollo (Sprints 3 al 10) se adoptó Scrum, permitiendo iteraciones ágiles y controladas.</w:t>
      </w:r>
    </w:p>
    <w:p>
      <w:pPr>
        <w:pStyle w:val="Heading2"/>
      </w:pPr>
      <w:r>
        <w:t xml:space="preserve">2.2 Matriz de Riesgos — Principales Riesgos Mitigados</w:t>
      </w:r>
    </w:p>
    <w:p>
      <w:pPr>
        <w:pStyle w:val="ListParagraph"/>
        <w:numPr>
          <w:ilvl w:val="0"/>
          <w:numId w:val="2"/>
        </w:numPr>
        <w:spacing w:after="80"/>
      </w:pPr>
      <w:r>
        <w:t xml:space="preserve">Curva de aprendizaje técnica: mitigada mediante capacitación interna en Supabase y React/Vite.</w:t>
      </w:r>
    </w:p>
    <w:p>
      <w:pPr>
        <w:pStyle w:val="ListParagraph"/>
        <w:numPr>
          <w:ilvl w:val="0"/>
          <w:numId w:val="2"/>
        </w:numPr>
        <w:spacing w:after="80"/>
      </w:pPr>
      <w:r>
        <w:t xml:space="preserve">Fallos del modelo de IA / alucinaciones: mitigado mediante un Gatekeeper que restringe las respuestas de LOY al contexto legal previamente aprobado e indexado en pgvector.</w:t>
      </w:r>
    </w:p>
    <w:p>
      <w:pPr>
        <w:pStyle w:val="ListParagraph"/>
        <w:numPr>
          <w:ilvl w:val="0"/>
          <w:numId w:val="2"/>
        </w:numPr>
        <w:spacing w:after="80"/>
      </w:pPr>
      <w:r>
        <w:t xml:space="preserve">Seguridad de datos: mitigado mediante la implementación forzosa de políticas Row Level Security (RLS) por tenant.</w:t>
      </w:r>
    </w:p>
    <w:p>
      <w:pPr>
        <w:pStyle w:val="ListParagraph"/>
        <w:numPr>
          <w:ilvl w:val="0"/>
          <w:numId w:val="2"/>
        </w:numPr>
        <w:spacing w:after="80"/>
      </w:pPr>
      <w:r>
        <w:t xml:space="preserve">Falla de interoperabilidad (Web Spider ante cambios en la web de la DT): monitoreo automatizado y carga manual de contingencia.</w:t>
      </w:r>
    </w:p>
    <w:p>
      <w:pPr>
        <w:pStyle w:val="Heading1"/>
      </w:pPr>
      <w:r>
        <w:t xml:space="preserve">3. Arquitectura y Justificación Cloud</w:t>
      </w:r>
    </w:p>
    <w:p>
      <w:pPr>
        <w:spacing w:after="160"/>
      </w:pPr>
      <w:r>
        <w:t xml:space="preserve">El proyecto se fundamenta en un modelo Backend as a Service (BaaS) apoyado en Supabase, que ofrece infraestructura como servicio gestionado (PostgreSQL 15 + pgvector, Auth, Storage y Edge Functions en Deno). El frontend (React 18 + Vite) se conecta directamente a Supabase mediante su SDK, y las Edge Functions encapsulan la lógica sensible (pagos, Spider, generación de URLs firmadas).</w:t>
      </w:r>
    </w:p>
    <w:p>
      <w:pPr>
        <w:spacing w:after="160"/>
      </w:pPr>
      <w:r>
        <w:t xml:space="preserve">El motor de IA (LOY) genera los embeddings de los documentos normativos llamando a la API de OpenAI (modelo GPT-4o mini, bajo el compromiso Enterprise de no entrenar con los datos de los clientes) y los almacena como vectores en pgvector. Las consultas de los usuarios se vectorizan de la misma forma y se comparan por similitud semántica contra esa base, recuperando el contexto relevante antes de generar la respuesta — es decir, una arquitectura RAG real sobre embeddings semánticos de OpenAI, no un esquema de hashing determinista local.</w:t>
      </w:r>
    </w:p>
    <w:p>
      <w:pPr>
        <w:spacing w:after="160"/>
      </w:pPr>
      <w:r>
        <w:t xml:space="preserve">El modelo cloud serverless garantiza escalabilidad sin sobrecargar al equipo con la administración de servidores físicos.</w:t>
      </w:r>
    </w:p>
    <w:p>
      <w:pPr>
        <w:pStyle w:val="Heading1"/>
      </w:pPr>
      <w:r>
        <w:t xml:space="preserve">4. Servidor de Producción y Base de Datos</w:t>
      </w:r>
    </w:p>
    <w:p>
      <w:pPr>
        <w:pStyle w:val="Heading2"/>
      </w:pPr>
      <w:r>
        <w:t xml:space="preserve">4.1 Especificaciones Técnicas</w:t>
      </w:r>
    </w:p>
    <w:p>
      <w:pPr>
        <w:pStyle w:val="ListParagraph"/>
        <w:numPr>
          <w:ilvl w:val="0"/>
          <w:numId w:val="2"/>
        </w:numPr>
        <w:spacing w:after="80"/>
      </w:pPr>
      <w:r>
        <w:t xml:space="preserve">Instancia: AWS East US (us-east-1), tipo t4g.nano (AWS Graviton ARM 64-bit).</w:t>
      </w:r>
    </w:p>
    <w:p>
      <w:pPr>
        <w:pStyle w:val="ListParagraph"/>
        <w:numPr>
          <w:ilvl w:val="0"/>
          <w:numId w:val="2"/>
        </w:numPr>
        <w:spacing w:after="80"/>
      </w:pPr>
      <w:r>
        <w:t xml:space="preserve">Motor de base de datos: PostgreSQL 15 con extensión pgvector.</w:t>
      </w:r>
    </w:p>
    <w:p>
      <w:pPr>
        <w:pStyle w:val="ListParagraph"/>
        <w:numPr>
          <w:ilvl w:val="0"/>
          <w:numId w:val="2"/>
        </w:numPr>
        <w:spacing w:after="80"/>
      </w:pPr>
      <w:r>
        <w:t xml:space="preserve">Hash de contraseñas: Argon2id. Cifrado de documentos: AES-256 en reposo. Sellado: SHA-256.</w:t>
      </w:r>
    </w:p>
    <w:p>
      <w:pPr>
        <w:spacing w:after="160"/>
      </w:pPr>
      <w:r>
        <w:t xml:space="preserve">La base de datos cuenta con 20 tablas transaccionales. La tabla core de la IA, loy_knowledge_documents, supera los 1.500 registros y 1 GB de tamaño, evidenciando un alto grado de avance técnico.</w:t>
      </w:r>
    </w:p>
    <w:p>
      <w:pPr>
        <w:pStyle w:val="Heading2"/>
      </w:pPr>
      <w:r>
        <w:t xml:space="preserve">4.2 Replicación de Entorno y Backup</w:t>
      </w:r>
    </w:p>
    <w:p>
      <w:pPr>
        <w:spacing w:after="160"/>
      </w:pPr>
      <w:r>
        <w:t xml:space="preserve">El entorno de pruebas se clona utilizando Supabase CLI (npx supabase start). Las copias de seguridad de la infraestructura se realizan mediante pg_dump, extrayendo la base de datos estructural y transaccional para ejecutar smoke tests locales.</w:t>
      </w:r>
    </w:p>
    <w:p>
      <w:pPr>
        <w:pStyle w:val="Heading1"/>
      </w:pPr>
      <w:r>
        <w:t xml:space="preserve">5. Plan de Pruebas Funcionales y QA</w:t>
      </w:r>
    </w:p>
    <w:p>
      <w:pPr>
        <w:spacing w:after="160"/>
      </w:pPr>
      <w:r>
        <w:t xml:space="preserve">El sistema fue sometido a un set de 7 casos de prueba funcionales (TC-01 a TC-07), cubriendo autenticación, aislamiento multi-tenant, control de acceso en subida de documentos, el motor LOY, el webhook de pagos, la inmutabilidad del audit log y el Spider normativo. Los 7 casos fueron aprobados.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400"/>
        <w:gridCol w:w="15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Funcionalidad</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Resultado esperado</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Estado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Autenticación JWT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Token emitido, sesión activa ≤ 1h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RLS Multi-tenant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Acceso denegado, 0 filas retornadas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Subida de documentos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 403 — rol no autorizado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Motor LOY (RAG)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Respuesta con fuente DT referenciada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Webhook Flow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Suscripción activada en &lt; 30s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 Log inmutable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Registro append-only generado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Spider DT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Documentos indexados en pgvector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Aprobado</w:t>
            </w:r>
          </w:p>
        </w:tc>
      </w:tr>
    </w:tbl>
    <w:p>
      <w:pPr>
        <w:pStyle w:val="Heading1"/>
      </w:pPr>
      <w:r>
        <w:t xml:space="preserve">6. Auditoría de Seguridad — Hallazgos y Estado</w:t>
      </w:r>
    </w:p>
    <w:p>
      <w:pPr>
        <w:spacing w:after="160"/>
      </w:pPr>
      <w:r>
        <w:t xml:space="preserve">Revisión completa de Edge Functions, frontend y Security Advisor de Supabase contra producción. La mayoría de los hallazgos críticos y de severidad alta ya están corregidos; quedan dos de severidad baja o por verificar:</w:t>
      </w:r>
    </w:p>
    <w:p>
      <w:pPr>
        <w:pStyle w:val="ListParagraph"/>
        <w:numPr>
          <w:ilvl w:val="0"/>
          <w:numId w:val="2"/>
        </w:numPr>
        <w:spacing w:after="80"/>
      </w:pPr>
      <w:r>
        <w:t xml:space="preserve">RLS desactivado en enterprises y en loy_knowledge_documents (crítico) — corregido.</w:t>
      </w:r>
    </w:p>
    <w:p>
      <w:pPr>
        <w:pStyle w:val="ListParagraph"/>
        <w:numPr>
          <w:ilvl w:val="0"/>
          <w:numId w:val="2"/>
        </w:numPr>
        <w:spacing w:after="80"/>
      </w:pPr>
      <w:r>
        <w:t xml:space="preserve">Privilege escalation en Edge Functions secure-document-url y documents (crítico) — corregido.</w:t>
      </w:r>
    </w:p>
    <w:p>
      <w:pPr>
        <w:pStyle w:val="ListParagraph"/>
        <w:numPr>
          <w:ilvl w:val="0"/>
          <w:numId w:val="2"/>
        </w:numPr>
        <w:spacing w:after="80"/>
      </w:pPr>
      <w:r>
        <w:t xml:space="preserve">Política “Allow all” en payments, subscriptions, pending_emails, notifications (alto) — corregida.</w:t>
      </w:r>
    </w:p>
    <w:p>
      <w:pPr>
        <w:pStyle w:val="ListParagraph"/>
        <w:numPr>
          <w:ilvl w:val="0"/>
          <w:numId w:val="2"/>
        </w:numPr>
        <w:spacing w:after="80"/>
      </w:pPr>
      <w:r>
        <w:t xml:space="preserve">XSS almacenado de severidad baja en BlogArticle.tsx (render de markdown propio) — identificado, no corregido aún; requiere una cuenta admin comprometida para explotarse.</w:t>
      </w:r>
    </w:p>
    <w:p>
      <w:pPr>
        <w:pStyle w:val="ListParagraph"/>
        <w:numPr>
          <w:ilvl w:val="0"/>
          <w:numId w:val="2"/>
        </w:numPr>
        <w:spacing w:after="80"/>
      </w:pPr>
      <w:r>
        <w:t xml:space="preserve">RLS de kv_store_7d36b31f frente a lectura anónima del Blog y banners — pendiente de confirmar contra producción que no exponga perfiles de usuario.</w:t>
      </w:r>
    </w:p>
    <w:p>
      <w:pPr>
        <w:pStyle w:val="Heading1"/>
      </w:pPr>
      <w:r>
        <w:t xml:space="preserve">7. Certificación de Avance, Conclusiones y Lecciones Aprendidas</w:t>
      </w:r>
    </w:p>
    <w:p>
      <w:pPr>
        <w:pStyle w:val="Heading2"/>
      </w:pPr>
      <w:r>
        <w:t xml:space="preserve">7.1 Certificación de Avance de Sprints</w:t>
      </w:r>
    </w:p>
    <w:p>
      <w:pPr>
        <w:spacing w:after="160"/>
      </w:pPr>
      <w:r>
        <w:t xml:space="preserve">Durante el transcurso de las iteraciones ágiles, el equipo avanzó a un ritmo constante en la consolidación del producto. Si bien existieron atrasos puntuales en los sprints iniciales por la curva de asimilación de nuevas tecnologías (embeddings vectoriales, despliegue del Web Spider), la flexibilidad de la metodología ágil permitió corregir las desviaciones rápidamente. Al corte de esta versión del informe, el proyecto se encuentra en producción, con la plataforma desplegada, hardening de seguridad y pagos aplicado, y funcionalidades adicionales (Blog/SEO, contenido editable, carpetas documentales) ya integradas.</w:t>
      </w:r>
    </w:p>
    <w:p>
      <w:pPr>
        <w:pStyle w:val="Heading2"/>
      </w:pPr>
      <w:r>
        <w:t xml:space="preserve">7.2 Lecciones Aprendidas</w:t>
      </w:r>
    </w:p>
    <w:p>
      <w:pPr>
        <w:pStyle w:val="ListParagraph"/>
        <w:numPr>
          <w:ilvl w:val="0"/>
          <w:numId w:val="2"/>
        </w:numPr>
        <w:spacing w:after="80"/>
      </w:pPr>
      <w:r>
        <w:t xml:space="preserve">Dominio de Supabase y BaaS: delegar la gestión de infraestructura (Auth, Storage, RLS) permitió concentrar el esfuerzo de ingeniería en la lógica de negocio y la escalabilidad de la solución.</w:t>
      </w:r>
    </w:p>
    <w:p>
      <w:pPr>
        <w:pStyle w:val="ListParagraph"/>
        <w:numPr>
          <w:ilvl w:val="0"/>
          <w:numId w:val="2"/>
        </w:numPr>
        <w:spacing w:after="80"/>
      </w:pPr>
      <w:r>
        <w:t xml:space="preserve">Uso de Inteligencia Artificial aplicada: la integración de IA mediante arquitectura RAG demostró ser un desafío técnico profundo. El éxito de la IA no recae solo en el modelo (GPT-4o mini), sino en la calidad de la recolección de datos (Web Spider) y la correcta indexación vectorial en pgvector.</w:t>
      </w:r>
    </w:p>
    <w:p>
      <w:pPr>
        <w:pStyle w:val="ListParagraph"/>
        <w:numPr>
          <w:ilvl w:val="0"/>
          <w:numId w:val="2"/>
        </w:numPr>
        <w:spacing w:after="80"/>
      </w:pPr>
      <w:r>
        <w:t xml:space="preserve">Gestión de la seguridad: comprender e implementar Row Level Security (RLS) fue fundamental para sostener el modelo multi-tenant, garantizando a las empresas clientes que sus datos no se filtran entre inquilinos — y la auditoría de seguridad posterior demostró que declarar una mitigación no basta sin verificarla contra producción.</w:t>
      </w:r>
    </w:p>
    <w:p>
      <w:pPr>
        <w:pStyle w:val="Heading2"/>
      </w:pPr>
      <w:r>
        <w:t xml:space="preserve">7.3 Conclusiones</w:t>
      </w:r>
    </w:p>
    <w:p>
      <w:pPr>
        <w:spacing w:after="160"/>
      </w:pPr>
      <w:r>
        <w:t xml:space="preserve">SotLoy Conecta evolucionó de un concepto de digitalización a una plataforma SaaS robusta, moderna y segura, actualmente en producción. La ejecución de pruebas operativas, estructurales y de seguridad demuestra que el software no solo es funcional, sino que cumple con estándares de calidad razonables para el contexto del proyecto. El equipo continúa iterando sobre el código fuente, resolviendo deuda técnica identificada (Gatekeeper del Spider, sanitización de contenido del Blog, verificación final de RLS en kv_store) y fortaleciendo la infraestructura de cara a la defensa final.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SotLoy Conecta — Informe Técnico Consolidado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2026-06-30T09:01:33.156Z</dcterms:created>
  <dcterms:modified xsi:type="dcterms:W3CDTF">2026-06-30T09:01:33.156Z</dcterms:modified>
</cp:coreProperties>
</file>

<file path=docProps/custom.xml><?xml version="1.0" encoding="utf-8"?>
<Properties xmlns="http://schemas.openxmlformats.org/officeDocument/2006/custom-properties" xmlns:vt="http://schemas.openxmlformats.org/officeDocument/2006/docPropsVTypes"/>
</file>