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1A"/>
          <w:sz w:val="44"/>
          <w:szCs w:val="44"/>
        </w:rPr>
        <w:t xml:space="preserve">SotLoy Conecta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Manual de Usuario — Trabajadores y Empresas (Pyme)</w:t>
      </w:r>
    </w:p>
    <w:p>
      <w:pPr>
        <w:spacing w:after="160"/>
      </w:pPr>
      <w:r>
        <w:t xml:space="preserve">Esta guía cubre el uso de la plataforma para los dos roles que no administran el sistema: Trabajador (acceso de solo lectura a sus propios documentos) y Empresa (la cuenta de la Pyme, que sube insumos y gestiona a sus trabajadores). Si necesitas permisos de Administrador o Super Administrador, revisa el Manual de Administrador.</w:t>
      </w:r>
    </w:p>
    <w:p>
      <w:pPr>
        <w:pStyle w:val="Heading1"/>
      </w:pPr>
      <w:r>
        <w:t xml:space="preserve">1. Acceso al sistema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Ingresa a la URL de SotLoy Conecta y entra a la sección de inicio de sesión de Conecta.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Escribe tu correo y contraseña. Si es tu primer ingreso, usa la contraseña entregada por tu empleador o por SotLoy.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sesión dura un máximo de 1 hora desde el inicio de sesión; pasado ese tiempo deberás volver a entrar aunque sigas con la pestaña abierta.</w:t>
      </w:r>
    </w:p>
    <w:p>
      <w:pPr>
        <w:spacing w:after="160"/>
      </w:pPr>
      <w:r>
        <w:t xml:space="preserve">Si tu empresa está suspendida por mora o fue dada de baja, el sistema te mostrará un aviso al intentar entrar y no podrás continuar — para reactivar el acceso, la empresa debe regularizar su suscripción.</w:t>
      </w:r>
    </w:p>
    <w:p>
      <w:pPr>
        <w:pStyle w:val="Heading1"/>
      </w:pPr>
      <w:r>
        <w:t xml:space="preserve">2. Para Trabajadores</w:t>
      </w:r>
    </w:p>
    <w:p>
      <w:pPr>
        <w:pStyle w:val="Heading2"/>
      </w:pPr>
      <w:r>
        <w:t xml:space="preserve">2.1 Mis documentos</w:t>
      </w:r>
    </w:p>
    <w:p>
      <w:pPr>
        <w:spacing w:after="160"/>
      </w:pPr>
      <w:r>
        <w:t xml:space="preserve">En la sección Documentos puedes ver y descargar tus liquidaciones, contratos y finiquitos, organizados en carpetas (Contrato, Liquidaciones, Finiquito, Anexos, etc.). Cada descarga genera un enlace temporal válido por 60 minutos; pasado ese tiempo, vuelve a generar la descarga desde la plataforma.</w:t>
      </w:r>
    </w:p>
    <w:p>
      <w:pPr>
        <w:pStyle w:val="Heading2"/>
      </w:pPr>
      <w:r>
        <w:t xml:space="preserve">2.2 Mensajes</w:t>
      </w:r>
    </w:p>
    <w:p>
      <w:pPr>
        <w:spacing w:after="160"/>
      </w:pPr>
      <w:r>
        <w:t xml:space="preserve">Puedes escribirle directamente a tu empresa desde la sección Mensajes. Solo verás como contacto a la empresa a la que estás asociado.</w:t>
      </w:r>
    </w:p>
    <w:p>
      <w:pPr>
        <w:pStyle w:val="Heading2"/>
      </w:pPr>
      <w:r>
        <w:t xml:space="preserve">2.3 Avisos</w:t>
      </w:r>
    </w:p>
    <w:p>
      <w:pPr>
        <w:spacing w:after="160"/>
      </w:pPr>
      <w:r>
        <w:t xml:space="preserve">Tu empresa puede publicar avisos dirigidos a todos los trabajadores o solo a algunos; aparecen como notificaciones dentro de tu panel y desaparecen solos al vencer.</w:t>
      </w:r>
    </w:p>
    <w:p>
      <w:r>
        <w:br w:type="page"/>
      </w:r>
    </w:p>
    <w:p>
      <w:pPr>
        <w:pStyle w:val="Heading1"/>
      </w:pPr>
      <w:r>
        <w:t xml:space="preserve">3. Para Empresas (Pyme)</w:t>
      </w:r>
    </w:p>
    <w:p>
      <w:pPr>
        <w:pStyle w:val="Heading2"/>
      </w:pPr>
      <w:r>
        <w:t xml:space="preserve">3.1 Buzón de insumos</w:t>
      </w:r>
    </w:p>
    <w:p>
      <w:pPr>
        <w:spacing w:after="160"/>
      </w:pPr>
      <w:r>
        <w:t xml:space="preserve">Desde Documentos &gt; Subir, puedes enviar liquidaciones, contratos o finiquitos para que SotLoy los valide. Cada archivo no puede superar 20MB. Mientras se revisa, queda en estado Pendiente de Validación; si SotLoy lo rechaza, verás el motivo de observación y deberás volver a subirlo corregido.</w:t>
      </w:r>
    </w:p>
    <w:p>
      <w:pPr>
        <w:pStyle w:val="Heading2"/>
      </w:pPr>
      <w:r>
        <w:t xml:space="preserve">3.2 Empleados</w:t>
      </w:r>
    </w:p>
    <w:p>
      <w:pPr>
        <w:spacing w:after="160"/>
      </w:pPr>
      <w:r>
        <w:t xml:space="preserve">En la sección Mis Trabajadores administras tu nómina: alta, edición y desactivación de empleados. Cada trabajador activo puede ver sus propios documentos una vez que tenga cuenta creada.</w:t>
      </w:r>
    </w:p>
    <w:p>
      <w:pPr>
        <w:pStyle w:val="Heading2"/>
      </w:pPr>
      <w:r>
        <w:t xml:space="preserve">3.3 Consultar a LOY</w:t>
      </w:r>
    </w:p>
    <w:p>
      <w:pPr>
        <w:spacing w:after="160"/>
      </w:pPr>
      <w:r>
        <w:t xml:space="preserve">LOY es el asistente legal de la plataforma. Responde preguntas sobre normativa laboral chilena citando la fuente (ley o dictamen de la Dirección del Trabajo) y siempre incluye el recordatorio de que es una respuesta orientativa, no asesoría legal vinculante.</w:t>
      </w:r>
    </w:p>
    <w:p>
      <w:pPr>
        <w:pStyle w:val="Heading2"/>
      </w:pPr>
      <w:r>
        <w:t xml:space="preserve">3.4 Exportar reporte LRE</w:t>
      </w:r>
    </w:p>
    <w:p>
      <w:pPr>
        <w:spacing w:after="160"/>
      </w:pPr>
      <w:r>
        <w:t xml:space="preserve">Desde Documentos puedes exportar el Libro de Remuneraciones Electrónico en CSV o XML, validado contra el esquema de la Dirección del Trabajo.</w:t>
      </w:r>
    </w:p>
    <w:p>
      <w:pPr>
        <w:pStyle w:val="Heading2"/>
      </w:pPr>
      <w:r>
        <w:t xml:space="preserve">3.5 Mi Suscripción</w:t>
      </w:r>
    </w:p>
    <w:p>
      <w:pPr>
        <w:spacing w:after="160"/>
      </w:pPr>
      <w:r>
        <w:t xml:space="preserve">Aquí ves tu plan actual, el estado de pago de la auditoría inicial y puedes pagar o cambiar de plan. Si tu plan está activo y dentro del periodo pagado, no podrás cambiarlo hasta que termine el ciclo — esto evita cobros duplicados.</w:t>
      </w:r>
    </w:p>
    <w:p>
      <w:pPr>
        <w:pStyle w:val="Heading2"/>
      </w:pPr>
      <w:r>
        <w:t xml:space="preserve">3.6 Notas a tus trabajadores</w:t>
      </w:r>
    </w:p>
    <w:p>
      <w:pPr>
        <w:spacing w:after="160"/>
      </w:pPr>
      <w:r>
        <w:t xml:space="preserve">Puedes publicar avisos internos dirigidos a todos tus trabajadores o solo a algunos, con fecha de vencimiento opcional.</w:t>
      </w:r>
    </w:p>
    <w:p>
      <w:pPr>
        <w:pStyle w:val="Heading1"/>
      </w:pPr>
      <w:r>
        <w:t xml:space="preserve">4. El semáforo de cumplimiento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Verde: el 100% de tus trabajadores tiene liquidación y contrato vigente para el periodo actual.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Amarillo: hay documentos pendientes o vistos pero no confirmados, a menos de 5 días del cierre de mes.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Rojo: faltan documentos obligatorios y ya venció el plazo.</w:t>
      </w:r>
    </w:p>
    <w:p>
      <w:pPr>
        <w:pStyle w:val="Heading1"/>
      </w:pPr>
      <w:r>
        <w:t xml:space="preserve">5. Preguntas frecuentes</w:t>
      </w:r>
    </w:p>
    <w:p>
      <w:pPr>
        <w:pStyle w:val="Heading2"/>
      </w:pPr>
      <w:r>
        <w:t xml:space="preserve">¿Por qué no puedo descargar un documento?</w:t>
      </w:r>
    </w:p>
    <w:p>
      <w:pPr>
        <w:spacing w:after="160"/>
      </w:pPr>
      <w:r>
        <w:t xml:space="preserve">El enlace de descarga vence a los 60 minutos. Vuelve a la ficha del documento y genera la descarga de nuevo.</w:t>
      </w:r>
    </w:p>
    <w:p>
      <w:pPr>
        <w:pStyle w:val="Heading2"/>
      </w:pPr>
      <w:r>
        <w:t xml:space="preserve">¿Por qué LOY me dice que no tiene información suficiente?</w:t>
      </w:r>
    </w:p>
    <w:p>
      <w:pPr>
        <w:spacing w:after="160"/>
      </w:pPr>
      <w:r>
        <w:t xml:space="preserve">LOY solo responde con base en normativa ya revisada y aprobada. Si la pregunta no está cubierta, lo indicará explícitamente en vez de inventar una respuesta.</w:t>
      </w:r>
    </w:p>
    <w:p>
      <w:pPr>
        <w:pStyle w:val="Heading2"/>
      </w:pPr>
      <w:r>
        <w:t xml:space="preserve">¿Qué hago si olvidé mi contraseña?</w:t>
      </w:r>
    </w:p>
    <w:p>
      <w:pPr>
        <w:spacing w:after="160"/>
      </w:pPr>
      <w:r>
        <w:t xml:space="preserve">Usa la opción de recuperación de contraseña en la pantalla de inicio de sesión. Por seguridad, al definir una nueva contraseña se cierra cualquier sesión abierta y debes volver a iniciar sesión.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BFBF" w:sz="4" w:space="4"/>
      </w:pBdr>
      <w:spacing w:after="200" w:before="360"/>
      <w:outlineLvl w:val="0"/>
    </w:pPr>
    <w:rPr>
      <w:rFonts w:ascii="Calibri" w:cs="Calibri" w:eastAsia="Calibri" w:hAnsi="Calibr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2026-06-27T03:31:36.805Z</dcterms:created>
  <dcterms:modified xsi:type="dcterms:W3CDTF">2026-06-27T03:31:36.805Z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