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A1A"/>
          <w:sz w:val="44"/>
          <w:szCs w:val="44"/>
        </w:rPr>
        <w:t xml:space="preserve">SotLoy Conecta</w:t>
      </w:r>
    </w:p>
    <w:p>
      <w:pPr>
        <w:spacing w:after="400"/>
      </w:pPr>
      <w:r>
        <w:rPr>
          <w:color w:val="595959"/>
          <w:sz w:val="28"/>
          <w:szCs w:val="28"/>
        </w:rPr>
        <w:t xml:space="preserve">Diagramas UML y Arquitectura del Sistema</w:t>
      </w:r>
    </w:p>
    <w:p>
      <w:pPr>
        <w:spacing w:after="160"/>
      </w:pPr>
      <w:r>
        <w:t xml:space="preserve">Este documento reúne los diagramas UML de referencia para SotLoy Conecta: casos de uso por rol, modelo de clases del dominio, flujo de validación documental y arquitectura de componentes. Sirven como apoyo visual a lo ya descrito en la ERS v1.5 y en el informe técnico del proyecto — no reemplazan esos documentos, los complementan.</w:t>
      </w:r>
    </w:p>
    <w:p>
      <w:pPr>
        <w:pStyle w:val="Heading1"/>
      </w:pPr>
      <w:r>
        <w:t xml:space="preserve">1. Diagrama de Casos de Uso</w:t>
      </w:r>
    </w:p>
    <w:p>
      <w:pPr>
        <w:spacing w:after="160"/>
      </w:pPr>
      <w:r>
        <w:t xml:space="preserve">Agrupa las acciones disponibles por rol según la matriz de permisos (Trabajador, Empresa, Administrador, Super Administrador). El límite del sistema separa lo que hace cada actor desde la UI de lo que ocurre internamente vía RLS y las funciones RBAC.</w:t>
      </w:r>
    </w:p>
    <w:p>
      <w:pPr>
        <w:spacing w:after="240" w:before="120"/>
        <w:jc w:val="center"/>
      </w:pPr>
      <w:r>
        <w:drawing>
          <wp:inline distT="0" distB="0" distL="0" distR="0">
            <wp:extent cx="3657600" cy="7543800"/>
            <wp:effectExtent t="0" r="0" b="0" l="0"/>
            <wp:docPr id="1" name="Diagrama de casos de uso por rol" descr="Diagrama de casos de uso por rol" title="Diagrama de casos de uso por 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57600" cy="7543800"/>
                    </a:xfrm>
                    <a:prstGeom prst="rect">
                      <a:avLst/>
                    </a:prstGeom>
                  </pic:spPr>
                </pic:pic>
              </a:graphicData>
            </a:graphic>
          </wp:inline>
        </w:drawing>
      </w:r>
    </w:p>
    <w:p>
      <w:r>
        <w:br w:type="page"/>
      </w:r>
    </w:p>
    <w:p>
      <w:pPr>
        <w:pStyle w:val="Heading1"/>
      </w:pPr>
      <w:r>
        <w:t xml:space="preserve">2. Diagrama de Clases</w:t>
      </w:r>
    </w:p>
    <w:p>
      <w:pPr>
        <w:spacing w:after="160"/>
      </w:pPr>
      <w:r>
        <w:t xml:space="preserve">Representa las entidades principales del dominio y sus relaciones de cardinalidad. No es un mapeo 1:1 de las tablas físicas (eso está en el modelo entidad-relación, documento aparte); aquí el foco es el comportamiento y las responsabilidades de cada clase a nivel de aplicación.</w:t>
      </w:r>
    </w:p>
    <w:p>
      <w:pPr>
        <w:spacing w:after="240" w:before="120"/>
        <w:jc w:val="center"/>
      </w:pPr>
      <w:r>
        <w:drawing>
          <wp:inline distT="0" distB="0" distL="0" distR="0">
            <wp:extent cx="5943600" cy="3819525"/>
            <wp:effectExtent t="0" r="0" b="0" l="0"/>
            <wp:docPr id="1" name="Diagrama de clases del dominio" descr="Diagrama de clases del dominio" title="Diagrama de clases del domi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819525"/>
                    </a:xfrm>
                    <a:prstGeom prst="rect">
                      <a:avLst/>
                    </a:prstGeom>
                  </pic:spPr>
                </pic:pic>
              </a:graphicData>
            </a:graphic>
          </wp:inline>
        </w:drawing>
      </w:r>
    </w:p>
    <w:p>
      <w:pPr>
        <w:spacing w:after="160"/>
      </w:pPr>
      <w:r>
        <w:t xml:space="preserve">Notas sobre el diagrama:</w:t>
      </w:r>
    </w:p>
    <w:p>
      <w:pPr>
        <w:pStyle w:val="ListParagraph"/>
        <w:numPr>
          <w:ilvl w:val="0"/>
          <w:numId w:val="2"/>
        </w:numPr>
        <w:spacing w:after="60"/>
      </w:pPr>
      <w:r>
        <w:t xml:space="preserve">Empresa concentra la relación de aislamiento multi-tenant: todo objeto cuelga de un enterprise_id.</w:t>
      </w:r>
    </w:p>
    <w:p>
      <w:pPr>
        <w:pStyle w:val="ListParagraph"/>
        <w:numPr>
          <w:ilvl w:val="0"/>
          <w:numId w:val="2"/>
        </w:numPr>
        <w:spacing w:after="60"/>
      </w:pPr>
      <w:r>
        <w:t xml:space="preserve">AuditLog se llena automáticamente desde las Edge Functions, nunca directo desde el cliente.</w:t>
      </w:r>
    </w:p>
    <w:p>
      <w:pPr>
        <w:pStyle w:val="ListParagraph"/>
        <w:numPr>
          <w:ilvl w:val="0"/>
          <w:numId w:val="2"/>
        </w:numPr>
        <w:spacing w:after="60"/>
      </w:pPr>
      <w:r>
        <w:t xml:space="preserve">ConversacionLOY / MensajeLOY corresponden al historial del asistente RAG (LOY).</w:t>
      </w:r>
    </w:p>
    <w:p>
      <w:r>
        <w:br w:type="page"/>
      </w:r>
    </w:p>
    <w:p>
      <w:pPr>
        <w:pStyle w:val="Heading1"/>
      </w:pPr>
      <w:r>
        <w:t xml:space="preserve">3. Diagrama de Actividades — Validación de Documentos (Buzón)</w:t>
      </w:r>
    </w:p>
    <w:p>
      <w:pPr>
        <w:spacing w:after="160"/>
      </w:pPr>
      <w:r>
        <w:t xml:space="preserve">Describe el flujo que sigue un insumo subido por una Pyme al Buzón hasta quedar aprobado y sellado, o rechazado con motivo de observación. Cada bifurcación corresponde a una acción del Administrador desde el panel de validación.</w:t>
      </w:r>
    </w:p>
    <w:p>
      <w:pPr>
        <w:spacing w:after="240" w:before="120"/>
        <w:jc w:val="center"/>
      </w:pPr>
      <w:r>
        <w:drawing>
          <wp:inline distT="0" distB="0" distL="0" distR="0">
            <wp:extent cx="2743200" cy="7343775"/>
            <wp:effectExtent t="0" r="0" b="0" l="0"/>
            <wp:docPr id="1" name="Diagrama de actividades del flujo de validación documental" descr="Diagrama de actividades del flujo de validación documental" title="Diagrama de actividades del flujo de validación docu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43200" cy="7343775"/>
                    </a:xfrm>
                    <a:prstGeom prst="rect">
                      <a:avLst/>
                    </a:prstGeom>
                  </pic:spPr>
                </pic:pic>
              </a:graphicData>
            </a:graphic>
          </wp:inline>
        </w:drawing>
      </w:r>
    </w:p>
    <w:p>
      <w:r>
        <w:br w:type="page"/>
      </w:r>
    </w:p>
    <w:p>
      <w:pPr>
        <w:pStyle w:val="Heading1"/>
      </w:pPr>
      <w:r>
        <w:t xml:space="preserve">4. Diagrama de Componentes — Arquitectura</w:t>
      </w:r>
    </w:p>
    <w:p>
      <w:pPr>
        <w:spacing w:after="160"/>
      </w:pPr>
      <w:r>
        <w:t xml:space="preserve">Vista de componentes a nivel de despliegue: el frontend nunca habla directo con la base de datos ni con servicios externos (Flow, proveedores LLM, Resend); todo pasa por una Edge Function específica, que es además donde vive el único chequeo de rol cuando se usa la service role key.</w:t>
      </w:r>
    </w:p>
    <w:p>
      <w:pPr>
        <w:spacing w:after="240" w:before="120"/>
        <w:jc w:val="center"/>
      </w:pPr>
      <w:r>
        <w:drawing>
          <wp:inline distT="0" distB="0" distL="0" distR="0">
            <wp:extent cx="5943600" cy="4267200"/>
            <wp:effectExtent t="0" r="0" b="0" l="0"/>
            <wp:docPr id="1" name="Diagrama de componentes del sistema" descr="Diagrama de componentes del sistema" title="Diagrama de componentes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267200"/>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BFBF" w:sz="4" w:space="4"/>
      </w:pBdr>
      <w:spacing w:after="200" w:before="360"/>
      <w:outlineLvl w:val="0"/>
    </w:pPr>
    <w:rPr>
      <w:rFonts w:ascii="Calibri" w:cs="Calibri" w:eastAsia="Calibri" w:hAnsi="Calibri"/>
      <w:b/>
      <w:bCs/>
      <w:color w:val="1A1A1A"/>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2b04a1030fb684a2331ce11b021fbe6499a81ea.png"/><Relationship Id="rId8" Type="http://schemas.openxmlformats.org/officeDocument/2006/relationships/image" Target="media/6dd00245f0dec5e23210f94e7d110cb5c7beb760.png"/><Relationship Id="rId9" Type="http://schemas.openxmlformats.org/officeDocument/2006/relationships/image" Target="media/ba4a8c4b9b797e820151f4e60b186279092397df.png"/><Relationship Id="rId10" Type="http://schemas.openxmlformats.org/officeDocument/2006/relationships/image" Target="media/a383fff4252300f000adf54df0ebfc4c5631cae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2026-06-27T03:28:18.325Z</dcterms:created>
  <dcterms:modified xsi:type="dcterms:W3CDTF">2026-06-27T03:28:18.326Z</dcterms:modified>
</cp:coreProperties>
</file>

<file path=docProps/custom.xml><?xml version="1.0" encoding="utf-8"?>
<Properties xmlns="http://schemas.openxmlformats.org/officeDocument/2006/custom-properties" xmlns:vt="http://schemas.openxmlformats.org/officeDocument/2006/docPropsVTypes"/>
</file>