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E993D66" w14:paraId="37A9D3EC" wp14:textId="77777777">
      <w:pPr>
        <w:spacing w:before="1000"/>
        <w:jc w:val="center"/>
        <w:rPr>
          <w:b w:val="1"/>
          <w:bCs w:val="1"/>
          <w:color w:val="auto"/>
          <w:sz w:val="44"/>
          <w:szCs w:val="44"/>
        </w:rPr>
      </w:pPr>
      <w:r w:rsidRPr="3E993D66" w:rsidR="3E993D66">
        <w:rPr>
          <w:b w:val="1"/>
          <w:bCs w:val="1"/>
          <w:color w:val="auto"/>
          <w:sz w:val="44"/>
          <w:szCs w:val="44"/>
        </w:rPr>
        <w:t>INFORME TÉCNICO CONSOLIDADO</w:t>
      </w:r>
      <w:r>
        <w:br/>
      </w:r>
      <w:r w:rsidRPr="3E993D66" w:rsidR="3E993D66">
        <w:rPr>
          <w:b w:val="1"/>
          <w:bCs w:val="1"/>
          <w:color w:val="auto"/>
          <w:sz w:val="44"/>
          <w:szCs w:val="44"/>
        </w:rPr>
        <w:t>ESTADO DE AVANCE N° 2</w:t>
      </w:r>
    </w:p>
    <w:p xmlns:wp14="http://schemas.microsoft.com/office/word/2010/wordml" w:rsidP="3E993D66" w14:paraId="2C2E3ED6" wp14:textId="77777777">
      <w:pPr>
        <w:spacing w:after="1000"/>
        <w:jc w:val="center"/>
        <w:rPr>
          <w:color w:val="auto"/>
          <w:sz w:val="28"/>
          <w:szCs w:val="28"/>
        </w:rPr>
      </w:pPr>
      <w:r w:rsidRPr="3E993D66" w:rsidR="3E993D66">
        <w:rPr>
          <w:color w:val="auto"/>
          <w:sz w:val="28"/>
          <w:szCs w:val="28"/>
        </w:rPr>
        <w:t>Proyecto SotLoy Conecta</w:t>
      </w:r>
      <w:r>
        <w:br/>
      </w:r>
      <w:r w:rsidRPr="3E993D66" w:rsidR="3E993D66">
        <w:rPr>
          <w:color w:val="auto"/>
          <w:sz w:val="28"/>
          <w:szCs w:val="28"/>
        </w:rPr>
        <w:t>Asignatura: Taller Aplicado de Programación (TPY1101)</w:t>
      </w:r>
      <w:r>
        <w:br/>
      </w:r>
      <w:r>
        <w:br/>
      </w:r>
      <w:r w:rsidRPr="3E993D66" w:rsidR="3E993D66">
        <w:rPr>
          <w:color w:val="auto"/>
          <w:sz w:val="28"/>
          <w:szCs w:val="28"/>
        </w:rPr>
        <w:t>Autores: Cristian Soto &amp; John Cruz</w:t>
      </w:r>
    </w:p>
    <w:p xmlns:wp14="http://schemas.microsoft.com/office/word/2010/wordml" w:rsidP="3E993D66" w14:paraId="672A6659" wp14:textId="77777777">
      <w:pPr>
        <w:rPr>
          <w:color w:val="auto"/>
        </w:rPr>
      </w:pPr>
      <w:r w:rsidRPr="3E993D66">
        <w:rPr>
          <w:color w:val="auto"/>
        </w:rPr>
        <w:br w:type="page"/>
      </w:r>
    </w:p>
    <w:p xmlns:wp14="http://schemas.microsoft.com/office/word/2010/wordml" w:rsidP="3E993D66" w14:paraId="06FA145E" wp14:textId="77777777">
      <w:pPr>
        <w:spacing w:before="360" w:after="120"/>
        <w:rPr>
          <w:b w:val="1"/>
          <w:bCs w:val="1"/>
          <w:color w:val="auto"/>
          <w:sz w:val="30"/>
          <w:szCs w:val="30"/>
        </w:rPr>
      </w:pPr>
      <w:r w:rsidRPr="3E993D66" w:rsidR="3E993D66">
        <w:rPr>
          <w:b w:val="1"/>
          <w:bCs w:val="1"/>
          <w:color w:val="auto"/>
          <w:sz w:val="30"/>
          <w:szCs w:val="30"/>
        </w:rPr>
        <w:t>1. CONTEXTO Y ANÁLISIS DEL PROBLEMA (EVALUACIÓN 1)</w:t>
      </w:r>
    </w:p>
    <w:p xmlns:wp14="http://schemas.microsoft.com/office/word/2010/wordml" w:rsidP="3E993D66" w14:paraId="16570E3B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1.1 Descripción de la Problemática (Análisis Ishikawa)</w:t>
      </w:r>
    </w:p>
    <w:p xmlns:wp14="http://schemas.microsoft.com/office/word/2010/wordml" w:rsidP="3E993D66" w14:paraId="3F9430B6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SotLoy Conecta nace para resolver una problemática crítica en las Pymes chilenas: la gestión informal de documentos laborales. Mediante el diagrama de Ishikawa (Espina de Pescado) se identificaron las siguientes causas principales:</w:t>
      </w:r>
      <w:r>
        <w:br/>
      </w:r>
      <w:r w:rsidRPr="3E993D66" w:rsidR="3E993D66">
        <w:rPr>
          <w:b w:val="0"/>
          <w:bCs w:val="0"/>
          <w:color w:val="auto"/>
        </w:rPr>
        <w:t>- Uso de canales informales (WhatsApp, Correos) que generan dispersión de información.</w:t>
      </w:r>
      <w:r>
        <w:br/>
      </w:r>
      <w:r w:rsidRPr="3E993D66" w:rsidR="3E993D66">
        <w:rPr>
          <w:b w:val="0"/>
          <w:bCs w:val="0"/>
          <w:color w:val="auto"/>
        </w:rPr>
        <w:t>- Riesgos de multas ante la Dirección del Trabajo (DT) por falta de trazabilidad y acuses de recibo.</w:t>
      </w:r>
      <w:r>
        <w:br/>
      </w:r>
      <w:r w:rsidRPr="3E993D66" w:rsidR="3E993D66">
        <w:rPr>
          <w:b w:val="0"/>
          <w:bCs w:val="0"/>
          <w:color w:val="auto"/>
        </w:rPr>
        <w:t>- Sobrecarga operativa de la consultora SotLoy al resolver consultas legales repetitivas de sus clientes.</w:t>
      </w:r>
    </w:p>
    <w:p xmlns:wp14="http://schemas.microsoft.com/office/word/2010/wordml" w:rsidP="3E993D66" w14:paraId="04140048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1.2 Estado del Arte y Tabla de Homologación</w:t>
      </w:r>
    </w:p>
    <w:p xmlns:wp14="http://schemas.microsoft.com/office/word/2010/wordml" w:rsidP="3E993D66" w14:paraId="3335CCAD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Al analizar soluciones existentes como Buk o Talana, se observó que dominan el sector corporativo, pero suelen ser costosas y complejas para las Pymes. SotLoy Conecta se diferencia homologando servicios esenciales de gestión documental y añadiendo un valor único: un Asistente Normativo (LOY) basado en IA (Arquitectura RAG), que se alimenta de un Web Spider que extrae leyes de portales oficiales, garantizando respuestas precisas y aisladas por seguridad Multi-tenant.</w:t>
      </w:r>
    </w:p>
    <w:p xmlns:wp14="http://schemas.microsoft.com/office/word/2010/wordml" w:rsidP="3E993D66" w14:paraId="51925FC7" wp14:textId="77777777">
      <w:pPr>
        <w:spacing w:before="360" w:after="120"/>
        <w:rPr>
          <w:b w:val="1"/>
          <w:bCs w:val="1"/>
          <w:color w:val="auto"/>
          <w:sz w:val="30"/>
          <w:szCs w:val="30"/>
        </w:rPr>
      </w:pPr>
      <w:r w:rsidRPr="3E993D66" w:rsidR="3E993D66">
        <w:rPr>
          <w:b w:val="1"/>
          <w:bCs w:val="1"/>
          <w:color w:val="auto"/>
          <w:sz w:val="30"/>
          <w:szCs w:val="30"/>
        </w:rPr>
        <w:t>2. PLANIFICACIÓN Y GESTIÓN DE RIESGOS</w:t>
      </w:r>
    </w:p>
    <w:p xmlns:wp14="http://schemas.microsoft.com/office/word/2010/wordml" w:rsidP="3E993D66" w14:paraId="6DCE3CB3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2.1 Metodología de Trabajo</w:t>
      </w:r>
    </w:p>
    <w:p xmlns:wp14="http://schemas.microsoft.com/office/word/2010/wordml" w:rsidP="3E993D66" w14:paraId="779A55BE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Se aplicó una metodología híbrida. En las fases iniciales (Sprints 1 y 2) se utilizó un enfoque tradicional (Waterfall) para congelar requerimientos (ERS) y la arquitectura. En la fase de desarrollo (Sprints 3 al 10), se adoptó Scrum, permitiendo iteraciones ágiles y controladas.</w:t>
      </w:r>
    </w:p>
    <w:p xmlns:wp14="http://schemas.microsoft.com/office/word/2010/wordml" w:rsidP="3E993D66" w14:paraId="24ED2476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2.2 Matriz de Riesgos</w:t>
      </w:r>
    </w:p>
    <w:p xmlns:wp14="http://schemas.microsoft.com/office/word/2010/wordml" w:rsidP="3E993D66" w14:paraId="6937D628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Los principales riesgos mitigados fueron:</w:t>
      </w:r>
      <w:r>
        <w:br/>
      </w:r>
      <w:r w:rsidRPr="3E993D66" w:rsidR="3E993D66">
        <w:rPr>
          <w:b w:val="0"/>
          <w:bCs w:val="0"/>
          <w:color w:val="auto"/>
        </w:rPr>
        <w:t>1. Curva de aprendizaje técnica: Mitigada mediante capacitaciones internas en Supabase y Next.js.</w:t>
      </w:r>
      <w:r>
        <w:br/>
      </w:r>
      <w:r w:rsidRPr="3E993D66" w:rsidR="3E993D66">
        <w:rPr>
          <w:b w:val="0"/>
          <w:bCs w:val="0"/>
          <w:color w:val="auto"/>
        </w:rPr>
        <w:t>2. Fallos en el modelo de IA: Mitigado mediante la parametrización de OpenAI y pgvector restringiendo las respuestas estrictamente al contexto legal insertado.</w:t>
      </w:r>
      <w:r>
        <w:br/>
      </w:r>
      <w:r w:rsidRPr="3E993D66" w:rsidR="3E993D66">
        <w:rPr>
          <w:b w:val="0"/>
          <w:bCs w:val="0"/>
          <w:color w:val="auto"/>
        </w:rPr>
        <w:t>3. Seguridad de Datos: Mitigado mediante la implementación forzosa de políticas Row Level Security (RLS).</w:t>
      </w:r>
    </w:p>
    <w:p xmlns:wp14="http://schemas.microsoft.com/office/word/2010/wordml" w:rsidP="3E993D66" w14:paraId="0725BFC3" wp14:textId="77777777">
      <w:pPr>
        <w:spacing w:before="360" w:after="120"/>
        <w:rPr>
          <w:b w:val="1"/>
          <w:bCs w:val="1"/>
          <w:color w:val="auto"/>
          <w:sz w:val="30"/>
          <w:szCs w:val="30"/>
        </w:rPr>
      </w:pPr>
      <w:r w:rsidRPr="3E993D66" w:rsidR="3E993D66">
        <w:rPr>
          <w:b w:val="1"/>
          <w:bCs w:val="1"/>
          <w:color w:val="auto"/>
          <w:sz w:val="30"/>
          <w:szCs w:val="30"/>
        </w:rPr>
        <w:t>3. ARQUITECTURA Y JUSTIFICACIÓN CLOUD</w:t>
      </w:r>
    </w:p>
    <w:p xmlns:wp14="http://schemas.microsoft.com/office/word/2010/wordml" w:rsidP="3E993D66" w14:paraId="58B7EB50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El proyecto se fundamenta en un modelo Backend as a Service (BaaS) apoyado en Supabase, ofreciendo infraestructura como servicio gestionado (PaaS). El diagrama de arquitectura IA (LOY) establece una conexión directa entre el Frontend (Next.js) y Supabase. Las inserciones vectoriales se realizan procesando el texto de normativas con Sentence Transformers y enviando los embeddings a PostgreSQL (pgvector). El modelo Cloud garantiza escalabilidad sin sobrecargar al equipo con la administración de servidores físicos.</w:t>
      </w:r>
    </w:p>
    <w:p xmlns:wp14="http://schemas.microsoft.com/office/word/2010/wordml" w:rsidP="3E993D66" w14:paraId="182F2D2C" wp14:textId="77777777">
      <w:pPr>
        <w:spacing w:before="360" w:after="120"/>
        <w:rPr>
          <w:b w:val="1"/>
          <w:bCs w:val="1"/>
          <w:color w:val="auto"/>
          <w:sz w:val="30"/>
          <w:szCs w:val="30"/>
        </w:rPr>
      </w:pPr>
      <w:r w:rsidRPr="3E993D66" w:rsidR="3E993D66">
        <w:rPr>
          <w:b w:val="1"/>
          <w:bCs w:val="1"/>
          <w:color w:val="auto"/>
          <w:sz w:val="30"/>
          <w:szCs w:val="30"/>
        </w:rPr>
        <w:t>4. SERVIDOR DE PRODUCCIÓN Y BASE DE DATOS (EVALUACIÓN 2)</w:t>
      </w:r>
    </w:p>
    <w:p xmlns:wp14="http://schemas.microsoft.com/office/word/2010/wordml" w:rsidP="3E993D66" w14:paraId="43A1DDCC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4.1 Especificaciones Técnicas</w:t>
      </w:r>
    </w:p>
    <w:p xmlns:wp14="http://schemas.microsoft.com/office/word/2010/wordml" w:rsidP="3E993D66" w14:paraId="6512CA06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Instancia: AWS East US (us-east-1), Tipo t4g.nano (AWS Graviton ARM 64-bit).</w:t>
      </w:r>
      <w:r>
        <w:br/>
      </w:r>
      <w:r w:rsidRPr="3E993D66" w:rsidR="3E993D66">
        <w:rPr>
          <w:b w:val="0"/>
          <w:bCs w:val="0"/>
          <w:color w:val="auto"/>
        </w:rPr>
        <w:t>Motor de BD: PostgreSQL 15.</w:t>
      </w:r>
      <w:r>
        <w:br/>
      </w:r>
      <w:r w:rsidRPr="3E993D66" w:rsidR="3E993D66">
        <w:rPr>
          <w:b w:val="0"/>
          <w:bCs w:val="0"/>
          <w:color w:val="auto"/>
        </w:rPr>
        <w:t>La base de datos cuenta con 20 tablas transaccionales. La tabla core de la IA, loy_knowledge_documents, cuenta con 1.507 registros y un tamaño superior a 1 GB, evidenciando un alto grado de avance técnico.</w:t>
      </w:r>
    </w:p>
    <w:p xmlns:wp14="http://schemas.microsoft.com/office/word/2010/wordml" w:rsidP="3E993D66" w14:paraId="104A1CA2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4.2 Replicación de Entorno y Backup</w:t>
      </w:r>
    </w:p>
    <w:p xmlns:wp14="http://schemas.microsoft.com/office/word/2010/wordml" w:rsidP="3E993D66" w14:paraId="7A9A7C16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El entorno de pruebas se clona utilizando Supabase CLI (npx supabase start). Las copias de seguridad de la infraestructura se realizan mediante pg_dump, extrayendo la base de datos estructural y transaccional para ejecutar Smoke Tests locales.</w:t>
      </w:r>
    </w:p>
    <w:p xmlns:wp14="http://schemas.microsoft.com/office/word/2010/wordml" w:rsidP="3E993D66" w14:paraId="52214052" wp14:textId="77777777">
      <w:pPr>
        <w:spacing w:before="360" w:after="120"/>
        <w:rPr>
          <w:b w:val="1"/>
          <w:bCs w:val="1"/>
          <w:color w:val="auto"/>
          <w:sz w:val="30"/>
          <w:szCs w:val="30"/>
        </w:rPr>
      </w:pPr>
      <w:r w:rsidRPr="3E993D66" w:rsidR="3E993D66">
        <w:rPr>
          <w:b w:val="1"/>
          <w:bCs w:val="1"/>
          <w:color w:val="auto"/>
          <w:sz w:val="30"/>
          <w:szCs w:val="30"/>
        </w:rPr>
        <w:t>5. PLAN DE PRUEBAS FUNCIONALES Y QA</w:t>
      </w:r>
    </w:p>
    <w:p xmlns:wp14="http://schemas.microsoft.com/office/word/2010/wordml" w:rsidP="3E993D66" w14:paraId="579F9B23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El sistema ha sido sometido a pruebas de estrés y validación operativas, certificando el cumplimiento de las Historias de Usuario:</w:t>
      </w:r>
    </w:p>
    <w:p xmlns:wp14="http://schemas.microsoft.com/office/word/2010/wordml" w:rsidP="3E993D66" w14:paraId="4E19B89B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- QA Documental: Validación de subida de PDF, generación de Hash SHA-256 y descarga mediante URLs firmadas con caducidad.</w:t>
      </w:r>
      <w:r>
        <w:br/>
      </w:r>
      <w:r w:rsidRPr="3E993D66" w:rsidR="3E993D66">
        <w:rPr>
          <w:b w:val="0"/>
          <w:bCs w:val="0"/>
          <w:color w:val="auto"/>
        </w:rPr>
        <w:t>- QA Trazabilidad: Validación del trigger que inserta logs inmutables en la tabla audit_logs tras cada descarga.</w:t>
      </w:r>
      <w:r>
        <w:br/>
      </w:r>
      <w:r w:rsidRPr="3E993D66" w:rsidR="3E993D66">
        <w:rPr>
          <w:b w:val="0"/>
          <w:bCs w:val="0"/>
          <w:color w:val="auto"/>
        </w:rPr>
        <w:t>- QA IA (LOY): Comprobación semántica de respuestas utilizando el contexto extraído por el Web Spider.</w:t>
      </w:r>
      <w:r>
        <w:br/>
      </w:r>
      <w:r w:rsidRPr="3E993D66" w:rsidR="3E993D66">
        <w:rPr>
          <w:b w:val="0"/>
          <w:bCs w:val="0"/>
          <w:color w:val="auto"/>
        </w:rPr>
        <w:t>- QA Seguridad: Pruebas de inyección Cross-Tenant denegadas exitosamente por el motor RLS de PostgreSQL.</w:t>
      </w:r>
    </w:p>
    <w:p xmlns:wp14="http://schemas.microsoft.com/office/word/2010/wordml" w:rsidP="3E993D66" w14:paraId="69C23F7E" wp14:textId="77777777">
      <w:pPr>
        <w:spacing w:before="360" w:after="120"/>
        <w:rPr>
          <w:b w:val="1"/>
          <w:bCs w:val="1"/>
          <w:color w:val="auto"/>
          <w:sz w:val="30"/>
          <w:szCs w:val="30"/>
        </w:rPr>
      </w:pPr>
      <w:r w:rsidRPr="3E993D66" w:rsidR="3E993D66">
        <w:rPr>
          <w:b w:val="1"/>
          <w:bCs w:val="1"/>
          <w:color w:val="auto"/>
          <w:sz w:val="30"/>
          <w:szCs w:val="30"/>
        </w:rPr>
        <w:t>6. CERTIFICACIÓN DE AVANCE, CONCLUSIONES Y LECCIONES APRENDIDAS</w:t>
      </w:r>
    </w:p>
    <w:p xmlns:wp14="http://schemas.microsoft.com/office/word/2010/wordml" w:rsidP="3E993D66" w14:paraId="77A5124A" wp14:textId="77777777">
      <w:pPr>
        <w:spacing w:before="240" w:after="80"/>
        <w:rPr>
          <w:b w:val="1"/>
          <w:bCs w:val="1"/>
          <w:color w:val="auto"/>
          <w:sz w:val="26"/>
          <w:szCs w:val="26"/>
        </w:rPr>
      </w:pPr>
      <w:r w:rsidRPr="3E993D66" w:rsidR="3E993D66">
        <w:rPr>
          <w:b w:val="1"/>
          <w:bCs w:val="1"/>
          <w:color w:val="auto"/>
          <w:sz w:val="26"/>
          <w:szCs w:val="26"/>
        </w:rPr>
        <w:t>Certificación de Avance de Sprints</w:t>
      </w:r>
    </w:p>
    <w:p xmlns:wp14="http://schemas.microsoft.com/office/word/2010/wordml" w:rsidP="3E993D66" w14:paraId="61EDFE49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Durante el transcurso de las iteraciones ágiles, el equipo avanzó a un ritmo constante en la consolidación del producto de software. Si bien existieron un par de atrasos en los sprints iniciales debido a la curva de asimilación de nuevas tecnologías (como la integración de embeddings vectoriales y el despliegue del Web Spider), la flexibilidad de la metodología ágil permitió corregir las desviaciones rápidamente. Al corte de esta Evaluación Parcial 2, certificamos el cumplimiento del 100% de la planificación estimada, manteniendo el proyecto encaminado para la entrega final dentro de la fecha establecida.</w:t>
      </w:r>
    </w:p>
    <w:p xmlns:wp14="http://schemas.microsoft.com/office/word/2010/wordml" w:rsidP="3E993D66" w14:paraId="44438429" wp14:textId="77777777">
      <w:pPr>
        <w:spacing w:before="240" w:after="80"/>
        <w:rPr>
          <w:b w:val="1"/>
          <w:bCs w:val="1"/>
          <w:color w:val="auto"/>
          <w:sz w:val="26"/>
          <w:szCs w:val="26"/>
        </w:rPr>
      </w:pPr>
      <w:r w:rsidRPr="3E993D66" w:rsidR="3E993D66">
        <w:rPr>
          <w:b w:val="1"/>
          <w:bCs w:val="1"/>
          <w:color w:val="auto"/>
          <w:sz w:val="26"/>
          <w:szCs w:val="26"/>
        </w:rPr>
        <w:t>Lecciones Aprendidas</w:t>
      </w:r>
    </w:p>
    <w:p xmlns:wp14="http://schemas.microsoft.com/office/word/2010/wordml" w:rsidP="3E993D66" w14:paraId="52E90396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1. Dominio de Supabase y BaaS: Hemos aprendido a aprovechar al máximo las capacidades de Supabase, comprendiendo que delegar la gestión de la infraestructura (Auth, Storage, RLS) nos permite enfocar nuestros esfuerzos de ingeniería en la lógica de negocio y la escalabilidad de la solución.</w:t>
      </w:r>
      <w:r>
        <w:br/>
      </w:r>
      <w:r w:rsidRPr="3E993D66" w:rsidR="3E993D66">
        <w:rPr>
          <w:b w:val="0"/>
          <w:bCs w:val="0"/>
          <w:color w:val="auto"/>
        </w:rPr>
        <w:t>2. Uso de Inteligencia Artificial Aplicada: La integración de IA mediante arquitectura RAG (Retrieval-Augmented Generation) demostró ser un desafío técnico profundo. Aprendimos que el éxito de la IA no recae solo en el modelo (GPT-4o mini), sino en la calidad de la recolección de datos (Web Spider) y la correcta indexación vectorial en la base de datos (pgvector).</w:t>
      </w:r>
      <w:r>
        <w:br/>
      </w:r>
      <w:r w:rsidRPr="3E993D66" w:rsidR="3E993D66">
        <w:rPr>
          <w:b w:val="0"/>
          <w:bCs w:val="0"/>
          <w:color w:val="auto"/>
        </w:rPr>
        <w:t>3. Gestión de la Seguridad: Comprender la implementación de Row Level Security (RLS) fue fundamental para asegurar el modelo Multi-tenant, garantizando a las empresas clientes que sus datos jamás se filtrarán entre inquilinos.</w:t>
      </w:r>
    </w:p>
    <w:p xmlns:wp14="http://schemas.microsoft.com/office/word/2010/wordml" w:rsidP="3E993D66" w14:paraId="19FF5C40" wp14:textId="77777777">
      <w:pPr>
        <w:spacing w:before="240" w:after="80"/>
        <w:rPr>
          <w:b w:val="1"/>
          <w:bCs w:val="1"/>
          <w:color w:val="auto"/>
          <w:sz w:val="26"/>
          <w:szCs w:val="26"/>
        </w:rPr>
      </w:pPr>
      <w:r w:rsidRPr="3E993D66" w:rsidR="3E993D66">
        <w:rPr>
          <w:b w:val="1"/>
          <w:bCs w:val="1"/>
          <w:color w:val="auto"/>
          <w:sz w:val="26"/>
          <w:szCs w:val="26"/>
        </w:rPr>
        <w:t>Conclusiones</w:t>
      </w:r>
    </w:p>
    <w:p xmlns:wp14="http://schemas.microsoft.com/office/word/2010/wordml" w:rsidP="3E993D66" w14:paraId="7DE19A3D" wp14:textId="77777777">
      <w:pPr>
        <w:spacing w:after="120" w:line="276" w:lineRule="auto"/>
        <w:rPr>
          <w:b w:val="0"/>
          <w:bCs w:val="0"/>
          <w:color w:val="auto"/>
        </w:rPr>
      </w:pPr>
      <w:r w:rsidRPr="3E993D66" w:rsidR="3E993D66">
        <w:rPr>
          <w:b w:val="0"/>
          <w:bCs w:val="0"/>
          <w:color w:val="auto"/>
        </w:rPr>
        <w:t>SotLoy Conecta ha evolucionado de ser un concepto de digitalización a una plataforma SaaS robusta, moderna y segura. La ejecución de pruebas operativas y estructurales demuestra que el software no solo es funcional, sino que cumple con altos estándares de calidad de la industria. A pesar de los retos técnicos iniciales, el equipo ha demostrado una capacidad resolutiva sobresaliente. Continuamos iterando sobre el código fuente, puliendo la interfaz de usuario y fortaleciendo la infraestructura para coronar el proyecto con éxito en la defensa final.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99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C5A62D6-BE53-4B7D-BD5F-CF3520822B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CRISTIAN ALONSO SOTO LOYOLA</lastModifiedBy>
  <revision>2</revision>
  <dcterms:created xsi:type="dcterms:W3CDTF">2013-12-23T23:15:00.0000000Z</dcterms:created>
  <dcterms:modified xsi:type="dcterms:W3CDTF">2026-05-19T00:39:02.7572679Z</dcterms:modified>
  <category/>
</coreProperties>
</file>