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DAC4F" w14:textId="77777777" w:rsidR="00FE2C71" w:rsidRDefault="007E39B5">
      <w:pPr>
        <w:jc w:val="center"/>
        <w:rPr>
          <w:sz w:val="28"/>
          <w:szCs w:val="28"/>
        </w:rPr>
      </w:pPr>
      <w:r>
        <w:rPr>
          <w:sz w:val="28"/>
          <w:szCs w:val="28"/>
        </w:rPr>
        <w:t>Programming Assignment 2</w:t>
      </w:r>
    </w:p>
    <w:p w14:paraId="3B481B88" w14:textId="77777777" w:rsidR="00FE2C71" w:rsidRDefault="007E39B5">
      <w:pPr>
        <w:jc w:val="center"/>
      </w:pPr>
      <w:proofErr w:type="spellStart"/>
      <w:r>
        <w:t>Peiyong</w:t>
      </w:r>
      <w:proofErr w:type="spellEnd"/>
      <w:r>
        <w:t xml:space="preserve"> Chen and John Till</w:t>
      </w:r>
    </w:p>
    <w:p w14:paraId="5854F929" w14:textId="77777777" w:rsidR="00FE2C71" w:rsidRDefault="00FE2C71"/>
    <w:p w14:paraId="4EE7820B" w14:textId="77777777" w:rsidR="00FE2C71" w:rsidRDefault="007E39B5">
      <w:pPr>
        <w:rPr>
          <w:b/>
          <w:bCs/>
        </w:rPr>
      </w:pPr>
      <w:r>
        <w:rPr>
          <w:b/>
          <w:bCs/>
        </w:rPr>
        <w:t>Objective</w:t>
      </w:r>
    </w:p>
    <w:p w14:paraId="2274CC45" w14:textId="51869D77" w:rsidR="00FE2C71" w:rsidRDefault="007E39B5">
      <w:r>
        <w:t xml:space="preserve">This project aims to implement a reverse index </w:t>
      </w:r>
      <w:r w:rsidR="00D82600">
        <w:t>to</w:t>
      </w:r>
      <w:r>
        <w:t xml:space="preserve"> </w:t>
      </w:r>
      <w:r w:rsidR="00D82600">
        <w:t xml:space="preserve">map </w:t>
      </w:r>
      <w:r>
        <w:t>word occurrences in the works of Shakespeare</w:t>
      </w:r>
      <w:r w:rsidR="00D82600">
        <w:t xml:space="preserve"> to their corresponding documents and line numbers</w:t>
      </w:r>
      <w:r>
        <w:t xml:space="preserve">. The reverse index is built using a MapReduce function in Hadoop. We build a simple </w:t>
      </w:r>
      <w:r w:rsidR="00BC7F02">
        <w:t xml:space="preserve">linear </w:t>
      </w:r>
      <w:r>
        <w:t xml:space="preserve">search function </w:t>
      </w:r>
      <w:r w:rsidR="00BC7F02">
        <w:t>to look up words in the</w:t>
      </w:r>
      <w:r>
        <w:t xml:space="preserve"> inverted index</w:t>
      </w:r>
      <w:r w:rsidR="00BC7F02">
        <w:t xml:space="preserve">. </w:t>
      </w:r>
      <w:r>
        <w:t xml:space="preserve">We demonstrate how </w:t>
      </w:r>
      <w:r w:rsidR="00BD3900">
        <w:t xml:space="preserve">the works of Shakespeare may be parsed to build </w:t>
      </w:r>
      <w:r>
        <w:t xml:space="preserve">our reverse index in a </w:t>
      </w:r>
      <w:proofErr w:type="spellStart"/>
      <w:r>
        <w:t>CloudLab</w:t>
      </w:r>
      <w:proofErr w:type="spellEnd"/>
      <w:r>
        <w:t xml:space="preserve"> cluster.</w:t>
      </w:r>
    </w:p>
    <w:p w14:paraId="75CD3899" w14:textId="2AF8C6EC" w:rsidR="00FE2C71" w:rsidRDefault="00FE2C71"/>
    <w:p w14:paraId="24F40C79" w14:textId="53C61882" w:rsidR="00DA0BE3" w:rsidRPr="00DA0BE3" w:rsidRDefault="00DA0BE3">
      <w:pPr>
        <w:rPr>
          <w:b/>
        </w:rPr>
      </w:pPr>
      <w:r w:rsidRPr="00DA0BE3">
        <w:rPr>
          <w:b/>
        </w:rPr>
        <w:t>Project St</w:t>
      </w:r>
      <w:r>
        <w:rPr>
          <w:b/>
        </w:rPr>
        <w:t>r</w:t>
      </w:r>
      <w:r w:rsidRPr="00DA0BE3">
        <w:rPr>
          <w:b/>
        </w:rPr>
        <w:t>ucture</w:t>
      </w:r>
    </w:p>
    <w:p w14:paraId="32CC02EC" w14:textId="1C8BEF48" w:rsidR="00DA0BE3" w:rsidRDefault="00DA0BE3">
      <w:r>
        <w:t>The code is logically divided into 5 phases with folders numbered 0-4.</w:t>
      </w:r>
      <w:r w:rsidR="00051257">
        <w:t xml:space="preserve"> Every folder except for #4 has a “run.sh” shell script which execute</w:t>
      </w:r>
      <w:r w:rsidR="00B015F9">
        <w:t>s all necessary</w:t>
      </w:r>
      <w:r w:rsidR="00051257">
        <w:t xml:space="preserve"> code</w:t>
      </w:r>
      <w:r w:rsidR="00B015F9">
        <w:t xml:space="preserve"> for that phase</w:t>
      </w:r>
      <w:r w:rsidR="00051257">
        <w:t>.</w:t>
      </w:r>
    </w:p>
    <w:p w14:paraId="183B9E83" w14:textId="4FA909EB" w:rsidR="00B015F9" w:rsidRDefault="00B015F9">
      <w:r>
        <w:rPr>
          <w:noProof/>
        </w:rPr>
        <w:drawing>
          <wp:inline distT="0" distB="0" distL="0" distR="0" wp14:anchorId="25848FFC" wp14:editId="3962959A">
            <wp:extent cx="1474672" cy="115326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0106" cy="1157512"/>
                    </a:xfrm>
                    <a:prstGeom prst="rect">
                      <a:avLst/>
                    </a:prstGeom>
                    <a:noFill/>
                    <a:ln>
                      <a:noFill/>
                    </a:ln>
                  </pic:spPr>
                </pic:pic>
              </a:graphicData>
            </a:graphic>
          </wp:inline>
        </w:drawing>
      </w:r>
      <w:r>
        <w:rPr>
          <w:noProof/>
        </w:rPr>
        <w:drawing>
          <wp:inline distT="0" distB="0" distL="0" distR="0" wp14:anchorId="347AFE59" wp14:editId="58ABBE1B">
            <wp:extent cx="4325620" cy="47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5620" cy="477520"/>
                    </a:xfrm>
                    <a:prstGeom prst="rect">
                      <a:avLst/>
                    </a:prstGeom>
                    <a:noFill/>
                    <a:ln>
                      <a:noFill/>
                    </a:ln>
                  </pic:spPr>
                </pic:pic>
              </a:graphicData>
            </a:graphic>
          </wp:inline>
        </w:drawing>
      </w:r>
    </w:p>
    <w:p w14:paraId="2FF23F41" w14:textId="77777777" w:rsidR="00DA0BE3" w:rsidRDefault="00DA0BE3"/>
    <w:p w14:paraId="5D013500" w14:textId="40CE4FBD" w:rsidR="00FE2C71" w:rsidRDefault="00731989">
      <w:pPr>
        <w:rPr>
          <w:b/>
          <w:bCs/>
        </w:rPr>
      </w:pPr>
      <w:r>
        <w:rPr>
          <w:b/>
          <w:bCs/>
        </w:rPr>
        <w:t xml:space="preserve">0 - </w:t>
      </w:r>
      <w:r w:rsidR="007E39B5">
        <w:rPr>
          <w:b/>
          <w:bCs/>
        </w:rPr>
        <w:t>Obtaining Source Files for Shakespeare’s Work</w:t>
      </w:r>
    </w:p>
    <w:p w14:paraId="2974D895" w14:textId="3E4F196E" w:rsidR="00873FC6" w:rsidRDefault="007E39B5">
      <w:r>
        <w:t>Before building a reverse index, we must obtain Shakespeare’s body of work in a format which can easily be parsed. Project Gutenberg is a volunteer-run organization which hosts public domain works, and we rely on their collection of Shakespeare’s works. The Gutenberg website does not facilitate downloading an author’s entire body of work, but David Robinson has written an excellent R package “</w:t>
      </w:r>
      <w:proofErr w:type="spellStart"/>
      <w:r>
        <w:t>gutenbergr</w:t>
      </w:r>
      <w:proofErr w:type="spellEnd"/>
      <w:r>
        <w:t xml:space="preserve">” which can download all works by an author </w:t>
      </w:r>
      <w:sdt>
        <w:sdtPr>
          <w:id w:val="-1334296673"/>
          <w:citation/>
        </w:sdtPr>
        <w:sdtEndPr/>
        <w:sdtContent>
          <w:r>
            <w:fldChar w:fldCharType="begin"/>
          </w:r>
          <w:r>
            <w:instrText>CITATION Dav18 \l 1033</w:instrText>
          </w:r>
          <w:r>
            <w:fldChar w:fldCharType="separate"/>
          </w:r>
          <w:r w:rsidR="00C9525D" w:rsidRPr="00C9525D">
            <w:rPr>
              <w:noProof/>
            </w:rPr>
            <w:t>[1]</w:t>
          </w:r>
          <w:r>
            <w:fldChar w:fldCharType="end"/>
          </w:r>
        </w:sdtContent>
      </w:sdt>
      <w:r>
        <w:t>. This package also allows the user to omit header/footer information, which will be useful for our reverse index analysis.</w:t>
      </w:r>
    </w:p>
    <w:p w14:paraId="7B8F6FBE" w14:textId="5E6A7B15" w:rsidR="00DC51AE" w:rsidRDefault="00DC51AE">
      <w:r>
        <w:t>It is unnecessary to execute this phase since the output is included with our submission. If you do run this phase, then “</w:t>
      </w:r>
      <w:proofErr w:type="spellStart"/>
      <w:r>
        <w:t>Rscript</w:t>
      </w:r>
      <w:proofErr w:type="spellEnd"/>
      <w:r>
        <w:t xml:space="preserve">” must be on the path and </w:t>
      </w:r>
      <w:r w:rsidR="005D14CD">
        <w:t xml:space="preserve">the </w:t>
      </w:r>
      <w:r>
        <w:t>“</w:t>
      </w:r>
      <w:proofErr w:type="spellStart"/>
      <w:r>
        <w:t>gutenbergr</w:t>
      </w:r>
      <w:proofErr w:type="spellEnd"/>
      <w:r>
        <w:t>”</w:t>
      </w:r>
      <w:r w:rsidR="005D14CD">
        <w:t xml:space="preserve"> library must be installed. The library can be installed by using R to call `</w:t>
      </w:r>
      <w:proofErr w:type="spellStart"/>
      <w:proofErr w:type="gramStart"/>
      <w:r w:rsidR="005D14CD">
        <w:t>install.packages</w:t>
      </w:r>
      <w:proofErr w:type="spellEnd"/>
      <w:proofErr w:type="gramEnd"/>
      <w:r w:rsidR="005D14CD">
        <w:t>(“</w:t>
      </w:r>
      <w:proofErr w:type="spellStart"/>
      <w:r w:rsidR="005D14CD">
        <w:t>gutenbergr</w:t>
      </w:r>
      <w:proofErr w:type="spellEnd"/>
      <w:r w:rsidR="005D14CD">
        <w:t>”)’ and selecting a mirror for the download.</w:t>
      </w:r>
      <w:r w:rsidR="00FA6378">
        <w:t xml:space="preserve"> Once these preconditions are met, it is possible to use “./run.sh” or simply “</w:t>
      </w:r>
      <w:proofErr w:type="spellStart"/>
      <w:r w:rsidR="00FA6378" w:rsidRPr="00FA6378">
        <w:t>Rscript</w:t>
      </w:r>
      <w:proofErr w:type="spellEnd"/>
      <w:r w:rsidR="00FA6378" w:rsidRPr="00FA6378">
        <w:t xml:space="preserve"> </w:t>
      </w:r>
      <w:proofErr w:type="spellStart"/>
      <w:r w:rsidR="00FA6378" w:rsidRPr="00FA6378">
        <w:t>download_Shakespeare.R</w:t>
      </w:r>
      <w:proofErr w:type="spellEnd"/>
      <w:r w:rsidR="00FA6378">
        <w:t>” to gather Shakespeare’s body of work.</w:t>
      </w:r>
    </w:p>
    <w:p w14:paraId="22A728C6" w14:textId="03742598" w:rsidR="00873FC6" w:rsidRDefault="00873FC6">
      <w:r>
        <w:t>The resulting text file of Shakespeare’s work looks like</w:t>
      </w:r>
      <w:r w:rsidR="00F06199">
        <w:t>:</w:t>
      </w:r>
    </w:p>
    <w:p w14:paraId="19D2F5E3" w14:textId="2C8FF19E" w:rsidR="00936EF9" w:rsidRDefault="00936EF9">
      <w:r>
        <w:rPr>
          <w:noProof/>
        </w:rPr>
        <w:lastRenderedPageBreak/>
        <w:drawing>
          <wp:inline distT="0" distB="0" distL="0" distR="0" wp14:anchorId="2C6A88D1" wp14:editId="28132608">
            <wp:extent cx="3753569" cy="1731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593" t="1277" b="-1"/>
                    <a:stretch/>
                  </pic:blipFill>
                  <pic:spPr bwMode="auto">
                    <a:xfrm>
                      <a:off x="0" y="0"/>
                      <a:ext cx="3754579" cy="1731476"/>
                    </a:xfrm>
                    <a:prstGeom prst="rect">
                      <a:avLst/>
                    </a:prstGeom>
                    <a:noFill/>
                    <a:ln>
                      <a:noFill/>
                    </a:ln>
                    <a:extLst>
                      <a:ext uri="{53640926-AAD7-44D8-BBD7-CCE9431645EC}">
                        <a14:shadowObscured xmlns:a14="http://schemas.microsoft.com/office/drawing/2010/main"/>
                      </a:ext>
                    </a:extLst>
                  </pic:spPr>
                </pic:pic>
              </a:graphicData>
            </a:graphic>
          </wp:inline>
        </w:drawing>
      </w:r>
    </w:p>
    <w:p w14:paraId="4CB6F50D" w14:textId="4800B35D" w:rsidR="00FE2C71" w:rsidRDefault="00995C5A">
      <w:r>
        <w:t>…</w:t>
      </w:r>
      <w:r w:rsidR="00F06199">
        <w:t>continued for 508,657 lines.</w:t>
      </w:r>
      <w:r w:rsidR="00AA2C4E">
        <w:t xml:space="preserve"> </w:t>
      </w:r>
      <w:r w:rsidR="00936EF9">
        <w:t xml:space="preserve">Although we only consider the document ids for this project, the R script also saves the mapping of document ids to titles which could potentially be </w:t>
      </w:r>
      <w:r w:rsidR="00D15D27">
        <w:t>useful</w:t>
      </w:r>
      <w:r w:rsidR="00936EF9">
        <w:t>.</w:t>
      </w:r>
    </w:p>
    <w:p w14:paraId="16E46EC4" w14:textId="38670446" w:rsidR="00936EF9" w:rsidRDefault="00022FED">
      <w:r>
        <w:rPr>
          <w:noProof/>
        </w:rPr>
        <w:drawing>
          <wp:inline distT="0" distB="0" distL="0" distR="0" wp14:anchorId="3F79606A" wp14:editId="0B1F74EB">
            <wp:extent cx="2825115"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115" cy="1518920"/>
                    </a:xfrm>
                    <a:prstGeom prst="rect">
                      <a:avLst/>
                    </a:prstGeom>
                    <a:noFill/>
                    <a:ln>
                      <a:noFill/>
                    </a:ln>
                  </pic:spPr>
                </pic:pic>
              </a:graphicData>
            </a:graphic>
          </wp:inline>
        </w:drawing>
      </w:r>
    </w:p>
    <w:p w14:paraId="5B9244C0" w14:textId="6C4B49DD" w:rsidR="00AA2C4E" w:rsidRDefault="00995C5A">
      <w:r>
        <w:t>…continued for 96 lines.</w:t>
      </w:r>
    </w:p>
    <w:p w14:paraId="5FC700E5" w14:textId="77777777" w:rsidR="00F06199" w:rsidRDefault="00F06199"/>
    <w:p w14:paraId="21E3DD00" w14:textId="200612A7" w:rsidR="00FE2C71" w:rsidRDefault="00731989">
      <w:pPr>
        <w:rPr>
          <w:b/>
          <w:bCs/>
        </w:rPr>
      </w:pPr>
      <w:r>
        <w:rPr>
          <w:b/>
          <w:bCs/>
        </w:rPr>
        <w:t xml:space="preserve">1 - </w:t>
      </w:r>
      <w:r w:rsidR="007E39B5">
        <w:rPr>
          <w:b/>
          <w:bCs/>
        </w:rPr>
        <w:t>Word Count</w:t>
      </w:r>
    </w:p>
    <w:p w14:paraId="081AC70E" w14:textId="6F7DB4F3" w:rsidR="00DC5B9B" w:rsidRDefault="007E39B5">
      <w:r>
        <w:t xml:space="preserve">Parsing the works is mainly accomplished using the </w:t>
      </w:r>
      <w:r w:rsidR="00474E62">
        <w:t xml:space="preserve">code from the </w:t>
      </w:r>
      <w:r>
        <w:t xml:space="preserve">Hadoop </w:t>
      </w:r>
      <w:r w:rsidR="001C628E">
        <w:t xml:space="preserve">word count </w:t>
      </w:r>
      <w:r>
        <w:t>tutorial</w:t>
      </w:r>
      <w:r w:rsidR="001C628E">
        <w:t xml:space="preserve"> </w:t>
      </w:r>
      <w:sdt>
        <w:sdtPr>
          <w:id w:val="417520837"/>
          <w:citation/>
        </w:sdtPr>
        <w:sdtEndPr/>
        <w:sdtContent>
          <w:r w:rsidR="001C628E">
            <w:fldChar w:fldCharType="begin"/>
          </w:r>
          <w:r w:rsidR="001C628E">
            <w:instrText xml:space="preserve"> CITATION Map17 \l 1033 </w:instrText>
          </w:r>
          <w:r w:rsidR="001C628E">
            <w:fldChar w:fldCharType="separate"/>
          </w:r>
          <w:r w:rsidR="00C9525D" w:rsidRPr="00C9525D">
            <w:rPr>
              <w:noProof/>
            </w:rPr>
            <w:t>[2]</w:t>
          </w:r>
          <w:r w:rsidR="001C628E">
            <w:fldChar w:fldCharType="end"/>
          </w:r>
        </w:sdtContent>
      </w:sdt>
      <w:r>
        <w:t xml:space="preserve"> </w:t>
      </w:r>
      <w:r w:rsidR="001C628E">
        <w:t>w</w:t>
      </w:r>
      <w:r>
        <w:t xml:space="preserve">hich shows how to </w:t>
      </w:r>
      <w:r w:rsidR="00AE1707">
        <w:t>count</w:t>
      </w:r>
      <w:r>
        <w:t xml:space="preserve"> words</w:t>
      </w:r>
      <w:r w:rsidR="00AE1707">
        <w:t xml:space="preserve"> in a set of documents</w:t>
      </w:r>
      <w:r>
        <w:t>. The changes we make to this code are 1) to convert all text to lowercase</w:t>
      </w:r>
      <w:r w:rsidR="0070644F">
        <w:t xml:space="preserve"> and</w:t>
      </w:r>
      <w:r>
        <w:t xml:space="preserve"> 2) to discard symbols and numbers.</w:t>
      </w:r>
      <w:r w:rsidR="0070644F">
        <w:t xml:space="preserve"> This may result in some loss of meaning with contractions and hyphenated words, but we consider the more complex rules of the English language to be outside the scope of our parser</w:t>
      </w:r>
      <w:r w:rsidR="001F54EA">
        <w:t xml:space="preserve"> design</w:t>
      </w:r>
      <w:r w:rsidR="0070644F">
        <w:t>.</w:t>
      </w:r>
    </w:p>
    <w:p w14:paraId="7F8B1CDD" w14:textId="715444AB" w:rsidR="00DC5B9B" w:rsidRDefault="00DC5B9B">
      <w:r>
        <w:t>The resulting output looks like</w:t>
      </w:r>
    </w:p>
    <w:p w14:paraId="74A6F0EF" w14:textId="211C4BBE" w:rsidR="00F33633" w:rsidRDefault="00F33633" w:rsidP="00DC5B9B">
      <w:r>
        <w:rPr>
          <w:noProof/>
        </w:rPr>
        <w:drawing>
          <wp:inline distT="0" distB="0" distL="0" distR="0" wp14:anchorId="42D0E926" wp14:editId="699865AF">
            <wp:extent cx="1078541" cy="174688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365"/>
                    <a:stretch/>
                  </pic:blipFill>
                  <pic:spPr bwMode="auto">
                    <a:xfrm>
                      <a:off x="0" y="0"/>
                      <a:ext cx="1078541" cy="1746885"/>
                    </a:xfrm>
                    <a:prstGeom prst="rect">
                      <a:avLst/>
                    </a:prstGeom>
                    <a:noFill/>
                    <a:ln>
                      <a:noFill/>
                    </a:ln>
                    <a:extLst>
                      <a:ext uri="{53640926-AAD7-44D8-BBD7-CCE9431645EC}">
                        <a14:shadowObscured xmlns:a14="http://schemas.microsoft.com/office/drawing/2010/main"/>
                      </a:ext>
                    </a:extLst>
                  </pic:spPr>
                </pic:pic>
              </a:graphicData>
            </a:graphic>
          </wp:inline>
        </w:drawing>
      </w:r>
    </w:p>
    <w:p w14:paraId="010F4AA7" w14:textId="3DBD09E4" w:rsidR="00DC5B9B" w:rsidRDefault="00F33633" w:rsidP="00DC5B9B">
      <w:r>
        <w:t>…</w:t>
      </w:r>
      <w:r w:rsidR="00DC5B9B">
        <w:t>continued for 53,664 lines.</w:t>
      </w:r>
      <w:r w:rsidR="00137859">
        <w:t xml:space="preserve"> </w:t>
      </w:r>
      <w:r w:rsidR="00577589">
        <w:t>In the next section w</w:t>
      </w:r>
      <w:r w:rsidR="00137859">
        <w:t>e will use the word count result to identify stop words before building the inverted index.</w:t>
      </w:r>
    </w:p>
    <w:p w14:paraId="7FC89C8F" w14:textId="77777777" w:rsidR="0070644F" w:rsidRDefault="0070644F"/>
    <w:p w14:paraId="42715F46" w14:textId="462B1F38" w:rsidR="00FE2C71" w:rsidRDefault="00731989">
      <w:pPr>
        <w:rPr>
          <w:b/>
          <w:bCs/>
        </w:rPr>
      </w:pPr>
      <w:r>
        <w:rPr>
          <w:b/>
          <w:bCs/>
        </w:rPr>
        <w:t xml:space="preserve">2 - </w:t>
      </w:r>
      <w:r w:rsidR="007E39B5">
        <w:rPr>
          <w:b/>
          <w:bCs/>
        </w:rPr>
        <w:t>Stop Words</w:t>
      </w:r>
    </w:p>
    <w:p w14:paraId="0FCAD65E" w14:textId="2AE98896" w:rsidR="007E39B5" w:rsidRDefault="007E39B5">
      <w:proofErr w:type="gramStart"/>
      <w:r>
        <w:t>In order to</w:t>
      </w:r>
      <w:proofErr w:type="gramEnd"/>
      <w:r>
        <w:t xml:space="preserve"> omit common English words from the reverse index, we include a threshold for stop words. We take a sampling of word counts </w:t>
      </w:r>
      <w:r w:rsidR="00832137">
        <w:t xml:space="preserve">as shown </w:t>
      </w:r>
      <w:r>
        <w:t>in Table I to decide what threshold to use.</w:t>
      </w:r>
      <w:r w:rsidR="0028270D">
        <w:t xml:space="preserve"> By comparing the occurrence of words which are probably significant with the occurrence of noise words, we hope to strike an appropriate balance.</w:t>
      </w:r>
    </w:p>
    <w:p w14:paraId="63BF913A" w14:textId="192206E3" w:rsidR="0078002A" w:rsidRPr="0004759A" w:rsidRDefault="0078002A" w:rsidP="0078002A">
      <w:pPr>
        <w:jc w:val="center"/>
        <w:rPr>
          <w:b/>
        </w:rPr>
      </w:pPr>
      <w:r w:rsidRPr="0004759A">
        <w:rPr>
          <w:b/>
        </w:rPr>
        <w:t>Table I: Frequency of Selected Words</w:t>
      </w:r>
    </w:p>
    <w:tbl>
      <w:tblPr>
        <w:tblStyle w:val="TableGrid"/>
        <w:tblW w:w="0" w:type="auto"/>
        <w:tblLook w:val="04A0" w:firstRow="1" w:lastRow="0" w:firstColumn="1" w:lastColumn="0" w:noHBand="0" w:noVBand="1"/>
      </w:tblPr>
      <w:tblGrid>
        <w:gridCol w:w="3325"/>
        <w:gridCol w:w="1655"/>
        <w:gridCol w:w="3295"/>
        <w:gridCol w:w="1687"/>
      </w:tblGrid>
      <w:tr w:rsidR="00C9525D" w14:paraId="2FEE2E3C" w14:textId="77777777" w:rsidTr="001E70DD">
        <w:tc>
          <w:tcPr>
            <w:tcW w:w="3325" w:type="dxa"/>
            <w:tcBorders>
              <w:bottom w:val="single" w:sz="4" w:space="0" w:color="auto"/>
            </w:tcBorders>
          </w:tcPr>
          <w:p w14:paraId="209D36FE" w14:textId="2C40D61C" w:rsidR="00C9525D" w:rsidRDefault="00C9525D" w:rsidP="001E70DD">
            <w:pPr>
              <w:jc w:val="center"/>
            </w:pPr>
            <w:r>
              <w:t>Common Significant Words</w:t>
            </w:r>
          </w:p>
        </w:tc>
        <w:tc>
          <w:tcPr>
            <w:tcW w:w="1655" w:type="dxa"/>
            <w:tcBorders>
              <w:bottom w:val="single" w:sz="4" w:space="0" w:color="auto"/>
            </w:tcBorders>
          </w:tcPr>
          <w:p w14:paraId="4A537D06" w14:textId="1792CBE6" w:rsidR="00C9525D" w:rsidRDefault="00C9525D" w:rsidP="001E70DD">
            <w:pPr>
              <w:jc w:val="center"/>
            </w:pPr>
            <w:r>
              <w:t>Count</w:t>
            </w:r>
          </w:p>
        </w:tc>
        <w:tc>
          <w:tcPr>
            <w:tcW w:w="3295" w:type="dxa"/>
            <w:tcBorders>
              <w:bottom w:val="single" w:sz="4" w:space="0" w:color="auto"/>
            </w:tcBorders>
          </w:tcPr>
          <w:p w14:paraId="7FF02558" w14:textId="1DC1BBC4" w:rsidR="00C9525D" w:rsidRDefault="00C9525D" w:rsidP="001E70DD">
            <w:pPr>
              <w:jc w:val="center"/>
            </w:pPr>
            <w:r>
              <w:t>Common Noise Words</w:t>
            </w:r>
          </w:p>
        </w:tc>
        <w:tc>
          <w:tcPr>
            <w:tcW w:w="1687" w:type="dxa"/>
            <w:tcBorders>
              <w:bottom w:val="single" w:sz="4" w:space="0" w:color="auto"/>
            </w:tcBorders>
          </w:tcPr>
          <w:p w14:paraId="3AD59CD3" w14:textId="35016678" w:rsidR="00C9525D" w:rsidRDefault="00C9525D" w:rsidP="001E70DD">
            <w:pPr>
              <w:jc w:val="center"/>
            </w:pPr>
            <w:r>
              <w:t>Count</w:t>
            </w:r>
          </w:p>
        </w:tc>
      </w:tr>
      <w:tr w:rsidR="00C9525D" w14:paraId="2F37FF4F" w14:textId="77777777" w:rsidTr="001E70DD">
        <w:tc>
          <w:tcPr>
            <w:tcW w:w="3325" w:type="dxa"/>
            <w:tcBorders>
              <w:bottom w:val="dashed" w:sz="4" w:space="0" w:color="auto"/>
              <w:right w:val="dashed" w:sz="4" w:space="0" w:color="auto"/>
            </w:tcBorders>
          </w:tcPr>
          <w:p w14:paraId="5F7076A2" w14:textId="388977BC" w:rsidR="00C9525D" w:rsidRDefault="00C9525D">
            <w:r>
              <w:t>art</w:t>
            </w:r>
          </w:p>
        </w:tc>
        <w:tc>
          <w:tcPr>
            <w:tcW w:w="1655" w:type="dxa"/>
            <w:tcBorders>
              <w:left w:val="dashed" w:sz="4" w:space="0" w:color="auto"/>
              <w:bottom w:val="dashed" w:sz="4" w:space="0" w:color="auto"/>
            </w:tcBorders>
          </w:tcPr>
          <w:p w14:paraId="7883FF96" w14:textId="6166AA1D" w:rsidR="00C9525D" w:rsidRDefault="002312A1">
            <w:r>
              <w:t>3002</w:t>
            </w:r>
          </w:p>
        </w:tc>
        <w:tc>
          <w:tcPr>
            <w:tcW w:w="3295" w:type="dxa"/>
            <w:tcBorders>
              <w:bottom w:val="dashed" w:sz="4" w:space="0" w:color="auto"/>
              <w:right w:val="dashed" w:sz="4" w:space="0" w:color="auto"/>
            </w:tcBorders>
          </w:tcPr>
          <w:p w14:paraId="7AF11C6B" w14:textId="1C7B43BC" w:rsidR="00C9525D" w:rsidRDefault="00C9525D">
            <w:r>
              <w:t>as</w:t>
            </w:r>
          </w:p>
        </w:tc>
        <w:tc>
          <w:tcPr>
            <w:tcW w:w="1687" w:type="dxa"/>
            <w:tcBorders>
              <w:left w:val="dashed" w:sz="4" w:space="0" w:color="auto"/>
              <w:bottom w:val="dashed" w:sz="4" w:space="0" w:color="auto"/>
            </w:tcBorders>
          </w:tcPr>
          <w:p w14:paraId="0EDC29B0" w14:textId="26D0CD96" w:rsidR="00C9525D" w:rsidRDefault="00C9525D">
            <w:r>
              <w:t>20</w:t>
            </w:r>
            <w:r w:rsidR="002312A1">
              <w:t>740</w:t>
            </w:r>
          </w:p>
        </w:tc>
      </w:tr>
      <w:tr w:rsidR="00C9525D" w14:paraId="7566D287" w14:textId="77777777" w:rsidTr="001E70DD">
        <w:tc>
          <w:tcPr>
            <w:tcW w:w="3325" w:type="dxa"/>
            <w:tcBorders>
              <w:top w:val="dashed" w:sz="4" w:space="0" w:color="auto"/>
              <w:bottom w:val="dashed" w:sz="4" w:space="0" w:color="auto"/>
              <w:right w:val="dashed" w:sz="4" w:space="0" w:color="auto"/>
            </w:tcBorders>
          </w:tcPr>
          <w:p w14:paraId="124A4049" w14:textId="4BE46F10" w:rsidR="00C9525D" w:rsidRDefault="00C9525D">
            <w:r>
              <w:t>hamlet</w:t>
            </w:r>
          </w:p>
        </w:tc>
        <w:tc>
          <w:tcPr>
            <w:tcW w:w="1655" w:type="dxa"/>
            <w:tcBorders>
              <w:top w:val="dashed" w:sz="4" w:space="0" w:color="auto"/>
              <w:left w:val="dashed" w:sz="4" w:space="0" w:color="auto"/>
              <w:bottom w:val="dashed" w:sz="4" w:space="0" w:color="auto"/>
            </w:tcBorders>
          </w:tcPr>
          <w:p w14:paraId="4590E80B" w14:textId="52475FFE" w:rsidR="00C9525D" w:rsidRDefault="00C9525D">
            <w:r>
              <w:t>9</w:t>
            </w:r>
            <w:r w:rsidR="002312A1">
              <w:t>10</w:t>
            </w:r>
          </w:p>
        </w:tc>
        <w:tc>
          <w:tcPr>
            <w:tcW w:w="3295" w:type="dxa"/>
            <w:tcBorders>
              <w:top w:val="dashed" w:sz="4" w:space="0" w:color="auto"/>
              <w:bottom w:val="dashed" w:sz="4" w:space="0" w:color="auto"/>
              <w:right w:val="dashed" w:sz="4" w:space="0" w:color="auto"/>
            </w:tcBorders>
          </w:tcPr>
          <w:p w14:paraId="6322B853" w14:textId="0B1D2DA9" w:rsidR="00C9525D" w:rsidRDefault="00C9525D">
            <w:r>
              <w:t>our</w:t>
            </w:r>
          </w:p>
        </w:tc>
        <w:tc>
          <w:tcPr>
            <w:tcW w:w="1687" w:type="dxa"/>
            <w:tcBorders>
              <w:top w:val="dashed" w:sz="4" w:space="0" w:color="auto"/>
              <w:left w:val="dashed" w:sz="4" w:space="0" w:color="auto"/>
              <w:bottom w:val="dashed" w:sz="4" w:space="0" w:color="auto"/>
            </w:tcBorders>
          </w:tcPr>
          <w:p w14:paraId="4606292F" w14:textId="27C6843C" w:rsidR="00C9525D" w:rsidRDefault="00C9525D">
            <w:r>
              <w:t>110</w:t>
            </w:r>
            <w:r w:rsidR="002312A1">
              <w:t>49</w:t>
            </w:r>
          </w:p>
        </w:tc>
      </w:tr>
      <w:tr w:rsidR="00C9525D" w14:paraId="3A151915" w14:textId="77777777" w:rsidTr="001E70DD">
        <w:tc>
          <w:tcPr>
            <w:tcW w:w="3325" w:type="dxa"/>
            <w:tcBorders>
              <w:top w:val="dashed" w:sz="4" w:space="0" w:color="auto"/>
              <w:bottom w:val="dashed" w:sz="4" w:space="0" w:color="auto"/>
              <w:right w:val="dashed" w:sz="4" w:space="0" w:color="auto"/>
            </w:tcBorders>
          </w:tcPr>
          <w:p w14:paraId="04A778D0" w14:textId="4985A614" w:rsidR="00C9525D" w:rsidRDefault="00C9525D">
            <w:r>
              <w:t>fool</w:t>
            </w:r>
          </w:p>
        </w:tc>
        <w:tc>
          <w:tcPr>
            <w:tcW w:w="1655" w:type="dxa"/>
            <w:tcBorders>
              <w:top w:val="dashed" w:sz="4" w:space="0" w:color="auto"/>
              <w:left w:val="dashed" w:sz="4" w:space="0" w:color="auto"/>
              <w:bottom w:val="dashed" w:sz="4" w:space="0" w:color="auto"/>
            </w:tcBorders>
          </w:tcPr>
          <w:p w14:paraId="27D2691A" w14:textId="71E820B4" w:rsidR="00C9525D" w:rsidRDefault="00C9525D">
            <w:r>
              <w:t>8</w:t>
            </w:r>
            <w:r w:rsidR="002312A1">
              <w:t>34</w:t>
            </w:r>
          </w:p>
        </w:tc>
        <w:tc>
          <w:tcPr>
            <w:tcW w:w="3295" w:type="dxa"/>
            <w:tcBorders>
              <w:top w:val="dashed" w:sz="4" w:space="0" w:color="auto"/>
              <w:bottom w:val="dashed" w:sz="4" w:space="0" w:color="auto"/>
              <w:right w:val="dashed" w:sz="4" w:space="0" w:color="auto"/>
            </w:tcBorders>
          </w:tcPr>
          <w:p w14:paraId="4E16E45C" w14:textId="4D67992E" w:rsidR="00C9525D" w:rsidRDefault="002312A1">
            <w:r>
              <w:t>so</w:t>
            </w:r>
          </w:p>
        </w:tc>
        <w:tc>
          <w:tcPr>
            <w:tcW w:w="1687" w:type="dxa"/>
            <w:tcBorders>
              <w:top w:val="dashed" w:sz="4" w:space="0" w:color="auto"/>
              <w:left w:val="dashed" w:sz="4" w:space="0" w:color="auto"/>
              <w:bottom w:val="dashed" w:sz="4" w:space="0" w:color="auto"/>
            </w:tcBorders>
          </w:tcPr>
          <w:p w14:paraId="5F43760F" w14:textId="08C29184" w:rsidR="00C9525D" w:rsidRDefault="002312A1">
            <w:r>
              <w:t>17511</w:t>
            </w:r>
          </w:p>
        </w:tc>
      </w:tr>
      <w:tr w:rsidR="00C9525D" w14:paraId="72D31B77" w14:textId="77777777" w:rsidTr="001E70DD">
        <w:tc>
          <w:tcPr>
            <w:tcW w:w="3325" w:type="dxa"/>
            <w:tcBorders>
              <w:top w:val="dashed" w:sz="4" w:space="0" w:color="auto"/>
              <w:bottom w:val="dashed" w:sz="4" w:space="0" w:color="auto"/>
              <w:right w:val="dashed" w:sz="4" w:space="0" w:color="auto"/>
            </w:tcBorders>
          </w:tcPr>
          <w:p w14:paraId="5670093A" w14:textId="4C16B5E7" w:rsidR="00C9525D" w:rsidRDefault="00C9525D">
            <w:r>
              <w:t>life</w:t>
            </w:r>
          </w:p>
        </w:tc>
        <w:tc>
          <w:tcPr>
            <w:tcW w:w="1655" w:type="dxa"/>
            <w:tcBorders>
              <w:top w:val="dashed" w:sz="4" w:space="0" w:color="auto"/>
              <w:left w:val="dashed" w:sz="4" w:space="0" w:color="auto"/>
              <w:bottom w:val="dashed" w:sz="4" w:space="0" w:color="auto"/>
            </w:tcBorders>
          </w:tcPr>
          <w:p w14:paraId="231EE4AB" w14:textId="26776907" w:rsidR="00C9525D" w:rsidRDefault="00C9525D">
            <w:r>
              <w:t>2</w:t>
            </w:r>
            <w:r w:rsidR="002312A1">
              <w:t>860</w:t>
            </w:r>
          </w:p>
        </w:tc>
        <w:tc>
          <w:tcPr>
            <w:tcW w:w="3295" w:type="dxa"/>
            <w:tcBorders>
              <w:top w:val="dashed" w:sz="4" w:space="0" w:color="auto"/>
              <w:bottom w:val="dashed" w:sz="4" w:space="0" w:color="auto"/>
              <w:right w:val="dashed" w:sz="4" w:space="0" w:color="auto"/>
            </w:tcBorders>
          </w:tcPr>
          <w:p w14:paraId="73372B7E" w14:textId="207665E2" w:rsidR="00C9525D" w:rsidRDefault="00C9525D">
            <w:r>
              <w:t>the</w:t>
            </w:r>
          </w:p>
        </w:tc>
        <w:tc>
          <w:tcPr>
            <w:tcW w:w="1687" w:type="dxa"/>
            <w:tcBorders>
              <w:top w:val="dashed" w:sz="4" w:space="0" w:color="auto"/>
              <w:left w:val="dashed" w:sz="4" w:space="0" w:color="auto"/>
              <w:bottom w:val="dashed" w:sz="4" w:space="0" w:color="auto"/>
            </w:tcBorders>
          </w:tcPr>
          <w:p w14:paraId="268C6388" w14:textId="12C37C52" w:rsidR="00C9525D" w:rsidRDefault="00C9525D">
            <w:r>
              <w:t>104</w:t>
            </w:r>
            <w:r w:rsidR="002312A1">
              <w:t>559</w:t>
            </w:r>
          </w:p>
        </w:tc>
      </w:tr>
      <w:tr w:rsidR="00C9525D" w14:paraId="76C2EA2C" w14:textId="77777777" w:rsidTr="001E70DD">
        <w:tc>
          <w:tcPr>
            <w:tcW w:w="3325" w:type="dxa"/>
            <w:tcBorders>
              <w:top w:val="dashed" w:sz="4" w:space="0" w:color="auto"/>
              <w:right w:val="dashed" w:sz="4" w:space="0" w:color="auto"/>
            </w:tcBorders>
          </w:tcPr>
          <w:p w14:paraId="27D193E0" w14:textId="32404D9E" w:rsidR="00C9525D" w:rsidRDefault="00C9525D">
            <w:r>
              <w:t>love</w:t>
            </w:r>
          </w:p>
        </w:tc>
        <w:tc>
          <w:tcPr>
            <w:tcW w:w="1655" w:type="dxa"/>
            <w:tcBorders>
              <w:top w:val="dashed" w:sz="4" w:space="0" w:color="auto"/>
              <w:left w:val="dashed" w:sz="4" w:space="0" w:color="auto"/>
            </w:tcBorders>
          </w:tcPr>
          <w:p w14:paraId="2E22C4BA" w14:textId="1FA9A9A2" w:rsidR="00C9525D" w:rsidRDefault="00C9525D">
            <w:r>
              <w:t>4</w:t>
            </w:r>
            <w:r w:rsidR="002312A1">
              <w:t>065</w:t>
            </w:r>
          </w:p>
        </w:tc>
        <w:tc>
          <w:tcPr>
            <w:tcW w:w="3295" w:type="dxa"/>
            <w:tcBorders>
              <w:top w:val="dashed" w:sz="4" w:space="0" w:color="auto"/>
              <w:right w:val="dashed" w:sz="4" w:space="0" w:color="auto"/>
            </w:tcBorders>
          </w:tcPr>
          <w:p w14:paraId="06E1F0EF" w14:textId="6EB97686" w:rsidR="00C9525D" w:rsidRDefault="00C9525D">
            <w:r>
              <w:t>thee</w:t>
            </w:r>
          </w:p>
        </w:tc>
        <w:tc>
          <w:tcPr>
            <w:tcW w:w="1687" w:type="dxa"/>
            <w:tcBorders>
              <w:top w:val="dashed" w:sz="4" w:space="0" w:color="auto"/>
              <w:left w:val="dashed" w:sz="4" w:space="0" w:color="auto"/>
            </w:tcBorders>
          </w:tcPr>
          <w:p w14:paraId="24E4C0BD" w14:textId="0FB1E648" w:rsidR="00C9525D" w:rsidRDefault="00C9525D">
            <w:r>
              <w:t>102</w:t>
            </w:r>
            <w:r w:rsidR="002312A1">
              <w:t>33</w:t>
            </w:r>
          </w:p>
        </w:tc>
      </w:tr>
    </w:tbl>
    <w:p w14:paraId="22D1814F" w14:textId="77777777" w:rsidR="00FE2C71" w:rsidRDefault="00FE2C71"/>
    <w:p w14:paraId="72011A1A" w14:textId="6C11BCF8" w:rsidR="00B814B5" w:rsidRDefault="007E39B5">
      <w:r>
        <w:t xml:space="preserve">We want to err on the side of caution- it would be </w:t>
      </w:r>
      <w:r w:rsidR="00EA3386">
        <w:t>undesirable</w:t>
      </w:r>
      <w:r>
        <w:t xml:space="preserve"> to remove an important word like “love.” It appears that a threshold of 5000 is appropriate. </w:t>
      </w:r>
      <w:r w:rsidR="003E1290">
        <w:t xml:space="preserve">We </w:t>
      </w:r>
      <w:r w:rsidR="001C70C3">
        <w:t xml:space="preserve">modify the word count MapReduce function to </w:t>
      </w:r>
      <w:r w:rsidR="003E1290">
        <w:t>make a list of words exceeding th</w:t>
      </w:r>
      <w:r w:rsidR="00831B76">
        <w:t>e stop word</w:t>
      </w:r>
      <w:r w:rsidR="003E1290">
        <w:t xml:space="preserve"> threshold.</w:t>
      </w:r>
      <w:r w:rsidR="008D267A">
        <w:t xml:space="preserve"> The reduce function is changed so that only words with more than 5000 occurrences are written to the output as keys, and the value is a “</w:t>
      </w:r>
      <w:proofErr w:type="spellStart"/>
      <w:r w:rsidR="008D267A">
        <w:t>NullWritable</w:t>
      </w:r>
      <w:proofErr w:type="spellEnd"/>
      <w:r w:rsidR="008D267A">
        <w:t>” Hadoop object.</w:t>
      </w:r>
    </w:p>
    <w:p w14:paraId="148A083F" w14:textId="732E5100" w:rsidR="001F2601" w:rsidRPr="001F2601" w:rsidRDefault="001F2601" w:rsidP="001F2601">
      <w:pPr>
        <w:jc w:val="center"/>
        <w:rPr>
          <w:b/>
        </w:rPr>
      </w:pPr>
      <w:r w:rsidRPr="0004759A">
        <w:rPr>
          <w:b/>
        </w:rPr>
        <w:t>Table I</w:t>
      </w:r>
      <w:r>
        <w:rPr>
          <w:b/>
        </w:rPr>
        <w:t>I</w:t>
      </w:r>
      <w:r w:rsidRPr="0004759A">
        <w:rPr>
          <w:b/>
        </w:rPr>
        <w:t xml:space="preserve">: </w:t>
      </w:r>
      <w:r>
        <w:rPr>
          <w:b/>
        </w:rPr>
        <w:t>Stop Words</w:t>
      </w:r>
    </w:p>
    <w:p w14:paraId="26D2C10B" w14:textId="1927B6C0" w:rsidR="00B814B5" w:rsidRDefault="001F2601" w:rsidP="001F2601">
      <w:pPr>
        <w:jc w:val="center"/>
      </w:pPr>
      <w:r>
        <w:rPr>
          <w:noProof/>
        </w:rPr>
        <w:drawing>
          <wp:inline distT="0" distB="0" distL="0" distR="0" wp14:anchorId="0871B76F" wp14:editId="73FF541E">
            <wp:extent cx="4976492" cy="2116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796" cy="2126517"/>
                    </a:xfrm>
                    <a:prstGeom prst="rect">
                      <a:avLst/>
                    </a:prstGeom>
                    <a:noFill/>
                    <a:ln>
                      <a:noFill/>
                    </a:ln>
                  </pic:spPr>
                </pic:pic>
              </a:graphicData>
            </a:graphic>
          </wp:inline>
        </w:drawing>
      </w:r>
    </w:p>
    <w:p w14:paraId="5A5A70EA" w14:textId="6DC2FAA8" w:rsidR="00FE2C71" w:rsidRDefault="007B05A0">
      <w:r>
        <w:t xml:space="preserve">There are </w:t>
      </w:r>
      <w:r w:rsidR="0040146C">
        <w:t xml:space="preserve">86 words in the stop word list. </w:t>
      </w:r>
      <w:r w:rsidR="003E1290">
        <w:t>Words in the stop list are</w:t>
      </w:r>
      <w:r w:rsidR="007E39B5">
        <w:t xml:space="preserve"> ignor</w:t>
      </w:r>
      <w:r w:rsidR="003E1290">
        <w:t>ed</w:t>
      </w:r>
      <w:r w:rsidR="007E39B5">
        <w:t xml:space="preserve"> in the </w:t>
      </w:r>
      <w:r w:rsidR="003E1290">
        <w:t>inverted index map</w:t>
      </w:r>
      <w:r w:rsidR="007E39B5">
        <w:t xml:space="preserve"> function</w:t>
      </w:r>
      <w:r w:rsidR="00C7028C">
        <w:t xml:space="preserve"> presented in the next section</w:t>
      </w:r>
      <w:r w:rsidR="007E39B5">
        <w:t>.</w:t>
      </w:r>
    </w:p>
    <w:p w14:paraId="5AAAAA35" w14:textId="77777777" w:rsidR="00FE2C71" w:rsidRDefault="00FE2C71"/>
    <w:p w14:paraId="60508DFE" w14:textId="3BAE86F9" w:rsidR="00FE2C71" w:rsidRDefault="00731989">
      <w:pPr>
        <w:rPr>
          <w:b/>
          <w:bCs/>
        </w:rPr>
      </w:pPr>
      <w:r>
        <w:rPr>
          <w:b/>
          <w:bCs/>
        </w:rPr>
        <w:t xml:space="preserve">3 - </w:t>
      </w:r>
      <w:r w:rsidR="007E39B5">
        <w:rPr>
          <w:b/>
          <w:bCs/>
        </w:rPr>
        <w:t>Building the Inverted Index</w:t>
      </w:r>
    </w:p>
    <w:p w14:paraId="3DCD343F" w14:textId="77777777" w:rsidR="00065B82" w:rsidRDefault="00EC1A99">
      <w:r>
        <w:t xml:space="preserve">The main </w:t>
      </w:r>
      <w:r w:rsidR="00EE3A3A">
        <w:t>additional</w:t>
      </w:r>
      <w:r>
        <w:t xml:space="preserve"> challenge to </w:t>
      </w:r>
      <w:r w:rsidR="00BF3C5B">
        <w:t xml:space="preserve">consider when </w:t>
      </w:r>
      <w:r>
        <w:t>building the inverted index is recording line numbers.</w:t>
      </w:r>
      <w:r w:rsidR="00227529">
        <w:t xml:space="preserve"> MapReduce does not record line numbers by default because it splits input files </w:t>
      </w:r>
      <w:r w:rsidR="001916DB">
        <w:t xml:space="preserve">to be processed by different </w:t>
      </w:r>
      <w:r w:rsidR="001916DB">
        <w:lastRenderedPageBreak/>
        <w:t>mapper</w:t>
      </w:r>
      <w:r w:rsidR="00E12992">
        <w:t xml:space="preserve"> nodes</w:t>
      </w:r>
      <w:r w:rsidR="00227529">
        <w:t>.</w:t>
      </w:r>
      <w:r w:rsidR="000D2294">
        <w:t xml:space="preserve"> To account for this, we </w:t>
      </w:r>
      <w:r w:rsidR="00CF7441">
        <w:t xml:space="preserve">have a preprocessing stage where we </w:t>
      </w:r>
      <w:r w:rsidR="000D2294">
        <w:t>prepend the line number to the start of each line.</w:t>
      </w:r>
    </w:p>
    <w:p w14:paraId="1426B714" w14:textId="1C926842" w:rsidR="00065B82" w:rsidRDefault="008E2A56">
      <w:r>
        <w:rPr>
          <w:noProof/>
        </w:rPr>
        <w:drawing>
          <wp:inline distT="0" distB="0" distL="0" distR="0" wp14:anchorId="2E586F30" wp14:editId="155893A4">
            <wp:extent cx="3064173" cy="1351047"/>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8218" cy="1352831"/>
                    </a:xfrm>
                    <a:prstGeom prst="rect">
                      <a:avLst/>
                    </a:prstGeom>
                    <a:noFill/>
                    <a:ln>
                      <a:noFill/>
                    </a:ln>
                  </pic:spPr>
                </pic:pic>
              </a:graphicData>
            </a:graphic>
          </wp:inline>
        </w:drawing>
      </w:r>
    </w:p>
    <w:p w14:paraId="0D6421D8" w14:textId="0237A036" w:rsidR="00FE2C71" w:rsidRDefault="00B17FFD">
      <w:r>
        <w:t xml:space="preserve">This way our MapReduce can parse the line number as part of the line. </w:t>
      </w:r>
      <w:r w:rsidR="000D2294">
        <w:t xml:space="preserve">The line numbers are counted for each document rather than for the </w:t>
      </w:r>
      <w:proofErr w:type="gramStart"/>
      <w:r w:rsidR="000D2294">
        <w:t>entire collection</w:t>
      </w:r>
      <w:proofErr w:type="gramEnd"/>
      <w:r w:rsidR="000D2294">
        <w:t>, that is the line number resets to 1 for each new document id.</w:t>
      </w:r>
      <w:r w:rsidR="008E2A56">
        <w:t xml:space="preserve"> For example, the transition from id 1041 to 1045 is shown:</w:t>
      </w:r>
    </w:p>
    <w:p w14:paraId="55730368" w14:textId="199A59C7" w:rsidR="00FE2C71" w:rsidRDefault="008E2A56">
      <w:r>
        <w:rPr>
          <w:noProof/>
        </w:rPr>
        <w:drawing>
          <wp:inline distT="0" distB="0" distL="0" distR="0" wp14:anchorId="71C64014" wp14:editId="0199087F">
            <wp:extent cx="3784497" cy="1095053"/>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9960" cy="1099527"/>
                    </a:xfrm>
                    <a:prstGeom prst="rect">
                      <a:avLst/>
                    </a:prstGeom>
                    <a:noFill/>
                    <a:ln>
                      <a:noFill/>
                    </a:ln>
                  </pic:spPr>
                </pic:pic>
              </a:graphicData>
            </a:graphic>
          </wp:inline>
        </w:drawing>
      </w:r>
    </w:p>
    <w:p w14:paraId="5768D833" w14:textId="607D8D61" w:rsidR="00897583" w:rsidRDefault="00B45594">
      <w:r>
        <w:t xml:space="preserve">The inverted index is built by a MapReduce function which is </w:t>
      </w:r>
      <w:r w:rsidR="007A24ED">
        <w:t>like</w:t>
      </w:r>
      <w:r>
        <w:t xml:space="preserve"> our previous functions.</w:t>
      </w:r>
      <w:r w:rsidR="00EB59F2">
        <w:t xml:space="preserve"> The map function is changed to ignore words in the stop list.</w:t>
      </w:r>
      <w:r w:rsidR="008B265E">
        <w:t xml:space="preserve"> Also,</w:t>
      </w:r>
      <w:r w:rsidR="007A24ED">
        <w:t xml:space="preserve"> we can no longer </w:t>
      </w:r>
      <w:r w:rsidR="001B770B">
        <w:t xml:space="preserve">fully </w:t>
      </w:r>
      <w:r w:rsidR="007A24ED">
        <w:t xml:space="preserve">eliminate numbers from the text since we need to parse the document id and line </w:t>
      </w:r>
      <w:proofErr w:type="gramStart"/>
      <w:r w:rsidR="007A24ED">
        <w:t>number</w:t>
      </w:r>
      <w:r w:rsidR="00C07B7A">
        <w:t>, but</w:t>
      </w:r>
      <w:proofErr w:type="gramEnd"/>
      <w:r w:rsidR="00C07B7A">
        <w:t xml:space="preserve"> will still ignore any numbers other than the id and line</w:t>
      </w:r>
      <w:r w:rsidR="002730B8">
        <w:t xml:space="preserve"> number</w:t>
      </w:r>
      <w:r w:rsidR="007A24ED">
        <w:t>.</w:t>
      </w:r>
      <w:r w:rsidR="00357008">
        <w:t xml:space="preserve"> The output key for the map is the id and line number as strings, separated by a space.</w:t>
      </w:r>
      <w:r w:rsidR="00D158FC">
        <w:t xml:space="preserve"> The reducer parses the list of ids and line numbers, then has an output key of all the ids, then a “|” dividing character, then the corresponding line numbers.</w:t>
      </w:r>
    </w:p>
    <w:p w14:paraId="6094D48B" w14:textId="368BBB3D" w:rsidR="00C81A97" w:rsidRDefault="00C81A97">
      <w:r>
        <w:rPr>
          <w:noProof/>
        </w:rPr>
        <w:drawing>
          <wp:inline distT="0" distB="0" distL="0" distR="0" wp14:anchorId="5BD029F7" wp14:editId="2D28933A">
            <wp:extent cx="6325870" cy="1242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5870" cy="1242695"/>
                    </a:xfrm>
                    <a:prstGeom prst="rect">
                      <a:avLst/>
                    </a:prstGeom>
                    <a:noFill/>
                    <a:ln>
                      <a:noFill/>
                    </a:ln>
                  </pic:spPr>
                </pic:pic>
              </a:graphicData>
            </a:graphic>
          </wp:inline>
        </w:drawing>
      </w:r>
    </w:p>
    <w:p w14:paraId="299AD805" w14:textId="6B6A3F66" w:rsidR="00C81A97" w:rsidRDefault="00C81A97">
      <w:r>
        <w:t xml:space="preserve">…continued for </w:t>
      </w:r>
      <w:r w:rsidR="00B01AF1">
        <w:t>33,596</w:t>
      </w:r>
      <w:r>
        <w:t xml:space="preserve"> lines.</w:t>
      </w:r>
      <w:r w:rsidR="00737D7A">
        <w:t xml:space="preserve"> So for example, “abatements” has &lt;</w:t>
      </w:r>
      <w:proofErr w:type="spellStart"/>
      <w:proofErr w:type="gramStart"/>
      <w:r w:rsidR="00737D7A">
        <w:t>id,line</w:t>
      </w:r>
      <w:proofErr w:type="spellEnd"/>
      <w:proofErr w:type="gramEnd"/>
      <w:r w:rsidR="00737D7A">
        <w:t>#&gt; pairs of &lt;1524,5351&gt;, &lt;1122,4136&gt;, and &lt;1787,4136&gt;.</w:t>
      </w:r>
      <w:r w:rsidR="00677730">
        <w:t xml:space="preserve"> This output format is easily parsed by a search function.</w:t>
      </w:r>
    </w:p>
    <w:p w14:paraId="30462093" w14:textId="77777777" w:rsidR="00897583" w:rsidRDefault="00897583"/>
    <w:p w14:paraId="38567F81" w14:textId="63424825" w:rsidR="00FE2C71" w:rsidRDefault="00731989">
      <w:pPr>
        <w:rPr>
          <w:b/>
          <w:bCs/>
        </w:rPr>
      </w:pPr>
      <w:r>
        <w:rPr>
          <w:b/>
          <w:bCs/>
        </w:rPr>
        <w:t xml:space="preserve">4 - </w:t>
      </w:r>
      <w:r w:rsidR="007E39B5">
        <w:rPr>
          <w:b/>
          <w:bCs/>
        </w:rPr>
        <w:t>Querying the Inverted Index</w:t>
      </w:r>
    </w:p>
    <w:p w14:paraId="4F508795" w14:textId="1D491757" w:rsidR="00A7527F" w:rsidRDefault="00C16E54" w:rsidP="00DE3513">
      <w:r>
        <w:t>We implement a simple Java script with searches the inverted index using a linear search.</w:t>
      </w:r>
      <w:r w:rsidR="002674E1">
        <w:t xml:space="preserve"> For each searched word, it prints a two-column table with the document id and line numbers where the word occurs.</w:t>
      </w:r>
      <w:r w:rsidR="008265AC">
        <w:t xml:space="preserve"> </w:t>
      </w:r>
      <w:r w:rsidR="00DE3513">
        <w:t xml:space="preserve">The screenshot below shows </w:t>
      </w:r>
      <w:r w:rsidR="00CF77C0">
        <w:t>an example search:</w:t>
      </w:r>
    </w:p>
    <w:p w14:paraId="181114A3" w14:textId="3BD70EB3" w:rsidR="00CF77C0" w:rsidRDefault="00DF7655" w:rsidP="00DF7655">
      <w:pPr>
        <w:jc w:val="center"/>
      </w:pPr>
      <w:r>
        <w:rPr>
          <w:noProof/>
        </w:rPr>
        <w:lastRenderedPageBreak/>
        <w:drawing>
          <wp:inline distT="0" distB="0" distL="0" distR="0" wp14:anchorId="74CCF2B8" wp14:editId="0B04C048">
            <wp:extent cx="4646741" cy="1884559"/>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804"/>
                    <a:stretch/>
                  </pic:blipFill>
                  <pic:spPr bwMode="auto">
                    <a:xfrm>
                      <a:off x="0" y="0"/>
                      <a:ext cx="4646930" cy="1884636"/>
                    </a:xfrm>
                    <a:prstGeom prst="rect">
                      <a:avLst/>
                    </a:prstGeom>
                    <a:noFill/>
                    <a:ln>
                      <a:noFill/>
                    </a:ln>
                    <a:extLst>
                      <a:ext uri="{53640926-AAD7-44D8-BBD7-CCE9431645EC}">
                        <a14:shadowObscured xmlns:a14="http://schemas.microsoft.com/office/drawing/2010/main"/>
                      </a:ext>
                    </a:extLst>
                  </pic:spPr>
                </pic:pic>
              </a:graphicData>
            </a:graphic>
          </wp:inline>
        </w:drawing>
      </w:r>
    </w:p>
    <w:p w14:paraId="445BABB7" w14:textId="2EC0C47A" w:rsidR="003D41BD" w:rsidRDefault="003D41BD" w:rsidP="003D41BD">
      <w:r>
        <w:t>Note that the search also shows the modified search word, e.g. we can see that “wild-duck” has been converted to “</w:t>
      </w:r>
      <w:proofErr w:type="spellStart"/>
      <w:r>
        <w:t>wildduck</w:t>
      </w:r>
      <w:proofErr w:type="spellEnd"/>
      <w:r>
        <w:t>.”</w:t>
      </w:r>
      <w:r w:rsidR="00D205EA">
        <w:t xml:space="preserve"> If we look at a work in isolation (strip away the column information and non-related works), we can see that the search results are correct, for example “acceptable” in 1041 (Shakespeare’s Sonnets)</w:t>
      </w:r>
      <w:r w:rsidR="004020F6">
        <w:t xml:space="preserve"> occurs in the following context</w:t>
      </w:r>
      <w:r w:rsidR="00D205EA">
        <w:t>:</w:t>
      </w:r>
    </w:p>
    <w:p w14:paraId="20905D63" w14:textId="2312571A" w:rsidR="00D205EA" w:rsidRDefault="00D205EA" w:rsidP="00D205EA">
      <w:pPr>
        <w:jc w:val="center"/>
      </w:pPr>
      <w:r>
        <w:rPr>
          <w:noProof/>
        </w:rPr>
        <w:drawing>
          <wp:inline distT="0" distB="0" distL="0" distR="0" wp14:anchorId="1B11BB83" wp14:editId="6A681BEA">
            <wp:extent cx="4198776" cy="39376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148" cy="403369"/>
                    </a:xfrm>
                    <a:prstGeom prst="rect">
                      <a:avLst/>
                    </a:prstGeom>
                    <a:noFill/>
                    <a:ln>
                      <a:noFill/>
                    </a:ln>
                  </pic:spPr>
                </pic:pic>
              </a:graphicData>
            </a:graphic>
          </wp:inline>
        </w:drawing>
      </w:r>
    </w:p>
    <w:p w14:paraId="08908665" w14:textId="77777777" w:rsidR="006A13A0" w:rsidRDefault="006A13A0"/>
    <w:p w14:paraId="38C55172" w14:textId="77777777" w:rsidR="00FE2C71" w:rsidRDefault="007E39B5">
      <w:pPr>
        <w:rPr>
          <w:b/>
          <w:bCs/>
        </w:rPr>
      </w:pPr>
      <w:r>
        <w:rPr>
          <w:b/>
          <w:bCs/>
        </w:rPr>
        <w:t>Queries with Spark</w:t>
      </w:r>
    </w:p>
    <w:p w14:paraId="04D24375" w14:textId="375AE934" w:rsidR="00FE2C71" w:rsidRDefault="0015779C">
      <w:r>
        <w:t>Currently we have not implemented a distributed search with Spark.</w:t>
      </w:r>
      <w:bookmarkStart w:id="0" w:name="_GoBack"/>
      <w:bookmarkEnd w:id="0"/>
    </w:p>
    <w:p w14:paraId="11728618" w14:textId="77777777" w:rsidR="00FE2C71" w:rsidRDefault="00FE2C71"/>
    <w:p w14:paraId="718F0F19" w14:textId="77777777" w:rsidR="00FE2C71" w:rsidRDefault="007E39B5">
      <w:pPr>
        <w:rPr>
          <w:b/>
          <w:bCs/>
        </w:rPr>
      </w:pPr>
      <w:r>
        <w:rPr>
          <w:b/>
          <w:bCs/>
        </w:rPr>
        <w:t xml:space="preserve">Running on </w:t>
      </w:r>
      <w:proofErr w:type="spellStart"/>
      <w:r>
        <w:rPr>
          <w:b/>
          <w:bCs/>
        </w:rPr>
        <w:t>CloudLab</w:t>
      </w:r>
      <w:proofErr w:type="spellEnd"/>
      <w:r>
        <w:rPr>
          <w:b/>
          <w:bCs/>
        </w:rPr>
        <w:t xml:space="preserve"> Cluster</w:t>
      </w:r>
    </w:p>
    <w:p w14:paraId="18431DC2" w14:textId="77777777" w:rsidR="00FE2C71" w:rsidRDefault="007E39B5">
      <w:r>
        <w:t xml:space="preserve">After validating our code locally, we test it on four </w:t>
      </w:r>
      <w:proofErr w:type="spellStart"/>
      <w:r>
        <w:t>CloudLab</w:t>
      </w:r>
      <w:proofErr w:type="spellEnd"/>
      <w:r>
        <w:t xml:space="preserve"> nodes...</w:t>
      </w:r>
      <w:r>
        <w:br w:type="page"/>
      </w:r>
    </w:p>
    <w:tbl>
      <w:tblPr>
        <w:tblW w:w="5000" w:type="pct"/>
        <w:tblCellMar>
          <w:top w:w="15" w:type="dxa"/>
          <w:left w:w="15" w:type="dxa"/>
          <w:bottom w:w="15" w:type="dxa"/>
          <w:right w:w="15" w:type="dxa"/>
        </w:tblCellMar>
        <w:tblLook w:val="04A0" w:firstRow="1" w:lastRow="0" w:firstColumn="1" w:lastColumn="0" w:noHBand="0" w:noVBand="1"/>
      </w:tblPr>
      <w:tblGrid>
        <w:gridCol w:w="341"/>
        <w:gridCol w:w="9631"/>
      </w:tblGrid>
      <w:tr w:rsidR="00FE2C71" w14:paraId="1389D15D" w14:textId="77777777">
        <w:tc>
          <w:tcPr>
            <w:tcW w:w="341" w:type="dxa"/>
            <w:shd w:val="clear" w:color="auto" w:fill="auto"/>
          </w:tcPr>
          <w:p w14:paraId="61D94FB3" w14:textId="4EF5FC90" w:rsidR="00FE2C71" w:rsidRDefault="00FE2C71">
            <w:pPr>
              <w:pStyle w:val="Heading1"/>
              <w:pageBreakBefore/>
            </w:pPr>
          </w:p>
        </w:tc>
        <w:tc>
          <w:tcPr>
            <w:tcW w:w="9630" w:type="dxa"/>
            <w:shd w:val="clear" w:color="auto" w:fill="auto"/>
          </w:tcPr>
          <w:sdt>
            <w:sdtPr>
              <w:id w:val="203144470"/>
              <w:docPartObj>
                <w:docPartGallery w:val="Bibliographies"/>
                <w:docPartUnique/>
              </w:docPartObj>
            </w:sdtPr>
            <w:sdtEndPr/>
            <w:sdtContent>
              <w:p w14:paraId="68D37704" w14:textId="77777777" w:rsidR="00FE2C71" w:rsidRDefault="007E39B5">
                <w:pPr>
                  <w:pStyle w:val="Heading1"/>
                </w:pPr>
                <w:r>
                  <w:t>References</w:t>
                </w:r>
              </w:p>
            </w:sdtContent>
          </w:sdt>
        </w:tc>
      </w:tr>
    </w:tbl>
    <w:p w14:paraId="1BEE9266" w14:textId="77777777" w:rsidR="00C9525D" w:rsidRDefault="007E39B5">
      <w:pPr>
        <w:rPr>
          <w:noProof/>
          <w:color w:val="auto"/>
          <w:sz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650"/>
      </w:tblGrid>
      <w:tr w:rsidR="00C9525D" w14:paraId="1DC3B45D" w14:textId="77777777">
        <w:trPr>
          <w:divId w:val="130295907"/>
          <w:tblCellSpacing w:w="15" w:type="dxa"/>
        </w:trPr>
        <w:tc>
          <w:tcPr>
            <w:tcW w:w="50" w:type="pct"/>
            <w:hideMark/>
          </w:tcPr>
          <w:p w14:paraId="7E7963F4" w14:textId="7C8BD81C" w:rsidR="00C9525D" w:rsidRDefault="00C9525D">
            <w:pPr>
              <w:pStyle w:val="Bibliography"/>
              <w:rPr>
                <w:noProof/>
                <w:sz w:val="24"/>
                <w:szCs w:val="24"/>
              </w:rPr>
            </w:pPr>
            <w:r>
              <w:rPr>
                <w:noProof/>
              </w:rPr>
              <w:t xml:space="preserve">[1] </w:t>
            </w:r>
          </w:p>
        </w:tc>
        <w:tc>
          <w:tcPr>
            <w:tcW w:w="0" w:type="auto"/>
            <w:hideMark/>
          </w:tcPr>
          <w:p w14:paraId="11FC793C" w14:textId="77777777" w:rsidR="00C9525D" w:rsidRDefault="00C9525D">
            <w:pPr>
              <w:pStyle w:val="Bibliography"/>
              <w:rPr>
                <w:noProof/>
              </w:rPr>
            </w:pPr>
            <w:r>
              <w:rPr>
                <w:noProof/>
              </w:rPr>
              <w:t>D. Robinson, "gutenbergr," 26 Jan 2018. [Online]. Available: https://CRAN.R-project.org/package=gutenbergr.</w:t>
            </w:r>
          </w:p>
        </w:tc>
      </w:tr>
      <w:tr w:rsidR="00C9525D" w14:paraId="04A3112B" w14:textId="77777777">
        <w:trPr>
          <w:divId w:val="130295907"/>
          <w:tblCellSpacing w:w="15" w:type="dxa"/>
        </w:trPr>
        <w:tc>
          <w:tcPr>
            <w:tcW w:w="50" w:type="pct"/>
            <w:hideMark/>
          </w:tcPr>
          <w:p w14:paraId="77EB04C9" w14:textId="77777777" w:rsidR="00C9525D" w:rsidRDefault="00C9525D">
            <w:pPr>
              <w:pStyle w:val="Bibliography"/>
              <w:rPr>
                <w:noProof/>
              </w:rPr>
            </w:pPr>
            <w:r>
              <w:rPr>
                <w:noProof/>
              </w:rPr>
              <w:t xml:space="preserve">[2] </w:t>
            </w:r>
          </w:p>
        </w:tc>
        <w:tc>
          <w:tcPr>
            <w:tcW w:w="0" w:type="auto"/>
            <w:hideMark/>
          </w:tcPr>
          <w:p w14:paraId="0E238B48" w14:textId="77777777" w:rsidR="00C9525D" w:rsidRDefault="00C9525D">
            <w:pPr>
              <w:pStyle w:val="Bibliography"/>
              <w:rPr>
                <w:noProof/>
              </w:rPr>
            </w:pPr>
            <w:r>
              <w:rPr>
                <w:noProof/>
              </w:rPr>
              <w:t>"MapReduce Tutorial," Apache Software Foundation, 18 11 2017. [Online]. Available: https://hadoop.apache.org/docs/stable/hadoop-mapreduce-client/hadoop-mapreduce-client-core/MapReduceTutorial.html. [Accessed 23 03 2018].</w:t>
            </w:r>
          </w:p>
        </w:tc>
      </w:tr>
    </w:tbl>
    <w:p w14:paraId="7ED64116" w14:textId="77777777" w:rsidR="00C9525D" w:rsidRDefault="00C9525D">
      <w:pPr>
        <w:divId w:val="130295907"/>
        <w:rPr>
          <w:rFonts w:eastAsia="Times New Roman"/>
          <w:noProof/>
        </w:rPr>
      </w:pPr>
    </w:p>
    <w:p w14:paraId="29318865" w14:textId="4DE70E75" w:rsidR="00FE2C71" w:rsidRDefault="007E39B5">
      <w:r>
        <w:fldChar w:fldCharType="end"/>
      </w:r>
    </w:p>
    <w:p w14:paraId="6C4A5997" w14:textId="77777777" w:rsidR="00FE2C71" w:rsidRDefault="00FE2C71"/>
    <w:p w14:paraId="7B5BD9F5" w14:textId="77777777" w:rsidR="00FE2C71" w:rsidRDefault="00FE2C71"/>
    <w:sectPr w:rsidR="00FE2C71">
      <w:pgSz w:w="12240" w:h="15840"/>
      <w:pgMar w:top="1134" w:right="1134" w:bottom="1134" w:left="11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71"/>
    <w:rsid w:val="00022FED"/>
    <w:rsid w:val="00031A75"/>
    <w:rsid w:val="0004759A"/>
    <w:rsid w:val="00051257"/>
    <w:rsid w:val="000518A6"/>
    <w:rsid w:val="00065B82"/>
    <w:rsid w:val="00087C2D"/>
    <w:rsid w:val="000D2294"/>
    <w:rsid w:val="00137859"/>
    <w:rsid w:val="0015779C"/>
    <w:rsid w:val="001916DB"/>
    <w:rsid w:val="001B4892"/>
    <w:rsid w:val="001B770B"/>
    <w:rsid w:val="001C628E"/>
    <w:rsid w:val="001C70C3"/>
    <w:rsid w:val="001D06A4"/>
    <w:rsid w:val="001E70DD"/>
    <w:rsid w:val="001F2601"/>
    <w:rsid w:val="001F54EA"/>
    <w:rsid w:val="00227529"/>
    <w:rsid w:val="002312A1"/>
    <w:rsid w:val="002674E1"/>
    <w:rsid w:val="002730B8"/>
    <w:rsid w:val="0028270D"/>
    <w:rsid w:val="00303A48"/>
    <w:rsid w:val="003067BB"/>
    <w:rsid w:val="00357008"/>
    <w:rsid w:val="003D41BD"/>
    <w:rsid w:val="003E1290"/>
    <w:rsid w:val="0040146C"/>
    <w:rsid w:val="004020F6"/>
    <w:rsid w:val="00474E62"/>
    <w:rsid w:val="0049034C"/>
    <w:rsid w:val="00577589"/>
    <w:rsid w:val="005C570C"/>
    <w:rsid w:val="005D14CD"/>
    <w:rsid w:val="00677730"/>
    <w:rsid w:val="006A13A0"/>
    <w:rsid w:val="006A1AA6"/>
    <w:rsid w:val="0070644F"/>
    <w:rsid w:val="00731989"/>
    <w:rsid w:val="00737D7A"/>
    <w:rsid w:val="00751F3D"/>
    <w:rsid w:val="0078002A"/>
    <w:rsid w:val="007A24ED"/>
    <w:rsid w:val="007B05A0"/>
    <w:rsid w:val="007E39B5"/>
    <w:rsid w:val="008265AC"/>
    <w:rsid w:val="00831B76"/>
    <w:rsid w:val="00832137"/>
    <w:rsid w:val="00845C50"/>
    <w:rsid w:val="00873FC6"/>
    <w:rsid w:val="00897583"/>
    <w:rsid w:val="008B265E"/>
    <w:rsid w:val="008D267A"/>
    <w:rsid w:val="008E2A56"/>
    <w:rsid w:val="00911B71"/>
    <w:rsid w:val="00927BC1"/>
    <w:rsid w:val="00936EF9"/>
    <w:rsid w:val="00995C5A"/>
    <w:rsid w:val="00996604"/>
    <w:rsid w:val="00A7527F"/>
    <w:rsid w:val="00AA2C4E"/>
    <w:rsid w:val="00AE1707"/>
    <w:rsid w:val="00B015F9"/>
    <w:rsid w:val="00B01AF1"/>
    <w:rsid w:val="00B07CE2"/>
    <w:rsid w:val="00B17FFD"/>
    <w:rsid w:val="00B45594"/>
    <w:rsid w:val="00B814B5"/>
    <w:rsid w:val="00BC7F02"/>
    <w:rsid w:val="00BD3900"/>
    <w:rsid w:val="00BE6ACC"/>
    <w:rsid w:val="00BF3C5B"/>
    <w:rsid w:val="00C07B7A"/>
    <w:rsid w:val="00C16E54"/>
    <w:rsid w:val="00C7028C"/>
    <w:rsid w:val="00C81A97"/>
    <w:rsid w:val="00C87FAE"/>
    <w:rsid w:val="00C9525D"/>
    <w:rsid w:val="00CF7441"/>
    <w:rsid w:val="00CF77C0"/>
    <w:rsid w:val="00D00AA5"/>
    <w:rsid w:val="00D158FC"/>
    <w:rsid w:val="00D15D27"/>
    <w:rsid w:val="00D205EA"/>
    <w:rsid w:val="00D82600"/>
    <w:rsid w:val="00DA0BE3"/>
    <w:rsid w:val="00DC51AE"/>
    <w:rsid w:val="00DC5B9B"/>
    <w:rsid w:val="00DE3513"/>
    <w:rsid w:val="00DE7212"/>
    <w:rsid w:val="00DF7655"/>
    <w:rsid w:val="00E12992"/>
    <w:rsid w:val="00E7768E"/>
    <w:rsid w:val="00EA3386"/>
    <w:rsid w:val="00EB59F2"/>
    <w:rsid w:val="00EC1A99"/>
    <w:rsid w:val="00EE3A3A"/>
    <w:rsid w:val="00F06199"/>
    <w:rsid w:val="00F33633"/>
    <w:rsid w:val="00FA6378"/>
    <w:rsid w:val="00FE2C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B4BA"/>
  <w15:docId w15:val="{090D18CE-6A16-47B8-A405-15F3822D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116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16549"/>
    <w:rPr>
      <w:rFonts w:asciiTheme="majorHAnsi" w:eastAsiaTheme="majorEastAsia" w:hAnsiTheme="majorHAnsi" w:cstheme="majorBidi"/>
      <w:color w:val="2F5496" w:themeColor="accent1" w:themeShade="BF"/>
      <w:sz w:val="32"/>
      <w:szCs w:val="32"/>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ibliography">
    <w:name w:val="Bibliography"/>
    <w:basedOn w:val="Normal"/>
    <w:next w:val="Normal"/>
    <w:uiPriority w:val="37"/>
    <w:unhideWhenUsed/>
    <w:qFormat/>
    <w:rsid w:val="00116549"/>
  </w:style>
  <w:style w:type="table" w:styleId="TableGrid">
    <w:name w:val="Table Grid"/>
    <w:basedOn w:val="TableNormal"/>
    <w:uiPriority w:val="39"/>
    <w:rsid w:val="00C95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5907">
      <w:bodyDiv w:val="1"/>
      <w:marLeft w:val="0"/>
      <w:marRight w:val="0"/>
      <w:marTop w:val="0"/>
      <w:marBottom w:val="0"/>
      <w:divBdr>
        <w:top w:val="none" w:sz="0" w:space="0" w:color="auto"/>
        <w:left w:val="none" w:sz="0" w:space="0" w:color="auto"/>
        <w:bottom w:val="none" w:sz="0" w:space="0" w:color="auto"/>
        <w:right w:val="none" w:sz="0" w:space="0" w:color="auto"/>
      </w:divBdr>
    </w:div>
    <w:div w:id="317926137">
      <w:bodyDiv w:val="1"/>
      <w:marLeft w:val="0"/>
      <w:marRight w:val="0"/>
      <w:marTop w:val="0"/>
      <w:marBottom w:val="0"/>
      <w:divBdr>
        <w:top w:val="none" w:sz="0" w:space="0" w:color="auto"/>
        <w:left w:val="none" w:sz="0" w:space="0" w:color="auto"/>
        <w:bottom w:val="none" w:sz="0" w:space="0" w:color="auto"/>
        <w:right w:val="none" w:sz="0" w:space="0" w:color="auto"/>
      </w:divBdr>
    </w:div>
    <w:div w:id="696274700">
      <w:bodyDiv w:val="1"/>
      <w:marLeft w:val="0"/>
      <w:marRight w:val="0"/>
      <w:marTop w:val="0"/>
      <w:marBottom w:val="0"/>
      <w:divBdr>
        <w:top w:val="none" w:sz="0" w:space="0" w:color="auto"/>
        <w:left w:val="none" w:sz="0" w:space="0" w:color="auto"/>
        <w:bottom w:val="none" w:sz="0" w:space="0" w:color="auto"/>
        <w:right w:val="none" w:sz="0" w:space="0" w:color="auto"/>
      </w:divBdr>
    </w:div>
    <w:div w:id="947270359">
      <w:bodyDiv w:val="1"/>
      <w:marLeft w:val="0"/>
      <w:marRight w:val="0"/>
      <w:marTop w:val="0"/>
      <w:marBottom w:val="0"/>
      <w:divBdr>
        <w:top w:val="none" w:sz="0" w:space="0" w:color="auto"/>
        <w:left w:val="none" w:sz="0" w:space="0" w:color="auto"/>
        <w:bottom w:val="none" w:sz="0" w:space="0" w:color="auto"/>
        <w:right w:val="none" w:sz="0" w:space="0" w:color="auto"/>
      </w:divBdr>
    </w:div>
    <w:div w:id="1557546466">
      <w:bodyDiv w:val="1"/>
      <w:marLeft w:val="0"/>
      <w:marRight w:val="0"/>
      <w:marTop w:val="0"/>
      <w:marBottom w:val="0"/>
      <w:divBdr>
        <w:top w:val="none" w:sz="0" w:space="0" w:color="auto"/>
        <w:left w:val="none" w:sz="0" w:space="0" w:color="auto"/>
        <w:bottom w:val="none" w:sz="0" w:space="0" w:color="auto"/>
        <w:right w:val="none" w:sz="0" w:space="0" w:color="auto"/>
      </w:divBdr>
    </w:div>
    <w:div w:id="2002075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Dav18</b:Tag>
    <b:SourceType>DocumentFromInternetSite</b:SourceType>
    <b:Guid>{CF615E57-35D7-44C7-A967-3307B611ACA8}</b:Guid>
    <b:Title>gutenbergr</b:Title>
    <b:Year>2018</b:Year>
    <b:Author>
      <b:Author>
        <b:NameList>
          <b:Person>
            <b:Last>Robinson</b:Last>
            <b:First>David</b:First>
          </b:Person>
        </b:NameList>
      </b:Author>
    </b:Author>
    <b:Month>Jan</b:Month>
    <b:Day>26</b:Day>
    <b:URL>https://CRAN.R-project.org/package=gutenbergr</b:URL>
    <b:RefOrder>1</b:RefOrder>
  </b:Source>
  <b:Source>
    <b:Tag>Map17</b:Tag>
    <b:SourceType>InternetSite</b:SourceType>
    <b:Guid>{3BCF9A3F-14F0-4DA3-8B9A-34033197FEC1}</b:Guid>
    <b:Title>MapReduce Tutorial</b:Title>
    <b:Year>2017</b:Year>
    <b:Month>11</b:Month>
    <b:Day>18</b:Day>
    <b:YearAccessed>2018</b:YearAccessed>
    <b:MonthAccessed>03</b:MonthAccessed>
    <b:DayAccessed>23</b:DayAccessed>
    <b:URL>https://hadoop.apache.org/docs/stable/hadoop-mapreduce-client/hadoop-mapreduce-client-core/MapReduceTutorial.html</b:URL>
    <b:ProductionCompany>Apache Software Foundation</b:ProductionCompany>
    <b:RefOrder>2</b:RefOrder>
  </b:Source>
</b:Sources>
</file>

<file path=customXml/itemProps1.xml><?xml version="1.0" encoding="utf-8"?>
<ds:datastoreItem xmlns:ds="http://schemas.openxmlformats.org/officeDocument/2006/customXml" ds:itemID="{83285E5E-6269-4944-9FFA-CAAD986B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6</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Till</dc:creator>
  <dc:description/>
  <cp:lastModifiedBy>John Till</cp:lastModifiedBy>
  <cp:revision>137</cp:revision>
  <dcterms:created xsi:type="dcterms:W3CDTF">2018-03-06T16:22:00Z</dcterms:created>
  <dcterms:modified xsi:type="dcterms:W3CDTF">2018-03-31T17:09:00Z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56c9f086-587c-3834-a26a-b6fe48a8e2d2</vt:lpwstr>
  </property>
  <property fmtid="{D5CDD505-2E9C-101B-9397-08002B2CF9AE}" pid="9" name="ScaleCrop">
    <vt:bool>false</vt:bool>
  </property>
  <property fmtid="{D5CDD505-2E9C-101B-9397-08002B2CF9AE}" pid="10" name="ShareDoc">
    <vt:bool>false</vt:bool>
  </property>
</Properties>
</file>