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66"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66" cy="6114169"/>
                          <a:chOff x="0" y="0"/>
                          <a:chExt cx="5937366" cy="6114169"/>
                        </a:xfrm>
                      </wpg:grpSpPr>
                      <wps:wsp>
                        <wps:cNvPr id="9" name="Text Box 2"/>
                        <wps:cNvSpPr txBox="1">
                          <a:spLocks noChangeArrowheads="1"/>
                        </wps:cNvSpPr>
                        <wps:spPr bwMode="auto">
                          <a:xfrm>
                            <a:off x="2164043" y="0"/>
                            <a:ext cx="3289934" cy="1005839"/>
                          </a:xfrm>
                          <a:prstGeom prst="rect">
                            <a:avLst/>
                          </a:prstGeom>
                          <a:solidFill>
                            <a:srgbClr val="FFFFFF"/>
                          </a:solidFill>
                          <a:ln w="9525">
                            <a:noFill/>
                            <a:miter lim="800000"/>
                            <a:headEnd/>
                            <a:tailEnd/>
                          </a:ln>
                        </wps:spPr>
                        <wps:txbx>
                          <w:txbxContent>
                            <w:p w14:paraId="4A02616C" w14:textId="7960D9B4" w:rsidR="00430FE4" w:rsidRPr="00C00613" w:rsidRDefault="0001670A">
                              <w:pPr>
                                <w:rPr>
                                  <w:i/>
                                  <w:iCs/>
                                  <w:sz w:val="24"/>
                                  <w:szCs w:val="24"/>
                                </w:rPr>
                              </w:pPr>
                              <w:r>
                                <w:rPr>
                                  <w:i/>
                                  <w:iCs/>
                                  <w:sz w:val="24"/>
                                  <w:szCs w:val="24"/>
                                </w:rPr>
                                <w:t xml:space="preserve">Defines model parameters and cost functions, uses one-way and two-way data tables, </w:t>
                              </w:r>
                              <w:r w:rsidR="007E0396">
                                <w:rPr>
                                  <w:i/>
                                  <w:iCs/>
                                  <w:sz w:val="24"/>
                                  <w:szCs w:val="24"/>
                                </w:rPr>
                                <w:t>Excel Solver, what-if analysis, and monte-</w:t>
                              </w:r>
                              <w:proofErr w:type="spellStart"/>
                              <w:r w:rsidR="007E0396">
                                <w:rPr>
                                  <w:i/>
                                  <w:iCs/>
                                  <w:sz w:val="24"/>
                                  <w:szCs w:val="24"/>
                                </w:rPr>
                                <w:t>carlo</w:t>
                              </w:r>
                              <w:proofErr w:type="spellEnd"/>
                              <w:r w:rsidR="007E0396">
                                <w:rPr>
                                  <w:i/>
                                  <w:iCs/>
                                  <w:sz w:val="24"/>
                                  <w:szCs w:val="24"/>
                                </w:rPr>
                                <w:t xml:space="preserve"> simulations with triangularly distributed variables</w:t>
                              </w:r>
                            </w:p>
                          </w:txbxContent>
                        </wps:txbx>
                        <wps:bodyPr rot="0" vert="horz" wrap="square" lIns="91440" tIns="45720" rIns="91440" bIns="45720" anchor="t" anchorCtr="0">
                          <a:spAutoFit/>
                        </wps:bodyPr>
                      </wps:wsp>
                      <wpg:grpSp>
                        <wpg:cNvPr id="14" name="Group 14"/>
                        <wpg:cNvGrpSpPr/>
                        <wpg:grpSpPr>
                          <a:xfrm>
                            <a:off x="0" y="1411122"/>
                            <a:ext cx="5937366" cy="4703047"/>
                            <a:chOff x="0" y="0"/>
                            <a:chExt cx="5937366" cy="4703047"/>
                          </a:xfrm>
                        </wpg:grpSpPr>
                        <wpg:grpSp>
                          <wpg:cNvPr id="12" name="Group 12"/>
                          <wpg:cNvGrpSpPr/>
                          <wpg:grpSpPr>
                            <a:xfrm>
                              <a:off x="0" y="0"/>
                              <a:ext cx="5937366" cy="2711715"/>
                              <a:chOff x="0" y="0"/>
                              <a:chExt cx="5937366" cy="271171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1ACFDC2" w:rsidR="007C2BFB" w:rsidRDefault="00F53412" w:rsidP="007C2BFB">
                                    <w:pPr>
                                      <w:jc w:val="center"/>
                                      <w:rPr>
                                        <w:b/>
                                        <w:bCs/>
                                        <w:sz w:val="72"/>
                                        <w:szCs w:val="72"/>
                                      </w:rPr>
                                    </w:pPr>
                                    <w:r>
                                      <w:rPr>
                                        <w:b/>
                                        <w:bCs/>
                                        <w:sz w:val="72"/>
                                        <w:szCs w:val="72"/>
                                      </w:rPr>
                                      <w:t>Project</w:t>
                                    </w:r>
                                  </w:p>
                                  <w:p w14:paraId="68C8E78A" w14:textId="0487729B" w:rsidR="00496A55" w:rsidRPr="00152B7E" w:rsidRDefault="0001670A" w:rsidP="007C2BFB">
                                    <w:pPr>
                                      <w:jc w:val="center"/>
                                      <w:rPr>
                                        <w:b/>
                                        <w:bCs/>
                                        <w:sz w:val="72"/>
                                        <w:szCs w:val="72"/>
                                      </w:rPr>
                                    </w:pPr>
                                    <w:r>
                                      <w:rPr>
                                        <w:b/>
                                        <w:bCs/>
                                        <w:sz w:val="72"/>
                                        <w:szCs w:val="72"/>
                                      </w:rPr>
                                      <w:t>4</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39F26248" w:rsidR="004641C0" w:rsidRPr="004641C0" w:rsidRDefault="00F53412" w:rsidP="004641C0">
                                      <w:pPr>
                                        <w:jc w:val="center"/>
                                        <w:rPr>
                                          <w:sz w:val="180"/>
                                          <w:szCs w:val="180"/>
                                        </w:rPr>
                                      </w:pPr>
                                      <w:r>
                                        <w:rPr>
                                          <w:sz w:val="180"/>
                                          <w:szCs w:val="180"/>
                                        </w:rPr>
                                        <w:t>P</w:t>
                                      </w:r>
                                      <w:r w:rsidR="0001670A">
                                        <w:rPr>
                                          <w:sz w:val="180"/>
                                          <w:szCs w:val="180"/>
                                        </w:rPr>
                                        <w:t>4</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77" y="1738261"/>
                                <a:ext cx="4212589" cy="973454"/>
                              </a:xfrm>
                              <a:prstGeom prst="rect">
                                <a:avLst/>
                              </a:prstGeom>
                              <a:solidFill>
                                <a:srgbClr val="FFFFFF"/>
                              </a:solidFill>
                              <a:ln w="9525">
                                <a:noFill/>
                                <a:miter lim="800000"/>
                                <a:headEnd/>
                                <a:tailEnd/>
                              </a:ln>
                            </wps:spPr>
                            <wps:txbx>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6AF9ADA3" w:rsidR="00430FE4" w:rsidRPr="00053ED0" w:rsidRDefault="00F53412">
                                  <w:pPr>
                                    <w:rPr>
                                      <w:sz w:val="28"/>
                                      <w:szCs w:val="28"/>
                                    </w:rPr>
                                  </w:pPr>
                                  <w:r>
                                    <w:rPr>
                                      <w:sz w:val="28"/>
                                      <w:szCs w:val="28"/>
                                    </w:rPr>
                                    <w:t xml:space="preserve">Project </w:t>
                                  </w:r>
                                  <w:r w:rsidR="0001670A">
                                    <w:rPr>
                                      <w:sz w:val="28"/>
                                      <w:szCs w:val="28"/>
                                    </w:rPr>
                                    <w:t>4</w:t>
                                  </w:r>
                                  <w:r w:rsidR="00496A55">
                                    <w:rPr>
                                      <w:sz w:val="28"/>
                                      <w:szCs w:val="28"/>
                                    </w:rPr>
                                    <w:t xml:space="preserve"> – </w:t>
                                  </w:r>
                                  <w:r w:rsidR="0001670A" w:rsidRPr="0001670A">
                                    <w:rPr>
                                      <w:sz w:val="24"/>
                                      <w:szCs w:val="24"/>
                                    </w:rPr>
                                    <w:t>A Prescriptive Model for Strategic Decision-making, An Inventory Management Decision Model</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5FA0D477" w:rsidR="00053ED0" w:rsidRDefault="00053ED0">
                                <w:r>
                                  <w:t>On</w:t>
                                </w:r>
                                <w:r w:rsidR="007C2BFB">
                                  <w:t xml:space="preserve">: </w:t>
                                </w:r>
                                <w:r w:rsidR="005E136B">
                                  <w:t>March</w:t>
                                </w:r>
                                <w:r w:rsidR="005F56A1">
                                  <w:t xml:space="preserve"> </w:t>
                                </w:r>
                                <w:r w:rsidR="007E0396">
                                  <w:t>20</w:t>
                                </w:r>
                                <w:r w:rsidR="005F56A1" w:rsidRPr="005F56A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">
                <v:shapetype id="_x0000_t202" coordsize="21600,21600" o:spt="202" path="m,l,21600r21600,l21600,xe">
                  <v:stroke joinstyle="miter"/>
                  <v:path gradientshapeok="t" o:connecttype="rect"/>
                </v:shapetype>
                <v:shape id="Text Box 2" o:spid="_x0000_s1027" type="#_x0000_t202" style="position:absolute;left:21640;width:32899;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7960D9B4" w:rsidR="00430FE4" w:rsidRPr="00C00613" w:rsidRDefault="0001670A">
                        <w:pPr>
                          <w:rPr>
                            <w:i/>
                            <w:iCs/>
                            <w:sz w:val="24"/>
                            <w:szCs w:val="24"/>
                          </w:rPr>
                        </w:pPr>
                        <w:r>
                          <w:rPr>
                            <w:i/>
                            <w:iCs/>
                            <w:sz w:val="24"/>
                            <w:szCs w:val="24"/>
                          </w:rPr>
                          <w:t xml:space="preserve">Defines model parameters and cost functions, uses one-way and two-way data tables, </w:t>
                        </w:r>
                        <w:r w:rsidR="007E0396">
                          <w:rPr>
                            <w:i/>
                            <w:iCs/>
                            <w:sz w:val="24"/>
                            <w:szCs w:val="24"/>
                          </w:rPr>
                          <w:t>Excel Solver, what-if analysis, and monte-</w:t>
                        </w:r>
                        <w:proofErr w:type="spellStart"/>
                        <w:r w:rsidR="007E0396">
                          <w:rPr>
                            <w:i/>
                            <w:iCs/>
                            <w:sz w:val="24"/>
                            <w:szCs w:val="24"/>
                          </w:rPr>
                          <w:t>carlo</w:t>
                        </w:r>
                        <w:proofErr w:type="spellEnd"/>
                        <w:r w:rsidR="007E0396">
                          <w:rPr>
                            <w:i/>
                            <w:iCs/>
                            <w:sz w:val="24"/>
                            <w:szCs w:val="24"/>
                          </w:rPr>
                          <w:t xml:space="preserve"> simulations with triangularly distributed variables</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7117" coordsize="59373,2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1ACFDC2" w:rsidR="007C2BFB" w:rsidRDefault="00F53412" w:rsidP="007C2BFB">
                              <w:pPr>
                                <w:jc w:val="center"/>
                                <w:rPr>
                                  <w:b/>
                                  <w:bCs/>
                                  <w:sz w:val="72"/>
                                  <w:szCs w:val="72"/>
                                </w:rPr>
                              </w:pPr>
                              <w:r>
                                <w:rPr>
                                  <w:b/>
                                  <w:bCs/>
                                  <w:sz w:val="72"/>
                                  <w:szCs w:val="72"/>
                                </w:rPr>
                                <w:t>Project</w:t>
                              </w:r>
                            </w:p>
                            <w:p w14:paraId="68C8E78A" w14:textId="0487729B" w:rsidR="00496A55" w:rsidRPr="00152B7E" w:rsidRDefault="0001670A" w:rsidP="007C2BFB">
                              <w:pPr>
                                <w:jc w:val="center"/>
                                <w:rPr>
                                  <w:b/>
                                  <w:bCs/>
                                  <w:sz w:val="72"/>
                                  <w:szCs w:val="72"/>
                                </w:rPr>
                              </w:pPr>
                              <w:r>
                                <w:rPr>
                                  <w:b/>
                                  <w:bCs/>
                                  <w:sz w:val="72"/>
                                  <w:szCs w:val="72"/>
                                </w:rPr>
                                <w:t>4</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39F26248" w:rsidR="004641C0" w:rsidRPr="004641C0" w:rsidRDefault="00F53412" w:rsidP="004641C0">
                                <w:pPr>
                                  <w:jc w:val="center"/>
                                  <w:rPr>
                                    <w:sz w:val="180"/>
                                    <w:szCs w:val="180"/>
                                  </w:rPr>
                                </w:pPr>
                                <w:r>
                                  <w:rPr>
                                    <w:sz w:val="180"/>
                                    <w:szCs w:val="180"/>
                                  </w:rPr>
                                  <w:t>P</w:t>
                                </w:r>
                                <w:r w:rsidR="0001670A">
                                  <w:rPr>
                                    <w:sz w:val="180"/>
                                    <w:szCs w:val="180"/>
                                  </w:rPr>
                                  <w:t>4</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2;width:42126;height:9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0348D4BA"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F53412">
                              <w:rPr>
                                <w:sz w:val="28"/>
                                <w:szCs w:val="28"/>
                              </w:rPr>
                              <w:t>Intro to Enterprise Analytics</w:t>
                            </w:r>
                          </w:p>
                          <w:p w14:paraId="61942C9F" w14:textId="6AF9ADA3" w:rsidR="00430FE4" w:rsidRPr="00053ED0" w:rsidRDefault="00F53412">
                            <w:pPr>
                              <w:rPr>
                                <w:sz w:val="28"/>
                                <w:szCs w:val="28"/>
                              </w:rPr>
                            </w:pPr>
                            <w:r>
                              <w:rPr>
                                <w:sz w:val="28"/>
                                <w:szCs w:val="28"/>
                              </w:rPr>
                              <w:t xml:space="preserve">Project </w:t>
                            </w:r>
                            <w:r w:rsidR="0001670A">
                              <w:rPr>
                                <w:sz w:val="28"/>
                                <w:szCs w:val="28"/>
                              </w:rPr>
                              <w:t>4</w:t>
                            </w:r>
                            <w:r w:rsidR="00496A55">
                              <w:rPr>
                                <w:sz w:val="28"/>
                                <w:szCs w:val="28"/>
                              </w:rPr>
                              <w:t xml:space="preserve"> – </w:t>
                            </w:r>
                            <w:r w:rsidR="0001670A" w:rsidRPr="0001670A">
                              <w:rPr>
                                <w:sz w:val="24"/>
                                <w:szCs w:val="24"/>
                              </w:rPr>
                              <w:t>A Prescriptive Model for Strategic Decision-making, An Inventory Management Decision Model</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B0AF78F" w:rsidR="00053ED0" w:rsidRDefault="00053ED0">
                          <w:r>
                            <w:t xml:space="preserve">For: Professor </w:t>
                          </w:r>
                          <w:proofErr w:type="spellStart"/>
                          <w:r w:rsidR="00F53412">
                            <w:t>Behboudi</w:t>
                          </w:r>
                          <w:proofErr w:type="spellEnd"/>
                        </w:p>
                        <w:p w14:paraId="559C8107" w14:textId="5FA0D477" w:rsidR="00053ED0" w:rsidRDefault="00053ED0">
                          <w:r>
                            <w:t>On</w:t>
                          </w:r>
                          <w:r w:rsidR="007C2BFB">
                            <w:t xml:space="preserve">: </w:t>
                          </w:r>
                          <w:r w:rsidR="005E136B">
                            <w:t>March</w:t>
                          </w:r>
                          <w:r w:rsidR="005F56A1">
                            <w:t xml:space="preserve"> </w:t>
                          </w:r>
                          <w:r w:rsidR="007E0396">
                            <w:t>20</w:t>
                          </w:r>
                          <w:r w:rsidR="005F56A1" w:rsidRPr="005F56A1">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03E59D77" w14:textId="702C1B00" w:rsidR="00771DD8" w:rsidRPr="00D06437" w:rsidRDefault="00CB272A" w:rsidP="00496A55">
      <w:pPr>
        <w:spacing w:line="240" w:lineRule="auto"/>
        <w:rPr>
          <w:rFonts w:cstheme="minorHAnsi"/>
          <w:sz w:val="24"/>
          <w:szCs w:val="24"/>
        </w:rPr>
      </w:pPr>
      <w:r>
        <w:rPr>
          <w:rFonts w:cstheme="minorHAnsi"/>
          <w:sz w:val="24"/>
          <w:szCs w:val="24"/>
        </w:rPr>
        <w:t>The analysis below is to be presented to the Vice President of Operations to show the optimized inventory level that minimizes total cost. Given certain parameters and costs, we created formulas that we used to run what-if analysis. By changing the inventory level that triggers a re-order to keep up with demand, we saw various cost levels and present the ones that minimize total cost.</w:t>
      </w:r>
    </w:p>
    <w:p w14:paraId="27E524E6" w14:textId="2810FC4F" w:rsidR="008B42A3" w:rsidRDefault="00C411EC"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Analysis</w:t>
      </w:r>
    </w:p>
    <w:p w14:paraId="2AEE6986" w14:textId="3CD78B34" w:rsidR="00F501EA" w:rsidRPr="00D64434" w:rsidRDefault="00683CA4" w:rsidP="007E0396">
      <w:pPr>
        <w:spacing w:line="240" w:lineRule="auto"/>
        <w:rPr>
          <w:rFonts w:cstheme="minorHAnsi"/>
        </w:rPr>
      </w:pPr>
      <w:r>
        <w:rPr>
          <w:rFonts w:cstheme="minorHAnsi"/>
          <w:sz w:val="24"/>
          <w:szCs w:val="24"/>
        </w:rPr>
        <w:t xml:space="preserve">To start our analysis, we were given certain model parameters, uncontrollable variables, and decision variables. </w:t>
      </w:r>
      <w:r w:rsidR="005E113E">
        <w:rPr>
          <w:rFonts w:cstheme="minorHAnsi"/>
          <w:sz w:val="24"/>
          <w:szCs w:val="24"/>
        </w:rPr>
        <w:t xml:space="preserve">Our model parameters were the unit cost of $135 per unit and the annual opportunity cost of holding an item of inventory </w:t>
      </w:r>
      <w:r w:rsidR="00BE3853">
        <w:rPr>
          <w:rFonts w:cstheme="minorHAnsi"/>
          <w:sz w:val="24"/>
          <w:szCs w:val="24"/>
        </w:rPr>
        <w:t>at</w:t>
      </w:r>
      <w:r w:rsidR="005E113E">
        <w:rPr>
          <w:rFonts w:cstheme="minorHAnsi"/>
          <w:sz w:val="24"/>
          <w:szCs w:val="24"/>
        </w:rPr>
        <w:t xml:space="preserve"> 15.5% of the unit cost.</w:t>
      </w:r>
      <w:r w:rsidR="0027133E">
        <w:rPr>
          <w:rFonts w:cstheme="minorHAnsi"/>
          <w:sz w:val="24"/>
          <w:szCs w:val="24"/>
        </w:rPr>
        <w:t xml:space="preserve"> Our uncontrollable variables are annual item demand and the cost per order of $430. Our decision variables </w:t>
      </w:r>
      <w:r w:rsidR="007F63B7">
        <w:rPr>
          <w:rFonts w:cstheme="minorHAnsi"/>
          <w:sz w:val="24"/>
          <w:szCs w:val="24"/>
        </w:rPr>
        <w:t>were</w:t>
      </w:r>
      <w:r w:rsidR="0027133E">
        <w:rPr>
          <w:rFonts w:cstheme="minorHAnsi"/>
          <w:sz w:val="24"/>
          <w:szCs w:val="24"/>
        </w:rPr>
        <w:t xml:space="preserve"> the number of orders per year and the inventory amount that triggers a re-order. </w:t>
      </w:r>
      <w:r w:rsidR="00347E31">
        <w:rPr>
          <w:rFonts w:cstheme="minorHAnsi"/>
          <w:sz w:val="24"/>
          <w:szCs w:val="24"/>
        </w:rPr>
        <w:t>Each order</w:t>
      </w:r>
      <w:r w:rsidR="007F63B7">
        <w:rPr>
          <w:rFonts w:cstheme="minorHAnsi"/>
          <w:sz w:val="24"/>
          <w:szCs w:val="24"/>
        </w:rPr>
        <w:t xml:space="preserve"> amount</w:t>
      </w:r>
      <w:r w:rsidR="00347E31">
        <w:rPr>
          <w:rFonts w:cstheme="minorHAnsi"/>
          <w:sz w:val="24"/>
          <w:szCs w:val="24"/>
        </w:rPr>
        <w:t xml:space="preserve"> is 3 times the optimal inventory level to account for shipping times while also ensuring there will still be enough </w:t>
      </w:r>
      <w:r w:rsidR="00347E31" w:rsidRPr="00D64434">
        <w:rPr>
          <w:rFonts w:cstheme="minorHAnsi"/>
          <w:sz w:val="24"/>
          <w:szCs w:val="24"/>
        </w:rPr>
        <w:t xml:space="preserve">products to meet demand. </w:t>
      </w:r>
      <w:r w:rsidR="0027133E" w:rsidRPr="00D64434">
        <w:rPr>
          <w:rFonts w:cstheme="minorHAnsi"/>
          <w:sz w:val="24"/>
          <w:szCs w:val="24"/>
        </w:rPr>
        <w:t xml:space="preserve">Our goal </w:t>
      </w:r>
      <w:r w:rsidR="007F63B7">
        <w:rPr>
          <w:rFonts w:cstheme="minorHAnsi"/>
          <w:sz w:val="24"/>
          <w:szCs w:val="24"/>
        </w:rPr>
        <w:t>was</w:t>
      </w:r>
      <w:r w:rsidR="0027133E" w:rsidRPr="00D64434">
        <w:rPr>
          <w:rFonts w:cstheme="minorHAnsi"/>
          <w:sz w:val="24"/>
          <w:szCs w:val="24"/>
        </w:rPr>
        <w:t xml:space="preserve"> to optimize that inventory amount that </w:t>
      </w:r>
      <w:r w:rsidR="007F63B7" w:rsidRPr="00D64434">
        <w:rPr>
          <w:rFonts w:cstheme="minorHAnsi"/>
          <w:sz w:val="24"/>
          <w:szCs w:val="24"/>
        </w:rPr>
        <w:t>led</w:t>
      </w:r>
      <w:r w:rsidR="0027133E" w:rsidRPr="00D64434">
        <w:rPr>
          <w:rFonts w:cstheme="minorHAnsi"/>
          <w:sz w:val="24"/>
          <w:szCs w:val="24"/>
        </w:rPr>
        <w:t xml:space="preserve"> to the cheapest total cost. Our total cost </w:t>
      </w:r>
      <w:r w:rsidR="007F63B7">
        <w:rPr>
          <w:rFonts w:cstheme="minorHAnsi"/>
          <w:sz w:val="24"/>
          <w:szCs w:val="24"/>
        </w:rPr>
        <w:t>was</w:t>
      </w:r>
      <w:r w:rsidR="0027133E" w:rsidRPr="00D64434">
        <w:rPr>
          <w:rFonts w:cstheme="minorHAnsi"/>
          <w:sz w:val="24"/>
          <w:szCs w:val="24"/>
        </w:rPr>
        <w:t xml:space="preserve"> determined by adding the ordering cost, handling cost, and holding cost.</w:t>
      </w:r>
    </w:p>
    <w:tbl>
      <w:tblPr>
        <w:tblStyle w:val="TableGrid"/>
        <w:tblW w:w="0" w:type="auto"/>
        <w:tblLook w:val="04A0" w:firstRow="1" w:lastRow="0" w:firstColumn="1" w:lastColumn="0" w:noHBand="0" w:noVBand="1"/>
      </w:tblPr>
      <w:tblGrid>
        <w:gridCol w:w="2642"/>
        <w:gridCol w:w="1200"/>
      </w:tblGrid>
      <w:tr w:rsidR="00BB616E" w:rsidRPr="00D64434" w14:paraId="69FC3B7D" w14:textId="77777777" w:rsidTr="00BB616E">
        <w:trPr>
          <w:trHeight w:val="288"/>
        </w:trPr>
        <w:tc>
          <w:tcPr>
            <w:tcW w:w="2642" w:type="dxa"/>
            <w:noWrap/>
            <w:hideMark/>
          </w:tcPr>
          <w:p w14:paraId="41805358" w14:textId="77777777" w:rsidR="00BB616E" w:rsidRPr="00D64434" w:rsidRDefault="00BB616E" w:rsidP="00D64434">
            <w:pPr>
              <w:jc w:val="center"/>
              <w:rPr>
                <w:rFonts w:cstheme="minorHAnsi"/>
                <w:b/>
                <w:bCs/>
              </w:rPr>
            </w:pPr>
            <w:r w:rsidRPr="00D64434">
              <w:rPr>
                <w:rFonts w:cstheme="minorHAnsi"/>
                <w:b/>
                <w:bCs/>
              </w:rPr>
              <w:t>Variables</w:t>
            </w:r>
          </w:p>
        </w:tc>
        <w:tc>
          <w:tcPr>
            <w:tcW w:w="1200" w:type="dxa"/>
            <w:noWrap/>
            <w:hideMark/>
          </w:tcPr>
          <w:p w14:paraId="730A3766" w14:textId="77777777" w:rsidR="00BB616E" w:rsidRPr="00D64434" w:rsidRDefault="00BB616E" w:rsidP="00D64434">
            <w:pPr>
              <w:jc w:val="center"/>
              <w:rPr>
                <w:rFonts w:cstheme="minorHAnsi"/>
                <w:b/>
                <w:bCs/>
              </w:rPr>
            </w:pPr>
            <w:r w:rsidRPr="00D64434">
              <w:rPr>
                <w:rFonts w:cstheme="minorHAnsi"/>
                <w:b/>
                <w:bCs/>
              </w:rPr>
              <w:t>Symbol</w:t>
            </w:r>
          </w:p>
        </w:tc>
      </w:tr>
      <w:tr w:rsidR="00BB616E" w:rsidRPr="00D64434" w14:paraId="32804CF3" w14:textId="77777777" w:rsidTr="00BB616E">
        <w:trPr>
          <w:trHeight w:val="288"/>
        </w:trPr>
        <w:tc>
          <w:tcPr>
            <w:tcW w:w="2642" w:type="dxa"/>
            <w:noWrap/>
            <w:hideMark/>
          </w:tcPr>
          <w:p w14:paraId="0C8318EF" w14:textId="549F49DC" w:rsidR="00BB616E" w:rsidRPr="00D64434" w:rsidRDefault="00BB616E" w:rsidP="00D64434">
            <w:pPr>
              <w:jc w:val="center"/>
              <w:rPr>
                <w:rFonts w:cstheme="minorHAnsi"/>
              </w:rPr>
            </w:pPr>
            <w:r w:rsidRPr="00D64434">
              <w:rPr>
                <w:rFonts w:cstheme="minorHAnsi"/>
              </w:rPr>
              <w:t>Unit Cost</w:t>
            </w:r>
          </w:p>
        </w:tc>
        <w:tc>
          <w:tcPr>
            <w:tcW w:w="1200" w:type="dxa"/>
            <w:noWrap/>
            <w:hideMark/>
          </w:tcPr>
          <w:p w14:paraId="1C60393B" w14:textId="77777777" w:rsidR="00BB616E" w:rsidRPr="00D64434" w:rsidRDefault="00BB616E" w:rsidP="00D64434">
            <w:pPr>
              <w:jc w:val="center"/>
              <w:rPr>
                <w:rFonts w:cstheme="minorHAnsi"/>
              </w:rPr>
            </w:pPr>
            <w:r w:rsidRPr="00D64434">
              <w:rPr>
                <w:rFonts w:cstheme="minorHAnsi"/>
              </w:rPr>
              <w:t>C</w:t>
            </w:r>
          </w:p>
        </w:tc>
      </w:tr>
      <w:tr w:rsidR="00BB616E" w:rsidRPr="00D64434" w14:paraId="5B860681" w14:textId="77777777" w:rsidTr="00BB616E">
        <w:trPr>
          <w:trHeight w:val="288"/>
        </w:trPr>
        <w:tc>
          <w:tcPr>
            <w:tcW w:w="2642" w:type="dxa"/>
            <w:noWrap/>
            <w:hideMark/>
          </w:tcPr>
          <w:p w14:paraId="7F14C8CF" w14:textId="77777777" w:rsidR="00BB616E" w:rsidRPr="00D64434" w:rsidRDefault="00BB616E" w:rsidP="00D64434">
            <w:pPr>
              <w:jc w:val="center"/>
              <w:rPr>
                <w:rFonts w:cstheme="minorHAnsi"/>
              </w:rPr>
            </w:pPr>
            <w:r w:rsidRPr="00D64434">
              <w:rPr>
                <w:rFonts w:cstheme="minorHAnsi"/>
              </w:rPr>
              <w:t>Inventory Carrying Rate</w:t>
            </w:r>
          </w:p>
        </w:tc>
        <w:tc>
          <w:tcPr>
            <w:tcW w:w="1200" w:type="dxa"/>
            <w:noWrap/>
            <w:hideMark/>
          </w:tcPr>
          <w:p w14:paraId="5B68B8CA" w14:textId="77777777" w:rsidR="00BB616E" w:rsidRPr="00D64434" w:rsidRDefault="00BB616E" w:rsidP="00D64434">
            <w:pPr>
              <w:jc w:val="center"/>
              <w:rPr>
                <w:rFonts w:cstheme="minorHAnsi"/>
              </w:rPr>
            </w:pPr>
            <w:r w:rsidRPr="00D64434">
              <w:rPr>
                <w:rFonts w:cstheme="minorHAnsi"/>
              </w:rPr>
              <w:t>I</w:t>
            </w:r>
          </w:p>
        </w:tc>
      </w:tr>
      <w:tr w:rsidR="00BB616E" w:rsidRPr="00D64434" w14:paraId="59BA8114" w14:textId="77777777" w:rsidTr="00BB616E">
        <w:trPr>
          <w:trHeight w:val="288"/>
        </w:trPr>
        <w:tc>
          <w:tcPr>
            <w:tcW w:w="2642" w:type="dxa"/>
            <w:noWrap/>
            <w:hideMark/>
          </w:tcPr>
          <w:p w14:paraId="3FB47CFF" w14:textId="77777777" w:rsidR="00BB616E" w:rsidRPr="00D64434" w:rsidRDefault="00BB616E" w:rsidP="00D64434">
            <w:pPr>
              <w:jc w:val="center"/>
              <w:rPr>
                <w:rFonts w:cstheme="minorHAnsi"/>
              </w:rPr>
            </w:pPr>
            <w:r w:rsidRPr="00D64434">
              <w:rPr>
                <w:rFonts w:cstheme="minorHAnsi"/>
              </w:rPr>
              <w:t>Demand Rate</w:t>
            </w:r>
          </w:p>
        </w:tc>
        <w:tc>
          <w:tcPr>
            <w:tcW w:w="1200" w:type="dxa"/>
            <w:noWrap/>
            <w:hideMark/>
          </w:tcPr>
          <w:p w14:paraId="0A2C1F54" w14:textId="77777777" w:rsidR="00BB616E" w:rsidRPr="00D64434" w:rsidRDefault="00BB616E" w:rsidP="00D64434">
            <w:pPr>
              <w:jc w:val="center"/>
              <w:rPr>
                <w:rFonts w:cstheme="minorHAnsi"/>
              </w:rPr>
            </w:pPr>
            <w:r w:rsidRPr="00D64434">
              <w:rPr>
                <w:rFonts w:cstheme="minorHAnsi"/>
              </w:rPr>
              <w:t>D</w:t>
            </w:r>
          </w:p>
        </w:tc>
      </w:tr>
      <w:tr w:rsidR="00BB616E" w:rsidRPr="00D64434" w14:paraId="65EC9C52" w14:textId="77777777" w:rsidTr="00BB616E">
        <w:trPr>
          <w:trHeight w:val="288"/>
        </w:trPr>
        <w:tc>
          <w:tcPr>
            <w:tcW w:w="2642" w:type="dxa"/>
            <w:noWrap/>
            <w:hideMark/>
          </w:tcPr>
          <w:p w14:paraId="62F6B282" w14:textId="77777777" w:rsidR="00BB616E" w:rsidRPr="00D64434" w:rsidRDefault="00BB616E" w:rsidP="00D64434">
            <w:pPr>
              <w:jc w:val="center"/>
              <w:rPr>
                <w:rFonts w:cstheme="minorHAnsi"/>
              </w:rPr>
            </w:pPr>
            <w:r w:rsidRPr="00D64434">
              <w:rPr>
                <w:rFonts w:cstheme="minorHAnsi"/>
              </w:rPr>
              <w:t>Order Cost</w:t>
            </w:r>
          </w:p>
        </w:tc>
        <w:tc>
          <w:tcPr>
            <w:tcW w:w="1200" w:type="dxa"/>
            <w:noWrap/>
            <w:hideMark/>
          </w:tcPr>
          <w:p w14:paraId="2D2B01B1" w14:textId="77777777" w:rsidR="00BB616E" w:rsidRPr="00D64434" w:rsidRDefault="00BB616E" w:rsidP="00D64434">
            <w:pPr>
              <w:jc w:val="center"/>
              <w:rPr>
                <w:rFonts w:cstheme="minorHAnsi"/>
              </w:rPr>
            </w:pPr>
            <w:r w:rsidRPr="00D64434">
              <w:rPr>
                <w:rFonts w:cstheme="minorHAnsi"/>
              </w:rPr>
              <w:t>CO</w:t>
            </w:r>
          </w:p>
        </w:tc>
      </w:tr>
      <w:tr w:rsidR="00BB616E" w:rsidRPr="00D64434" w14:paraId="37ABD47E" w14:textId="77777777" w:rsidTr="00BB616E">
        <w:trPr>
          <w:trHeight w:val="288"/>
        </w:trPr>
        <w:tc>
          <w:tcPr>
            <w:tcW w:w="2642" w:type="dxa"/>
            <w:noWrap/>
            <w:hideMark/>
          </w:tcPr>
          <w:p w14:paraId="4135D865" w14:textId="77777777" w:rsidR="00BB616E" w:rsidRPr="00D64434" w:rsidRDefault="00BB616E" w:rsidP="00D64434">
            <w:pPr>
              <w:jc w:val="center"/>
              <w:rPr>
                <w:rFonts w:cstheme="minorHAnsi"/>
              </w:rPr>
            </w:pPr>
            <w:r w:rsidRPr="00D64434">
              <w:rPr>
                <w:rFonts w:cstheme="minorHAnsi"/>
              </w:rPr>
              <w:t>Orders Per Year</w:t>
            </w:r>
          </w:p>
        </w:tc>
        <w:tc>
          <w:tcPr>
            <w:tcW w:w="1200" w:type="dxa"/>
            <w:noWrap/>
            <w:hideMark/>
          </w:tcPr>
          <w:p w14:paraId="49BB7607" w14:textId="77777777" w:rsidR="00BB616E" w:rsidRPr="00D64434" w:rsidRDefault="00BB616E" w:rsidP="00D64434">
            <w:pPr>
              <w:jc w:val="center"/>
              <w:rPr>
                <w:rFonts w:cstheme="minorHAnsi"/>
              </w:rPr>
            </w:pPr>
            <w:r w:rsidRPr="00D64434">
              <w:rPr>
                <w:rFonts w:cstheme="minorHAnsi"/>
              </w:rPr>
              <w:t>N</w:t>
            </w:r>
          </w:p>
        </w:tc>
      </w:tr>
      <w:tr w:rsidR="00BB616E" w:rsidRPr="00D64434" w14:paraId="57D1FD1C" w14:textId="77777777" w:rsidTr="00BB616E">
        <w:trPr>
          <w:trHeight w:val="288"/>
        </w:trPr>
        <w:tc>
          <w:tcPr>
            <w:tcW w:w="2642" w:type="dxa"/>
            <w:noWrap/>
            <w:hideMark/>
          </w:tcPr>
          <w:p w14:paraId="5603B978" w14:textId="77777777" w:rsidR="00BB616E" w:rsidRPr="00D64434" w:rsidRDefault="00BB616E" w:rsidP="00D64434">
            <w:pPr>
              <w:jc w:val="center"/>
              <w:rPr>
                <w:rFonts w:cstheme="minorHAnsi"/>
              </w:rPr>
            </w:pPr>
            <w:r w:rsidRPr="00D64434">
              <w:rPr>
                <w:rFonts w:cstheme="minorHAnsi"/>
              </w:rPr>
              <w:t>Inventory Level</w:t>
            </w:r>
          </w:p>
        </w:tc>
        <w:tc>
          <w:tcPr>
            <w:tcW w:w="1200" w:type="dxa"/>
            <w:noWrap/>
            <w:hideMark/>
          </w:tcPr>
          <w:p w14:paraId="67EF064F" w14:textId="77777777" w:rsidR="00BB616E" w:rsidRPr="00D64434" w:rsidRDefault="00BB616E" w:rsidP="00D64434">
            <w:pPr>
              <w:jc w:val="center"/>
              <w:rPr>
                <w:rFonts w:cstheme="minorHAnsi"/>
              </w:rPr>
            </w:pPr>
            <w:r w:rsidRPr="00D64434">
              <w:rPr>
                <w:rFonts w:cstheme="minorHAnsi"/>
              </w:rPr>
              <w:t>X</w:t>
            </w:r>
          </w:p>
        </w:tc>
      </w:tr>
    </w:tbl>
    <w:tbl>
      <w:tblPr>
        <w:tblStyle w:val="TableGrid"/>
        <w:tblpPr w:leftFromText="180" w:rightFromText="180" w:vertAnchor="text" w:horzAnchor="page" w:tblpX="5870" w:tblpY="-2108"/>
        <w:tblW w:w="0" w:type="auto"/>
        <w:tblLook w:val="04A0" w:firstRow="1" w:lastRow="0" w:firstColumn="1" w:lastColumn="0" w:noHBand="0" w:noVBand="1"/>
      </w:tblPr>
      <w:tblGrid>
        <w:gridCol w:w="1874"/>
        <w:gridCol w:w="2233"/>
      </w:tblGrid>
      <w:tr w:rsidR="00347E31" w:rsidRPr="00347E31" w14:paraId="2FC31DE5" w14:textId="77777777" w:rsidTr="00347E31">
        <w:trPr>
          <w:trHeight w:val="364"/>
        </w:trPr>
        <w:tc>
          <w:tcPr>
            <w:tcW w:w="1874" w:type="dxa"/>
            <w:noWrap/>
            <w:hideMark/>
          </w:tcPr>
          <w:p w14:paraId="702D6833" w14:textId="77777777" w:rsidR="00347E31" w:rsidRPr="00D64434" w:rsidRDefault="00347E31" w:rsidP="00D64434">
            <w:pPr>
              <w:jc w:val="center"/>
              <w:rPr>
                <w:rFonts w:cstheme="minorHAnsi"/>
                <w:b/>
                <w:bCs/>
              </w:rPr>
            </w:pPr>
            <w:r w:rsidRPr="00D64434">
              <w:rPr>
                <w:rFonts w:cstheme="minorHAnsi"/>
                <w:b/>
                <w:bCs/>
              </w:rPr>
              <w:t>Cost</w:t>
            </w:r>
          </w:p>
        </w:tc>
        <w:tc>
          <w:tcPr>
            <w:tcW w:w="2233" w:type="dxa"/>
            <w:noWrap/>
            <w:hideMark/>
          </w:tcPr>
          <w:p w14:paraId="1903543B" w14:textId="77777777" w:rsidR="00347E31" w:rsidRPr="00D64434" w:rsidRDefault="00347E31" w:rsidP="00D64434">
            <w:pPr>
              <w:jc w:val="center"/>
              <w:rPr>
                <w:rFonts w:cstheme="minorHAnsi"/>
                <w:b/>
                <w:bCs/>
              </w:rPr>
            </w:pPr>
            <w:r w:rsidRPr="00D64434">
              <w:rPr>
                <w:rFonts w:cstheme="minorHAnsi"/>
                <w:b/>
                <w:bCs/>
              </w:rPr>
              <w:t>Formula</w:t>
            </w:r>
          </w:p>
        </w:tc>
      </w:tr>
      <w:tr w:rsidR="00347E31" w:rsidRPr="00347E31" w14:paraId="724C36C7" w14:textId="77777777" w:rsidTr="00347E31">
        <w:trPr>
          <w:trHeight w:val="364"/>
        </w:trPr>
        <w:tc>
          <w:tcPr>
            <w:tcW w:w="1874" w:type="dxa"/>
            <w:noWrap/>
            <w:hideMark/>
          </w:tcPr>
          <w:p w14:paraId="6B5EB873" w14:textId="77777777" w:rsidR="00347E31" w:rsidRPr="00D64434" w:rsidRDefault="00347E31" w:rsidP="00D64434">
            <w:pPr>
              <w:jc w:val="center"/>
              <w:rPr>
                <w:rFonts w:cstheme="minorHAnsi"/>
              </w:rPr>
            </w:pPr>
            <w:r w:rsidRPr="00D64434">
              <w:rPr>
                <w:rFonts w:cstheme="minorHAnsi"/>
              </w:rPr>
              <w:t>Ordering</w:t>
            </w:r>
          </w:p>
        </w:tc>
        <w:tc>
          <w:tcPr>
            <w:tcW w:w="2233" w:type="dxa"/>
            <w:noWrap/>
            <w:hideMark/>
          </w:tcPr>
          <w:p w14:paraId="2BD700F3" w14:textId="77777777" w:rsidR="00347E31" w:rsidRPr="00D64434" w:rsidRDefault="00347E31" w:rsidP="00D64434">
            <w:pPr>
              <w:jc w:val="center"/>
              <w:rPr>
                <w:rFonts w:cstheme="minorHAnsi"/>
              </w:rPr>
            </w:pPr>
            <w:r w:rsidRPr="00D64434">
              <w:rPr>
                <w:rFonts w:cstheme="minorHAnsi"/>
              </w:rPr>
              <w:t>CO*N</w:t>
            </w:r>
          </w:p>
        </w:tc>
      </w:tr>
      <w:tr w:rsidR="00347E31" w:rsidRPr="00347E31" w14:paraId="688C3C2B" w14:textId="77777777" w:rsidTr="00347E31">
        <w:trPr>
          <w:trHeight w:val="364"/>
        </w:trPr>
        <w:tc>
          <w:tcPr>
            <w:tcW w:w="1874" w:type="dxa"/>
            <w:noWrap/>
            <w:hideMark/>
          </w:tcPr>
          <w:p w14:paraId="70DE5B96" w14:textId="77777777" w:rsidR="00347E31" w:rsidRPr="00D64434" w:rsidRDefault="00347E31" w:rsidP="00D64434">
            <w:pPr>
              <w:jc w:val="center"/>
              <w:rPr>
                <w:rFonts w:cstheme="minorHAnsi"/>
              </w:rPr>
            </w:pPr>
            <w:r w:rsidRPr="00D64434">
              <w:rPr>
                <w:rFonts w:cstheme="minorHAnsi"/>
              </w:rPr>
              <w:t>Handling</w:t>
            </w:r>
          </w:p>
        </w:tc>
        <w:tc>
          <w:tcPr>
            <w:tcW w:w="2233" w:type="dxa"/>
            <w:noWrap/>
            <w:hideMark/>
          </w:tcPr>
          <w:p w14:paraId="1D6C8DE5" w14:textId="77777777" w:rsidR="00347E31" w:rsidRPr="00D64434" w:rsidRDefault="00347E31" w:rsidP="00D64434">
            <w:pPr>
              <w:jc w:val="center"/>
              <w:rPr>
                <w:rFonts w:cstheme="minorHAnsi"/>
              </w:rPr>
            </w:pPr>
            <w:r w:rsidRPr="00D64434">
              <w:rPr>
                <w:rFonts w:cstheme="minorHAnsi"/>
              </w:rPr>
              <w:t>25*sqrt(C*X)</w:t>
            </w:r>
          </w:p>
        </w:tc>
      </w:tr>
      <w:tr w:rsidR="00347E31" w:rsidRPr="00347E31" w14:paraId="0712C3E3" w14:textId="77777777" w:rsidTr="00347E31">
        <w:trPr>
          <w:trHeight w:val="364"/>
        </w:trPr>
        <w:tc>
          <w:tcPr>
            <w:tcW w:w="1874" w:type="dxa"/>
            <w:noWrap/>
            <w:hideMark/>
          </w:tcPr>
          <w:p w14:paraId="66ED1D61" w14:textId="77777777" w:rsidR="00347E31" w:rsidRPr="00D64434" w:rsidRDefault="00347E31" w:rsidP="00D64434">
            <w:pPr>
              <w:jc w:val="center"/>
              <w:rPr>
                <w:rFonts w:cstheme="minorHAnsi"/>
              </w:rPr>
            </w:pPr>
            <w:r w:rsidRPr="00D64434">
              <w:rPr>
                <w:rFonts w:cstheme="minorHAnsi"/>
              </w:rPr>
              <w:t>Holding</w:t>
            </w:r>
          </w:p>
        </w:tc>
        <w:tc>
          <w:tcPr>
            <w:tcW w:w="2233" w:type="dxa"/>
            <w:noWrap/>
            <w:hideMark/>
          </w:tcPr>
          <w:p w14:paraId="318CF153" w14:textId="77777777" w:rsidR="00347E31" w:rsidRPr="00D64434" w:rsidRDefault="00347E31" w:rsidP="00D64434">
            <w:pPr>
              <w:jc w:val="center"/>
              <w:rPr>
                <w:rFonts w:cstheme="minorHAnsi"/>
              </w:rPr>
            </w:pPr>
            <w:r w:rsidRPr="00D64434">
              <w:rPr>
                <w:rFonts w:cstheme="minorHAnsi"/>
              </w:rPr>
              <w:t>I*C*X</w:t>
            </w:r>
          </w:p>
        </w:tc>
      </w:tr>
      <w:tr w:rsidR="00347E31" w:rsidRPr="00347E31" w14:paraId="03D7FB02" w14:textId="77777777" w:rsidTr="00347E31">
        <w:trPr>
          <w:trHeight w:val="364"/>
        </w:trPr>
        <w:tc>
          <w:tcPr>
            <w:tcW w:w="1874" w:type="dxa"/>
            <w:noWrap/>
            <w:hideMark/>
          </w:tcPr>
          <w:p w14:paraId="75F1A0EC" w14:textId="77777777" w:rsidR="00347E31" w:rsidRPr="00D64434" w:rsidRDefault="00347E31" w:rsidP="00D64434">
            <w:pPr>
              <w:jc w:val="center"/>
              <w:rPr>
                <w:rFonts w:cstheme="minorHAnsi"/>
              </w:rPr>
            </w:pPr>
            <w:r w:rsidRPr="00D64434">
              <w:rPr>
                <w:rFonts w:cstheme="minorHAnsi"/>
              </w:rPr>
              <w:t>Orders per Year</w:t>
            </w:r>
          </w:p>
        </w:tc>
        <w:tc>
          <w:tcPr>
            <w:tcW w:w="2233" w:type="dxa"/>
            <w:noWrap/>
            <w:hideMark/>
          </w:tcPr>
          <w:p w14:paraId="51B7662F" w14:textId="77777777" w:rsidR="00347E31" w:rsidRPr="00D64434" w:rsidRDefault="00347E31" w:rsidP="00D64434">
            <w:pPr>
              <w:jc w:val="center"/>
              <w:rPr>
                <w:rFonts w:cstheme="minorHAnsi"/>
              </w:rPr>
            </w:pPr>
            <w:r w:rsidRPr="00D64434">
              <w:rPr>
                <w:rFonts w:cstheme="minorHAnsi"/>
              </w:rPr>
              <w:t>roundup(D/(3*X)</w:t>
            </w:r>
          </w:p>
        </w:tc>
      </w:tr>
    </w:tbl>
    <w:p w14:paraId="31A9674A" w14:textId="3BC793C2" w:rsidR="0027133E" w:rsidRDefault="0027133E" w:rsidP="007E0396">
      <w:pPr>
        <w:spacing w:line="240" w:lineRule="auto"/>
        <w:rPr>
          <w:rFonts w:cstheme="minorHAnsi"/>
          <w:sz w:val="24"/>
          <w:szCs w:val="24"/>
        </w:rPr>
      </w:pPr>
    </w:p>
    <w:p w14:paraId="727C576F" w14:textId="6B78CF82" w:rsidR="00A9249C" w:rsidRDefault="00A9249C" w:rsidP="007E0396">
      <w:pPr>
        <w:spacing w:line="240" w:lineRule="auto"/>
        <w:rPr>
          <w:rFonts w:cstheme="minorHAnsi"/>
          <w:sz w:val="24"/>
          <w:szCs w:val="24"/>
        </w:rPr>
      </w:pPr>
      <w:r>
        <w:rPr>
          <w:rFonts w:cstheme="minorHAnsi"/>
          <w:sz w:val="24"/>
          <w:szCs w:val="24"/>
        </w:rPr>
        <w:t>Once we created our formulas, we used them to calculate the optimal inventory level X that led to the least total cost. We created a data table that calculate</w:t>
      </w:r>
      <w:r w:rsidR="007F63B7">
        <w:rPr>
          <w:rFonts w:cstheme="minorHAnsi"/>
          <w:sz w:val="24"/>
          <w:szCs w:val="24"/>
        </w:rPr>
        <w:t>d</w:t>
      </w:r>
      <w:r>
        <w:rPr>
          <w:rFonts w:cstheme="minorHAnsi"/>
          <w:sz w:val="24"/>
          <w:szCs w:val="24"/>
        </w:rPr>
        <w:t xml:space="preserve"> the total cost for every X value from 1 to 25,000. As you can see in the charts below it is very expensive to do one order per year of 25,000 </w:t>
      </w:r>
      <w:r w:rsidR="007F63B7">
        <w:rPr>
          <w:rFonts w:cstheme="minorHAnsi"/>
          <w:sz w:val="24"/>
          <w:szCs w:val="24"/>
        </w:rPr>
        <w:t xml:space="preserve">units </w:t>
      </w:r>
      <w:r>
        <w:rPr>
          <w:rFonts w:cstheme="minorHAnsi"/>
          <w:sz w:val="24"/>
          <w:szCs w:val="24"/>
        </w:rPr>
        <w:t>since the company would tie up all of its capital in inventory (opportunity cost is too large). It is also expensive to order every day to try and keep inventory low since the order cost would exceed the opportunity cost. The sweet spot that minimizes both of these factors ranges from 334 to 379. However, as you can see in the 3</w:t>
      </w:r>
      <w:r w:rsidRPr="00A9249C">
        <w:rPr>
          <w:rFonts w:cstheme="minorHAnsi"/>
          <w:sz w:val="24"/>
          <w:szCs w:val="24"/>
          <w:vertAlign w:val="superscript"/>
        </w:rPr>
        <w:t>rd</w:t>
      </w:r>
      <w:r>
        <w:rPr>
          <w:rFonts w:cstheme="minorHAnsi"/>
          <w:sz w:val="24"/>
          <w:szCs w:val="24"/>
        </w:rPr>
        <w:t xml:space="preserve"> image, </w:t>
      </w:r>
      <w:r w:rsidR="00D64434">
        <w:rPr>
          <w:rFonts w:cstheme="minorHAnsi"/>
          <w:sz w:val="24"/>
          <w:szCs w:val="24"/>
        </w:rPr>
        <w:t>there is a stepping pattern because each of those relative minimums gets the most out of each order without wasting too much inventory. The global minimum cost of $23,020.04 is achieved with an inventory level of 363 units and 23 orders per year. However, there are other local minimums that nearly minimize total cost and have only a .1% difference in total cost between them.</w:t>
      </w:r>
    </w:p>
    <w:tbl>
      <w:tblPr>
        <w:tblStyle w:val="TableGrid"/>
        <w:tblW w:w="0" w:type="auto"/>
        <w:tblLook w:val="04A0" w:firstRow="1" w:lastRow="0" w:firstColumn="1" w:lastColumn="0" w:noHBand="0" w:noVBand="1"/>
      </w:tblPr>
      <w:tblGrid>
        <w:gridCol w:w="1833"/>
        <w:gridCol w:w="1592"/>
      </w:tblGrid>
      <w:tr w:rsidR="00D64434" w:rsidRPr="00D64434" w14:paraId="0480B221" w14:textId="77777777" w:rsidTr="00D64434">
        <w:trPr>
          <w:trHeight w:val="288"/>
        </w:trPr>
        <w:tc>
          <w:tcPr>
            <w:tcW w:w="1833" w:type="dxa"/>
            <w:noWrap/>
            <w:hideMark/>
          </w:tcPr>
          <w:p w14:paraId="5D898C37" w14:textId="77777777" w:rsidR="00D64434" w:rsidRPr="00D64434" w:rsidRDefault="00D64434" w:rsidP="00D64434">
            <w:pPr>
              <w:jc w:val="center"/>
              <w:rPr>
                <w:rFonts w:cstheme="minorHAnsi"/>
                <w:b/>
                <w:bCs/>
                <w:sz w:val="24"/>
                <w:szCs w:val="24"/>
              </w:rPr>
            </w:pPr>
            <w:r w:rsidRPr="00D64434">
              <w:rPr>
                <w:rFonts w:cstheme="minorHAnsi"/>
                <w:b/>
                <w:bCs/>
                <w:sz w:val="24"/>
                <w:szCs w:val="24"/>
              </w:rPr>
              <w:t>Inventory Level</w:t>
            </w:r>
          </w:p>
        </w:tc>
        <w:tc>
          <w:tcPr>
            <w:tcW w:w="1592" w:type="dxa"/>
            <w:noWrap/>
            <w:hideMark/>
          </w:tcPr>
          <w:p w14:paraId="00D4F326" w14:textId="77777777" w:rsidR="00D64434" w:rsidRPr="00D64434" w:rsidRDefault="00D64434" w:rsidP="00D64434">
            <w:pPr>
              <w:jc w:val="center"/>
              <w:rPr>
                <w:rFonts w:cstheme="minorHAnsi"/>
                <w:b/>
                <w:bCs/>
                <w:sz w:val="24"/>
                <w:szCs w:val="24"/>
              </w:rPr>
            </w:pPr>
            <w:r w:rsidRPr="00D64434">
              <w:rPr>
                <w:rFonts w:cstheme="minorHAnsi"/>
                <w:b/>
                <w:bCs/>
                <w:sz w:val="24"/>
                <w:szCs w:val="24"/>
              </w:rPr>
              <w:t>Total Cost</w:t>
            </w:r>
          </w:p>
        </w:tc>
      </w:tr>
      <w:tr w:rsidR="00D64434" w:rsidRPr="00D64434" w14:paraId="559A5700" w14:textId="77777777" w:rsidTr="00D64434">
        <w:trPr>
          <w:trHeight w:val="288"/>
        </w:trPr>
        <w:tc>
          <w:tcPr>
            <w:tcW w:w="1833" w:type="dxa"/>
            <w:noWrap/>
            <w:hideMark/>
          </w:tcPr>
          <w:p w14:paraId="583E4DBE" w14:textId="77777777" w:rsidR="00D64434" w:rsidRPr="00D64434" w:rsidRDefault="00D64434" w:rsidP="00D64434">
            <w:pPr>
              <w:jc w:val="center"/>
              <w:rPr>
                <w:rFonts w:cstheme="minorHAnsi"/>
                <w:sz w:val="24"/>
                <w:szCs w:val="24"/>
              </w:rPr>
            </w:pPr>
            <w:r w:rsidRPr="00D64434">
              <w:rPr>
                <w:rFonts w:cstheme="minorHAnsi"/>
                <w:sz w:val="24"/>
                <w:szCs w:val="24"/>
              </w:rPr>
              <w:t>363</w:t>
            </w:r>
          </w:p>
        </w:tc>
        <w:tc>
          <w:tcPr>
            <w:tcW w:w="1592" w:type="dxa"/>
            <w:noWrap/>
            <w:hideMark/>
          </w:tcPr>
          <w:p w14:paraId="6939485F" w14:textId="0CB94471" w:rsidR="00D64434" w:rsidRPr="00D64434" w:rsidRDefault="00D64434" w:rsidP="00D64434">
            <w:pPr>
              <w:jc w:val="center"/>
              <w:rPr>
                <w:rFonts w:cstheme="minorHAnsi"/>
                <w:sz w:val="24"/>
                <w:szCs w:val="24"/>
              </w:rPr>
            </w:pPr>
            <w:r w:rsidRPr="00D64434">
              <w:rPr>
                <w:rFonts w:cstheme="minorHAnsi"/>
                <w:sz w:val="24"/>
                <w:szCs w:val="24"/>
              </w:rPr>
              <w:t>$ 23,020.04</w:t>
            </w:r>
          </w:p>
        </w:tc>
      </w:tr>
      <w:tr w:rsidR="00D64434" w:rsidRPr="00D64434" w14:paraId="5C27D611" w14:textId="77777777" w:rsidTr="00D64434">
        <w:trPr>
          <w:trHeight w:val="288"/>
        </w:trPr>
        <w:tc>
          <w:tcPr>
            <w:tcW w:w="1833" w:type="dxa"/>
            <w:noWrap/>
            <w:hideMark/>
          </w:tcPr>
          <w:p w14:paraId="1D0889D2" w14:textId="77777777" w:rsidR="00D64434" w:rsidRPr="00D64434" w:rsidRDefault="00D64434" w:rsidP="00D64434">
            <w:pPr>
              <w:jc w:val="center"/>
              <w:rPr>
                <w:rFonts w:cstheme="minorHAnsi"/>
                <w:sz w:val="24"/>
                <w:szCs w:val="24"/>
              </w:rPr>
            </w:pPr>
            <w:r w:rsidRPr="00D64434">
              <w:rPr>
                <w:rFonts w:cstheme="minorHAnsi"/>
                <w:sz w:val="24"/>
                <w:szCs w:val="24"/>
              </w:rPr>
              <w:t>348</w:t>
            </w:r>
          </w:p>
        </w:tc>
        <w:tc>
          <w:tcPr>
            <w:tcW w:w="1592" w:type="dxa"/>
            <w:noWrap/>
            <w:hideMark/>
          </w:tcPr>
          <w:p w14:paraId="6B9C0990" w14:textId="597083AC" w:rsidR="00D64434" w:rsidRPr="00D64434" w:rsidRDefault="00D64434" w:rsidP="00D64434">
            <w:pPr>
              <w:jc w:val="center"/>
              <w:rPr>
                <w:rFonts w:cstheme="minorHAnsi"/>
                <w:sz w:val="24"/>
                <w:szCs w:val="24"/>
              </w:rPr>
            </w:pPr>
            <w:r w:rsidRPr="00D64434">
              <w:rPr>
                <w:rFonts w:cstheme="minorHAnsi"/>
                <w:sz w:val="24"/>
                <w:szCs w:val="24"/>
              </w:rPr>
              <w:t>$ 23,020.62</w:t>
            </w:r>
          </w:p>
        </w:tc>
      </w:tr>
      <w:tr w:rsidR="00D64434" w:rsidRPr="00D64434" w14:paraId="133F9BBF" w14:textId="77777777" w:rsidTr="00D64434">
        <w:trPr>
          <w:trHeight w:val="288"/>
        </w:trPr>
        <w:tc>
          <w:tcPr>
            <w:tcW w:w="1833" w:type="dxa"/>
            <w:noWrap/>
            <w:hideMark/>
          </w:tcPr>
          <w:p w14:paraId="7F4C34A5" w14:textId="77777777" w:rsidR="00D64434" w:rsidRPr="00D64434" w:rsidRDefault="00D64434" w:rsidP="00D64434">
            <w:pPr>
              <w:jc w:val="center"/>
              <w:rPr>
                <w:rFonts w:cstheme="minorHAnsi"/>
                <w:sz w:val="24"/>
                <w:szCs w:val="24"/>
              </w:rPr>
            </w:pPr>
            <w:r w:rsidRPr="00D64434">
              <w:rPr>
                <w:rFonts w:cstheme="minorHAnsi"/>
                <w:sz w:val="24"/>
                <w:szCs w:val="24"/>
              </w:rPr>
              <w:t>379</w:t>
            </w:r>
          </w:p>
        </w:tc>
        <w:tc>
          <w:tcPr>
            <w:tcW w:w="1592" w:type="dxa"/>
            <w:noWrap/>
            <w:hideMark/>
          </w:tcPr>
          <w:p w14:paraId="298CA26B" w14:textId="3F13ED1A" w:rsidR="00D64434" w:rsidRPr="00D64434" w:rsidRDefault="00D64434" w:rsidP="00D64434">
            <w:pPr>
              <w:jc w:val="center"/>
              <w:rPr>
                <w:rFonts w:cstheme="minorHAnsi"/>
                <w:sz w:val="24"/>
                <w:szCs w:val="24"/>
              </w:rPr>
            </w:pPr>
            <w:r w:rsidRPr="00D64434">
              <w:rPr>
                <w:rFonts w:cstheme="minorHAnsi"/>
                <w:sz w:val="24"/>
                <w:szCs w:val="24"/>
              </w:rPr>
              <w:t>$ 23,045.50</w:t>
            </w:r>
          </w:p>
        </w:tc>
      </w:tr>
      <w:tr w:rsidR="00D64434" w:rsidRPr="00D64434" w14:paraId="68B241EF" w14:textId="77777777" w:rsidTr="00D64434">
        <w:trPr>
          <w:trHeight w:val="288"/>
        </w:trPr>
        <w:tc>
          <w:tcPr>
            <w:tcW w:w="1833" w:type="dxa"/>
            <w:noWrap/>
            <w:hideMark/>
          </w:tcPr>
          <w:p w14:paraId="0A469CB2" w14:textId="77777777" w:rsidR="00D64434" w:rsidRPr="00D64434" w:rsidRDefault="00D64434" w:rsidP="00D64434">
            <w:pPr>
              <w:jc w:val="center"/>
              <w:rPr>
                <w:rFonts w:cstheme="minorHAnsi"/>
                <w:sz w:val="24"/>
                <w:szCs w:val="24"/>
              </w:rPr>
            </w:pPr>
            <w:r w:rsidRPr="00D64434">
              <w:rPr>
                <w:rFonts w:cstheme="minorHAnsi"/>
                <w:sz w:val="24"/>
                <w:szCs w:val="24"/>
              </w:rPr>
              <w:t>334</w:t>
            </w:r>
          </w:p>
        </w:tc>
        <w:tc>
          <w:tcPr>
            <w:tcW w:w="1592" w:type="dxa"/>
            <w:noWrap/>
            <w:hideMark/>
          </w:tcPr>
          <w:p w14:paraId="51F615E1" w14:textId="7E27C30A" w:rsidR="00D64434" w:rsidRPr="00D64434" w:rsidRDefault="00D64434" w:rsidP="00D64434">
            <w:pPr>
              <w:jc w:val="center"/>
              <w:rPr>
                <w:rFonts w:cstheme="minorHAnsi"/>
                <w:sz w:val="24"/>
                <w:szCs w:val="24"/>
              </w:rPr>
            </w:pPr>
            <w:r w:rsidRPr="00D64434">
              <w:rPr>
                <w:rFonts w:cstheme="minorHAnsi"/>
                <w:sz w:val="24"/>
                <w:szCs w:val="24"/>
              </w:rPr>
              <w:t>$ 23,047.55</w:t>
            </w:r>
          </w:p>
        </w:tc>
      </w:tr>
    </w:tbl>
    <w:p w14:paraId="7C5801DC" w14:textId="62925955" w:rsidR="007C2465" w:rsidRDefault="007C2465" w:rsidP="007E0396">
      <w:pPr>
        <w:spacing w:line="240" w:lineRule="auto"/>
        <w:rPr>
          <w:rFonts w:cstheme="minorHAnsi"/>
          <w:sz w:val="24"/>
          <w:szCs w:val="24"/>
        </w:rPr>
      </w:pPr>
      <w:r>
        <w:rPr>
          <w:noProof/>
        </w:rPr>
        <w:lastRenderedPageBreak/>
        <w:drawing>
          <wp:inline distT="0" distB="0" distL="0" distR="0" wp14:anchorId="6D8797F4" wp14:editId="7DF154DF">
            <wp:extent cx="6316625" cy="1281546"/>
            <wp:effectExtent l="19050" t="19050" r="2730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559" cy="1287010"/>
                    </a:xfrm>
                    <a:prstGeom prst="rect">
                      <a:avLst/>
                    </a:prstGeom>
                    <a:ln>
                      <a:solidFill>
                        <a:schemeClr val="accent1"/>
                      </a:solidFill>
                    </a:ln>
                  </pic:spPr>
                </pic:pic>
              </a:graphicData>
            </a:graphic>
          </wp:inline>
        </w:drawing>
      </w:r>
    </w:p>
    <w:p w14:paraId="13FA439B" w14:textId="230D5B0F" w:rsidR="00583D83" w:rsidRDefault="00583D83" w:rsidP="007E0396">
      <w:pPr>
        <w:spacing w:line="240" w:lineRule="auto"/>
        <w:rPr>
          <w:rFonts w:cstheme="minorHAnsi"/>
          <w:sz w:val="24"/>
          <w:szCs w:val="24"/>
        </w:rPr>
      </w:pPr>
      <w:r>
        <w:rPr>
          <w:rFonts w:cstheme="minorHAnsi"/>
          <w:sz w:val="24"/>
          <w:szCs w:val="24"/>
        </w:rPr>
        <w:t>Next, we conducted what-if analysis using two-way tables in Excel. It is possible that our costs with suppliers could change since we cannot control other businesses. By using the following table, we can see how the total cost changes when we change the unit cost and/or the order cost in our model.</w:t>
      </w:r>
      <w:r w:rsidR="00B3655A">
        <w:rPr>
          <w:rFonts w:cstheme="minorHAnsi"/>
          <w:sz w:val="24"/>
          <w:szCs w:val="24"/>
        </w:rPr>
        <w:t xml:space="preserve"> Currently our optimized cost of $23,020.04 is shown in black with our current unit cost of $135 and order cost of $430. If we keep all other values in our model the same, but decrease or increase the unit cost or order cost, then our total cost would decrease in green or increase in red depending on the combinations.</w:t>
      </w:r>
    </w:p>
    <w:p w14:paraId="3EA04A91" w14:textId="5C58DE34" w:rsidR="00583D83" w:rsidRDefault="00583D83" w:rsidP="007E0396">
      <w:pPr>
        <w:spacing w:line="240" w:lineRule="auto"/>
        <w:rPr>
          <w:rFonts w:cstheme="minorHAnsi"/>
          <w:sz w:val="24"/>
          <w:szCs w:val="24"/>
        </w:rPr>
      </w:pPr>
      <w:r>
        <w:rPr>
          <w:noProof/>
        </w:rPr>
        <w:drawing>
          <wp:inline distT="0" distB="0" distL="0" distR="0" wp14:anchorId="5851470F" wp14:editId="0D14674F">
            <wp:extent cx="5943600" cy="2512695"/>
            <wp:effectExtent l="19050" t="19050" r="1905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2695"/>
                    </a:xfrm>
                    <a:prstGeom prst="rect">
                      <a:avLst/>
                    </a:prstGeom>
                    <a:ln>
                      <a:solidFill>
                        <a:schemeClr val="accent1"/>
                      </a:solidFill>
                    </a:ln>
                  </pic:spPr>
                </pic:pic>
              </a:graphicData>
            </a:graphic>
          </wp:inline>
        </w:drawing>
      </w:r>
    </w:p>
    <w:p w14:paraId="4065A346" w14:textId="3CA78464" w:rsidR="00307204" w:rsidRDefault="00B3655A" w:rsidP="007E0396">
      <w:pPr>
        <w:spacing w:line="240" w:lineRule="auto"/>
        <w:rPr>
          <w:rFonts w:cstheme="minorHAnsi"/>
          <w:sz w:val="24"/>
          <w:szCs w:val="24"/>
        </w:rPr>
      </w:pPr>
      <w:r>
        <w:rPr>
          <w:rFonts w:cstheme="minorHAnsi"/>
          <w:sz w:val="24"/>
          <w:szCs w:val="24"/>
        </w:rPr>
        <w:t>All of the previous analysis assume</w:t>
      </w:r>
      <w:r w:rsidR="006D5667">
        <w:rPr>
          <w:rFonts w:cstheme="minorHAnsi"/>
          <w:sz w:val="24"/>
          <w:szCs w:val="24"/>
        </w:rPr>
        <w:t>d</w:t>
      </w:r>
      <w:r>
        <w:rPr>
          <w:rFonts w:cstheme="minorHAnsi"/>
          <w:sz w:val="24"/>
          <w:szCs w:val="24"/>
        </w:rPr>
        <w:t xml:space="preserve"> the yearly demand to be 25,000 units. However, demand is much more likely to fluctuate</w:t>
      </w:r>
      <w:r w:rsidR="00B21E3D">
        <w:rPr>
          <w:rFonts w:cstheme="minorHAnsi"/>
          <w:sz w:val="24"/>
          <w:szCs w:val="24"/>
        </w:rPr>
        <w:t xml:space="preserve">. We ran 1,000 simulations </w:t>
      </w:r>
      <w:r w:rsidR="006D5667">
        <w:rPr>
          <w:rFonts w:cstheme="minorHAnsi"/>
          <w:sz w:val="24"/>
          <w:szCs w:val="24"/>
        </w:rPr>
        <w:t>of</w:t>
      </w:r>
      <w:r w:rsidR="00B21E3D">
        <w:rPr>
          <w:rFonts w:cstheme="minorHAnsi"/>
          <w:sz w:val="24"/>
          <w:szCs w:val="24"/>
        </w:rPr>
        <w:t xml:space="preserve"> a demand with a triangle distribution that has a minimum of 23,000, a maximum of 27,000, and a mode of 25,550.</w:t>
      </w:r>
      <w:r w:rsidR="006D5667">
        <w:rPr>
          <w:rFonts w:cstheme="minorHAnsi"/>
          <w:sz w:val="24"/>
          <w:szCs w:val="24"/>
        </w:rPr>
        <w:t xml:space="preserve"> From all of our simulations, our minimum total cost averaged out to be $23,202.86. We created a confidence interval and are 95% confident that the true mean is between $23,188.43 and $23,205.11. Naturally, this is larger than our minimum total cost with a flat 25,000 yearly demand since our demand from our simulations as a peak of 25,550 so it would cost more to </w:t>
      </w:r>
      <w:r w:rsidR="00FD6898">
        <w:rPr>
          <w:rFonts w:cstheme="minorHAnsi"/>
          <w:sz w:val="24"/>
          <w:szCs w:val="24"/>
        </w:rPr>
        <w:t>order and store more parts. We also created histogram of all of the minimum total costs from each simulation to see its distribution. As you can see in the histogram below, we seem to have almost a normal distribution. Our data does not seem to be skewed since our mean ($23,202.86) is almost identical to our median ($23,203.19).</w:t>
      </w:r>
    </w:p>
    <w:p w14:paraId="2165EA4F" w14:textId="5DDA8CC6" w:rsidR="00307204" w:rsidRDefault="00307204" w:rsidP="007E0396">
      <w:pPr>
        <w:spacing w:line="240" w:lineRule="auto"/>
        <w:rPr>
          <w:rFonts w:cstheme="minorHAnsi"/>
          <w:sz w:val="24"/>
          <w:szCs w:val="24"/>
        </w:rPr>
      </w:pPr>
    </w:p>
    <w:p w14:paraId="24576AFD" w14:textId="0277D824" w:rsidR="00307204" w:rsidRDefault="00307204" w:rsidP="007E0396">
      <w:pPr>
        <w:spacing w:line="240" w:lineRule="auto"/>
        <w:rPr>
          <w:rFonts w:cstheme="minorHAnsi"/>
          <w:sz w:val="24"/>
          <w:szCs w:val="24"/>
        </w:rPr>
      </w:pPr>
    </w:p>
    <w:p w14:paraId="4AAB8E31" w14:textId="52FE0DE9" w:rsidR="006D5667" w:rsidRDefault="006D5667" w:rsidP="007E0396">
      <w:pPr>
        <w:spacing w:line="240" w:lineRule="auto"/>
        <w:rPr>
          <w:rFonts w:cstheme="minorHAnsi"/>
          <w:sz w:val="24"/>
          <w:szCs w:val="24"/>
        </w:rPr>
      </w:pPr>
      <w:r>
        <w:rPr>
          <w:noProof/>
        </w:rPr>
        <w:lastRenderedPageBreak/>
        <w:drawing>
          <wp:inline distT="0" distB="0" distL="0" distR="0" wp14:anchorId="1D60498D" wp14:editId="592DF432">
            <wp:extent cx="4220441" cy="2767635"/>
            <wp:effectExtent l="19050" t="19050" r="2794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6264" cy="2771453"/>
                    </a:xfrm>
                    <a:prstGeom prst="rect">
                      <a:avLst/>
                    </a:prstGeom>
                    <a:ln>
                      <a:solidFill>
                        <a:schemeClr val="accent1"/>
                      </a:solidFill>
                    </a:ln>
                  </pic:spPr>
                </pic:pic>
              </a:graphicData>
            </a:graphic>
          </wp:inline>
        </w:drawing>
      </w:r>
    </w:p>
    <w:p w14:paraId="77689096" w14:textId="66A7B508" w:rsidR="00FD6898" w:rsidRDefault="00FD6898" w:rsidP="007E0396">
      <w:pPr>
        <w:spacing w:line="240" w:lineRule="auto"/>
        <w:rPr>
          <w:rFonts w:cstheme="minorHAnsi"/>
          <w:sz w:val="24"/>
          <w:szCs w:val="24"/>
        </w:rPr>
      </w:pPr>
      <w:r>
        <w:rPr>
          <w:rFonts w:cstheme="minorHAnsi"/>
          <w:sz w:val="24"/>
          <w:szCs w:val="24"/>
        </w:rPr>
        <w:t xml:space="preserve">However, we can confirm that our optimal total costs are normally distributed by creating a Q-Q plot. The following plot shows that most total costs follow the normal </w:t>
      </w:r>
      <w:r w:rsidR="002F7D53">
        <w:rPr>
          <w:rFonts w:cstheme="minorHAnsi"/>
          <w:sz w:val="24"/>
          <w:szCs w:val="24"/>
        </w:rPr>
        <w:t>red line except for some outliers. Since there seem to be an even amount of small and large outliers, they evened each other out when we calculated the mean and median. Even though it is not a perfect fit, we would still consider the data ‘normal’ and that a normal distribution fits the data.</w:t>
      </w:r>
    </w:p>
    <w:p w14:paraId="4AD8EB44" w14:textId="4CF6A667" w:rsidR="002F7D53" w:rsidRDefault="002F7D53" w:rsidP="007E0396">
      <w:pPr>
        <w:spacing w:line="240" w:lineRule="auto"/>
        <w:rPr>
          <w:rFonts w:cstheme="minorHAnsi"/>
          <w:sz w:val="24"/>
          <w:szCs w:val="24"/>
        </w:rPr>
      </w:pPr>
      <w:r>
        <w:rPr>
          <w:noProof/>
        </w:rPr>
        <w:drawing>
          <wp:inline distT="0" distB="0" distL="0" distR="0" wp14:anchorId="2D5AA485" wp14:editId="5601278F">
            <wp:extent cx="4262388" cy="2549236"/>
            <wp:effectExtent l="19050" t="19050" r="2413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5602" cy="2557139"/>
                    </a:xfrm>
                    <a:prstGeom prst="rect">
                      <a:avLst/>
                    </a:prstGeom>
                    <a:ln>
                      <a:solidFill>
                        <a:schemeClr val="accent1"/>
                      </a:solidFill>
                    </a:ln>
                  </pic:spPr>
                </pic:pic>
              </a:graphicData>
            </a:graphic>
          </wp:inline>
        </w:drawing>
      </w:r>
    </w:p>
    <w:p w14:paraId="286EA21A" w14:textId="26C53B90" w:rsidR="00307204" w:rsidRDefault="004C68D6" w:rsidP="007E0396">
      <w:pPr>
        <w:spacing w:line="240" w:lineRule="auto"/>
        <w:rPr>
          <w:rFonts w:cstheme="minorHAnsi"/>
          <w:sz w:val="24"/>
          <w:szCs w:val="24"/>
        </w:rPr>
      </w:pPr>
      <w:r>
        <w:rPr>
          <w:rFonts w:cstheme="minorHAnsi"/>
          <w:sz w:val="24"/>
          <w:szCs w:val="24"/>
        </w:rPr>
        <w:t>Next, we plotted the optimal inventory levels as well as the optimal order quantities.</w:t>
      </w:r>
      <w:r w:rsidR="00FF26C7">
        <w:rPr>
          <w:rFonts w:cstheme="minorHAnsi"/>
          <w:sz w:val="24"/>
          <w:szCs w:val="24"/>
        </w:rPr>
        <w:t xml:space="preserve"> Based on our simulated demand, we seem to have a bimodal distribution of inventory levels and order quantities. The optimal inventory of 33</w:t>
      </w:r>
      <w:r w:rsidR="007B6FED">
        <w:rPr>
          <w:rFonts w:cstheme="minorHAnsi"/>
          <w:sz w:val="24"/>
          <w:szCs w:val="24"/>
        </w:rPr>
        <w:t>4</w:t>
      </w:r>
      <w:r w:rsidR="00FF26C7">
        <w:rPr>
          <w:rFonts w:cstheme="minorHAnsi"/>
          <w:sz w:val="24"/>
          <w:szCs w:val="24"/>
        </w:rPr>
        <w:t xml:space="preserve"> lead to our optimal cost of </w:t>
      </w:r>
      <w:r w:rsidR="00FF26C7">
        <w:rPr>
          <w:rFonts w:cstheme="minorHAnsi"/>
          <w:sz w:val="24"/>
          <w:szCs w:val="24"/>
        </w:rPr>
        <w:t>$23,202.86</w:t>
      </w:r>
      <w:r w:rsidR="00FF26C7">
        <w:rPr>
          <w:rFonts w:cstheme="minorHAnsi"/>
          <w:sz w:val="24"/>
          <w:szCs w:val="24"/>
        </w:rPr>
        <w:t>, however we do have a second optimal inventory level of almost 360</w:t>
      </w:r>
      <w:r w:rsidR="00442174">
        <w:rPr>
          <w:rFonts w:cstheme="minorHAnsi"/>
          <w:sz w:val="24"/>
          <w:szCs w:val="24"/>
        </w:rPr>
        <w:t xml:space="preserve"> with a slightly larger optimal cost. The order quantity shows the exact same distribution, since the company plans to order 3 times the inventory level in order to make sure there are enough parts to meet demand.</w:t>
      </w:r>
    </w:p>
    <w:p w14:paraId="08962D24" w14:textId="044E82A4" w:rsidR="002F7D53" w:rsidRDefault="002F7D53" w:rsidP="007E0396">
      <w:pPr>
        <w:spacing w:line="240" w:lineRule="auto"/>
        <w:rPr>
          <w:rFonts w:cstheme="minorHAnsi"/>
          <w:sz w:val="24"/>
          <w:szCs w:val="24"/>
        </w:rPr>
      </w:pPr>
    </w:p>
    <w:p w14:paraId="52F688C5" w14:textId="6523708E" w:rsidR="002F7D53" w:rsidRDefault="002F7D53" w:rsidP="007E0396">
      <w:pPr>
        <w:spacing w:line="240" w:lineRule="auto"/>
        <w:rPr>
          <w:rFonts w:cstheme="minorHAnsi"/>
          <w:sz w:val="24"/>
          <w:szCs w:val="24"/>
        </w:rPr>
      </w:pPr>
      <w:r>
        <w:rPr>
          <w:noProof/>
        </w:rPr>
        <w:lastRenderedPageBreak/>
        <w:drawing>
          <wp:inline distT="0" distB="0" distL="0" distR="0" wp14:anchorId="48375349" wp14:editId="56536714">
            <wp:extent cx="3442717" cy="2072986"/>
            <wp:effectExtent l="19050" t="19050" r="24765"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173" cy="2110593"/>
                    </a:xfrm>
                    <a:prstGeom prst="rect">
                      <a:avLst/>
                    </a:prstGeom>
                    <a:ln>
                      <a:solidFill>
                        <a:schemeClr val="accent1"/>
                      </a:solidFill>
                    </a:ln>
                  </pic:spPr>
                </pic:pic>
              </a:graphicData>
            </a:graphic>
          </wp:inline>
        </w:drawing>
      </w:r>
    </w:p>
    <w:p w14:paraId="1BA1E775" w14:textId="7C755A02" w:rsidR="004C68D6" w:rsidRDefault="004C68D6" w:rsidP="007E0396">
      <w:pPr>
        <w:spacing w:line="240" w:lineRule="auto"/>
        <w:rPr>
          <w:rFonts w:cstheme="minorHAnsi"/>
          <w:sz w:val="24"/>
          <w:szCs w:val="24"/>
        </w:rPr>
      </w:pPr>
      <w:r>
        <w:rPr>
          <w:noProof/>
        </w:rPr>
        <w:drawing>
          <wp:inline distT="0" distB="0" distL="0" distR="0" wp14:anchorId="339C8CB6" wp14:editId="76AD90CB">
            <wp:extent cx="3430732" cy="2105356"/>
            <wp:effectExtent l="19050" t="19050" r="1778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8342" cy="2122300"/>
                    </a:xfrm>
                    <a:prstGeom prst="rect">
                      <a:avLst/>
                    </a:prstGeom>
                    <a:ln>
                      <a:solidFill>
                        <a:schemeClr val="accent1"/>
                      </a:solidFill>
                    </a:ln>
                  </pic:spPr>
                </pic:pic>
              </a:graphicData>
            </a:graphic>
          </wp:inline>
        </w:drawing>
      </w:r>
    </w:p>
    <w:p w14:paraId="62058F07" w14:textId="33C3EA23" w:rsidR="00BD7A2A" w:rsidRDefault="00442174" w:rsidP="007E0396">
      <w:pPr>
        <w:spacing w:line="240" w:lineRule="auto"/>
        <w:rPr>
          <w:rFonts w:cstheme="minorHAnsi"/>
          <w:sz w:val="24"/>
          <w:szCs w:val="24"/>
        </w:rPr>
      </w:pPr>
      <w:r>
        <w:rPr>
          <w:rFonts w:cstheme="minorHAnsi"/>
          <w:sz w:val="24"/>
          <w:szCs w:val="24"/>
        </w:rPr>
        <w:t xml:space="preserve">Lastly, </w:t>
      </w:r>
      <w:r w:rsidR="00EB188A">
        <w:rPr>
          <w:rFonts w:cstheme="minorHAnsi"/>
          <w:sz w:val="24"/>
          <w:szCs w:val="24"/>
        </w:rPr>
        <w:t xml:space="preserve">we plotted the estimated </w:t>
      </w:r>
      <w:r w:rsidR="007F63B7">
        <w:rPr>
          <w:rFonts w:cstheme="minorHAnsi"/>
          <w:sz w:val="24"/>
          <w:szCs w:val="24"/>
        </w:rPr>
        <w:t>number of annual orders</w:t>
      </w:r>
      <w:r w:rsidR="00EB188A">
        <w:rPr>
          <w:rFonts w:cstheme="minorHAnsi"/>
          <w:sz w:val="24"/>
          <w:szCs w:val="24"/>
        </w:rPr>
        <w:t xml:space="preserve"> from each simulation (rounded up to the next order amount). Since there are a lot of parts in each order but each order only represents an additional $430, we can see a consolidation of annual order amounts </w:t>
      </w:r>
      <w:r w:rsidR="00E21D36">
        <w:rPr>
          <w:rFonts w:cstheme="minorHAnsi"/>
          <w:sz w:val="24"/>
          <w:szCs w:val="24"/>
        </w:rPr>
        <w:t xml:space="preserve">between 23 and 26. Order amounts have a much smaller effect on total cost than inventory levels at these ranges so we are not surprised to see many different inventory levels and total costs be from the same annual order amount. The annual order amounts are not normally distributed since </w:t>
      </w:r>
      <w:r w:rsidR="00BD7A2A">
        <w:rPr>
          <w:rFonts w:cstheme="minorHAnsi"/>
          <w:sz w:val="24"/>
          <w:szCs w:val="24"/>
        </w:rPr>
        <w:t>there is a significantly smaller range of potential order amounts. Since there are peaks at 23, 24, 26, and 29, we would say this distribution is multimodal.</w:t>
      </w:r>
    </w:p>
    <w:p w14:paraId="65D82D98" w14:textId="1844788F" w:rsidR="00442174" w:rsidRDefault="00EB188A" w:rsidP="007E0396">
      <w:pPr>
        <w:spacing w:line="240" w:lineRule="auto"/>
        <w:rPr>
          <w:rFonts w:cstheme="minorHAnsi"/>
          <w:sz w:val="24"/>
          <w:szCs w:val="24"/>
        </w:rPr>
      </w:pPr>
      <w:r>
        <w:rPr>
          <w:noProof/>
        </w:rPr>
        <w:drawing>
          <wp:inline distT="0" distB="0" distL="0" distR="0" wp14:anchorId="26538133" wp14:editId="091C2858">
            <wp:extent cx="3430270" cy="2110935"/>
            <wp:effectExtent l="19050" t="19050" r="17780"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799" cy="2119876"/>
                    </a:xfrm>
                    <a:prstGeom prst="rect">
                      <a:avLst/>
                    </a:prstGeom>
                    <a:ln>
                      <a:solidFill>
                        <a:schemeClr val="accent1"/>
                      </a:solidFill>
                    </a:ln>
                  </pic:spPr>
                </pic:pic>
              </a:graphicData>
            </a:graphic>
          </wp:inline>
        </w:drawing>
      </w:r>
    </w:p>
    <w:p w14:paraId="0B6FFA49" w14:textId="6243655F" w:rsidR="001761E7" w:rsidRDefault="001761E7"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Summary</w:t>
      </w:r>
    </w:p>
    <w:p w14:paraId="216000EC" w14:textId="3714E987" w:rsidR="00B117A3" w:rsidRDefault="00F338B8" w:rsidP="006D709A">
      <w:pPr>
        <w:spacing w:line="240" w:lineRule="auto"/>
        <w:rPr>
          <w:rFonts w:cstheme="minorHAnsi"/>
          <w:sz w:val="24"/>
          <w:szCs w:val="24"/>
        </w:rPr>
      </w:pPr>
      <w:r>
        <w:rPr>
          <w:rFonts w:cstheme="minorHAnsi"/>
          <w:sz w:val="24"/>
          <w:szCs w:val="24"/>
        </w:rPr>
        <w:t xml:space="preserve">Based </w:t>
      </w:r>
      <w:r w:rsidR="00B117A3">
        <w:rPr>
          <w:rFonts w:cstheme="minorHAnsi"/>
          <w:sz w:val="24"/>
          <w:szCs w:val="24"/>
        </w:rPr>
        <w:t>on our analysis, we would first recommend to the Vice President of Operations to spen</w:t>
      </w:r>
      <w:r w:rsidR="007C1268">
        <w:rPr>
          <w:rFonts w:cstheme="minorHAnsi"/>
          <w:sz w:val="24"/>
          <w:szCs w:val="24"/>
        </w:rPr>
        <w:t>d</w:t>
      </w:r>
      <w:r w:rsidR="00B117A3">
        <w:rPr>
          <w:rFonts w:cstheme="minorHAnsi"/>
          <w:sz w:val="24"/>
          <w:szCs w:val="24"/>
        </w:rPr>
        <w:t xml:space="preserve"> time and resources identifying and predicting demand. There was a noticeable difference in total cost between our two demand scenarios. For phase two, we would recommend working with suppliers to lower the unit cost or order cost. Many suppliers offer discounts to customers for order frequency. Since there are similar costs between certain inventory levels, such as the </w:t>
      </w:r>
      <w:proofErr w:type="gramStart"/>
      <w:r w:rsidR="00B117A3">
        <w:rPr>
          <w:rFonts w:cstheme="minorHAnsi"/>
          <w:sz w:val="24"/>
          <w:szCs w:val="24"/>
        </w:rPr>
        <w:t xml:space="preserve">379 </w:t>
      </w:r>
      <w:r w:rsidR="007B6FED">
        <w:rPr>
          <w:rFonts w:cstheme="minorHAnsi"/>
          <w:sz w:val="24"/>
          <w:szCs w:val="24"/>
        </w:rPr>
        <w:t>unit</w:t>
      </w:r>
      <w:proofErr w:type="gramEnd"/>
      <w:r w:rsidR="007B6FED">
        <w:rPr>
          <w:rFonts w:cstheme="minorHAnsi"/>
          <w:sz w:val="24"/>
          <w:szCs w:val="24"/>
        </w:rPr>
        <w:t xml:space="preserve"> </w:t>
      </w:r>
      <w:r w:rsidR="00B117A3">
        <w:rPr>
          <w:rFonts w:cstheme="minorHAnsi"/>
          <w:sz w:val="24"/>
          <w:szCs w:val="24"/>
        </w:rPr>
        <w:t xml:space="preserve">inventory level being only $25 </w:t>
      </w:r>
      <w:r w:rsidR="007B6FED">
        <w:rPr>
          <w:rFonts w:cstheme="minorHAnsi"/>
          <w:sz w:val="24"/>
          <w:szCs w:val="24"/>
        </w:rPr>
        <w:t>more expensive annually than the 363 or 348 levels, it is possible the supplier could give a discount at that level since you would be adding an additional one or two orders per year and giving them more business.</w:t>
      </w:r>
    </w:p>
    <w:p w14:paraId="6CB387F7" w14:textId="2F8B1579" w:rsidR="008C5A95" w:rsidRPr="00090EE9" w:rsidRDefault="00B117A3" w:rsidP="006D709A">
      <w:pPr>
        <w:spacing w:line="240" w:lineRule="auto"/>
        <w:rPr>
          <w:rFonts w:cstheme="minorHAnsi"/>
          <w:sz w:val="24"/>
          <w:szCs w:val="24"/>
        </w:rPr>
      </w:pPr>
      <w:r>
        <w:rPr>
          <w:rFonts w:cstheme="minorHAnsi"/>
          <w:sz w:val="24"/>
          <w:szCs w:val="24"/>
        </w:rPr>
        <w:t xml:space="preserve">If </w:t>
      </w:r>
      <w:r w:rsidR="007B6FED">
        <w:rPr>
          <w:rFonts w:cstheme="minorHAnsi"/>
          <w:sz w:val="24"/>
          <w:szCs w:val="24"/>
        </w:rPr>
        <w:t xml:space="preserve">all of the costs remain constant and the company is extremely confident that </w:t>
      </w:r>
      <w:r>
        <w:rPr>
          <w:rFonts w:cstheme="minorHAnsi"/>
          <w:sz w:val="24"/>
          <w:szCs w:val="24"/>
        </w:rPr>
        <w:t xml:space="preserve">yearly demand </w:t>
      </w:r>
      <w:r w:rsidR="007B6FED">
        <w:rPr>
          <w:rFonts w:cstheme="minorHAnsi"/>
          <w:sz w:val="24"/>
          <w:szCs w:val="24"/>
        </w:rPr>
        <w:t>will be</w:t>
      </w:r>
      <w:r>
        <w:rPr>
          <w:rFonts w:cstheme="minorHAnsi"/>
          <w:sz w:val="24"/>
          <w:szCs w:val="24"/>
        </w:rPr>
        <w:t xml:space="preserve"> 25,000 units, we would recommend an inventory re-order level of 363</w:t>
      </w:r>
      <w:r w:rsidR="007B6FED">
        <w:rPr>
          <w:rFonts w:cstheme="minorHAnsi"/>
          <w:sz w:val="24"/>
          <w:szCs w:val="24"/>
        </w:rPr>
        <w:t xml:space="preserve"> with 23 annual orders </w:t>
      </w:r>
      <w:r w:rsidR="007C1268">
        <w:rPr>
          <w:rFonts w:cstheme="minorHAnsi"/>
          <w:sz w:val="24"/>
          <w:szCs w:val="24"/>
        </w:rPr>
        <w:t>since</w:t>
      </w:r>
      <w:r w:rsidR="007B6FED">
        <w:rPr>
          <w:rFonts w:cstheme="minorHAnsi"/>
          <w:sz w:val="24"/>
          <w:szCs w:val="24"/>
        </w:rPr>
        <w:t xml:space="preserve"> it is technically the cheapest option. </w:t>
      </w:r>
      <w:proofErr w:type="gramStart"/>
      <w:r w:rsidR="007B6FED">
        <w:rPr>
          <w:rFonts w:cstheme="minorHAnsi"/>
          <w:sz w:val="24"/>
          <w:szCs w:val="24"/>
        </w:rPr>
        <w:t>However</w:t>
      </w:r>
      <w:proofErr w:type="gramEnd"/>
      <w:r w:rsidR="007B6FED">
        <w:rPr>
          <w:rFonts w:cstheme="minorHAnsi"/>
          <w:sz w:val="24"/>
          <w:szCs w:val="24"/>
        </w:rPr>
        <w:t xml:space="preserve"> with our variable demand scenario, an inventory level of 334 </w:t>
      </w:r>
      <w:r w:rsidR="00653B5E">
        <w:rPr>
          <w:rFonts w:cstheme="minorHAnsi"/>
          <w:sz w:val="24"/>
          <w:szCs w:val="24"/>
        </w:rPr>
        <w:t>most frequently lead to the cheapest total cost based on our simulations.</w:t>
      </w:r>
    </w:p>
    <w:sectPr w:rsidR="008C5A95" w:rsidRPr="00090EE9" w:rsidSect="00AB18BF">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DE35" w14:textId="77777777" w:rsidR="00A9370D" w:rsidRDefault="00A9370D" w:rsidP="00AB18BF">
      <w:pPr>
        <w:spacing w:after="0" w:line="240" w:lineRule="auto"/>
      </w:pPr>
      <w:r>
        <w:separator/>
      </w:r>
    </w:p>
  </w:endnote>
  <w:endnote w:type="continuationSeparator" w:id="0">
    <w:p w14:paraId="6C9EE643" w14:textId="77777777" w:rsidR="00A9370D" w:rsidRDefault="00A9370D"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5FA3" w14:textId="77777777" w:rsidR="00A9370D" w:rsidRDefault="00A9370D" w:rsidP="00AB18BF">
      <w:pPr>
        <w:spacing w:after="0" w:line="240" w:lineRule="auto"/>
      </w:pPr>
      <w:r>
        <w:separator/>
      </w:r>
    </w:p>
  </w:footnote>
  <w:footnote w:type="continuationSeparator" w:id="0">
    <w:p w14:paraId="7C77F6B6" w14:textId="77777777" w:rsidR="00A9370D" w:rsidRDefault="00A9370D"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7"/>
  </w:num>
  <w:num w:numId="4">
    <w:abstractNumId w:val="12"/>
  </w:num>
  <w:num w:numId="5">
    <w:abstractNumId w:val="11"/>
  </w:num>
  <w:num w:numId="6">
    <w:abstractNumId w:val="2"/>
  </w:num>
  <w:num w:numId="7">
    <w:abstractNumId w:val="19"/>
  </w:num>
  <w:num w:numId="8">
    <w:abstractNumId w:val="13"/>
  </w:num>
  <w:num w:numId="9">
    <w:abstractNumId w:val="9"/>
  </w:num>
  <w:num w:numId="10">
    <w:abstractNumId w:val="1"/>
  </w:num>
  <w:num w:numId="11">
    <w:abstractNumId w:val="7"/>
  </w:num>
  <w:num w:numId="12">
    <w:abstractNumId w:val="15"/>
  </w:num>
  <w:num w:numId="13">
    <w:abstractNumId w:val="10"/>
  </w:num>
  <w:num w:numId="14">
    <w:abstractNumId w:val="5"/>
  </w:num>
  <w:num w:numId="15">
    <w:abstractNumId w:val="0"/>
  </w:num>
  <w:num w:numId="16">
    <w:abstractNumId w:val="6"/>
  </w:num>
  <w:num w:numId="17">
    <w:abstractNumId w:val="16"/>
  </w:num>
  <w:num w:numId="18">
    <w:abstractNumId w:val="14"/>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66E"/>
    <w:rsid w:val="00013D0E"/>
    <w:rsid w:val="0001670A"/>
    <w:rsid w:val="00024E59"/>
    <w:rsid w:val="0002653C"/>
    <w:rsid w:val="00043016"/>
    <w:rsid w:val="00053ED0"/>
    <w:rsid w:val="0005483D"/>
    <w:rsid w:val="00080832"/>
    <w:rsid w:val="00090EE9"/>
    <w:rsid w:val="00092942"/>
    <w:rsid w:val="00094044"/>
    <w:rsid w:val="00095E57"/>
    <w:rsid w:val="000963CB"/>
    <w:rsid w:val="00096519"/>
    <w:rsid w:val="00097A7C"/>
    <w:rsid w:val="000A1AA8"/>
    <w:rsid w:val="000A1D5A"/>
    <w:rsid w:val="000A408F"/>
    <w:rsid w:val="000B0690"/>
    <w:rsid w:val="000B6547"/>
    <w:rsid w:val="000C38FB"/>
    <w:rsid w:val="000D7700"/>
    <w:rsid w:val="000F2CD3"/>
    <w:rsid w:val="000F3157"/>
    <w:rsid w:val="000F66F2"/>
    <w:rsid w:val="00105CA3"/>
    <w:rsid w:val="00116AD0"/>
    <w:rsid w:val="00116F75"/>
    <w:rsid w:val="00121694"/>
    <w:rsid w:val="001240A5"/>
    <w:rsid w:val="001257CB"/>
    <w:rsid w:val="00125A35"/>
    <w:rsid w:val="00125F76"/>
    <w:rsid w:val="00126882"/>
    <w:rsid w:val="001330FF"/>
    <w:rsid w:val="001333C4"/>
    <w:rsid w:val="001354F6"/>
    <w:rsid w:val="00135879"/>
    <w:rsid w:val="001430AA"/>
    <w:rsid w:val="00152B7E"/>
    <w:rsid w:val="00156591"/>
    <w:rsid w:val="00167644"/>
    <w:rsid w:val="00173FA5"/>
    <w:rsid w:val="001761E7"/>
    <w:rsid w:val="00176244"/>
    <w:rsid w:val="00182CAF"/>
    <w:rsid w:val="001833FE"/>
    <w:rsid w:val="00194308"/>
    <w:rsid w:val="00196321"/>
    <w:rsid w:val="00196EB9"/>
    <w:rsid w:val="001A518A"/>
    <w:rsid w:val="001A57AF"/>
    <w:rsid w:val="001A5F60"/>
    <w:rsid w:val="001B11A2"/>
    <w:rsid w:val="001B4E36"/>
    <w:rsid w:val="001C0A8C"/>
    <w:rsid w:val="001D23A8"/>
    <w:rsid w:val="001D30A8"/>
    <w:rsid w:val="001D51E1"/>
    <w:rsid w:val="001E3A80"/>
    <w:rsid w:val="001E3F2F"/>
    <w:rsid w:val="001E62AC"/>
    <w:rsid w:val="001E7B6F"/>
    <w:rsid w:val="00200286"/>
    <w:rsid w:val="00201EC4"/>
    <w:rsid w:val="002116C5"/>
    <w:rsid w:val="00211F44"/>
    <w:rsid w:val="002226F8"/>
    <w:rsid w:val="0022742A"/>
    <w:rsid w:val="002300CD"/>
    <w:rsid w:val="002310D5"/>
    <w:rsid w:val="002344C7"/>
    <w:rsid w:val="00234989"/>
    <w:rsid w:val="00241734"/>
    <w:rsid w:val="00250D28"/>
    <w:rsid w:val="002565EC"/>
    <w:rsid w:val="00262323"/>
    <w:rsid w:val="0027133E"/>
    <w:rsid w:val="0028520A"/>
    <w:rsid w:val="002A1E06"/>
    <w:rsid w:val="002A5151"/>
    <w:rsid w:val="002C2004"/>
    <w:rsid w:val="002C464F"/>
    <w:rsid w:val="002D0AAC"/>
    <w:rsid w:val="002D592C"/>
    <w:rsid w:val="002D75A9"/>
    <w:rsid w:val="002E1983"/>
    <w:rsid w:val="002E2319"/>
    <w:rsid w:val="002E2F84"/>
    <w:rsid w:val="002E5FD4"/>
    <w:rsid w:val="002F20E8"/>
    <w:rsid w:val="002F7D53"/>
    <w:rsid w:val="00302951"/>
    <w:rsid w:val="00303F38"/>
    <w:rsid w:val="00307204"/>
    <w:rsid w:val="00315788"/>
    <w:rsid w:val="00324208"/>
    <w:rsid w:val="00325966"/>
    <w:rsid w:val="00333FE0"/>
    <w:rsid w:val="00344D08"/>
    <w:rsid w:val="00345ED2"/>
    <w:rsid w:val="00347E31"/>
    <w:rsid w:val="00350921"/>
    <w:rsid w:val="00352E38"/>
    <w:rsid w:val="00355EB3"/>
    <w:rsid w:val="003620A9"/>
    <w:rsid w:val="00366897"/>
    <w:rsid w:val="00367C35"/>
    <w:rsid w:val="003701CE"/>
    <w:rsid w:val="00381EFA"/>
    <w:rsid w:val="00397012"/>
    <w:rsid w:val="003A3A04"/>
    <w:rsid w:val="003B7254"/>
    <w:rsid w:val="003B76DF"/>
    <w:rsid w:val="003C4E2F"/>
    <w:rsid w:val="003D2FC6"/>
    <w:rsid w:val="003E1C46"/>
    <w:rsid w:val="003E60DC"/>
    <w:rsid w:val="003E7BC9"/>
    <w:rsid w:val="003F049A"/>
    <w:rsid w:val="003F1B9D"/>
    <w:rsid w:val="003F3A61"/>
    <w:rsid w:val="00400DDE"/>
    <w:rsid w:val="00407468"/>
    <w:rsid w:val="00411216"/>
    <w:rsid w:val="00411269"/>
    <w:rsid w:val="004168E8"/>
    <w:rsid w:val="00430FE4"/>
    <w:rsid w:val="00442174"/>
    <w:rsid w:val="00452A72"/>
    <w:rsid w:val="0045778C"/>
    <w:rsid w:val="004602C5"/>
    <w:rsid w:val="004641C0"/>
    <w:rsid w:val="00480E07"/>
    <w:rsid w:val="00490098"/>
    <w:rsid w:val="00490532"/>
    <w:rsid w:val="004936AA"/>
    <w:rsid w:val="00494FA0"/>
    <w:rsid w:val="00496A55"/>
    <w:rsid w:val="004A1173"/>
    <w:rsid w:val="004A64CD"/>
    <w:rsid w:val="004A7E2E"/>
    <w:rsid w:val="004B0BA9"/>
    <w:rsid w:val="004C68D6"/>
    <w:rsid w:val="004D1432"/>
    <w:rsid w:val="004D1B39"/>
    <w:rsid w:val="004D5BAE"/>
    <w:rsid w:val="004D5C73"/>
    <w:rsid w:val="004E445E"/>
    <w:rsid w:val="004F3B42"/>
    <w:rsid w:val="00501F48"/>
    <w:rsid w:val="00504AF3"/>
    <w:rsid w:val="00522DCD"/>
    <w:rsid w:val="005244DC"/>
    <w:rsid w:val="00535FA2"/>
    <w:rsid w:val="00542CEC"/>
    <w:rsid w:val="0056005F"/>
    <w:rsid w:val="00564F6C"/>
    <w:rsid w:val="00565A1E"/>
    <w:rsid w:val="00572CD5"/>
    <w:rsid w:val="005773DE"/>
    <w:rsid w:val="00583D83"/>
    <w:rsid w:val="0059448F"/>
    <w:rsid w:val="005A1658"/>
    <w:rsid w:val="005A701B"/>
    <w:rsid w:val="005B294B"/>
    <w:rsid w:val="005B5060"/>
    <w:rsid w:val="005D0C9E"/>
    <w:rsid w:val="005D23D0"/>
    <w:rsid w:val="005E113E"/>
    <w:rsid w:val="005E136B"/>
    <w:rsid w:val="005E304B"/>
    <w:rsid w:val="005E45EA"/>
    <w:rsid w:val="005F1FB3"/>
    <w:rsid w:val="005F56A1"/>
    <w:rsid w:val="005F57C5"/>
    <w:rsid w:val="00612988"/>
    <w:rsid w:val="006167B9"/>
    <w:rsid w:val="00616C2B"/>
    <w:rsid w:val="006251E1"/>
    <w:rsid w:val="006277AE"/>
    <w:rsid w:val="0063311C"/>
    <w:rsid w:val="00637829"/>
    <w:rsid w:val="00640975"/>
    <w:rsid w:val="00640CBB"/>
    <w:rsid w:val="006450F8"/>
    <w:rsid w:val="00653B5E"/>
    <w:rsid w:val="00656ABF"/>
    <w:rsid w:val="00667FB0"/>
    <w:rsid w:val="00670810"/>
    <w:rsid w:val="00670E74"/>
    <w:rsid w:val="0067602A"/>
    <w:rsid w:val="00681C0B"/>
    <w:rsid w:val="00682C5E"/>
    <w:rsid w:val="00683CA4"/>
    <w:rsid w:val="00686CEF"/>
    <w:rsid w:val="00687045"/>
    <w:rsid w:val="00695A3B"/>
    <w:rsid w:val="006A7D74"/>
    <w:rsid w:val="006B6C63"/>
    <w:rsid w:val="006B70E5"/>
    <w:rsid w:val="006C3002"/>
    <w:rsid w:val="006D0EAC"/>
    <w:rsid w:val="006D51AA"/>
    <w:rsid w:val="006D5667"/>
    <w:rsid w:val="006D642B"/>
    <w:rsid w:val="006D709A"/>
    <w:rsid w:val="006E030B"/>
    <w:rsid w:val="006E2201"/>
    <w:rsid w:val="006E5066"/>
    <w:rsid w:val="006F4EAA"/>
    <w:rsid w:val="006F7878"/>
    <w:rsid w:val="00700BC4"/>
    <w:rsid w:val="00706DBC"/>
    <w:rsid w:val="00712D91"/>
    <w:rsid w:val="0071346B"/>
    <w:rsid w:val="00715491"/>
    <w:rsid w:val="0073620F"/>
    <w:rsid w:val="00737D7B"/>
    <w:rsid w:val="00741261"/>
    <w:rsid w:val="00751061"/>
    <w:rsid w:val="00751D56"/>
    <w:rsid w:val="00762397"/>
    <w:rsid w:val="007663DD"/>
    <w:rsid w:val="007676BC"/>
    <w:rsid w:val="00767966"/>
    <w:rsid w:val="00771DD8"/>
    <w:rsid w:val="00782585"/>
    <w:rsid w:val="007A05E8"/>
    <w:rsid w:val="007A18D6"/>
    <w:rsid w:val="007A79C1"/>
    <w:rsid w:val="007B6FED"/>
    <w:rsid w:val="007C1268"/>
    <w:rsid w:val="007C2465"/>
    <w:rsid w:val="007C2BFB"/>
    <w:rsid w:val="007D3D3B"/>
    <w:rsid w:val="007D4F06"/>
    <w:rsid w:val="007E0396"/>
    <w:rsid w:val="007E512C"/>
    <w:rsid w:val="007F2C31"/>
    <w:rsid w:val="007F39E3"/>
    <w:rsid w:val="007F63B7"/>
    <w:rsid w:val="00805854"/>
    <w:rsid w:val="00815551"/>
    <w:rsid w:val="008176B8"/>
    <w:rsid w:val="0082126F"/>
    <w:rsid w:val="0082234D"/>
    <w:rsid w:val="00822BCD"/>
    <w:rsid w:val="00837463"/>
    <w:rsid w:val="0084524A"/>
    <w:rsid w:val="00850C3C"/>
    <w:rsid w:val="00851A46"/>
    <w:rsid w:val="008523A2"/>
    <w:rsid w:val="0085447A"/>
    <w:rsid w:val="00862D20"/>
    <w:rsid w:val="00867DFD"/>
    <w:rsid w:val="00881210"/>
    <w:rsid w:val="00882794"/>
    <w:rsid w:val="0089286D"/>
    <w:rsid w:val="008A7471"/>
    <w:rsid w:val="008B29D2"/>
    <w:rsid w:val="008B42A3"/>
    <w:rsid w:val="008C5A95"/>
    <w:rsid w:val="008D24E3"/>
    <w:rsid w:val="008D6158"/>
    <w:rsid w:val="008D681C"/>
    <w:rsid w:val="008F40D8"/>
    <w:rsid w:val="008F4824"/>
    <w:rsid w:val="008F5C98"/>
    <w:rsid w:val="00901316"/>
    <w:rsid w:val="00902F09"/>
    <w:rsid w:val="00906454"/>
    <w:rsid w:val="00912E0C"/>
    <w:rsid w:val="00916BFE"/>
    <w:rsid w:val="009261E0"/>
    <w:rsid w:val="00934EA4"/>
    <w:rsid w:val="009521E4"/>
    <w:rsid w:val="00957729"/>
    <w:rsid w:val="009646AC"/>
    <w:rsid w:val="009658BA"/>
    <w:rsid w:val="0096777C"/>
    <w:rsid w:val="0097694F"/>
    <w:rsid w:val="00977608"/>
    <w:rsid w:val="00984635"/>
    <w:rsid w:val="009905AE"/>
    <w:rsid w:val="00997F02"/>
    <w:rsid w:val="009B289F"/>
    <w:rsid w:val="009B31B9"/>
    <w:rsid w:val="009B6540"/>
    <w:rsid w:val="009B6C08"/>
    <w:rsid w:val="009C008A"/>
    <w:rsid w:val="009C1062"/>
    <w:rsid w:val="009C4ED7"/>
    <w:rsid w:val="009D7F20"/>
    <w:rsid w:val="009E1463"/>
    <w:rsid w:val="009E2E66"/>
    <w:rsid w:val="009F4E60"/>
    <w:rsid w:val="00A0145A"/>
    <w:rsid w:val="00A035A1"/>
    <w:rsid w:val="00A207EB"/>
    <w:rsid w:val="00A21BF9"/>
    <w:rsid w:val="00A22637"/>
    <w:rsid w:val="00A26861"/>
    <w:rsid w:val="00A32ACB"/>
    <w:rsid w:val="00A34CE1"/>
    <w:rsid w:val="00A36BCA"/>
    <w:rsid w:val="00A72C07"/>
    <w:rsid w:val="00A767AA"/>
    <w:rsid w:val="00A76B04"/>
    <w:rsid w:val="00A817D1"/>
    <w:rsid w:val="00A85AD8"/>
    <w:rsid w:val="00A87EDD"/>
    <w:rsid w:val="00A9249C"/>
    <w:rsid w:val="00A92F46"/>
    <w:rsid w:val="00A9370D"/>
    <w:rsid w:val="00A943DA"/>
    <w:rsid w:val="00AA70FA"/>
    <w:rsid w:val="00AB18BF"/>
    <w:rsid w:val="00AB440A"/>
    <w:rsid w:val="00AB44F1"/>
    <w:rsid w:val="00AC2469"/>
    <w:rsid w:val="00AC2762"/>
    <w:rsid w:val="00AC380E"/>
    <w:rsid w:val="00AC3BDB"/>
    <w:rsid w:val="00AC4C22"/>
    <w:rsid w:val="00AD1F45"/>
    <w:rsid w:val="00AD63DB"/>
    <w:rsid w:val="00AE07AF"/>
    <w:rsid w:val="00AE2683"/>
    <w:rsid w:val="00AF4A8D"/>
    <w:rsid w:val="00B02F86"/>
    <w:rsid w:val="00B0403C"/>
    <w:rsid w:val="00B06BD8"/>
    <w:rsid w:val="00B074FC"/>
    <w:rsid w:val="00B117A3"/>
    <w:rsid w:val="00B13385"/>
    <w:rsid w:val="00B145D3"/>
    <w:rsid w:val="00B20C47"/>
    <w:rsid w:val="00B213F6"/>
    <w:rsid w:val="00B21E3D"/>
    <w:rsid w:val="00B336D4"/>
    <w:rsid w:val="00B3655A"/>
    <w:rsid w:val="00B369BC"/>
    <w:rsid w:val="00B36E9C"/>
    <w:rsid w:val="00B40020"/>
    <w:rsid w:val="00B42C38"/>
    <w:rsid w:val="00B47CF0"/>
    <w:rsid w:val="00B558A6"/>
    <w:rsid w:val="00B6049C"/>
    <w:rsid w:val="00B60E9B"/>
    <w:rsid w:val="00B62C6C"/>
    <w:rsid w:val="00B64089"/>
    <w:rsid w:val="00B71072"/>
    <w:rsid w:val="00B76DAD"/>
    <w:rsid w:val="00B825D7"/>
    <w:rsid w:val="00B87D26"/>
    <w:rsid w:val="00B93AC4"/>
    <w:rsid w:val="00BA71E3"/>
    <w:rsid w:val="00BB4CFC"/>
    <w:rsid w:val="00BB616E"/>
    <w:rsid w:val="00BB788D"/>
    <w:rsid w:val="00BC042C"/>
    <w:rsid w:val="00BD5C66"/>
    <w:rsid w:val="00BD775A"/>
    <w:rsid w:val="00BD7A2A"/>
    <w:rsid w:val="00BE3853"/>
    <w:rsid w:val="00BF2DB8"/>
    <w:rsid w:val="00C00613"/>
    <w:rsid w:val="00C03E13"/>
    <w:rsid w:val="00C15774"/>
    <w:rsid w:val="00C157F3"/>
    <w:rsid w:val="00C17DCD"/>
    <w:rsid w:val="00C246F0"/>
    <w:rsid w:val="00C36FA7"/>
    <w:rsid w:val="00C411EC"/>
    <w:rsid w:val="00C459D6"/>
    <w:rsid w:val="00C508E2"/>
    <w:rsid w:val="00C57775"/>
    <w:rsid w:val="00C62442"/>
    <w:rsid w:val="00C62DD1"/>
    <w:rsid w:val="00C6476A"/>
    <w:rsid w:val="00C669F0"/>
    <w:rsid w:val="00C80C36"/>
    <w:rsid w:val="00C828C3"/>
    <w:rsid w:val="00CA0504"/>
    <w:rsid w:val="00CB1E09"/>
    <w:rsid w:val="00CB272A"/>
    <w:rsid w:val="00CB3DC7"/>
    <w:rsid w:val="00CB769F"/>
    <w:rsid w:val="00CD095E"/>
    <w:rsid w:val="00CD1D4A"/>
    <w:rsid w:val="00CD5DCA"/>
    <w:rsid w:val="00CE7A55"/>
    <w:rsid w:val="00CF255D"/>
    <w:rsid w:val="00D0077D"/>
    <w:rsid w:val="00D035C1"/>
    <w:rsid w:val="00D036AC"/>
    <w:rsid w:val="00D06437"/>
    <w:rsid w:val="00D10FBF"/>
    <w:rsid w:val="00D163E7"/>
    <w:rsid w:val="00D209FE"/>
    <w:rsid w:val="00D2229A"/>
    <w:rsid w:val="00D24D99"/>
    <w:rsid w:val="00D3607C"/>
    <w:rsid w:val="00D43429"/>
    <w:rsid w:val="00D51914"/>
    <w:rsid w:val="00D5403B"/>
    <w:rsid w:val="00D559DC"/>
    <w:rsid w:val="00D56BAD"/>
    <w:rsid w:val="00D617C3"/>
    <w:rsid w:val="00D64034"/>
    <w:rsid w:val="00D64399"/>
    <w:rsid w:val="00D64434"/>
    <w:rsid w:val="00D6606B"/>
    <w:rsid w:val="00D6729D"/>
    <w:rsid w:val="00D81D9B"/>
    <w:rsid w:val="00D81E15"/>
    <w:rsid w:val="00D875D2"/>
    <w:rsid w:val="00DC00F9"/>
    <w:rsid w:val="00DC3F47"/>
    <w:rsid w:val="00DC4780"/>
    <w:rsid w:val="00DC7181"/>
    <w:rsid w:val="00DD36A8"/>
    <w:rsid w:val="00DE1522"/>
    <w:rsid w:val="00DE23D1"/>
    <w:rsid w:val="00DE4A8E"/>
    <w:rsid w:val="00DE59A8"/>
    <w:rsid w:val="00E01100"/>
    <w:rsid w:val="00E21D36"/>
    <w:rsid w:val="00E30BE0"/>
    <w:rsid w:val="00E43BA0"/>
    <w:rsid w:val="00E43E0C"/>
    <w:rsid w:val="00E46176"/>
    <w:rsid w:val="00E46F99"/>
    <w:rsid w:val="00E674AB"/>
    <w:rsid w:val="00E7274C"/>
    <w:rsid w:val="00E727E3"/>
    <w:rsid w:val="00E812FB"/>
    <w:rsid w:val="00E916CE"/>
    <w:rsid w:val="00EA0F79"/>
    <w:rsid w:val="00EA1976"/>
    <w:rsid w:val="00EA53F9"/>
    <w:rsid w:val="00EB188A"/>
    <w:rsid w:val="00EC1C07"/>
    <w:rsid w:val="00ED3E1C"/>
    <w:rsid w:val="00EE1568"/>
    <w:rsid w:val="00EF7CD4"/>
    <w:rsid w:val="00F0562A"/>
    <w:rsid w:val="00F14291"/>
    <w:rsid w:val="00F20B85"/>
    <w:rsid w:val="00F20DC3"/>
    <w:rsid w:val="00F22035"/>
    <w:rsid w:val="00F247F2"/>
    <w:rsid w:val="00F31958"/>
    <w:rsid w:val="00F31BE7"/>
    <w:rsid w:val="00F338B8"/>
    <w:rsid w:val="00F41C3C"/>
    <w:rsid w:val="00F42D49"/>
    <w:rsid w:val="00F44DDE"/>
    <w:rsid w:val="00F4554F"/>
    <w:rsid w:val="00F501EA"/>
    <w:rsid w:val="00F5082F"/>
    <w:rsid w:val="00F515F1"/>
    <w:rsid w:val="00F53412"/>
    <w:rsid w:val="00F620B3"/>
    <w:rsid w:val="00F63388"/>
    <w:rsid w:val="00F63CB7"/>
    <w:rsid w:val="00F7387C"/>
    <w:rsid w:val="00F77144"/>
    <w:rsid w:val="00F8097C"/>
    <w:rsid w:val="00F80FF9"/>
    <w:rsid w:val="00F83FC0"/>
    <w:rsid w:val="00F87EE1"/>
    <w:rsid w:val="00F90251"/>
    <w:rsid w:val="00F9361C"/>
    <w:rsid w:val="00FA22EA"/>
    <w:rsid w:val="00FA4D94"/>
    <w:rsid w:val="00FA51FE"/>
    <w:rsid w:val="00FA56FC"/>
    <w:rsid w:val="00FB27E7"/>
    <w:rsid w:val="00FB3419"/>
    <w:rsid w:val="00FC2D61"/>
    <w:rsid w:val="00FC34B8"/>
    <w:rsid w:val="00FC3CBC"/>
    <w:rsid w:val="00FC3EF2"/>
    <w:rsid w:val="00FD0903"/>
    <w:rsid w:val="00FD37D0"/>
    <w:rsid w:val="00FD6898"/>
    <w:rsid w:val="00FF26C7"/>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9</cp:revision>
  <dcterms:created xsi:type="dcterms:W3CDTF">2022-03-20T02:22:00Z</dcterms:created>
  <dcterms:modified xsi:type="dcterms:W3CDTF">2022-03-22T04:32:00Z</dcterms:modified>
</cp:coreProperties>
</file>