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480"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480" cy="6114169"/>
                          <a:chOff x="0" y="0"/>
                          <a:chExt cx="5937480" cy="6114169"/>
                        </a:xfrm>
                      </wpg:grpSpPr>
                      <wps:wsp>
                        <wps:cNvPr id="9" name="Text Box 2"/>
                        <wps:cNvSpPr txBox="1">
                          <a:spLocks noChangeArrowheads="1"/>
                        </wps:cNvSpPr>
                        <wps:spPr bwMode="auto">
                          <a:xfrm>
                            <a:off x="2164295" y="0"/>
                            <a:ext cx="3289934" cy="804544"/>
                          </a:xfrm>
                          <a:prstGeom prst="rect">
                            <a:avLst/>
                          </a:prstGeom>
                          <a:solidFill>
                            <a:srgbClr val="FFFFFF"/>
                          </a:solidFill>
                          <a:ln w="9525">
                            <a:noFill/>
                            <a:miter lim="800000"/>
                            <a:headEnd/>
                            <a:tailEnd/>
                          </a:ln>
                        </wps:spPr>
                        <wps:txbx>
                          <w:txbxContent>
                            <w:p w14:paraId="4A02616C" w14:textId="339933DD" w:rsidR="00430FE4" w:rsidRPr="00C00613" w:rsidRDefault="004602C5">
                              <w:pPr>
                                <w:rPr>
                                  <w:i/>
                                  <w:iCs/>
                                  <w:sz w:val="24"/>
                                  <w:szCs w:val="24"/>
                                </w:rPr>
                              </w:pPr>
                              <w:r>
                                <w:rPr>
                                  <w:i/>
                                  <w:iCs/>
                                  <w:sz w:val="24"/>
                                  <w:szCs w:val="24"/>
                                </w:rPr>
                                <w:t xml:space="preserve">Utilizes time-series methods such as </w:t>
                              </w:r>
                              <w:proofErr w:type="gramStart"/>
                              <w:r>
                                <w:rPr>
                                  <w:i/>
                                  <w:iCs/>
                                  <w:sz w:val="24"/>
                                  <w:szCs w:val="24"/>
                                </w:rPr>
                                <w:t>short term</w:t>
                              </w:r>
                              <w:proofErr w:type="gramEnd"/>
                              <w:r>
                                <w:rPr>
                                  <w:i/>
                                  <w:iCs/>
                                  <w:sz w:val="24"/>
                                  <w:szCs w:val="24"/>
                                </w:rPr>
                                <w:t xml:space="preserve"> forecasting, long term forecasting, and various regression method</w:t>
                              </w:r>
                              <w:r w:rsidR="00B13385">
                                <w:rPr>
                                  <w:i/>
                                  <w:iCs/>
                                  <w:sz w:val="24"/>
                                  <w:szCs w:val="24"/>
                                </w:rPr>
                                <w:t>s</w:t>
                              </w:r>
                              <w:r>
                                <w:rPr>
                                  <w:i/>
                                  <w:iCs/>
                                  <w:sz w:val="24"/>
                                  <w:szCs w:val="24"/>
                                </w:rPr>
                                <w:t xml:space="preserve"> like matrices and leverages.</w:t>
                              </w:r>
                            </w:p>
                          </w:txbxContent>
                        </wps:txbx>
                        <wps:bodyPr rot="0" vert="horz" wrap="square" lIns="91440" tIns="45720" rIns="91440" bIns="45720" anchor="t" anchorCtr="0">
                          <a:spAutoFit/>
                        </wps:bodyPr>
                      </wps:wsp>
                      <wpg:grpSp>
                        <wpg:cNvPr id="14" name="Group 14"/>
                        <wpg:cNvGrpSpPr/>
                        <wpg:grpSpPr>
                          <a:xfrm>
                            <a:off x="0" y="1411122"/>
                            <a:ext cx="5937480" cy="4703047"/>
                            <a:chOff x="0" y="0"/>
                            <a:chExt cx="5937480" cy="4703047"/>
                          </a:xfrm>
                        </wpg:grpSpPr>
                        <wpg:grpSp>
                          <wpg:cNvPr id="12" name="Group 12"/>
                          <wpg:cNvGrpSpPr/>
                          <wpg:grpSpPr>
                            <a:xfrm>
                              <a:off x="0" y="0"/>
                              <a:ext cx="5937480" cy="2511455"/>
                              <a:chOff x="0" y="0"/>
                              <a:chExt cx="5937480" cy="25114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1ACFDC2" w:rsidR="007C2BFB" w:rsidRDefault="00F53412" w:rsidP="007C2BFB">
                                    <w:pPr>
                                      <w:jc w:val="center"/>
                                      <w:rPr>
                                        <w:b/>
                                        <w:bCs/>
                                        <w:sz w:val="72"/>
                                        <w:szCs w:val="72"/>
                                      </w:rPr>
                                    </w:pPr>
                                    <w:r>
                                      <w:rPr>
                                        <w:b/>
                                        <w:bCs/>
                                        <w:sz w:val="72"/>
                                        <w:szCs w:val="72"/>
                                      </w:rPr>
                                      <w:t>Project</w:t>
                                    </w:r>
                                  </w:p>
                                  <w:p w14:paraId="68C8E78A" w14:textId="26E1A30A" w:rsidR="00496A55" w:rsidRPr="00152B7E" w:rsidRDefault="00BB788D" w:rsidP="007C2BFB">
                                    <w:pPr>
                                      <w:jc w:val="center"/>
                                      <w:rPr>
                                        <w:b/>
                                        <w:bCs/>
                                        <w:sz w:val="72"/>
                                        <w:szCs w:val="72"/>
                                      </w:rPr>
                                    </w:pPr>
                                    <w:r>
                                      <w:rPr>
                                        <w:b/>
                                        <w:bCs/>
                                        <w:sz w:val="72"/>
                                        <w:szCs w:val="72"/>
                                      </w:rPr>
                                      <w:t>3</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5F33A2F8" w:rsidR="004641C0" w:rsidRPr="004641C0" w:rsidRDefault="00F53412" w:rsidP="004641C0">
                                      <w:pPr>
                                        <w:jc w:val="center"/>
                                        <w:rPr>
                                          <w:sz w:val="180"/>
                                          <w:szCs w:val="180"/>
                                        </w:rPr>
                                      </w:pPr>
                                      <w:r>
                                        <w:rPr>
                                          <w:sz w:val="180"/>
                                          <w:szCs w:val="180"/>
                                        </w:rPr>
                                        <w:t>P</w:t>
                                      </w:r>
                                      <w:r w:rsidR="00BB788D">
                                        <w:rPr>
                                          <w:sz w:val="180"/>
                                          <w:szCs w:val="180"/>
                                        </w:rPr>
                                        <w:t>3</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891" y="1738661"/>
                                <a:ext cx="4212589" cy="772794"/>
                              </a:xfrm>
                              <a:prstGeom prst="rect">
                                <a:avLst/>
                              </a:prstGeom>
                              <a:solidFill>
                                <a:srgbClr val="FFFFFF"/>
                              </a:solidFill>
                              <a:ln w="9525">
                                <a:noFill/>
                                <a:miter lim="800000"/>
                                <a:headEnd/>
                                <a:tailEnd/>
                              </a:ln>
                            </wps:spPr>
                            <wps:txbx>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79133ED6" w:rsidR="00430FE4" w:rsidRPr="00053ED0" w:rsidRDefault="00F53412">
                                  <w:pPr>
                                    <w:rPr>
                                      <w:sz w:val="28"/>
                                      <w:szCs w:val="28"/>
                                    </w:rPr>
                                  </w:pPr>
                                  <w:r>
                                    <w:rPr>
                                      <w:sz w:val="28"/>
                                      <w:szCs w:val="28"/>
                                    </w:rPr>
                                    <w:t xml:space="preserve">Project </w:t>
                                  </w:r>
                                  <w:r w:rsidR="00822BCD">
                                    <w:rPr>
                                      <w:sz w:val="28"/>
                                      <w:szCs w:val="28"/>
                                    </w:rPr>
                                    <w:t>3</w:t>
                                  </w:r>
                                  <w:r w:rsidR="00496A55">
                                    <w:rPr>
                                      <w:sz w:val="28"/>
                                      <w:szCs w:val="28"/>
                                    </w:rPr>
                                    <w:t xml:space="preserve"> – </w:t>
                                  </w:r>
                                  <w:r w:rsidR="00BB788D" w:rsidRPr="00BB788D">
                                    <w:rPr>
                                      <w:sz w:val="28"/>
                                      <w:szCs w:val="28"/>
                                    </w:rPr>
                                    <w:t>Forecasting Financial Time Series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6A9EDEA7" w:rsidR="00053ED0" w:rsidRDefault="00053ED0">
                                <w:r>
                                  <w:t>On</w:t>
                                </w:r>
                                <w:r w:rsidR="007C2BFB">
                                  <w:t xml:space="preserve">: </w:t>
                                </w:r>
                                <w:r w:rsidR="005E136B">
                                  <w:t>March</w:t>
                                </w:r>
                                <w:r w:rsidR="005F56A1">
                                  <w:t xml:space="preserve"> </w:t>
                                </w:r>
                                <w:r w:rsidR="00BB788D">
                                  <w:t>13</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4,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">
                <v:shapetype id="_x0000_t202" coordsize="21600,21600" o:spt="202" path="m,l,21600r21600,l21600,xe">
                  <v:stroke joinstyle="miter"/>
                  <v:path gradientshapeok="t" o:connecttype="rect"/>
                </v:shapetype>
                <v:shape id="Text Box 2" o:spid="_x0000_s1027" type="#_x0000_t202" style="position:absolute;left:21642;width:32900;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339933DD" w:rsidR="00430FE4" w:rsidRPr="00C00613" w:rsidRDefault="004602C5">
                        <w:pPr>
                          <w:rPr>
                            <w:i/>
                            <w:iCs/>
                            <w:sz w:val="24"/>
                            <w:szCs w:val="24"/>
                          </w:rPr>
                        </w:pPr>
                        <w:r>
                          <w:rPr>
                            <w:i/>
                            <w:iCs/>
                            <w:sz w:val="24"/>
                            <w:szCs w:val="24"/>
                          </w:rPr>
                          <w:t xml:space="preserve">Utilizes time-series methods such as </w:t>
                        </w:r>
                        <w:proofErr w:type="gramStart"/>
                        <w:r>
                          <w:rPr>
                            <w:i/>
                            <w:iCs/>
                            <w:sz w:val="24"/>
                            <w:szCs w:val="24"/>
                          </w:rPr>
                          <w:t>short term</w:t>
                        </w:r>
                        <w:proofErr w:type="gramEnd"/>
                        <w:r>
                          <w:rPr>
                            <w:i/>
                            <w:iCs/>
                            <w:sz w:val="24"/>
                            <w:szCs w:val="24"/>
                          </w:rPr>
                          <w:t xml:space="preserve"> forecasting, long term forecasting, and various regression method</w:t>
                        </w:r>
                        <w:r w:rsidR="00B13385">
                          <w:rPr>
                            <w:i/>
                            <w:iCs/>
                            <w:sz w:val="24"/>
                            <w:szCs w:val="24"/>
                          </w:rPr>
                          <w:t>s</w:t>
                        </w:r>
                        <w:r>
                          <w:rPr>
                            <w:i/>
                            <w:iCs/>
                            <w:sz w:val="24"/>
                            <w:szCs w:val="24"/>
                          </w:rPr>
                          <w:t xml:space="preserve"> like matrices and leverages.</w:t>
                        </w:r>
                      </w:p>
                    </w:txbxContent>
                  </v:textbox>
                </v:shape>
                <v:group id="Group 14" o:spid="_x0000_s1028" style="position:absolute;top:14111;width:59374;height:47030" coordsize="59374,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4;height:25114" coordsize="59374,25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1ACFDC2" w:rsidR="007C2BFB" w:rsidRDefault="00F53412" w:rsidP="007C2BFB">
                              <w:pPr>
                                <w:jc w:val="center"/>
                                <w:rPr>
                                  <w:b/>
                                  <w:bCs/>
                                  <w:sz w:val="72"/>
                                  <w:szCs w:val="72"/>
                                </w:rPr>
                              </w:pPr>
                              <w:r>
                                <w:rPr>
                                  <w:b/>
                                  <w:bCs/>
                                  <w:sz w:val="72"/>
                                  <w:szCs w:val="72"/>
                                </w:rPr>
                                <w:t>Project</w:t>
                              </w:r>
                            </w:p>
                            <w:p w14:paraId="68C8E78A" w14:textId="26E1A30A" w:rsidR="00496A55" w:rsidRPr="00152B7E" w:rsidRDefault="00BB788D" w:rsidP="007C2BFB">
                              <w:pPr>
                                <w:jc w:val="center"/>
                                <w:rPr>
                                  <w:b/>
                                  <w:bCs/>
                                  <w:sz w:val="72"/>
                                  <w:szCs w:val="72"/>
                                </w:rPr>
                              </w:pPr>
                              <w:r>
                                <w:rPr>
                                  <w:b/>
                                  <w:bCs/>
                                  <w:sz w:val="72"/>
                                  <w:szCs w:val="72"/>
                                </w:rPr>
                                <w:t>3</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5F33A2F8" w:rsidR="004641C0" w:rsidRPr="004641C0" w:rsidRDefault="00F53412" w:rsidP="004641C0">
                                <w:pPr>
                                  <w:jc w:val="center"/>
                                  <w:rPr>
                                    <w:sz w:val="180"/>
                                    <w:szCs w:val="180"/>
                                  </w:rPr>
                                </w:pPr>
                                <w:r>
                                  <w:rPr>
                                    <w:sz w:val="180"/>
                                    <w:szCs w:val="180"/>
                                  </w:rPr>
                                  <w:t>P</w:t>
                                </w:r>
                                <w:r w:rsidR="00BB788D">
                                  <w:rPr>
                                    <w:sz w:val="180"/>
                                    <w:szCs w:val="180"/>
                                  </w:rPr>
                                  <w:t>3</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8;top:17386;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79133ED6" w:rsidR="00430FE4" w:rsidRPr="00053ED0" w:rsidRDefault="00F53412">
                            <w:pPr>
                              <w:rPr>
                                <w:sz w:val="28"/>
                                <w:szCs w:val="28"/>
                              </w:rPr>
                            </w:pPr>
                            <w:r>
                              <w:rPr>
                                <w:sz w:val="28"/>
                                <w:szCs w:val="28"/>
                              </w:rPr>
                              <w:t xml:space="preserve">Project </w:t>
                            </w:r>
                            <w:r w:rsidR="00822BCD">
                              <w:rPr>
                                <w:sz w:val="28"/>
                                <w:szCs w:val="28"/>
                              </w:rPr>
                              <w:t>3</w:t>
                            </w:r>
                            <w:r w:rsidR="00496A55">
                              <w:rPr>
                                <w:sz w:val="28"/>
                                <w:szCs w:val="28"/>
                              </w:rPr>
                              <w:t xml:space="preserve"> – </w:t>
                            </w:r>
                            <w:r w:rsidR="00BB788D" w:rsidRPr="00BB788D">
                              <w:rPr>
                                <w:sz w:val="28"/>
                                <w:szCs w:val="28"/>
                              </w:rPr>
                              <w:t>Forecasting Financial Time Series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6A9EDEA7" w:rsidR="00053ED0" w:rsidRDefault="00053ED0">
                          <w:r>
                            <w:t>On</w:t>
                          </w:r>
                          <w:r w:rsidR="007C2BFB">
                            <w:t xml:space="preserve">: </w:t>
                          </w:r>
                          <w:r w:rsidR="005E136B">
                            <w:t>March</w:t>
                          </w:r>
                          <w:r w:rsidR="005F56A1">
                            <w:t xml:space="preserve"> </w:t>
                          </w:r>
                          <w:r w:rsidR="00BB788D">
                            <w:t>13</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7880C032" w14:textId="5DD3C67F" w:rsidR="00741261" w:rsidRPr="004D1B39" w:rsidRDefault="00CB1E09" w:rsidP="005E136B">
      <w:pPr>
        <w:spacing w:line="240" w:lineRule="auto"/>
        <w:rPr>
          <w:rFonts w:cstheme="minorHAnsi"/>
          <w:sz w:val="24"/>
          <w:szCs w:val="24"/>
        </w:rPr>
      </w:pPr>
      <w:r>
        <w:rPr>
          <w:rFonts w:cstheme="minorHAnsi"/>
          <w:sz w:val="24"/>
          <w:szCs w:val="24"/>
        </w:rPr>
        <w:t>We were given historical stock data for AAPL and T</w:t>
      </w:r>
      <w:r w:rsidR="008D681C">
        <w:rPr>
          <w:rFonts w:cstheme="minorHAnsi"/>
          <w:sz w:val="24"/>
          <w:szCs w:val="24"/>
        </w:rPr>
        <w:t>S</w:t>
      </w:r>
      <w:r>
        <w:rPr>
          <w:rFonts w:cstheme="minorHAnsi"/>
          <w:sz w:val="24"/>
          <w:szCs w:val="24"/>
        </w:rPr>
        <w:t xml:space="preserve">LA for 153 days between March and October 2021 with the goal of forecasting each stock </w:t>
      </w:r>
      <w:r w:rsidR="00B13385">
        <w:rPr>
          <w:rFonts w:cstheme="minorHAnsi"/>
          <w:sz w:val="24"/>
          <w:szCs w:val="24"/>
        </w:rPr>
        <w:t xml:space="preserve">price </w:t>
      </w:r>
      <w:r>
        <w:rPr>
          <w:rFonts w:cstheme="minorHAnsi"/>
          <w:sz w:val="24"/>
          <w:szCs w:val="24"/>
        </w:rPr>
        <w:t>in the future. Not only did we create accurate short</w:t>
      </w:r>
      <w:r w:rsidR="007A79C1">
        <w:rPr>
          <w:rFonts w:cstheme="minorHAnsi"/>
          <w:sz w:val="24"/>
          <w:szCs w:val="24"/>
        </w:rPr>
        <w:t xml:space="preserve"> </w:t>
      </w:r>
      <w:r>
        <w:rPr>
          <w:rFonts w:cstheme="minorHAnsi"/>
          <w:sz w:val="24"/>
          <w:szCs w:val="24"/>
        </w:rPr>
        <w:t xml:space="preserve">term and </w:t>
      </w:r>
      <w:proofErr w:type="gramStart"/>
      <w:r>
        <w:rPr>
          <w:rFonts w:cstheme="minorHAnsi"/>
          <w:sz w:val="24"/>
          <w:szCs w:val="24"/>
        </w:rPr>
        <w:t>long</w:t>
      </w:r>
      <w:r w:rsidR="007A79C1">
        <w:rPr>
          <w:rFonts w:cstheme="minorHAnsi"/>
          <w:sz w:val="24"/>
          <w:szCs w:val="24"/>
        </w:rPr>
        <w:t xml:space="preserve"> </w:t>
      </w:r>
      <w:r>
        <w:rPr>
          <w:rFonts w:cstheme="minorHAnsi"/>
          <w:sz w:val="24"/>
          <w:szCs w:val="24"/>
        </w:rPr>
        <w:t>term</w:t>
      </w:r>
      <w:proofErr w:type="gramEnd"/>
      <w:r>
        <w:rPr>
          <w:rFonts w:cstheme="minorHAnsi"/>
          <w:sz w:val="24"/>
          <w:szCs w:val="24"/>
        </w:rPr>
        <w:t xml:space="preserve"> forecasts for each stock, but identified correlations between the two companies and between our predicted model values to ensure accuracy and be transparent about our model’s short comings. Based on our analysis, we </w:t>
      </w:r>
      <w:r w:rsidR="00B13385">
        <w:rPr>
          <w:rFonts w:cstheme="minorHAnsi"/>
          <w:sz w:val="24"/>
          <w:szCs w:val="24"/>
        </w:rPr>
        <w:t>developed</w:t>
      </w:r>
      <w:r>
        <w:rPr>
          <w:rFonts w:cstheme="minorHAnsi"/>
          <w:sz w:val="24"/>
          <w:szCs w:val="24"/>
        </w:rPr>
        <w:t xml:space="preserve"> portfolio recommendations.</w:t>
      </w:r>
    </w:p>
    <w:p w14:paraId="03E59D77" w14:textId="77777777" w:rsidR="00771DD8" w:rsidRPr="00D06437" w:rsidRDefault="00771DD8" w:rsidP="00496A55">
      <w:pPr>
        <w:spacing w:line="240" w:lineRule="auto"/>
        <w:rPr>
          <w:rFonts w:cstheme="minorHAnsi"/>
          <w:sz w:val="24"/>
          <w:szCs w:val="24"/>
        </w:rPr>
      </w:pPr>
    </w:p>
    <w:p w14:paraId="27E524E6" w14:textId="2810FC4F" w:rsidR="008B42A3" w:rsidRDefault="00C411EC"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Analysis</w:t>
      </w:r>
    </w:p>
    <w:p w14:paraId="75C0273D" w14:textId="30365580" w:rsidR="004936AA" w:rsidRPr="004936AA" w:rsidRDefault="004936AA" w:rsidP="00BB788D">
      <w:pPr>
        <w:spacing w:line="240" w:lineRule="auto"/>
        <w:rPr>
          <w:rFonts w:cstheme="minorHAnsi"/>
          <w:b/>
          <w:bCs/>
          <w:sz w:val="24"/>
          <w:szCs w:val="24"/>
        </w:rPr>
      </w:pPr>
      <w:r w:rsidRPr="004936AA">
        <w:rPr>
          <w:rFonts w:cstheme="minorHAnsi"/>
          <w:b/>
          <w:bCs/>
          <w:sz w:val="24"/>
          <w:szCs w:val="24"/>
        </w:rPr>
        <w:t>Short Term Forecasting</w:t>
      </w:r>
    </w:p>
    <w:p w14:paraId="07DB8231" w14:textId="0B706966" w:rsidR="00B60E9B" w:rsidRDefault="008D681C" w:rsidP="00BB788D">
      <w:pPr>
        <w:spacing w:line="240" w:lineRule="auto"/>
        <w:rPr>
          <w:rFonts w:cstheme="minorHAnsi"/>
          <w:sz w:val="24"/>
          <w:szCs w:val="24"/>
        </w:rPr>
      </w:pPr>
      <w:r>
        <w:rPr>
          <w:rFonts w:cstheme="minorHAnsi"/>
          <w:sz w:val="24"/>
          <w:szCs w:val="24"/>
        </w:rPr>
        <w:t>Before analyzing these time series, we plotted our data in order to detect any seasonal, irregular, or trend behaviors. Both stocks had a similar first 2 months from March to May with relative peaks in April before dipping back down in May and June</w:t>
      </w:r>
      <w:r w:rsidR="004936AA">
        <w:rPr>
          <w:rFonts w:cstheme="minorHAnsi"/>
          <w:sz w:val="24"/>
          <w:szCs w:val="24"/>
        </w:rPr>
        <w:t>. This could potentially indicate seasonality. In the summer, the stocks exhibit slightly different patterns. AAPL tends to trend slightly upward with small volatility. TSLA seems to trend upward before exploding in the fall which shows irregularity.</w:t>
      </w:r>
    </w:p>
    <w:p w14:paraId="36D9B013" w14:textId="49737D8B" w:rsidR="008D681C" w:rsidRDefault="008D681C" w:rsidP="00BB788D">
      <w:pPr>
        <w:spacing w:line="240" w:lineRule="auto"/>
        <w:rPr>
          <w:rFonts w:cstheme="minorHAnsi"/>
          <w:sz w:val="24"/>
          <w:szCs w:val="24"/>
        </w:rPr>
      </w:pPr>
      <w:r>
        <w:rPr>
          <w:noProof/>
        </w:rPr>
        <w:drawing>
          <wp:inline distT="0" distB="0" distL="0" distR="0" wp14:anchorId="6EA40E44" wp14:editId="518CF7E8">
            <wp:extent cx="5943600" cy="21932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290"/>
                    </a:xfrm>
                    <a:prstGeom prst="rect">
                      <a:avLst/>
                    </a:prstGeom>
                    <a:ln>
                      <a:solidFill>
                        <a:schemeClr val="accent1"/>
                      </a:solidFill>
                    </a:ln>
                  </pic:spPr>
                </pic:pic>
              </a:graphicData>
            </a:graphic>
          </wp:inline>
        </w:drawing>
      </w:r>
    </w:p>
    <w:p w14:paraId="08E471DC" w14:textId="3BCAB3EE" w:rsidR="001761E7" w:rsidRDefault="007D3D3B" w:rsidP="006D709A">
      <w:pPr>
        <w:spacing w:line="240" w:lineRule="auto"/>
        <w:rPr>
          <w:rFonts w:cstheme="minorHAnsi"/>
          <w:sz w:val="24"/>
          <w:szCs w:val="24"/>
        </w:rPr>
      </w:pPr>
      <w:r>
        <w:rPr>
          <w:rFonts w:cstheme="minorHAnsi"/>
          <w:sz w:val="24"/>
          <w:szCs w:val="24"/>
        </w:rPr>
        <w:t xml:space="preserve">Since we now understand the data, we created short term forecasts to predict each stock price for 10/29/2021 (day 154), which is the first day </w:t>
      </w:r>
      <w:r w:rsidR="00B13385">
        <w:rPr>
          <w:rFonts w:cstheme="minorHAnsi"/>
          <w:sz w:val="24"/>
          <w:szCs w:val="24"/>
        </w:rPr>
        <w:t xml:space="preserve">for which </w:t>
      </w:r>
      <w:r>
        <w:rPr>
          <w:rFonts w:cstheme="minorHAnsi"/>
          <w:sz w:val="24"/>
          <w:szCs w:val="24"/>
        </w:rPr>
        <w:t>we do not have data. We performed adjusted exponential smoothing with various smoothing (</w:t>
      </w:r>
      <w:r w:rsidR="00B87D26">
        <w:rPr>
          <w:rFonts w:cstheme="minorHAnsi"/>
          <w:sz w:val="24"/>
          <w:szCs w:val="24"/>
        </w:rPr>
        <w:t>α</w:t>
      </w:r>
      <w:r>
        <w:rPr>
          <w:rFonts w:cstheme="minorHAnsi"/>
          <w:sz w:val="24"/>
          <w:szCs w:val="24"/>
        </w:rPr>
        <w:t>) and trend factors (</w:t>
      </w:r>
      <w:r w:rsidR="00B87D26">
        <w:rPr>
          <w:rFonts w:cstheme="minorHAnsi"/>
          <w:sz w:val="24"/>
          <w:szCs w:val="24"/>
        </w:rPr>
        <w:t>β</w:t>
      </w:r>
      <w:r>
        <w:rPr>
          <w:rFonts w:cstheme="minorHAnsi"/>
          <w:sz w:val="24"/>
          <w:szCs w:val="24"/>
        </w:rPr>
        <w:t>)</w:t>
      </w:r>
      <w:r w:rsidR="00B87D26">
        <w:rPr>
          <w:rFonts w:cstheme="minorHAnsi"/>
          <w:sz w:val="24"/>
          <w:szCs w:val="24"/>
        </w:rPr>
        <w:t xml:space="preserve"> in order to find the forecast with the least amount of error.</w:t>
      </w:r>
      <w:r w:rsidR="001A5F60">
        <w:rPr>
          <w:rFonts w:cstheme="minorHAnsi"/>
          <w:sz w:val="24"/>
          <w:szCs w:val="24"/>
        </w:rPr>
        <w:t xml:space="preserve"> We checked high and low smoothing factors to show high or low sensitivity in price changes (higher smoothing factor allows for larger spikes). We also checked high or low trend factors to show </w:t>
      </w:r>
      <w:r w:rsidR="00AC4C22">
        <w:rPr>
          <w:rFonts w:cstheme="minorHAnsi"/>
          <w:sz w:val="24"/>
          <w:szCs w:val="24"/>
        </w:rPr>
        <w:t xml:space="preserve">lower or higher resistance to short term prices changes (higher trend factor emphasizes </w:t>
      </w:r>
      <w:r w:rsidR="00B13385">
        <w:rPr>
          <w:rFonts w:cstheme="minorHAnsi"/>
          <w:sz w:val="24"/>
          <w:szCs w:val="24"/>
        </w:rPr>
        <w:t>recent</w:t>
      </w:r>
      <w:r w:rsidR="00AC4C22">
        <w:rPr>
          <w:rFonts w:cstheme="minorHAnsi"/>
          <w:sz w:val="24"/>
          <w:szCs w:val="24"/>
        </w:rPr>
        <w:t xml:space="preserve"> values more). We tested the following combinations of smoothing and trend factors on both AAPL and TSLA stock forecasts.</w:t>
      </w:r>
    </w:p>
    <w:tbl>
      <w:tblPr>
        <w:tblStyle w:val="TableGrid"/>
        <w:tblW w:w="0" w:type="auto"/>
        <w:tblLook w:val="04A0" w:firstRow="1" w:lastRow="0" w:firstColumn="1" w:lastColumn="0" w:noHBand="0" w:noVBand="1"/>
      </w:tblPr>
      <w:tblGrid>
        <w:gridCol w:w="472"/>
        <w:gridCol w:w="640"/>
        <w:gridCol w:w="640"/>
        <w:gridCol w:w="640"/>
        <w:gridCol w:w="640"/>
      </w:tblGrid>
      <w:tr w:rsidR="00D81D9B" w14:paraId="30E641F0" w14:textId="77777777" w:rsidTr="00315788">
        <w:tc>
          <w:tcPr>
            <w:tcW w:w="472" w:type="dxa"/>
          </w:tcPr>
          <w:p w14:paraId="48AEBFF9" w14:textId="5BD4799C" w:rsidR="00D81D9B" w:rsidRPr="00315788" w:rsidRDefault="00D81D9B" w:rsidP="006D709A">
            <w:pPr>
              <w:rPr>
                <w:rFonts w:cstheme="minorHAnsi"/>
                <w:b/>
                <w:bCs/>
                <w:sz w:val="24"/>
                <w:szCs w:val="24"/>
              </w:rPr>
            </w:pPr>
            <w:r w:rsidRPr="00315788">
              <w:rPr>
                <w:rFonts w:cstheme="minorHAnsi"/>
                <w:b/>
                <w:bCs/>
                <w:sz w:val="24"/>
                <w:szCs w:val="24"/>
              </w:rPr>
              <w:t>α</w:t>
            </w:r>
          </w:p>
        </w:tc>
        <w:tc>
          <w:tcPr>
            <w:tcW w:w="640" w:type="dxa"/>
          </w:tcPr>
          <w:p w14:paraId="73078B1F" w14:textId="22A414C6" w:rsidR="00D81D9B" w:rsidRDefault="00D81D9B" w:rsidP="006D709A">
            <w:pPr>
              <w:rPr>
                <w:rFonts w:cstheme="minorHAnsi"/>
                <w:sz w:val="24"/>
                <w:szCs w:val="24"/>
              </w:rPr>
            </w:pPr>
            <w:r>
              <w:rPr>
                <w:rFonts w:cstheme="minorHAnsi"/>
                <w:sz w:val="24"/>
                <w:szCs w:val="24"/>
              </w:rPr>
              <w:t>.15</w:t>
            </w:r>
          </w:p>
        </w:tc>
        <w:tc>
          <w:tcPr>
            <w:tcW w:w="640" w:type="dxa"/>
          </w:tcPr>
          <w:p w14:paraId="03711209" w14:textId="768458E9" w:rsidR="00D81D9B" w:rsidRDefault="00D81D9B" w:rsidP="006D709A">
            <w:pPr>
              <w:rPr>
                <w:rFonts w:cstheme="minorHAnsi"/>
                <w:sz w:val="24"/>
                <w:szCs w:val="24"/>
              </w:rPr>
            </w:pPr>
            <w:r>
              <w:rPr>
                <w:rFonts w:cstheme="minorHAnsi"/>
                <w:sz w:val="24"/>
                <w:szCs w:val="24"/>
              </w:rPr>
              <w:t>.25</w:t>
            </w:r>
          </w:p>
        </w:tc>
        <w:tc>
          <w:tcPr>
            <w:tcW w:w="640" w:type="dxa"/>
          </w:tcPr>
          <w:p w14:paraId="23CD9ACB" w14:textId="4552E664" w:rsidR="00D81D9B" w:rsidRDefault="00D81D9B" w:rsidP="006D709A">
            <w:pPr>
              <w:rPr>
                <w:rFonts w:cstheme="minorHAnsi"/>
                <w:sz w:val="24"/>
                <w:szCs w:val="24"/>
              </w:rPr>
            </w:pPr>
            <w:r>
              <w:rPr>
                <w:rFonts w:cstheme="minorHAnsi"/>
                <w:sz w:val="24"/>
                <w:szCs w:val="24"/>
              </w:rPr>
              <w:t>.75</w:t>
            </w:r>
          </w:p>
        </w:tc>
        <w:tc>
          <w:tcPr>
            <w:tcW w:w="640" w:type="dxa"/>
          </w:tcPr>
          <w:p w14:paraId="21B82814" w14:textId="7246843E" w:rsidR="00D81D9B" w:rsidRDefault="00D81D9B" w:rsidP="006D709A">
            <w:pPr>
              <w:rPr>
                <w:rFonts w:cstheme="minorHAnsi"/>
                <w:sz w:val="24"/>
                <w:szCs w:val="24"/>
              </w:rPr>
            </w:pPr>
            <w:r>
              <w:rPr>
                <w:rFonts w:cstheme="minorHAnsi"/>
                <w:sz w:val="24"/>
                <w:szCs w:val="24"/>
              </w:rPr>
              <w:t>.75</w:t>
            </w:r>
          </w:p>
        </w:tc>
      </w:tr>
      <w:tr w:rsidR="00D81D9B" w14:paraId="168733A2" w14:textId="77777777" w:rsidTr="00315788">
        <w:tc>
          <w:tcPr>
            <w:tcW w:w="472" w:type="dxa"/>
          </w:tcPr>
          <w:p w14:paraId="0C7C5049" w14:textId="014A3283" w:rsidR="00D81D9B" w:rsidRPr="00315788" w:rsidRDefault="00D81D9B" w:rsidP="006D709A">
            <w:pPr>
              <w:rPr>
                <w:rFonts w:cstheme="minorHAnsi"/>
                <w:b/>
                <w:bCs/>
                <w:sz w:val="24"/>
                <w:szCs w:val="24"/>
              </w:rPr>
            </w:pPr>
            <w:r w:rsidRPr="00315788">
              <w:rPr>
                <w:rFonts w:cstheme="minorHAnsi"/>
                <w:b/>
                <w:bCs/>
                <w:sz w:val="24"/>
                <w:szCs w:val="24"/>
              </w:rPr>
              <w:t>β</w:t>
            </w:r>
          </w:p>
        </w:tc>
        <w:tc>
          <w:tcPr>
            <w:tcW w:w="640" w:type="dxa"/>
          </w:tcPr>
          <w:p w14:paraId="1820A78F" w14:textId="64180465" w:rsidR="00D81D9B" w:rsidRDefault="00D81D9B" w:rsidP="006D709A">
            <w:pPr>
              <w:rPr>
                <w:rFonts w:cstheme="minorHAnsi"/>
                <w:sz w:val="24"/>
                <w:szCs w:val="24"/>
              </w:rPr>
            </w:pPr>
            <w:r>
              <w:rPr>
                <w:rFonts w:cstheme="minorHAnsi"/>
                <w:sz w:val="24"/>
                <w:szCs w:val="24"/>
              </w:rPr>
              <w:t>.15</w:t>
            </w:r>
          </w:p>
        </w:tc>
        <w:tc>
          <w:tcPr>
            <w:tcW w:w="640" w:type="dxa"/>
          </w:tcPr>
          <w:p w14:paraId="37C8E4C7" w14:textId="4F20A936" w:rsidR="00D81D9B" w:rsidRDefault="00D81D9B" w:rsidP="006D709A">
            <w:pPr>
              <w:rPr>
                <w:rFonts w:cstheme="minorHAnsi"/>
                <w:sz w:val="24"/>
                <w:szCs w:val="24"/>
              </w:rPr>
            </w:pPr>
            <w:r>
              <w:rPr>
                <w:rFonts w:cstheme="minorHAnsi"/>
                <w:sz w:val="24"/>
                <w:szCs w:val="24"/>
              </w:rPr>
              <w:t>.75</w:t>
            </w:r>
          </w:p>
        </w:tc>
        <w:tc>
          <w:tcPr>
            <w:tcW w:w="640" w:type="dxa"/>
          </w:tcPr>
          <w:p w14:paraId="30FD793D" w14:textId="3BC10B2D" w:rsidR="00D81D9B" w:rsidRDefault="00D81D9B" w:rsidP="006D709A">
            <w:pPr>
              <w:rPr>
                <w:rFonts w:cstheme="minorHAnsi"/>
                <w:sz w:val="24"/>
                <w:szCs w:val="24"/>
              </w:rPr>
            </w:pPr>
            <w:r>
              <w:rPr>
                <w:rFonts w:cstheme="minorHAnsi"/>
                <w:sz w:val="24"/>
                <w:szCs w:val="24"/>
              </w:rPr>
              <w:t>.25</w:t>
            </w:r>
          </w:p>
        </w:tc>
        <w:tc>
          <w:tcPr>
            <w:tcW w:w="640" w:type="dxa"/>
          </w:tcPr>
          <w:p w14:paraId="0720F5ED" w14:textId="0EA4E082" w:rsidR="00D81D9B" w:rsidRDefault="00D81D9B" w:rsidP="006D709A">
            <w:pPr>
              <w:rPr>
                <w:rFonts w:cstheme="minorHAnsi"/>
                <w:sz w:val="24"/>
                <w:szCs w:val="24"/>
              </w:rPr>
            </w:pPr>
            <w:r>
              <w:rPr>
                <w:rFonts w:cstheme="minorHAnsi"/>
                <w:sz w:val="24"/>
                <w:szCs w:val="24"/>
              </w:rPr>
              <w:t>.75</w:t>
            </w:r>
          </w:p>
        </w:tc>
      </w:tr>
    </w:tbl>
    <w:p w14:paraId="337A0701" w14:textId="232F55FB" w:rsidR="00AC4C22" w:rsidRDefault="00AC4C22" w:rsidP="006D709A">
      <w:pPr>
        <w:spacing w:line="240" w:lineRule="auto"/>
        <w:rPr>
          <w:rFonts w:cstheme="minorHAnsi"/>
          <w:sz w:val="24"/>
          <w:szCs w:val="24"/>
        </w:rPr>
      </w:pPr>
    </w:p>
    <w:p w14:paraId="151C6B46" w14:textId="5CAD3FE2" w:rsidR="00F501EA" w:rsidRDefault="000A1D5A" w:rsidP="006D709A">
      <w:pPr>
        <w:spacing w:line="240" w:lineRule="auto"/>
        <w:rPr>
          <w:rFonts w:cstheme="minorHAnsi"/>
          <w:sz w:val="24"/>
          <w:szCs w:val="24"/>
        </w:rPr>
      </w:pPr>
      <w:r>
        <w:rPr>
          <w:rFonts w:cstheme="minorHAnsi"/>
          <w:sz w:val="24"/>
          <w:szCs w:val="24"/>
        </w:rPr>
        <w:lastRenderedPageBreak/>
        <w:t xml:space="preserve">After running 8 forecasts (4 combinations of α and β for both stocks), we calculated the Mean Absolute Percent Error </w:t>
      </w:r>
      <w:r w:rsidR="009521E4">
        <w:rPr>
          <w:rFonts w:cstheme="minorHAnsi"/>
          <w:sz w:val="24"/>
          <w:szCs w:val="24"/>
        </w:rPr>
        <w:t xml:space="preserve">(MAPE) </w:t>
      </w:r>
      <w:r>
        <w:rPr>
          <w:rFonts w:cstheme="minorHAnsi"/>
          <w:sz w:val="24"/>
          <w:szCs w:val="24"/>
        </w:rPr>
        <w:t>of each forecast to see how far each forecast deviated from their actual values.</w:t>
      </w:r>
    </w:p>
    <w:tbl>
      <w:tblPr>
        <w:tblStyle w:val="TableGrid"/>
        <w:tblW w:w="0" w:type="auto"/>
        <w:tblLook w:val="04A0" w:firstRow="1" w:lastRow="0" w:firstColumn="1" w:lastColumn="0" w:noHBand="0" w:noVBand="1"/>
      </w:tblPr>
      <w:tblGrid>
        <w:gridCol w:w="839"/>
        <w:gridCol w:w="811"/>
        <w:gridCol w:w="811"/>
        <w:gridCol w:w="811"/>
        <w:gridCol w:w="811"/>
      </w:tblGrid>
      <w:tr w:rsidR="00F501EA" w14:paraId="642A2CB5" w14:textId="77777777" w:rsidTr="00452A72">
        <w:tc>
          <w:tcPr>
            <w:tcW w:w="839" w:type="dxa"/>
          </w:tcPr>
          <w:p w14:paraId="00A10323" w14:textId="72A2BBBB" w:rsidR="00F501EA" w:rsidRPr="00452A72" w:rsidRDefault="00F501EA" w:rsidP="006D709A">
            <w:pPr>
              <w:rPr>
                <w:rFonts w:cstheme="minorHAnsi"/>
                <w:b/>
                <w:bCs/>
                <w:sz w:val="24"/>
                <w:szCs w:val="24"/>
              </w:rPr>
            </w:pPr>
            <w:r w:rsidRPr="00452A72">
              <w:rPr>
                <w:rFonts w:cstheme="minorHAnsi"/>
                <w:b/>
                <w:bCs/>
                <w:sz w:val="24"/>
                <w:szCs w:val="24"/>
              </w:rPr>
              <w:t>AAPL</w:t>
            </w:r>
          </w:p>
        </w:tc>
        <w:tc>
          <w:tcPr>
            <w:tcW w:w="811" w:type="dxa"/>
          </w:tcPr>
          <w:p w14:paraId="3C01FB54" w14:textId="7DF3F55B" w:rsidR="00F501EA" w:rsidRDefault="009C4ED7" w:rsidP="006D709A">
            <w:pPr>
              <w:rPr>
                <w:rFonts w:cstheme="minorHAnsi"/>
                <w:sz w:val="24"/>
                <w:szCs w:val="24"/>
              </w:rPr>
            </w:pPr>
            <w:r>
              <w:rPr>
                <w:rFonts w:cstheme="minorHAnsi"/>
                <w:sz w:val="24"/>
                <w:szCs w:val="24"/>
              </w:rPr>
              <w:t>1.9%</w:t>
            </w:r>
          </w:p>
        </w:tc>
        <w:tc>
          <w:tcPr>
            <w:tcW w:w="811" w:type="dxa"/>
          </w:tcPr>
          <w:p w14:paraId="3313A666" w14:textId="4ED51507" w:rsidR="00F501EA" w:rsidRDefault="009C4ED7" w:rsidP="006D709A">
            <w:pPr>
              <w:rPr>
                <w:rFonts w:cstheme="minorHAnsi"/>
                <w:sz w:val="24"/>
                <w:szCs w:val="24"/>
              </w:rPr>
            </w:pPr>
            <w:r>
              <w:rPr>
                <w:rFonts w:cstheme="minorHAnsi"/>
                <w:sz w:val="24"/>
                <w:szCs w:val="24"/>
              </w:rPr>
              <w:t>1.3%</w:t>
            </w:r>
          </w:p>
        </w:tc>
        <w:tc>
          <w:tcPr>
            <w:tcW w:w="811" w:type="dxa"/>
          </w:tcPr>
          <w:p w14:paraId="13E3770A" w14:textId="76C3D0EF" w:rsidR="00F501EA" w:rsidRPr="00A943DA" w:rsidRDefault="009C4ED7" w:rsidP="006D709A">
            <w:pPr>
              <w:rPr>
                <w:rFonts w:cstheme="minorHAnsi"/>
                <w:i/>
                <w:iCs/>
                <w:color w:val="2F5496" w:themeColor="accent1" w:themeShade="BF"/>
                <w:sz w:val="24"/>
                <w:szCs w:val="24"/>
              </w:rPr>
            </w:pPr>
            <w:r w:rsidRPr="00A943DA">
              <w:rPr>
                <w:rFonts w:cstheme="minorHAnsi"/>
                <w:i/>
                <w:iCs/>
                <w:color w:val="2F5496" w:themeColor="accent1" w:themeShade="BF"/>
                <w:sz w:val="24"/>
                <w:szCs w:val="24"/>
              </w:rPr>
              <w:t>1.0%</w:t>
            </w:r>
          </w:p>
        </w:tc>
        <w:tc>
          <w:tcPr>
            <w:tcW w:w="811" w:type="dxa"/>
          </w:tcPr>
          <w:p w14:paraId="185A8843" w14:textId="1DC790B8" w:rsidR="00F501EA" w:rsidRDefault="009C4ED7" w:rsidP="006D709A">
            <w:pPr>
              <w:rPr>
                <w:rFonts w:cstheme="minorHAnsi"/>
                <w:sz w:val="24"/>
                <w:szCs w:val="24"/>
              </w:rPr>
            </w:pPr>
            <w:r>
              <w:rPr>
                <w:rFonts w:cstheme="minorHAnsi"/>
                <w:sz w:val="24"/>
                <w:szCs w:val="24"/>
              </w:rPr>
              <w:t>1.1%</w:t>
            </w:r>
          </w:p>
        </w:tc>
      </w:tr>
      <w:tr w:rsidR="00F501EA" w14:paraId="1FB49805" w14:textId="77777777" w:rsidTr="00452A72">
        <w:tc>
          <w:tcPr>
            <w:tcW w:w="839" w:type="dxa"/>
          </w:tcPr>
          <w:p w14:paraId="410208B3" w14:textId="758F5F6E" w:rsidR="00F501EA" w:rsidRPr="00452A72" w:rsidRDefault="00F501EA" w:rsidP="006D709A">
            <w:pPr>
              <w:rPr>
                <w:rFonts w:cstheme="minorHAnsi"/>
                <w:b/>
                <w:bCs/>
                <w:sz w:val="24"/>
                <w:szCs w:val="24"/>
              </w:rPr>
            </w:pPr>
            <w:r w:rsidRPr="00452A72">
              <w:rPr>
                <w:rFonts w:cstheme="minorHAnsi"/>
                <w:b/>
                <w:bCs/>
                <w:sz w:val="24"/>
                <w:szCs w:val="24"/>
              </w:rPr>
              <w:t>TSLA</w:t>
            </w:r>
          </w:p>
        </w:tc>
        <w:tc>
          <w:tcPr>
            <w:tcW w:w="811" w:type="dxa"/>
          </w:tcPr>
          <w:p w14:paraId="061498EB" w14:textId="06FB6AA3" w:rsidR="00F501EA" w:rsidRDefault="009C4ED7" w:rsidP="006D709A">
            <w:pPr>
              <w:rPr>
                <w:rFonts w:cstheme="minorHAnsi"/>
                <w:sz w:val="24"/>
                <w:szCs w:val="24"/>
              </w:rPr>
            </w:pPr>
            <w:r>
              <w:rPr>
                <w:rFonts w:cstheme="minorHAnsi"/>
                <w:sz w:val="24"/>
                <w:szCs w:val="24"/>
              </w:rPr>
              <w:t>3.6%</w:t>
            </w:r>
          </w:p>
        </w:tc>
        <w:tc>
          <w:tcPr>
            <w:tcW w:w="811" w:type="dxa"/>
          </w:tcPr>
          <w:p w14:paraId="5F3B1356" w14:textId="1809E64F" w:rsidR="00F501EA" w:rsidRDefault="009C4ED7" w:rsidP="006D709A">
            <w:pPr>
              <w:rPr>
                <w:rFonts w:cstheme="minorHAnsi"/>
                <w:sz w:val="24"/>
                <w:szCs w:val="24"/>
              </w:rPr>
            </w:pPr>
            <w:r>
              <w:rPr>
                <w:rFonts w:cstheme="minorHAnsi"/>
                <w:sz w:val="24"/>
                <w:szCs w:val="24"/>
              </w:rPr>
              <w:t>2.5%</w:t>
            </w:r>
          </w:p>
        </w:tc>
        <w:tc>
          <w:tcPr>
            <w:tcW w:w="811" w:type="dxa"/>
          </w:tcPr>
          <w:p w14:paraId="7861AB45" w14:textId="29DC3D38" w:rsidR="00F501EA" w:rsidRPr="00A943DA" w:rsidRDefault="009C4ED7" w:rsidP="006D709A">
            <w:pPr>
              <w:rPr>
                <w:rFonts w:cstheme="minorHAnsi"/>
                <w:i/>
                <w:iCs/>
                <w:color w:val="2F5496" w:themeColor="accent1" w:themeShade="BF"/>
                <w:sz w:val="24"/>
                <w:szCs w:val="24"/>
              </w:rPr>
            </w:pPr>
            <w:r w:rsidRPr="00A943DA">
              <w:rPr>
                <w:rFonts w:cstheme="minorHAnsi"/>
                <w:i/>
                <w:iCs/>
                <w:color w:val="2F5496" w:themeColor="accent1" w:themeShade="BF"/>
                <w:sz w:val="24"/>
                <w:szCs w:val="24"/>
              </w:rPr>
              <w:t>1.9%</w:t>
            </w:r>
          </w:p>
        </w:tc>
        <w:tc>
          <w:tcPr>
            <w:tcW w:w="811" w:type="dxa"/>
          </w:tcPr>
          <w:p w14:paraId="55F47EE2" w14:textId="756A8EA5" w:rsidR="00F501EA" w:rsidRDefault="009C4ED7" w:rsidP="006D709A">
            <w:pPr>
              <w:rPr>
                <w:rFonts w:cstheme="minorHAnsi"/>
                <w:sz w:val="24"/>
                <w:szCs w:val="24"/>
              </w:rPr>
            </w:pPr>
            <w:r>
              <w:rPr>
                <w:rFonts w:cstheme="minorHAnsi"/>
                <w:sz w:val="24"/>
                <w:szCs w:val="24"/>
              </w:rPr>
              <w:t>2.4%</w:t>
            </w:r>
          </w:p>
        </w:tc>
      </w:tr>
    </w:tbl>
    <w:p w14:paraId="2AEE6986" w14:textId="25C96D11" w:rsidR="00F501EA" w:rsidRDefault="00F501EA" w:rsidP="006D709A">
      <w:pPr>
        <w:spacing w:line="240" w:lineRule="auto"/>
        <w:rPr>
          <w:rFonts w:cstheme="minorHAnsi"/>
          <w:sz w:val="24"/>
          <w:szCs w:val="24"/>
        </w:rPr>
      </w:pPr>
    </w:p>
    <w:p w14:paraId="3B69DF19" w14:textId="4C28DD0F" w:rsidR="000A1D5A" w:rsidRDefault="000A1D5A" w:rsidP="006D709A">
      <w:pPr>
        <w:spacing w:line="240" w:lineRule="auto"/>
        <w:rPr>
          <w:rFonts w:cstheme="minorHAnsi"/>
          <w:sz w:val="24"/>
          <w:szCs w:val="24"/>
        </w:rPr>
      </w:pPr>
      <w:r>
        <w:rPr>
          <w:rFonts w:cstheme="minorHAnsi"/>
          <w:sz w:val="24"/>
          <w:szCs w:val="24"/>
        </w:rPr>
        <w:t>From the table above, we determined that an α of .75 and a β of .25 created the most accurate forecast since that combination yielded the lowest percent error for both stocks.</w:t>
      </w:r>
      <w:r w:rsidR="004E445E">
        <w:rPr>
          <w:rFonts w:cstheme="minorHAnsi"/>
          <w:sz w:val="24"/>
          <w:szCs w:val="24"/>
        </w:rPr>
        <w:t xml:space="preserve"> The high alpha of .75 makes sense because our historical data indicated many day-to-day changes and our forecast would need to account for these daily peaks and troughs. The stock market is naturally volatile on a day-to-day basis no matter which stock is analyzed. On the flip side, a low beta of .25 also makes sense because we don’t want the trend of the data to overpower the natural day-to-day volatility. However, we can still see over a long enough period of time that all of the volatility averages out and leads to a general uptrend, which is why we still need to</w:t>
      </w:r>
      <w:r w:rsidR="00CD1D4A">
        <w:rPr>
          <w:rFonts w:cstheme="minorHAnsi"/>
          <w:sz w:val="24"/>
          <w:szCs w:val="24"/>
        </w:rPr>
        <w:t>, at least a little bit,</w:t>
      </w:r>
      <w:r w:rsidR="004E445E">
        <w:rPr>
          <w:rFonts w:cstheme="minorHAnsi"/>
          <w:sz w:val="24"/>
          <w:szCs w:val="24"/>
        </w:rPr>
        <w:t xml:space="preserve"> account </w:t>
      </w:r>
      <w:r w:rsidR="00CD1D4A">
        <w:rPr>
          <w:rFonts w:cstheme="minorHAnsi"/>
          <w:sz w:val="24"/>
          <w:szCs w:val="24"/>
        </w:rPr>
        <w:t>for</w:t>
      </w:r>
      <w:r w:rsidR="004E445E">
        <w:rPr>
          <w:rFonts w:cstheme="minorHAnsi"/>
          <w:sz w:val="24"/>
          <w:szCs w:val="24"/>
        </w:rPr>
        <w:t xml:space="preserve"> that</w:t>
      </w:r>
      <w:r w:rsidR="009521E4">
        <w:rPr>
          <w:rFonts w:cstheme="minorHAnsi"/>
          <w:sz w:val="24"/>
          <w:szCs w:val="24"/>
        </w:rPr>
        <w:t>. With more time or more advanced excel functions, we could test every possible combination of smoothing and trend factors and optimize the values to yield the absolute possible lowest MAPE.</w:t>
      </w:r>
    </w:p>
    <w:p w14:paraId="0F9846E2" w14:textId="71D09671" w:rsidR="00A943DA" w:rsidRDefault="009521E4" w:rsidP="006D709A">
      <w:pPr>
        <w:spacing w:line="240" w:lineRule="auto"/>
        <w:rPr>
          <w:rFonts w:cstheme="minorHAnsi"/>
          <w:sz w:val="24"/>
          <w:szCs w:val="24"/>
        </w:rPr>
      </w:pPr>
      <w:r>
        <w:rPr>
          <w:rFonts w:cstheme="minorHAnsi"/>
          <w:sz w:val="24"/>
          <w:szCs w:val="24"/>
        </w:rPr>
        <w:t xml:space="preserve">Using our most accurate </w:t>
      </w:r>
      <w:proofErr w:type="gramStart"/>
      <w:r>
        <w:rPr>
          <w:rFonts w:cstheme="minorHAnsi"/>
          <w:sz w:val="24"/>
          <w:szCs w:val="24"/>
        </w:rPr>
        <w:t>short</w:t>
      </w:r>
      <w:r w:rsidR="007A79C1">
        <w:rPr>
          <w:rFonts w:cstheme="minorHAnsi"/>
          <w:sz w:val="24"/>
          <w:szCs w:val="24"/>
        </w:rPr>
        <w:t xml:space="preserve"> </w:t>
      </w:r>
      <w:r>
        <w:rPr>
          <w:rFonts w:cstheme="minorHAnsi"/>
          <w:sz w:val="24"/>
          <w:szCs w:val="24"/>
        </w:rPr>
        <w:t>term</w:t>
      </w:r>
      <w:proofErr w:type="gramEnd"/>
      <w:r>
        <w:rPr>
          <w:rFonts w:cstheme="minorHAnsi"/>
          <w:sz w:val="24"/>
          <w:szCs w:val="24"/>
        </w:rPr>
        <w:t xml:space="preserve"> forecast, we can predict an AAPL price of $152.52 ±1% and a TSLA price of $1,093.89 ±1.9%</w:t>
      </w:r>
      <w:r w:rsidR="007A79C1">
        <w:rPr>
          <w:rFonts w:cstheme="minorHAnsi"/>
          <w:sz w:val="24"/>
          <w:szCs w:val="24"/>
        </w:rPr>
        <w:t>.</w:t>
      </w:r>
    </w:p>
    <w:p w14:paraId="6A286A54" w14:textId="77777777" w:rsidR="00B825D7" w:rsidRDefault="00B825D7" w:rsidP="006D709A">
      <w:pPr>
        <w:spacing w:line="240" w:lineRule="auto"/>
        <w:rPr>
          <w:rFonts w:cstheme="minorHAnsi"/>
          <w:sz w:val="24"/>
          <w:szCs w:val="24"/>
        </w:rPr>
      </w:pPr>
    </w:p>
    <w:p w14:paraId="55466229" w14:textId="4BAA20B5" w:rsidR="007A79C1" w:rsidRPr="004936AA" w:rsidRDefault="007A79C1" w:rsidP="007A79C1">
      <w:pPr>
        <w:spacing w:line="240" w:lineRule="auto"/>
        <w:rPr>
          <w:rFonts w:cstheme="minorHAnsi"/>
          <w:b/>
          <w:bCs/>
          <w:sz w:val="24"/>
          <w:szCs w:val="24"/>
        </w:rPr>
      </w:pPr>
      <w:r>
        <w:rPr>
          <w:rFonts w:cstheme="minorHAnsi"/>
          <w:b/>
          <w:bCs/>
          <w:sz w:val="24"/>
          <w:szCs w:val="24"/>
        </w:rPr>
        <w:t>Long</w:t>
      </w:r>
      <w:r w:rsidRPr="004936AA">
        <w:rPr>
          <w:rFonts w:cstheme="minorHAnsi"/>
          <w:b/>
          <w:bCs/>
          <w:sz w:val="24"/>
          <w:szCs w:val="24"/>
        </w:rPr>
        <w:t xml:space="preserve"> Term Forecasting</w:t>
      </w:r>
    </w:p>
    <w:p w14:paraId="18891D29" w14:textId="47E03650" w:rsidR="007D3D3B" w:rsidRDefault="00234989" w:rsidP="006D709A">
      <w:pPr>
        <w:spacing w:line="240" w:lineRule="auto"/>
        <w:rPr>
          <w:rFonts w:cstheme="minorHAnsi"/>
          <w:sz w:val="24"/>
          <w:szCs w:val="24"/>
        </w:rPr>
      </w:pPr>
      <w:r>
        <w:rPr>
          <w:rFonts w:cstheme="minorHAnsi"/>
          <w:sz w:val="24"/>
          <w:szCs w:val="24"/>
        </w:rPr>
        <w:t xml:space="preserve">Even though </w:t>
      </w:r>
      <w:proofErr w:type="gramStart"/>
      <w:r>
        <w:rPr>
          <w:rFonts w:cstheme="minorHAnsi"/>
          <w:sz w:val="24"/>
          <w:szCs w:val="24"/>
        </w:rPr>
        <w:t>short term</w:t>
      </w:r>
      <w:proofErr w:type="gramEnd"/>
      <w:r>
        <w:rPr>
          <w:rFonts w:cstheme="minorHAnsi"/>
          <w:sz w:val="24"/>
          <w:szCs w:val="24"/>
        </w:rPr>
        <w:t xml:space="preserve"> forecasting is very useful, it is hard to make financial decisions using only a forecast of the next day’s prices. To enhance our portfolio evaluation, we created long term </w:t>
      </w:r>
      <w:r w:rsidR="00F22035">
        <w:rPr>
          <w:rFonts w:cstheme="minorHAnsi"/>
          <w:sz w:val="24"/>
          <w:szCs w:val="24"/>
        </w:rPr>
        <w:t xml:space="preserve">linear </w:t>
      </w:r>
      <w:r>
        <w:rPr>
          <w:rFonts w:cstheme="minorHAnsi"/>
          <w:sz w:val="24"/>
          <w:szCs w:val="24"/>
        </w:rPr>
        <w:t>forecasts for AAPL and TSLA by forecasting out to</w:t>
      </w:r>
      <w:r w:rsidR="00737D7B">
        <w:rPr>
          <w:rFonts w:cstheme="minorHAnsi"/>
          <w:sz w:val="24"/>
          <w:szCs w:val="24"/>
        </w:rPr>
        <w:t xml:space="preserve"> 11/4/2021 </w:t>
      </w:r>
      <w:r>
        <w:rPr>
          <w:rFonts w:cstheme="minorHAnsi"/>
          <w:sz w:val="24"/>
          <w:szCs w:val="24"/>
        </w:rPr>
        <w:t xml:space="preserve">(period 160). To ensure our forecast is accurate, we started our forecast back </w:t>
      </w:r>
      <w:r w:rsidR="00737D7B">
        <w:rPr>
          <w:rFonts w:cstheme="minorHAnsi"/>
          <w:sz w:val="24"/>
          <w:szCs w:val="24"/>
        </w:rPr>
        <w:t>at</w:t>
      </w:r>
      <w:r>
        <w:rPr>
          <w:rFonts w:cstheme="minorHAnsi"/>
          <w:sz w:val="24"/>
          <w:szCs w:val="24"/>
        </w:rPr>
        <w:t xml:space="preserve"> </w:t>
      </w:r>
      <w:r w:rsidR="00737D7B">
        <w:rPr>
          <w:rFonts w:cstheme="minorHAnsi"/>
          <w:sz w:val="24"/>
          <w:szCs w:val="24"/>
        </w:rPr>
        <w:t>8/16/2021</w:t>
      </w:r>
      <w:r>
        <w:rPr>
          <w:rFonts w:cstheme="minorHAnsi"/>
          <w:sz w:val="24"/>
          <w:szCs w:val="24"/>
        </w:rPr>
        <w:t xml:space="preserve"> (period 101</w:t>
      </w:r>
      <w:r w:rsidR="00737D7B">
        <w:rPr>
          <w:rFonts w:cstheme="minorHAnsi"/>
          <w:sz w:val="24"/>
          <w:szCs w:val="24"/>
        </w:rPr>
        <w:t>) despite having actual data</w:t>
      </w:r>
      <w:r w:rsidR="00F22035">
        <w:rPr>
          <w:rFonts w:cstheme="minorHAnsi"/>
          <w:sz w:val="24"/>
          <w:szCs w:val="24"/>
        </w:rPr>
        <w:t xml:space="preserve"> for those dates.</w:t>
      </w:r>
      <w:r w:rsidR="00C828C3">
        <w:rPr>
          <w:rFonts w:cstheme="minorHAnsi"/>
          <w:sz w:val="24"/>
          <w:szCs w:val="24"/>
        </w:rPr>
        <w:t xml:space="preserve"> Using an alpha of .75, we created these linear long term forecasts which project AAPL to be $143.30 ±1.4% and TSLA to be $921.47 ±2.5% on 11/4/2021.</w:t>
      </w:r>
    </w:p>
    <w:p w14:paraId="36DB209A" w14:textId="2B840D55" w:rsidR="00C828C3" w:rsidRDefault="00C828C3" w:rsidP="006D709A">
      <w:pPr>
        <w:spacing w:line="240" w:lineRule="auto"/>
        <w:rPr>
          <w:rFonts w:cstheme="minorHAnsi"/>
          <w:sz w:val="24"/>
          <w:szCs w:val="24"/>
        </w:rPr>
      </w:pPr>
      <w:r>
        <w:rPr>
          <w:noProof/>
        </w:rPr>
        <w:drawing>
          <wp:inline distT="0" distB="0" distL="0" distR="0" wp14:anchorId="66ACF7BF" wp14:editId="283909B6">
            <wp:extent cx="5943600" cy="22091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9165"/>
                    </a:xfrm>
                    <a:prstGeom prst="rect">
                      <a:avLst/>
                    </a:prstGeom>
                    <a:ln>
                      <a:solidFill>
                        <a:schemeClr val="accent1"/>
                      </a:solidFill>
                    </a:ln>
                  </pic:spPr>
                </pic:pic>
              </a:graphicData>
            </a:graphic>
          </wp:inline>
        </w:drawing>
      </w:r>
    </w:p>
    <w:p w14:paraId="25C5FF64" w14:textId="37DD2E33" w:rsidR="007A79C1" w:rsidRDefault="008523A2" w:rsidP="008523A2">
      <w:pPr>
        <w:spacing w:line="240" w:lineRule="auto"/>
        <w:rPr>
          <w:rFonts w:cstheme="minorHAnsi"/>
          <w:sz w:val="24"/>
          <w:szCs w:val="24"/>
        </w:rPr>
      </w:pPr>
      <w:r>
        <w:rPr>
          <w:rFonts w:cstheme="minorHAnsi"/>
          <w:sz w:val="24"/>
          <w:szCs w:val="24"/>
        </w:rPr>
        <w:lastRenderedPageBreak/>
        <w:t xml:space="preserve">Our Mean Absolute Percent Errors for each forecast are 1.4% for AAPL and 2.5% for TSLA. Since TSLA’s price is larger than AAPL’s, we naturally expected a larger error. Compared to our </w:t>
      </w:r>
      <w:proofErr w:type="gramStart"/>
      <w:r>
        <w:rPr>
          <w:rFonts w:cstheme="minorHAnsi"/>
          <w:sz w:val="24"/>
          <w:szCs w:val="24"/>
        </w:rPr>
        <w:t>short term</w:t>
      </w:r>
      <w:proofErr w:type="gramEnd"/>
      <w:r>
        <w:rPr>
          <w:rFonts w:cstheme="minorHAnsi"/>
          <w:sz w:val="24"/>
          <w:szCs w:val="24"/>
        </w:rPr>
        <w:t xml:space="preserve"> forecast errors (1.0% and 1.9%), we have larger errors for the long term forecast. Again, this was expected because as time increases, uncertainty increases. Even though our linear forecast seems to have the actual data bounce around it, we miss the day-to-day accuracy in favor of</w:t>
      </w:r>
      <w:r w:rsidR="00CD1D4A">
        <w:rPr>
          <w:rFonts w:cstheme="minorHAnsi"/>
          <w:sz w:val="24"/>
          <w:szCs w:val="24"/>
        </w:rPr>
        <w:t xml:space="preserve"> the</w:t>
      </w:r>
      <w:r>
        <w:rPr>
          <w:rFonts w:cstheme="minorHAnsi"/>
          <w:sz w:val="24"/>
          <w:szCs w:val="24"/>
        </w:rPr>
        <w:t xml:space="preserve"> </w:t>
      </w:r>
      <w:proofErr w:type="gramStart"/>
      <w:r>
        <w:rPr>
          <w:rFonts w:cstheme="minorHAnsi"/>
          <w:sz w:val="24"/>
          <w:szCs w:val="24"/>
        </w:rPr>
        <w:t>longer term</w:t>
      </w:r>
      <w:proofErr w:type="gramEnd"/>
      <w:r>
        <w:rPr>
          <w:rFonts w:cstheme="minorHAnsi"/>
          <w:sz w:val="24"/>
          <w:szCs w:val="24"/>
        </w:rPr>
        <w:t xml:space="preserve"> </w:t>
      </w:r>
      <w:r w:rsidR="00CD1D4A">
        <w:rPr>
          <w:rFonts w:cstheme="minorHAnsi"/>
          <w:sz w:val="24"/>
          <w:szCs w:val="24"/>
        </w:rPr>
        <w:t>trend</w:t>
      </w:r>
      <w:r>
        <w:rPr>
          <w:rFonts w:cstheme="minorHAnsi"/>
          <w:sz w:val="24"/>
          <w:szCs w:val="24"/>
        </w:rPr>
        <w:t>.</w:t>
      </w:r>
    </w:p>
    <w:p w14:paraId="2A229586" w14:textId="0BCEF359" w:rsidR="007A79C1" w:rsidRDefault="007A79C1" w:rsidP="006D709A">
      <w:pPr>
        <w:spacing w:line="240" w:lineRule="auto"/>
        <w:rPr>
          <w:rFonts w:cstheme="minorHAnsi"/>
          <w:sz w:val="24"/>
          <w:szCs w:val="24"/>
        </w:rPr>
      </w:pPr>
    </w:p>
    <w:p w14:paraId="0AB24530" w14:textId="38EA7B60" w:rsidR="00C157F3" w:rsidRPr="004936AA" w:rsidRDefault="00C157F3" w:rsidP="00C157F3">
      <w:pPr>
        <w:spacing w:line="240" w:lineRule="auto"/>
        <w:rPr>
          <w:rFonts w:cstheme="minorHAnsi"/>
          <w:b/>
          <w:bCs/>
          <w:sz w:val="24"/>
          <w:szCs w:val="24"/>
        </w:rPr>
      </w:pPr>
      <w:r>
        <w:rPr>
          <w:rFonts w:cstheme="minorHAnsi"/>
          <w:b/>
          <w:bCs/>
          <w:sz w:val="24"/>
          <w:szCs w:val="24"/>
        </w:rPr>
        <w:t>Regression</w:t>
      </w:r>
    </w:p>
    <w:p w14:paraId="1D5A639E" w14:textId="348082DC" w:rsidR="007A79C1" w:rsidRDefault="00C157F3" w:rsidP="006D709A">
      <w:pPr>
        <w:spacing w:line="240" w:lineRule="auto"/>
        <w:rPr>
          <w:rFonts w:cstheme="minorHAnsi"/>
          <w:sz w:val="24"/>
          <w:szCs w:val="24"/>
        </w:rPr>
      </w:pPr>
      <w:r>
        <w:rPr>
          <w:rFonts w:cstheme="minorHAnsi"/>
          <w:sz w:val="24"/>
          <w:szCs w:val="24"/>
        </w:rPr>
        <w:t>Diving deeper into our portfolio evaluation, we used regression techniques in or</w:t>
      </w:r>
      <w:r w:rsidR="00D163E7">
        <w:rPr>
          <w:rFonts w:cstheme="minorHAnsi"/>
          <w:sz w:val="24"/>
          <w:szCs w:val="24"/>
        </w:rPr>
        <w:t>der to see if we were able to predict TSLA (y) prices given certain AAPL (x) prices as well as identify any correlations between these stocks. In particular, they seemed to be very similar in October</w:t>
      </w:r>
      <w:r w:rsidR="00CD1D4A">
        <w:rPr>
          <w:rFonts w:cstheme="minorHAnsi"/>
          <w:sz w:val="24"/>
          <w:szCs w:val="24"/>
        </w:rPr>
        <w:t>. S</w:t>
      </w:r>
      <w:r w:rsidR="00D163E7">
        <w:rPr>
          <w:rFonts w:cstheme="minorHAnsi"/>
          <w:sz w:val="24"/>
          <w:szCs w:val="24"/>
        </w:rPr>
        <w:t>o</w:t>
      </w:r>
      <w:r w:rsidR="00CD1D4A">
        <w:rPr>
          <w:rFonts w:cstheme="minorHAnsi"/>
          <w:sz w:val="24"/>
          <w:szCs w:val="24"/>
        </w:rPr>
        <w:t>,</w:t>
      </w:r>
      <w:r w:rsidR="00D163E7">
        <w:rPr>
          <w:rFonts w:cstheme="minorHAnsi"/>
          <w:sz w:val="24"/>
          <w:szCs w:val="24"/>
        </w:rPr>
        <w:t xml:space="preserve"> we calculated the correlation between them and plotted their prices for periods 138 – 153.</w:t>
      </w:r>
    </w:p>
    <w:p w14:paraId="03E1A4F6" w14:textId="28054DFC" w:rsidR="007A79C1" w:rsidRDefault="00F31958" w:rsidP="006D709A">
      <w:pPr>
        <w:spacing w:line="240" w:lineRule="auto"/>
        <w:rPr>
          <w:rFonts w:cstheme="minorHAnsi"/>
          <w:sz w:val="24"/>
          <w:szCs w:val="24"/>
        </w:rPr>
      </w:pPr>
      <w:r>
        <w:rPr>
          <w:noProof/>
        </w:rPr>
        <w:drawing>
          <wp:inline distT="0" distB="0" distL="0" distR="0" wp14:anchorId="737D46D5" wp14:editId="3BB6BCD7">
            <wp:extent cx="3998768" cy="2316152"/>
            <wp:effectExtent l="19050" t="19050" r="20955"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430" cy="2326382"/>
                    </a:xfrm>
                    <a:prstGeom prst="rect">
                      <a:avLst/>
                    </a:prstGeom>
                    <a:ln>
                      <a:solidFill>
                        <a:schemeClr val="accent1"/>
                      </a:solidFill>
                    </a:ln>
                  </pic:spPr>
                </pic:pic>
              </a:graphicData>
            </a:graphic>
          </wp:inline>
        </w:drawing>
      </w:r>
    </w:p>
    <w:p w14:paraId="356E4831" w14:textId="6C2ABBDA" w:rsidR="00F14291" w:rsidRDefault="00F31958" w:rsidP="006D709A">
      <w:pPr>
        <w:spacing w:line="240" w:lineRule="auto"/>
        <w:rPr>
          <w:rFonts w:cstheme="minorHAnsi"/>
          <w:sz w:val="24"/>
          <w:szCs w:val="24"/>
        </w:rPr>
      </w:pPr>
      <w:r>
        <w:rPr>
          <w:rFonts w:cstheme="minorHAnsi"/>
          <w:sz w:val="24"/>
          <w:szCs w:val="24"/>
        </w:rPr>
        <w:t xml:space="preserve">Based on the scatter plot, they do seem to behave </w:t>
      </w:r>
      <w:r w:rsidR="00C57775">
        <w:rPr>
          <w:rFonts w:cstheme="minorHAnsi"/>
          <w:sz w:val="24"/>
          <w:szCs w:val="24"/>
        </w:rPr>
        <w:t>similarly</w:t>
      </w:r>
      <w:r>
        <w:rPr>
          <w:rFonts w:cstheme="minorHAnsi"/>
          <w:sz w:val="24"/>
          <w:szCs w:val="24"/>
        </w:rPr>
        <w:t>. With a correlation coefficient of .82, we can confirm that these assets were strongly and positively correlated in October of 2021.</w:t>
      </w:r>
      <w:r w:rsidR="00C57775">
        <w:rPr>
          <w:rFonts w:cstheme="minorHAnsi"/>
          <w:sz w:val="24"/>
          <w:szCs w:val="24"/>
        </w:rPr>
        <w:t xml:space="preserve"> As AAPL increased, TSLA increased. </w:t>
      </w:r>
      <w:r w:rsidR="00CD1D4A">
        <w:rPr>
          <w:rFonts w:cstheme="minorHAnsi"/>
          <w:sz w:val="24"/>
          <w:szCs w:val="24"/>
        </w:rPr>
        <w:t>With an</w:t>
      </w:r>
      <w:r w:rsidR="00C57775">
        <w:rPr>
          <w:rFonts w:cstheme="minorHAnsi"/>
          <w:sz w:val="24"/>
          <w:szCs w:val="24"/>
        </w:rPr>
        <w:t xml:space="preserve"> R</w:t>
      </w:r>
      <w:r w:rsidR="00C57775">
        <w:rPr>
          <w:rFonts w:cstheme="minorHAnsi"/>
          <w:sz w:val="24"/>
          <w:szCs w:val="24"/>
          <w:vertAlign w:val="superscript"/>
        </w:rPr>
        <w:t>2</w:t>
      </w:r>
      <w:r w:rsidR="00C57775">
        <w:rPr>
          <w:rFonts w:cstheme="minorHAnsi"/>
          <w:sz w:val="24"/>
          <w:szCs w:val="24"/>
        </w:rPr>
        <w:t xml:space="preserve"> value of .67, 67% of the variation in TSLA stock can be explained by AAPL stock.</w:t>
      </w:r>
    </w:p>
    <w:p w14:paraId="6E8D903D" w14:textId="3D676EAA" w:rsidR="00F31958" w:rsidRDefault="00F14291" w:rsidP="006D709A">
      <w:pPr>
        <w:spacing w:line="240" w:lineRule="auto"/>
        <w:rPr>
          <w:rFonts w:cstheme="minorHAnsi"/>
          <w:sz w:val="24"/>
          <w:szCs w:val="24"/>
        </w:rPr>
      </w:pPr>
      <w:r>
        <w:rPr>
          <w:rFonts w:cstheme="minorHAnsi"/>
          <w:sz w:val="24"/>
          <w:szCs w:val="24"/>
        </w:rPr>
        <w:t xml:space="preserve">There could be many potential reasons why these two stocks are correlated, however we think the primary cause is simply due to their size and scale. Both companies are considered “tech” companies and are both in the top 10 in the world in terms of market </w:t>
      </w:r>
      <w:r w:rsidR="00DE59A8">
        <w:rPr>
          <w:rFonts w:cstheme="minorHAnsi"/>
          <w:sz w:val="24"/>
          <w:szCs w:val="24"/>
        </w:rPr>
        <w:t>capitalization</w:t>
      </w:r>
      <w:r>
        <w:rPr>
          <w:rFonts w:cstheme="minorHAnsi"/>
          <w:sz w:val="24"/>
          <w:szCs w:val="24"/>
        </w:rPr>
        <w:t xml:space="preserve">. Any experienced investor </w:t>
      </w:r>
      <w:r w:rsidR="00DE59A8">
        <w:rPr>
          <w:rFonts w:cstheme="minorHAnsi"/>
          <w:sz w:val="24"/>
          <w:szCs w:val="24"/>
        </w:rPr>
        <w:t xml:space="preserve">would feel comfortable trading these stocks because each of these company’s risk of failure is low, and each contains high upside due to each of their advances in technology. An investor who likes tech stocks but doesn’t want to invest all their capital in one company, would likely invest in other top tech stocks with these two having similar value propositions. September is widely known as a poor month to invest in the stock market with October reaping the benefits as the market pushes back up. </w:t>
      </w:r>
      <w:r w:rsidR="00E43BA0">
        <w:rPr>
          <w:rFonts w:cstheme="minorHAnsi"/>
          <w:sz w:val="24"/>
          <w:szCs w:val="24"/>
        </w:rPr>
        <w:t xml:space="preserve">Many large hedge funds have fiscal years ending in Q3 so they look to sell off their losing positions to save on capital gains taxes and lock in their yearly performance ratings. </w:t>
      </w:r>
      <w:r w:rsidR="00DE59A8">
        <w:rPr>
          <w:rFonts w:cstheme="minorHAnsi"/>
          <w:sz w:val="24"/>
          <w:szCs w:val="24"/>
        </w:rPr>
        <w:t xml:space="preserve">In times of uncertainty, investors managing their </w:t>
      </w:r>
      <w:r w:rsidR="00DE59A8">
        <w:rPr>
          <w:rFonts w:cstheme="minorHAnsi"/>
          <w:sz w:val="24"/>
          <w:szCs w:val="24"/>
        </w:rPr>
        <w:lastRenderedPageBreak/>
        <w:t>own and other people’s money look to minimize risk</w:t>
      </w:r>
      <w:r w:rsidR="00E43BA0">
        <w:rPr>
          <w:rFonts w:cstheme="minorHAnsi"/>
          <w:sz w:val="24"/>
          <w:szCs w:val="24"/>
        </w:rPr>
        <w:t>. Since these stocks are top performing stocks of the last 5 or more years, they are generally regarded as safe bets.</w:t>
      </w:r>
    </w:p>
    <w:p w14:paraId="440D53B6" w14:textId="3E0721C9" w:rsidR="00E43BA0" w:rsidRDefault="00E43BA0" w:rsidP="006D709A">
      <w:pPr>
        <w:spacing w:line="240" w:lineRule="auto"/>
        <w:rPr>
          <w:rFonts w:cstheme="minorHAnsi"/>
          <w:sz w:val="24"/>
          <w:szCs w:val="24"/>
        </w:rPr>
      </w:pPr>
      <w:r>
        <w:rPr>
          <w:rFonts w:cstheme="minorHAnsi"/>
          <w:sz w:val="24"/>
          <w:szCs w:val="24"/>
        </w:rPr>
        <w:t>Next in our analysis, we fit a linear model to our paired data, treating AAPL as our x variable and TSLA as our y variable.</w:t>
      </w:r>
      <w:r w:rsidR="00906454">
        <w:rPr>
          <w:rFonts w:cstheme="minorHAnsi"/>
          <w:sz w:val="24"/>
          <w:szCs w:val="24"/>
        </w:rPr>
        <w:t xml:space="preserve"> Since we are creating a linear model with 1 independent and 1 dependent variable, we can use the formula y = </w:t>
      </w:r>
      <w:proofErr w:type="spellStart"/>
      <w:r w:rsidR="00906454">
        <w:rPr>
          <w:rFonts w:cstheme="minorHAnsi"/>
          <w:sz w:val="24"/>
          <w:szCs w:val="24"/>
        </w:rPr>
        <w:t>mx+b</w:t>
      </w:r>
      <w:proofErr w:type="spellEnd"/>
      <w:r w:rsidR="00906454">
        <w:rPr>
          <w:rFonts w:cstheme="minorHAnsi"/>
          <w:sz w:val="24"/>
          <w:szCs w:val="24"/>
        </w:rPr>
        <w:t>. We need to calculate the intercept and slope of our model. Once we do that, we can plug in AAPL stock prices and predict TSLA stock prices. We used linear algebra</w:t>
      </w:r>
      <w:r w:rsidR="00B93AC4">
        <w:rPr>
          <w:rFonts w:cstheme="minorHAnsi"/>
          <w:sz w:val="24"/>
          <w:szCs w:val="24"/>
        </w:rPr>
        <w:t>,</w:t>
      </w:r>
      <w:r w:rsidR="00906454">
        <w:rPr>
          <w:rFonts w:cstheme="minorHAnsi"/>
          <w:sz w:val="24"/>
          <w:szCs w:val="24"/>
        </w:rPr>
        <w:t xml:space="preserve"> multiplied </w:t>
      </w:r>
      <w:r w:rsidR="001D23A8">
        <w:rPr>
          <w:rFonts w:cstheme="minorHAnsi"/>
          <w:sz w:val="24"/>
          <w:szCs w:val="24"/>
        </w:rPr>
        <w:t>matrices</w:t>
      </w:r>
      <w:r w:rsidR="00906454">
        <w:rPr>
          <w:rFonts w:cstheme="minorHAnsi"/>
          <w:sz w:val="24"/>
          <w:szCs w:val="24"/>
        </w:rPr>
        <w:t xml:space="preserve"> together</w:t>
      </w:r>
      <w:r w:rsidR="00B93AC4">
        <w:rPr>
          <w:rFonts w:cstheme="minorHAnsi"/>
          <w:sz w:val="24"/>
          <w:szCs w:val="24"/>
        </w:rPr>
        <w:t>,</w:t>
      </w:r>
      <w:r w:rsidR="00906454">
        <w:rPr>
          <w:rFonts w:cstheme="minorHAnsi"/>
          <w:sz w:val="24"/>
          <w:szCs w:val="24"/>
        </w:rPr>
        <w:t xml:space="preserve"> and calculated our intercept to be </w:t>
      </w:r>
      <w:r w:rsidR="001D23A8">
        <w:rPr>
          <w:rFonts w:cstheme="minorHAnsi"/>
          <w:sz w:val="24"/>
          <w:szCs w:val="24"/>
        </w:rPr>
        <w:t xml:space="preserve">-2479.87 and our slope to be 23.01. Our model: TSLA stock = 23.01*AAPL stock -2479.87. </w:t>
      </w:r>
      <w:r w:rsidR="00B93AC4">
        <w:rPr>
          <w:rFonts w:cstheme="minorHAnsi"/>
          <w:sz w:val="24"/>
          <w:szCs w:val="24"/>
        </w:rPr>
        <w:t>I</w:t>
      </w:r>
      <w:r w:rsidR="00815551">
        <w:rPr>
          <w:rFonts w:cstheme="minorHAnsi"/>
          <w:sz w:val="24"/>
          <w:szCs w:val="24"/>
        </w:rPr>
        <w:t xml:space="preserve">f </w:t>
      </w:r>
      <w:r w:rsidR="00B93AC4">
        <w:rPr>
          <w:rFonts w:cstheme="minorHAnsi"/>
          <w:sz w:val="24"/>
          <w:szCs w:val="24"/>
        </w:rPr>
        <w:t>we use our model to calculate our predicted TSLA values given each AAPL value for periods 138 – 153, we can calculate our residuals and see how accurate this model is</w:t>
      </w:r>
      <w:r w:rsidR="00DC00F9">
        <w:rPr>
          <w:rFonts w:cstheme="minorHAnsi"/>
          <w:sz w:val="24"/>
          <w:szCs w:val="24"/>
        </w:rPr>
        <w:t xml:space="preserve"> and to see if a linear model is appropriate to use by fitting the data.</w:t>
      </w:r>
    </w:p>
    <w:p w14:paraId="6D9671FE" w14:textId="3FA01695" w:rsidR="00D209FE" w:rsidRDefault="00D209FE" w:rsidP="006D709A">
      <w:pPr>
        <w:spacing w:line="240" w:lineRule="auto"/>
        <w:rPr>
          <w:rFonts w:cstheme="minorHAnsi"/>
          <w:sz w:val="24"/>
          <w:szCs w:val="24"/>
        </w:rPr>
      </w:pPr>
    </w:p>
    <w:p w14:paraId="7B8F2EF6" w14:textId="66E8C085" w:rsidR="00D209FE" w:rsidRPr="00D209FE" w:rsidRDefault="00D209FE" w:rsidP="006D709A">
      <w:pPr>
        <w:spacing w:line="240" w:lineRule="auto"/>
        <w:rPr>
          <w:rFonts w:cstheme="minorHAnsi"/>
          <w:b/>
          <w:bCs/>
          <w:sz w:val="24"/>
          <w:szCs w:val="24"/>
        </w:rPr>
      </w:pPr>
      <w:r>
        <w:rPr>
          <w:rFonts w:cstheme="minorHAnsi"/>
          <w:b/>
          <w:bCs/>
          <w:sz w:val="24"/>
          <w:szCs w:val="24"/>
        </w:rPr>
        <w:t>Residual Analysis</w:t>
      </w:r>
    </w:p>
    <w:p w14:paraId="680757F5" w14:textId="18F67CF5" w:rsidR="008F40D8" w:rsidRDefault="00DC00F9" w:rsidP="006D709A">
      <w:pPr>
        <w:spacing w:line="240" w:lineRule="auto"/>
        <w:rPr>
          <w:noProof/>
        </w:rPr>
      </w:pPr>
      <w:r>
        <w:rPr>
          <w:rFonts w:cstheme="minorHAnsi"/>
          <w:sz w:val="24"/>
          <w:szCs w:val="24"/>
        </w:rPr>
        <w:t xml:space="preserve">We calculated our 16 residuals by using the difference between the actual TSLA price for each of the 16 periods and our predicted TSLA price from our model. The sum of all these residuals was 0 so we can confirm </w:t>
      </w:r>
      <w:r w:rsidR="00105CA3">
        <w:rPr>
          <w:rFonts w:cstheme="minorHAnsi"/>
          <w:sz w:val="24"/>
          <w:szCs w:val="24"/>
        </w:rPr>
        <w:t>that our model perfectly averages the positive differences with the negative differences</w:t>
      </w:r>
      <w:r>
        <w:rPr>
          <w:rFonts w:cstheme="minorHAnsi"/>
          <w:sz w:val="24"/>
          <w:szCs w:val="24"/>
        </w:rPr>
        <w:t>.</w:t>
      </w:r>
      <w:r w:rsidR="00105CA3">
        <w:rPr>
          <w:rFonts w:cstheme="minorHAnsi"/>
          <w:sz w:val="24"/>
          <w:szCs w:val="24"/>
        </w:rPr>
        <w:t xml:space="preserve"> Our model </w:t>
      </w:r>
      <w:r w:rsidR="00F20DC3">
        <w:rPr>
          <w:rFonts w:cstheme="minorHAnsi"/>
          <w:sz w:val="24"/>
          <w:szCs w:val="24"/>
        </w:rPr>
        <w:t>h</w:t>
      </w:r>
      <w:r w:rsidR="00105CA3">
        <w:rPr>
          <w:rFonts w:cstheme="minorHAnsi"/>
          <w:sz w:val="24"/>
          <w:szCs w:val="24"/>
        </w:rPr>
        <w:t xml:space="preserve">as an acceptable amount of error with an SSE of 46274 and an MSE of 3005. In order to ensure that </w:t>
      </w:r>
      <w:r w:rsidR="005244DC">
        <w:rPr>
          <w:rFonts w:cstheme="minorHAnsi"/>
          <w:sz w:val="24"/>
          <w:szCs w:val="24"/>
        </w:rPr>
        <w:t xml:space="preserve">a linear model is appropriate to use for our data, we need to conduct residual analysis by plotting a normal </w:t>
      </w:r>
      <w:r w:rsidR="005773DE">
        <w:rPr>
          <w:rFonts w:cstheme="minorHAnsi"/>
          <w:sz w:val="24"/>
          <w:szCs w:val="24"/>
        </w:rPr>
        <w:t>probability</w:t>
      </w:r>
      <w:r w:rsidR="005244DC">
        <w:rPr>
          <w:rFonts w:cstheme="minorHAnsi"/>
          <w:sz w:val="24"/>
          <w:szCs w:val="24"/>
        </w:rPr>
        <w:t xml:space="preserve"> plot of the residuals</w:t>
      </w:r>
      <w:r w:rsidR="005773DE">
        <w:rPr>
          <w:rFonts w:cstheme="minorHAnsi"/>
          <w:sz w:val="24"/>
          <w:szCs w:val="24"/>
        </w:rPr>
        <w:t xml:space="preserve"> and performing a chi-square test for normality.</w:t>
      </w:r>
      <w:r w:rsidR="008F40D8" w:rsidRPr="008F40D8">
        <w:rPr>
          <w:noProof/>
        </w:rPr>
        <w:t xml:space="preserve"> </w:t>
      </w:r>
      <w:r w:rsidR="008F40D8">
        <w:rPr>
          <w:noProof/>
        </w:rPr>
        <w:drawing>
          <wp:inline distT="0" distB="0" distL="0" distR="0" wp14:anchorId="712656FA" wp14:editId="5AFEA70C">
            <wp:extent cx="3313036" cy="2038350"/>
            <wp:effectExtent l="19050" t="19050" r="2095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839" cy="2044381"/>
                    </a:xfrm>
                    <a:prstGeom prst="rect">
                      <a:avLst/>
                    </a:prstGeom>
                    <a:ln>
                      <a:solidFill>
                        <a:schemeClr val="accent1"/>
                      </a:solidFill>
                    </a:ln>
                  </pic:spPr>
                </pic:pic>
              </a:graphicData>
            </a:graphic>
          </wp:inline>
        </w:drawing>
      </w:r>
    </w:p>
    <w:p w14:paraId="1C2526CE" w14:textId="65CB22DB" w:rsidR="008F40D8" w:rsidRPr="00EA1976" w:rsidRDefault="008F40D8" w:rsidP="006D709A">
      <w:pPr>
        <w:spacing w:line="240" w:lineRule="auto"/>
        <w:rPr>
          <w:noProof/>
          <w:sz w:val="24"/>
          <w:szCs w:val="24"/>
        </w:rPr>
      </w:pPr>
      <w:r w:rsidRPr="00EA1976">
        <w:rPr>
          <w:noProof/>
          <w:sz w:val="24"/>
          <w:szCs w:val="24"/>
        </w:rPr>
        <w:t xml:space="preserve">Using features in Excel, we created this plot of residuals that </w:t>
      </w:r>
      <w:r w:rsidR="00F20DC3">
        <w:rPr>
          <w:noProof/>
          <w:sz w:val="24"/>
          <w:szCs w:val="24"/>
        </w:rPr>
        <w:t>shows they generally</w:t>
      </w:r>
      <w:r w:rsidRPr="00EA1976">
        <w:rPr>
          <w:noProof/>
          <w:sz w:val="24"/>
          <w:szCs w:val="24"/>
        </w:rPr>
        <w:t xml:space="preserve"> are normally distributed. To mathematically confirm, however, we conducted the chi-square test for normality with an alpha of .05 and the following null and alternative hypotheses.</w:t>
      </w:r>
    </w:p>
    <w:p w14:paraId="6A955CD9" w14:textId="6417C8A1" w:rsidR="008F40D8" w:rsidRPr="00EA1976" w:rsidRDefault="008F40D8" w:rsidP="006D709A">
      <w:pPr>
        <w:spacing w:line="240" w:lineRule="auto"/>
        <w:rPr>
          <w:noProof/>
          <w:sz w:val="24"/>
          <w:szCs w:val="24"/>
        </w:rPr>
      </w:pPr>
      <w:r w:rsidRPr="00EA1976">
        <w:rPr>
          <w:noProof/>
          <w:sz w:val="24"/>
          <w:szCs w:val="24"/>
        </w:rPr>
        <w:t>H</w:t>
      </w:r>
      <w:r w:rsidRPr="00EA1976">
        <w:rPr>
          <w:noProof/>
          <w:sz w:val="24"/>
          <w:szCs w:val="24"/>
          <w:vertAlign w:val="subscript"/>
        </w:rPr>
        <w:t>0</w:t>
      </w:r>
      <w:r w:rsidRPr="00EA1976">
        <w:rPr>
          <w:noProof/>
          <w:sz w:val="24"/>
          <w:szCs w:val="24"/>
        </w:rPr>
        <w:t>: The residuals are normally distributed</w:t>
      </w:r>
    </w:p>
    <w:p w14:paraId="279AFE00" w14:textId="39C19FFC" w:rsidR="008F40D8" w:rsidRPr="00EA1976" w:rsidRDefault="008F40D8" w:rsidP="006D709A">
      <w:pPr>
        <w:spacing w:line="240" w:lineRule="auto"/>
        <w:rPr>
          <w:noProof/>
          <w:sz w:val="24"/>
          <w:szCs w:val="24"/>
        </w:rPr>
      </w:pPr>
      <w:r w:rsidRPr="00EA1976">
        <w:rPr>
          <w:noProof/>
          <w:sz w:val="24"/>
          <w:szCs w:val="24"/>
        </w:rPr>
        <w:t>H</w:t>
      </w:r>
      <w:r w:rsidRPr="00EA1976">
        <w:rPr>
          <w:noProof/>
          <w:sz w:val="24"/>
          <w:szCs w:val="24"/>
          <w:vertAlign w:val="subscript"/>
        </w:rPr>
        <w:t>a</w:t>
      </w:r>
      <w:r w:rsidRPr="00EA1976">
        <w:rPr>
          <w:noProof/>
          <w:sz w:val="24"/>
          <w:szCs w:val="24"/>
        </w:rPr>
        <w:t xml:space="preserve">: The residuals are </w:t>
      </w:r>
      <w:r w:rsidRPr="00EA1976">
        <w:rPr>
          <w:i/>
          <w:iCs/>
          <w:noProof/>
          <w:sz w:val="24"/>
          <w:szCs w:val="24"/>
        </w:rPr>
        <w:t>not</w:t>
      </w:r>
      <w:r w:rsidRPr="00EA1976">
        <w:rPr>
          <w:noProof/>
          <w:sz w:val="24"/>
          <w:szCs w:val="24"/>
        </w:rPr>
        <w:t xml:space="preserve"> normally distributed</w:t>
      </w:r>
    </w:p>
    <w:p w14:paraId="3F210BCB" w14:textId="5883AFBF" w:rsidR="008F40D8" w:rsidRPr="00EA1976" w:rsidRDefault="00D209FE" w:rsidP="006D709A">
      <w:pPr>
        <w:spacing w:line="240" w:lineRule="auto"/>
        <w:rPr>
          <w:rFonts w:cstheme="minorHAnsi"/>
          <w:sz w:val="24"/>
          <w:szCs w:val="24"/>
        </w:rPr>
      </w:pPr>
      <w:r w:rsidRPr="00EA1976">
        <w:rPr>
          <w:noProof/>
          <w:sz w:val="24"/>
          <w:szCs w:val="24"/>
        </w:rPr>
        <w:t>Our p-value is .24. Since it is larger than our alpha of .05, we failed to reject the null hypothesis and accept that the residuals are normally distributed. Our test statistic (2.85) was also less than our cut-off value (5.99) so we can again, accept that our residuals are normally distributed.</w:t>
      </w:r>
    </w:p>
    <w:p w14:paraId="0AD704A6" w14:textId="5B3F73C6" w:rsidR="00C57775" w:rsidRDefault="00EA1976" w:rsidP="006D709A">
      <w:pPr>
        <w:spacing w:line="240" w:lineRule="auto"/>
        <w:rPr>
          <w:rFonts w:cstheme="minorHAnsi"/>
          <w:sz w:val="24"/>
          <w:szCs w:val="24"/>
        </w:rPr>
      </w:pPr>
      <w:r>
        <w:rPr>
          <w:rFonts w:cstheme="minorHAnsi"/>
          <w:sz w:val="24"/>
          <w:szCs w:val="24"/>
        </w:rPr>
        <w:lastRenderedPageBreak/>
        <w:t>We then calculated the leverages of each X value to see how much influence each value has on our model. All of our leverages seem to influence the model equally, except for our X value of $152.57. That is more than twice the average of our leverages which indicates it is unusually close to our regression line compared to the other values and potentially influencing the model more than the other values.</w:t>
      </w:r>
      <w:r w:rsidR="00997F02">
        <w:rPr>
          <w:rFonts w:cstheme="minorHAnsi"/>
          <w:sz w:val="24"/>
          <w:szCs w:val="24"/>
        </w:rPr>
        <w:t xml:space="preserve"> The plot of our residuals also clearly shows our outlier to the top right.</w:t>
      </w:r>
    </w:p>
    <w:p w14:paraId="28658F27" w14:textId="4DF38C9A" w:rsidR="00997F02" w:rsidRDefault="00997F02" w:rsidP="006D709A">
      <w:pPr>
        <w:spacing w:line="240" w:lineRule="auto"/>
        <w:rPr>
          <w:rFonts w:cstheme="minorHAnsi"/>
          <w:sz w:val="24"/>
          <w:szCs w:val="24"/>
        </w:rPr>
      </w:pPr>
      <w:r>
        <w:rPr>
          <w:noProof/>
        </w:rPr>
        <w:drawing>
          <wp:inline distT="0" distB="0" distL="0" distR="0" wp14:anchorId="1365C0DF" wp14:editId="6B763C65">
            <wp:extent cx="3472295" cy="2082193"/>
            <wp:effectExtent l="19050" t="19050" r="1397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862" cy="2088530"/>
                    </a:xfrm>
                    <a:prstGeom prst="rect">
                      <a:avLst/>
                    </a:prstGeom>
                    <a:ln>
                      <a:solidFill>
                        <a:schemeClr val="accent1"/>
                      </a:solidFill>
                    </a:ln>
                  </pic:spPr>
                </pic:pic>
              </a:graphicData>
            </a:graphic>
          </wp:inline>
        </w:drawing>
      </w:r>
    </w:p>
    <w:p w14:paraId="384C5FA2" w14:textId="367899D2" w:rsidR="00D209FE" w:rsidRDefault="00670810" w:rsidP="006D709A">
      <w:pPr>
        <w:spacing w:line="240" w:lineRule="auto"/>
        <w:rPr>
          <w:rFonts w:cstheme="minorHAnsi"/>
          <w:sz w:val="24"/>
          <w:szCs w:val="24"/>
        </w:rPr>
      </w:pPr>
      <w:r>
        <w:rPr>
          <w:rFonts w:cstheme="minorHAnsi"/>
          <w:sz w:val="24"/>
          <w:szCs w:val="24"/>
        </w:rPr>
        <w:t xml:space="preserve">In order for our residuals to be accurate </w:t>
      </w:r>
      <w:r w:rsidR="00F20DC3">
        <w:rPr>
          <w:rFonts w:cstheme="minorHAnsi"/>
          <w:sz w:val="24"/>
          <w:szCs w:val="24"/>
        </w:rPr>
        <w:t>and</w:t>
      </w:r>
      <w:r>
        <w:rPr>
          <w:rFonts w:cstheme="minorHAnsi"/>
          <w:sz w:val="24"/>
          <w:szCs w:val="24"/>
        </w:rPr>
        <w:t xml:space="preserve"> fully accepted, they must meet the following criteria:</w:t>
      </w:r>
    </w:p>
    <w:p w14:paraId="7BA533AC" w14:textId="5DADAED8" w:rsidR="00670810" w:rsidRDefault="00670810" w:rsidP="00670810">
      <w:pPr>
        <w:pStyle w:val="ListParagraph"/>
        <w:numPr>
          <w:ilvl w:val="0"/>
          <w:numId w:val="20"/>
        </w:numPr>
        <w:spacing w:line="240" w:lineRule="auto"/>
        <w:rPr>
          <w:rFonts w:cstheme="minorHAnsi"/>
          <w:sz w:val="24"/>
          <w:szCs w:val="24"/>
        </w:rPr>
      </w:pPr>
      <w:r>
        <w:rPr>
          <w:rFonts w:cstheme="minorHAnsi"/>
          <w:sz w:val="24"/>
          <w:szCs w:val="24"/>
        </w:rPr>
        <w:t>Be normally distributed</w:t>
      </w:r>
      <w:r w:rsidR="00670E74">
        <w:rPr>
          <w:rFonts w:cstheme="minorHAnsi"/>
          <w:sz w:val="24"/>
          <w:szCs w:val="24"/>
        </w:rPr>
        <w:t xml:space="preserve"> (normalcy)</w:t>
      </w:r>
    </w:p>
    <w:p w14:paraId="6179FB21" w14:textId="2461B3FD" w:rsidR="00670810" w:rsidRDefault="00670810" w:rsidP="00670810">
      <w:pPr>
        <w:pStyle w:val="ListParagraph"/>
        <w:numPr>
          <w:ilvl w:val="0"/>
          <w:numId w:val="20"/>
        </w:numPr>
        <w:spacing w:line="240" w:lineRule="auto"/>
        <w:rPr>
          <w:rFonts w:cstheme="minorHAnsi"/>
          <w:sz w:val="24"/>
          <w:szCs w:val="24"/>
        </w:rPr>
      </w:pPr>
      <w:r>
        <w:rPr>
          <w:rFonts w:cstheme="minorHAnsi"/>
          <w:sz w:val="24"/>
          <w:szCs w:val="24"/>
        </w:rPr>
        <w:t>Have a constant variance</w:t>
      </w:r>
      <w:r w:rsidR="00670E74">
        <w:rPr>
          <w:rFonts w:cstheme="minorHAnsi"/>
          <w:sz w:val="24"/>
          <w:szCs w:val="24"/>
        </w:rPr>
        <w:t xml:space="preserve"> (homoscedasticity)</w:t>
      </w:r>
    </w:p>
    <w:p w14:paraId="29663BCC" w14:textId="3EDFB867" w:rsidR="00670E74" w:rsidRPr="00670E74" w:rsidRDefault="00670E74" w:rsidP="00670E74">
      <w:pPr>
        <w:pStyle w:val="ListParagraph"/>
        <w:numPr>
          <w:ilvl w:val="0"/>
          <w:numId w:val="20"/>
        </w:numPr>
        <w:spacing w:line="240" w:lineRule="auto"/>
        <w:rPr>
          <w:rFonts w:cstheme="minorHAnsi"/>
          <w:sz w:val="24"/>
          <w:szCs w:val="24"/>
        </w:rPr>
      </w:pPr>
      <w:r>
        <w:rPr>
          <w:rFonts w:cstheme="minorHAnsi"/>
          <w:sz w:val="24"/>
          <w:szCs w:val="24"/>
        </w:rPr>
        <w:t>Be independent of X (independency)</w:t>
      </w:r>
    </w:p>
    <w:p w14:paraId="27C2A29D" w14:textId="1B341480" w:rsidR="005E304B" w:rsidRDefault="00670810" w:rsidP="006D709A">
      <w:pPr>
        <w:spacing w:line="240" w:lineRule="auto"/>
        <w:rPr>
          <w:rFonts w:cstheme="minorHAnsi"/>
          <w:sz w:val="24"/>
          <w:szCs w:val="24"/>
        </w:rPr>
      </w:pPr>
      <w:r>
        <w:rPr>
          <w:rFonts w:cstheme="minorHAnsi"/>
          <w:sz w:val="24"/>
          <w:szCs w:val="24"/>
        </w:rPr>
        <w:t xml:space="preserve">We confirmed they are normally based on our previous analysis. </w:t>
      </w:r>
      <w:r w:rsidR="00670E74">
        <w:rPr>
          <w:rFonts w:cstheme="minorHAnsi"/>
          <w:sz w:val="24"/>
          <w:szCs w:val="24"/>
        </w:rPr>
        <w:t xml:space="preserve">Before checking the homoscedasticity and independency, we created a symmetrical variance-covariance matrix. </w:t>
      </w:r>
      <w:r w:rsidR="005E304B">
        <w:rPr>
          <w:rFonts w:cstheme="minorHAnsi"/>
          <w:sz w:val="24"/>
          <w:szCs w:val="24"/>
        </w:rPr>
        <w:t xml:space="preserve">We then plotted the diagonal entries of our matrix (variance) to the residuals </w:t>
      </w:r>
      <w:r w:rsidR="00F20DC3">
        <w:rPr>
          <w:rFonts w:cstheme="minorHAnsi"/>
          <w:sz w:val="24"/>
          <w:szCs w:val="24"/>
        </w:rPr>
        <w:t xml:space="preserve">in order </w:t>
      </w:r>
      <w:r w:rsidR="005E304B">
        <w:rPr>
          <w:rFonts w:cstheme="minorHAnsi"/>
          <w:sz w:val="24"/>
          <w:szCs w:val="24"/>
        </w:rPr>
        <w:t>to identify the homoscedasticity and ensure our residuals have a constant variance. Since we see a consistent pattern in the chart below, it is fair to assume the variances are consistent enough.</w:t>
      </w:r>
    </w:p>
    <w:p w14:paraId="6F10AAE8" w14:textId="7E105014" w:rsidR="00D209FE" w:rsidRDefault="005E304B" w:rsidP="006D709A">
      <w:pPr>
        <w:spacing w:line="240" w:lineRule="auto"/>
        <w:rPr>
          <w:rFonts w:cstheme="minorHAnsi"/>
          <w:sz w:val="24"/>
          <w:szCs w:val="24"/>
        </w:rPr>
      </w:pPr>
      <w:r>
        <w:rPr>
          <w:noProof/>
        </w:rPr>
        <w:drawing>
          <wp:inline distT="0" distB="0" distL="0" distR="0" wp14:anchorId="745D2DD1" wp14:editId="2B1FCD36">
            <wp:extent cx="3855006" cy="2322369"/>
            <wp:effectExtent l="19050" t="19050" r="1270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63"/>
                    <a:stretch/>
                  </pic:blipFill>
                  <pic:spPr bwMode="auto">
                    <a:xfrm>
                      <a:off x="0" y="0"/>
                      <a:ext cx="3875341" cy="233461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2DD09B3" w14:textId="6F83EDE2" w:rsidR="005E304B" w:rsidRDefault="0059448F" w:rsidP="006D709A">
      <w:pPr>
        <w:spacing w:line="240" w:lineRule="auto"/>
        <w:rPr>
          <w:rFonts w:cstheme="minorHAnsi"/>
          <w:sz w:val="24"/>
          <w:szCs w:val="24"/>
        </w:rPr>
      </w:pPr>
      <w:r>
        <w:rPr>
          <w:rFonts w:cstheme="minorHAnsi"/>
          <w:sz w:val="24"/>
          <w:szCs w:val="24"/>
        </w:rPr>
        <w:lastRenderedPageBreak/>
        <w:t xml:space="preserve">Our last check, independency, can be </w:t>
      </w:r>
      <w:r w:rsidR="00C80C36">
        <w:rPr>
          <w:rFonts w:cstheme="minorHAnsi"/>
          <w:sz w:val="24"/>
          <w:szCs w:val="24"/>
        </w:rPr>
        <w:t>proven</w:t>
      </w:r>
      <w:r w:rsidR="00F20DC3">
        <w:rPr>
          <w:rFonts w:cstheme="minorHAnsi"/>
          <w:sz w:val="24"/>
          <w:szCs w:val="24"/>
        </w:rPr>
        <w:t xml:space="preserve"> in</w:t>
      </w:r>
      <w:r w:rsidR="00C80C36">
        <w:rPr>
          <w:rFonts w:cstheme="minorHAnsi"/>
          <w:sz w:val="24"/>
          <w:szCs w:val="24"/>
        </w:rPr>
        <w:t xml:space="preserve"> two ways. First, the nondiagonal entries of our variance-covariance matrix show the covariances of all possible pairs of residuals. The values are really high on the diagonal because the covariance between the 12</w:t>
      </w:r>
      <w:r w:rsidR="00C80C36" w:rsidRPr="00C80C36">
        <w:rPr>
          <w:rFonts w:cstheme="minorHAnsi"/>
          <w:sz w:val="24"/>
          <w:szCs w:val="24"/>
          <w:vertAlign w:val="superscript"/>
        </w:rPr>
        <w:t>th</w:t>
      </w:r>
      <w:r w:rsidR="00C80C36">
        <w:rPr>
          <w:rFonts w:cstheme="minorHAnsi"/>
          <w:sz w:val="24"/>
          <w:szCs w:val="24"/>
        </w:rPr>
        <w:t xml:space="preserve"> residual and the 12</w:t>
      </w:r>
      <w:r w:rsidR="00C80C36" w:rsidRPr="00C80C36">
        <w:rPr>
          <w:rFonts w:cstheme="minorHAnsi"/>
          <w:sz w:val="24"/>
          <w:szCs w:val="24"/>
          <w:vertAlign w:val="superscript"/>
        </w:rPr>
        <w:t>th</w:t>
      </w:r>
      <w:r w:rsidR="00C80C36">
        <w:rPr>
          <w:rFonts w:cstheme="minorHAnsi"/>
          <w:sz w:val="24"/>
          <w:szCs w:val="24"/>
        </w:rPr>
        <w:t xml:space="preserve"> residual</w:t>
      </w:r>
      <w:r w:rsidR="00F20DC3">
        <w:rPr>
          <w:rFonts w:cstheme="minorHAnsi"/>
          <w:sz w:val="24"/>
          <w:szCs w:val="24"/>
        </w:rPr>
        <w:t>, for example,</w:t>
      </w:r>
      <w:r w:rsidR="00C80C36">
        <w:rPr>
          <w:rFonts w:cstheme="minorHAnsi"/>
          <w:sz w:val="24"/>
          <w:szCs w:val="24"/>
        </w:rPr>
        <w:t xml:space="preserve"> would be high because they are the same variable. The covariances between the other combinations need to be low to show they are not correlated with each other. No value in the matrix comes anywhere near the covariances on the diagonals so it is very likely they are all in</w:t>
      </w:r>
      <w:r w:rsidR="00F20DC3">
        <w:rPr>
          <w:rFonts w:cstheme="minorHAnsi"/>
          <w:sz w:val="24"/>
          <w:szCs w:val="24"/>
        </w:rPr>
        <w:t>dep</w:t>
      </w:r>
      <w:r w:rsidR="00C80C36">
        <w:rPr>
          <w:rFonts w:cstheme="minorHAnsi"/>
          <w:sz w:val="24"/>
          <w:szCs w:val="24"/>
        </w:rPr>
        <w:t>endent of each other. To confirm, we can plot</w:t>
      </w:r>
      <w:r>
        <w:rPr>
          <w:rFonts w:cstheme="minorHAnsi"/>
          <w:sz w:val="24"/>
          <w:szCs w:val="24"/>
        </w:rPr>
        <w:t xml:space="preserve"> </w:t>
      </w:r>
      <w:r w:rsidR="00C80C36">
        <w:rPr>
          <w:rFonts w:cstheme="minorHAnsi"/>
          <w:sz w:val="24"/>
          <w:szCs w:val="24"/>
        </w:rPr>
        <w:t>the residuals against the X values. Since no pattern occurred in the plot below, we can confirm independency.</w:t>
      </w:r>
    </w:p>
    <w:p w14:paraId="52CBAD48" w14:textId="7485E9D6" w:rsidR="005E304B" w:rsidRDefault="00DE1522" w:rsidP="006D709A">
      <w:pPr>
        <w:spacing w:line="240" w:lineRule="auto"/>
        <w:rPr>
          <w:rFonts w:cstheme="minorHAnsi"/>
          <w:sz w:val="24"/>
          <w:szCs w:val="24"/>
        </w:rPr>
      </w:pPr>
      <w:r>
        <w:rPr>
          <w:noProof/>
        </w:rPr>
        <w:drawing>
          <wp:inline distT="0" distB="0" distL="0" distR="0" wp14:anchorId="5068ADF4" wp14:editId="20B9C78D">
            <wp:extent cx="4109605" cy="2322820"/>
            <wp:effectExtent l="19050" t="19050" r="24765"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0859" cy="2329181"/>
                    </a:xfrm>
                    <a:prstGeom prst="rect">
                      <a:avLst/>
                    </a:prstGeom>
                    <a:ln>
                      <a:solidFill>
                        <a:schemeClr val="accent1"/>
                      </a:solidFill>
                    </a:ln>
                  </pic:spPr>
                </pic:pic>
              </a:graphicData>
            </a:graphic>
          </wp:inline>
        </w:drawing>
      </w:r>
    </w:p>
    <w:p w14:paraId="677421C2" w14:textId="78DF0A19" w:rsidR="005E304B" w:rsidRDefault="005E304B" w:rsidP="006D709A">
      <w:pPr>
        <w:spacing w:line="240" w:lineRule="auto"/>
        <w:rPr>
          <w:rFonts w:cstheme="minorHAnsi"/>
          <w:sz w:val="24"/>
          <w:szCs w:val="24"/>
        </w:rPr>
      </w:pPr>
    </w:p>
    <w:p w14:paraId="7341A843" w14:textId="6E197FE0" w:rsidR="001E62AC" w:rsidRPr="00D209FE" w:rsidRDefault="001E62AC" w:rsidP="001E62AC">
      <w:pPr>
        <w:spacing w:line="240" w:lineRule="auto"/>
        <w:rPr>
          <w:rFonts w:cstheme="minorHAnsi"/>
          <w:b/>
          <w:bCs/>
          <w:sz w:val="24"/>
          <w:szCs w:val="24"/>
        </w:rPr>
      </w:pPr>
      <w:r>
        <w:rPr>
          <w:rFonts w:cstheme="minorHAnsi"/>
          <w:b/>
          <w:bCs/>
          <w:sz w:val="24"/>
          <w:szCs w:val="24"/>
        </w:rPr>
        <w:t>Autocorrelation</w:t>
      </w:r>
    </w:p>
    <w:p w14:paraId="1F935C1E" w14:textId="36DF113E" w:rsidR="001E62AC" w:rsidRDefault="001C0A8C" w:rsidP="006D709A">
      <w:pPr>
        <w:spacing w:line="240" w:lineRule="auto"/>
        <w:rPr>
          <w:rFonts w:cstheme="minorHAnsi"/>
          <w:sz w:val="24"/>
          <w:szCs w:val="24"/>
        </w:rPr>
      </w:pPr>
      <w:r>
        <w:rPr>
          <w:rFonts w:cstheme="minorHAnsi"/>
          <w:sz w:val="24"/>
          <w:szCs w:val="24"/>
        </w:rPr>
        <w:t xml:space="preserve">The last metric we calculated was our Durbin Watson statistic for autocorrelation. Since our value of .61 is less than 2, we have positive autocorrelation. In this case, if the stock price of TSLA went up yesterday, it is more likely to go up today. If we had negative autocorrelation, then a stock increase yesterday would yield a high likelihood of a stock decrease today. </w:t>
      </w:r>
      <w:r w:rsidR="0071346B">
        <w:rPr>
          <w:rFonts w:cstheme="minorHAnsi"/>
          <w:sz w:val="24"/>
          <w:szCs w:val="24"/>
        </w:rPr>
        <w:t xml:space="preserve">Naturally, we would expect some autocorrelation in stock prices changes. If a company is doing well, then their stock price should increase over many days. The company’s stock price should not be negatively autocorrelated and thus they would likely see a price decrease if they meet or exceed investor expectations. However, </w:t>
      </w:r>
      <w:r w:rsidR="001354F6">
        <w:rPr>
          <w:rFonts w:cstheme="minorHAnsi"/>
          <w:sz w:val="24"/>
          <w:szCs w:val="24"/>
        </w:rPr>
        <w:t xml:space="preserve">company performance changes and stock prices fluctuate day-to-day. Because of this, we should not have significant autocorrelation because it would skew our model towards recent trends and reduce the effects of company performance. Since we created a linear model, </w:t>
      </w:r>
      <w:r w:rsidR="00250D28">
        <w:rPr>
          <w:rFonts w:cstheme="minorHAnsi"/>
          <w:sz w:val="24"/>
          <w:szCs w:val="24"/>
        </w:rPr>
        <w:t>we</w:t>
      </w:r>
      <w:r w:rsidR="001354F6">
        <w:rPr>
          <w:rFonts w:cstheme="minorHAnsi"/>
          <w:sz w:val="24"/>
          <w:szCs w:val="24"/>
        </w:rPr>
        <w:t xml:space="preserve"> expected </w:t>
      </w:r>
      <w:r w:rsidR="00250D28">
        <w:rPr>
          <w:rFonts w:cstheme="minorHAnsi"/>
          <w:sz w:val="24"/>
          <w:szCs w:val="24"/>
        </w:rPr>
        <w:t xml:space="preserve">some </w:t>
      </w:r>
      <w:r w:rsidR="001354F6">
        <w:rPr>
          <w:rFonts w:cstheme="minorHAnsi"/>
          <w:sz w:val="24"/>
          <w:szCs w:val="24"/>
        </w:rPr>
        <w:t>positive autocorrelation. In order to reduce it, we could try creating a non-linear model that can ebb and flow over time. If we wanted to keep a linear model, we could consider adding other variables to the model in order to mitigate the effects of APPL single-handedly affecting the price of TSLA in our model.</w:t>
      </w:r>
    </w:p>
    <w:p w14:paraId="67396784" w14:textId="29FF8F94" w:rsidR="001E62AC" w:rsidRDefault="001E62AC" w:rsidP="006D709A">
      <w:pPr>
        <w:spacing w:line="240" w:lineRule="auto"/>
        <w:rPr>
          <w:rFonts w:cstheme="minorHAnsi"/>
          <w:sz w:val="24"/>
          <w:szCs w:val="24"/>
        </w:rPr>
      </w:pPr>
    </w:p>
    <w:p w14:paraId="4C33E71F" w14:textId="7E367F9A" w:rsidR="001E62AC" w:rsidRDefault="001E62AC" w:rsidP="006D709A">
      <w:pPr>
        <w:spacing w:line="240" w:lineRule="auto"/>
        <w:rPr>
          <w:rFonts w:cstheme="minorHAnsi"/>
          <w:sz w:val="24"/>
          <w:szCs w:val="24"/>
        </w:rPr>
      </w:pPr>
    </w:p>
    <w:p w14:paraId="2E20682D" w14:textId="77777777" w:rsidR="001E62AC" w:rsidRDefault="001E62AC" w:rsidP="006D709A">
      <w:pPr>
        <w:spacing w:line="240" w:lineRule="auto"/>
        <w:rPr>
          <w:rFonts w:cstheme="minorHAnsi"/>
          <w:sz w:val="24"/>
          <w:szCs w:val="24"/>
        </w:rPr>
      </w:pPr>
    </w:p>
    <w:p w14:paraId="0B6FFA49" w14:textId="6243655F" w:rsidR="001761E7" w:rsidRDefault="001761E7"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Summary</w:t>
      </w:r>
    </w:p>
    <w:p w14:paraId="6CB387F7" w14:textId="641DC351" w:rsidR="008C5A95" w:rsidRPr="00090EE9" w:rsidRDefault="00F338B8" w:rsidP="006D709A">
      <w:pPr>
        <w:spacing w:line="240" w:lineRule="auto"/>
        <w:rPr>
          <w:rFonts w:cstheme="minorHAnsi"/>
          <w:sz w:val="24"/>
          <w:szCs w:val="24"/>
        </w:rPr>
      </w:pPr>
      <w:r>
        <w:rPr>
          <w:rFonts w:cstheme="minorHAnsi"/>
          <w:sz w:val="24"/>
          <w:szCs w:val="24"/>
        </w:rPr>
        <w:t xml:space="preserve">Based on our analysis above we can suggest </w:t>
      </w:r>
      <w:r w:rsidR="00A21BF9">
        <w:rPr>
          <w:rFonts w:cstheme="minorHAnsi"/>
          <w:sz w:val="24"/>
          <w:szCs w:val="24"/>
        </w:rPr>
        <w:t xml:space="preserve">portfolio recommendations with different levels of risk. However, since these stocks are highly positively correlated with each other, it is very risky to invest in only these two stocks since they seem subject to the same </w:t>
      </w:r>
      <w:r w:rsidR="000B6547">
        <w:rPr>
          <w:rFonts w:cstheme="minorHAnsi"/>
          <w:sz w:val="24"/>
          <w:szCs w:val="24"/>
        </w:rPr>
        <w:t>factors</w:t>
      </w:r>
      <w:r w:rsidR="00A21BF9">
        <w:rPr>
          <w:rFonts w:cstheme="minorHAnsi"/>
          <w:sz w:val="24"/>
          <w:szCs w:val="24"/>
        </w:rPr>
        <w:t xml:space="preserve">. However, we can only give recommendations for these two stocks since we only analyzed these two stocks. </w:t>
      </w:r>
      <w:r w:rsidR="00F9361C">
        <w:rPr>
          <w:rFonts w:cstheme="minorHAnsi"/>
          <w:sz w:val="24"/>
          <w:szCs w:val="24"/>
        </w:rPr>
        <w:t xml:space="preserve">People with fewer financial commitments can be riskier than people with many financial commitments (people with kids and mortgages are more cash dependent and thus should minimize their </w:t>
      </w:r>
      <w:r w:rsidR="00DC7181">
        <w:rPr>
          <w:rFonts w:cstheme="minorHAnsi"/>
          <w:sz w:val="24"/>
          <w:szCs w:val="24"/>
        </w:rPr>
        <w:t xml:space="preserve">investment </w:t>
      </w:r>
      <w:r w:rsidR="00F9361C">
        <w:rPr>
          <w:rFonts w:cstheme="minorHAnsi"/>
          <w:sz w:val="24"/>
          <w:szCs w:val="24"/>
        </w:rPr>
        <w:t>risk.</w:t>
      </w:r>
      <w:r w:rsidR="00DC7181">
        <w:rPr>
          <w:rFonts w:cstheme="minorHAnsi"/>
          <w:sz w:val="24"/>
          <w:szCs w:val="24"/>
        </w:rPr>
        <w:t>)</w:t>
      </w:r>
      <w:r w:rsidR="00F9361C">
        <w:rPr>
          <w:rFonts w:cstheme="minorHAnsi"/>
          <w:sz w:val="24"/>
          <w:szCs w:val="24"/>
        </w:rPr>
        <w:t xml:space="preserve"> For myself, I hardly have any financial commitments so I can increase my risk in order to increase my return. I would personally choose to keep </w:t>
      </w:r>
      <w:r>
        <w:rPr>
          <w:rFonts w:cstheme="minorHAnsi"/>
          <w:sz w:val="24"/>
          <w:szCs w:val="24"/>
        </w:rPr>
        <w:t>100</w:t>
      </w:r>
      <w:r w:rsidR="00F9361C">
        <w:rPr>
          <w:rFonts w:cstheme="minorHAnsi"/>
          <w:sz w:val="24"/>
          <w:szCs w:val="24"/>
        </w:rPr>
        <w:t xml:space="preserve">% of my portfolio in TSLA stock and </w:t>
      </w:r>
      <w:r>
        <w:rPr>
          <w:rFonts w:cstheme="minorHAnsi"/>
          <w:sz w:val="24"/>
          <w:szCs w:val="24"/>
        </w:rPr>
        <w:t>0</w:t>
      </w:r>
      <w:r w:rsidR="00F9361C">
        <w:rPr>
          <w:rFonts w:cstheme="minorHAnsi"/>
          <w:sz w:val="24"/>
          <w:szCs w:val="24"/>
        </w:rPr>
        <w:t xml:space="preserve">% in AAPL stock. Based on our linear </w:t>
      </w:r>
      <w:proofErr w:type="gramStart"/>
      <w:r w:rsidR="00F9361C">
        <w:rPr>
          <w:rFonts w:cstheme="minorHAnsi"/>
          <w:sz w:val="24"/>
          <w:szCs w:val="24"/>
        </w:rPr>
        <w:t>long term</w:t>
      </w:r>
      <w:proofErr w:type="gramEnd"/>
      <w:r w:rsidR="00F9361C">
        <w:rPr>
          <w:rFonts w:cstheme="minorHAnsi"/>
          <w:sz w:val="24"/>
          <w:szCs w:val="24"/>
        </w:rPr>
        <w:t xml:space="preserve"> forecast, </w:t>
      </w:r>
      <w:r w:rsidR="00DC7181">
        <w:rPr>
          <w:rFonts w:cstheme="minorHAnsi"/>
          <w:sz w:val="24"/>
          <w:szCs w:val="24"/>
        </w:rPr>
        <w:t xml:space="preserve">TSLA is trending higher at a faster rate than AAPL. However, our TSLA model does have a higher percentage error so it is assumed to be riskier. Since I am young and am not living paycheck to paycheck, I have enough cash reserves and have a stable job to cover any significant losses if they happen. Because of that, </w:t>
      </w:r>
      <w:r>
        <w:rPr>
          <w:rFonts w:cstheme="minorHAnsi"/>
          <w:sz w:val="24"/>
          <w:szCs w:val="24"/>
        </w:rPr>
        <w:t>I am seeking the maximum possible return on my investment. Because of our previous analysis, we know that these stocks are highly correlated with each other so I see very little value in holding AAPL. If AAPL goes up, TSLA is likely to increase more. However, my financial goals are not everyone’s goals. For people who are more risk averse or want to preserve more of their capital, I would recommend a 50/50 split between AAPL and TSLA.</w:t>
      </w:r>
    </w:p>
    <w:sectPr w:rsidR="008C5A95" w:rsidRPr="00090EE9" w:rsidSect="00AB18BF">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F843" w14:textId="77777777" w:rsidR="00CA0504" w:rsidRDefault="00CA0504" w:rsidP="00AB18BF">
      <w:pPr>
        <w:spacing w:after="0" w:line="240" w:lineRule="auto"/>
      </w:pPr>
      <w:r>
        <w:separator/>
      </w:r>
    </w:p>
  </w:endnote>
  <w:endnote w:type="continuationSeparator" w:id="0">
    <w:p w14:paraId="678BF9D8" w14:textId="77777777" w:rsidR="00CA0504" w:rsidRDefault="00CA0504"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24DE" w14:textId="77777777" w:rsidR="00CA0504" w:rsidRDefault="00CA0504" w:rsidP="00AB18BF">
      <w:pPr>
        <w:spacing w:after="0" w:line="240" w:lineRule="auto"/>
      </w:pPr>
      <w:r>
        <w:separator/>
      </w:r>
    </w:p>
  </w:footnote>
  <w:footnote w:type="continuationSeparator" w:id="0">
    <w:p w14:paraId="450424DD" w14:textId="77777777" w:rsidR="00CA0504" w:rsidRDefault="00CA0504"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7"/>
  </w:num>
  <w:num w:numId="4">
    <w:abstractNumId w:val="12"/>
  </w:num>
  <w:num w:numId="5">
    <w:abstractNumId w:val="11"/>
  </w:num>
  <w:num w:numId="6">
    <w:abstractNumId w:val="2"/>
  </w:num>
  <w:num w:numId="7">
    <w:abstractNumId w:val="19"/>
  </w:num>
  <w:num w:numId="8">
    <w:abstractNumId w:val="13"/>
  </w:num>
  <w:num w:numId="9">
    <w:abstractNumId w:val="9"/>
  </w:num>
  <w:num w:numId="10">
    <w:abstractNumId w:val="1"/>
  </w:num>
  <w:num w:numId="11">
    <w:abstractNumId w:val="7"/>
  </w:num>
  <w:num w:numId="12">
    <w:abstractNumId w:val="15"/>
  </w:num>
  <w:num w:numId="13">
    <w:abstractNumId w:val="10"/>
  </w:num>
  <w:num w:numId="14">
    <w:abstractNumId w:val="5"/>
  </w:num>
  <w:num w:numId="15">
    <w:abstractNumId w:val="0"/>
  </w:num>
  <w:num w:numId="16">
    <w:abstractNumId w:val="6"/>
  </w:num>
  <w:num w:numId="17">
    <w:abstractNumId w:val="16"/>
  </w:num>
  <w:num w:numId="18">
    <w:abstractNumId w:val="14"/>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66E"/>
    <w:rsid w:val="00013D0E"/>
    <w:rsid w:val="00024E59"/>
    <w:rsid w:val="0002653C"/>
    <w:rsid w:val="00043016"/>
    <w:rsid w:val="00053ED0"/>
    <w:rsid w:val="0005483D"/>
    <w:rsid w:val="00080832"/>
    <w:rsid w:val="00090EE9"/>
    <w:rsid w:val="00092942"/>
    <w:rsid w:val="00094044"/>
    <w:rsid w:val="00095E57"/>
    <w:rsid w:val="000963CB"/>
    <w:rsid w:val="00096519"/>
    <w:rsid w:val="00097A7C"/>
    <w:rsid w:val="000A1AA8"/>
    <w:rsid w:val="000A1D5A"/>
    <w:rsid w:val="000A408F"/>
    <w:rsid w:val="000B0690"/>
    <w:rsid w:val="000B6547"/>
    <w:rsid w:val="000C38FB"/>
    <w:rsid w:val="000D7700"/>
    <w:rsid w:val="000F2CD3"/>
    <w:rsid w:val="000F3157"/>
    <w:rsid w:val="000F66F2"/>
    <w:rsid w:val="00105CA3"/>
    <w:rsid w:val="00116AD0"/>
    <w:rsid w:val="00116F75"/>
    <w:rsid w:val="00121694"/>
    <w:rsid w:val="001240A5"/>
    <w:rsid w:val="001257CB"/>
    <w:rsid w:val="00125A35"/>
    <w:rsid w:val="00125F76"/>
    <w:rsid w:val="00126882"/>
    <w:rsid w:val="001330FF"/>
    <w:rsid w:val="001333C4"/>
    <w:rsid w:val="001354F6"/>
    <w:rsid w:val="00135879"/>
    <w:rsid w:val="001430AA"/>
    <w:rsid w:val="00152B7E"/>
    <w:rsid w:val="00156591"/>
    <w:rsid w:val="00167644"/>
    <w:rsid w:val="00173FA5"/>
    <w:rsid w:val="001761E7"/>
    <w:rsid w:val="00176244"/>
    <w:rsid w:val="00182CAF"/>
    <w:rsid w:val="001833FE"/>
    <w:rsid w:val="00194308"/>
    <w:rsid w:val="00196321"/>
    <w:rsid w:val="00196EB9"/>
    <w:rsid w:val="001A518A"/>
    <w:rsid w:val="001A57AF"/>
    <w:rsid w:val="001A5F60"/>
    <w:rsid w:val="001B11A2"/>
    <w:rsid w:val="001B4E36"/>
    <w:rsid w:val="001C0A8C"/>
    <w:rsid w:val="001D23A8"/>
    <w:rsid w:val="001D30A8"/>
    <w:rsid w:val="001D51E1"/>
    <w:rsid w:val="001E3A80"/>
    <w:rsid w:val="001E3F2F"/>
    <w:rsid w:val="001E62AC"/>
    <w:rsid w:val="001E7B6F"/>
    <w:rsid w:val="00200286"/>
    <w:rsid w:val="00201EC4"/>
    <w:rsid w:val="002116C5"/>
    <w:rsid w:val="00211F44"/>
    <w:rsid w:val="002226F8"/>
    <w:rsid w:val="0022742A"/>
    <w:rsid w:val="002300CD"/>
    <w:rsid w:val="002310D5"/>
    <w:rsid w:val="002344C7"/>
    <w:rsid w:val="00234989"/>
    <w:rsid w:val="00241734"/>
    <w:rsid w:val="00250D28"/>
    <w:rsid w:val="002565EC"/>
    <w:rsid w:val="00262323"/>
    <w:rsid w:val="0028520A"/>
    <w:rsid w:val="002A1E06"/>
    <w:rsid w:val="002A5151"/>
    <w:rsid w:val="002C2004"/>
    <w:rsid w:val="002C464F"/>
    <w:rsid w:val="002D0AAC"/>
    <w:rsid w:val="002D592C"/>
    <w:rsid w:val="002D75A9"/>
    <w:rsid w:val="002E1983"/>
    <w:rsid w:val="002E2319"/>
    <w:rsid w:val="002E2F84"/>
    <w:rsid w:val="002E5FD4"/>
    <w:rsid w:val="002F20E8"/>
    <w:rsid w:val="00302951"/>
    <w:rsid w:val="00303F38"/>
    <w:rsid w:val="00315788"/>
    <w:rsid w:val="00324208"/>
    <w:rsid w:val="00325966"/>
    <w:rsid w:val="00333FE0"/>
    <w:rsid w:val="00344D08"/>
    <w:rsid w:val="00345ED2"/>
    <w:rsid w:val="00350921"/>
    <w:rsid w:val="00352E38"/>
    <w:rsid w:val="00355EB3"/>
    <w:rsid w:val="003620A9"/>
    <w:rsid w:val="00366897"/>
    <w:rsid w:val="00367C35"/>
    <w:rsid w:val="003701CE"/>
    <w:rsid w:val="00381EFA"/>
    <w:rsid w:val="00397012"/>
    <w:rsid w:val="003A3A04"/>
    <w:rsid w:val="003B7254"/>
    <w:rsid w:val="003B76DF"/>
    <w:rsid w:val="003C4E2F"/>
    <w:rsid w:val="003D2FC6"/>
    <w:rsid w:val="003E1C46"/>
    <w:rsid w:val="003E60DC"/>
    <w:rsid w:val="003E7BC9"/>
    <w:rsid w:val="003F049A"/>
    <w:rsid w:val="003F1B9D"/>
    <w:rsid w:val="003F3A61"/>
    <w:rsid w:val="00400DDE"/>
    <w:rsid w:val="00407468"/>
    <w:rsid w:val="00411216"/>
    <w:rsid w:val="00411269"/>
    <w:rsid w:val="004168E8"/>
    <w:rsid w:val="00430FE4"/>
    <w:rsid w:val="00452A72"/>
    <w:rsid w:val="0045778C"/>
    <w:rsid w:val="004602C5"/>
    <w:rsid w:val="004641C0"/>
    <w:rsid w:val="00480E07"/>
    <w:rsid w:val="00490098"/>
    <w:rsid w:val="00490532"/>
    <w:rsid w:val="004936AA"/>
    <w:rsid w:val="00494FA0"/>
    <w:rsid w:val="00496A55"/>
    <w:rsid w:val="004A1173"/>
    <w:rsid w:val="004A64CD"/>
    <w:rsid w:val="004A7E2E"/>
    <w:rsid w:val="004B0BA9"/>
    <w:rsid w:val="004D1432"/>
    <w:rsid w:val="004D1B39"/>
    <w:rsid w:val="004D5BAE"/>
    <w:rsid w:val="004D5C73"/>
    <w:rsid w:val="004E445E"/>
    <w:rsid w:val="004F3B42"/>
    <w:rsid w:val="00501F48"/>
    <w:rsid w:val="00504AF3"/>
    <w:rsid w:val="00522DCD"/>
    <w:rsid w:val="005244DC"/>
    <w:rsid w:val="00535FA2"/>
    <w:rsid w:val="00542CEC"/>
    <w:rsid w:val="0056005F"/>
    <w:rsid w:val="00564F6C"/>
    <w:rsid w:val="00565A1E"/>
    <w:rsid w:val="00572CD5"/>
    <w:rsid w:val="005773DE"/>
    <w:rsid w:val="0059448F"/>
    <w:rsid w:val="005A1658"/>
    <w:rsid w:val="005A701B"/>
    <w:rsid w:val="005B294B"/>
    <w:rsid w:val="005B5060"/>
    <w:rsid w:val="005D0C9E"/>
    <w:rsid w:val="005D23D0"/>
    <w:rsid w:val="005E136B"/>
    <w:rsid w:val="005E304B"/>
    <w:rsid w:val="005E45EA"/>
    <w:rsid w:val="005F1FB3"/>
    <w:rsid w:val="005F56A1"/>
    <w:rsid w:val="005F57C5"/>
    <w:rsid w:val="00612988"/>
    <w:rsid w:val="006167B9"/>
    <w:rsid w:val="00616C2B"/>
    <w:rsid w:val="006251E1"/>
    <w:rsid w:val="006277AE"/>
    <w:rsid w:val="0063311C"/>
    <w:rsid w:val="00637829"/>
    <w:rsid w:val="00640975"/>
    <w:rsid w:val="00640CBB"/>
    <w:rsid w:val="006450F8"/>
    <w:rsid w:val="00656ABF"/>
    <w:rsid w:val="00667FB0"/>
    <w:rsid w:val="00670810"/>
    <w:rsid w:val="00670E74"/>
    <w:rsid w:val="0067602A"/>
    <w:rsid w:val="00681C0B"/>
    <w:rsid w:val="00682C5E"/>
    <w:rsid w:val="00686CEF"/>
    <w:rsid w:val="00687045"/>
    <w:rsid w:val="00695A3B"/>
    <w:rsid w:val="006A7D74"/>
    <w:rsid w:val="006B6C63"/>
    <w:rsid w:val="006B70E5"/>
    <w:rsid w:val="006C3002"/>
    <w:rsid w:val="006D0EAC"/>
    <w:rsid w:val="006D51AA"/>
    <w:rsid w:val="006D642B"/>
    <w:rsid w:val="006D709A"/>
    <w:rsid w:val="006E030B"/>
    <w:rsid w:val="006E2201"/>
    <w:rsid w:val="006E5066"/>
    <w:rsid w:val="006F4EAA"/>
    <w:rsid w:val="006F7878"/>
    <w:rsid w:val="00700BC4"/>
    <w:rsid w:val="00706DBC"/>
    <w:rsid w:val="00712D91"/>
    <w:rsid w:val="0071346B"/>
    <w:rsid w:val="00715491"/>
    <w:rsid w:val="0073620F"/>
    <w:rsid w:val="00737D7B"/>
    <w:rsid w:val="00741261"/>
    <w:rsid w:val="00751061"/>
    <w:rsid w:val="00751D56"/>
    <w:rsid w:val="00762397"/>
    <w:rsid w:val="007663DD"/>
    <w:rsid w:val="007676BC"/>
    <w:rsid w:val="00767966"/>
    <w:rsid w:val="00771DD8"/>
    <w:rsid w:val="00782585"/>
    <w:rsid w:val="007A05E8"/>
    <w:rsid w:val="007A18D6"/>
    <w:rsid w:val="007A79C1"/>
    <w:rsid w:val="007C2BFB"/>
    <w:rsid w:val="007D3D3B"/>
    <w:rsid w:val="007D4F06"/>
    <w:rsid w:val="007E512C"/>
    <w:rsid w:val="007F2C31"/>
    <w:rsid w:val="007F39E3"/>
    <w:rsid w:val="00805854"/>
    <w:rsid w:val="00815551"/>
    <w:rsid w:val="008176B8"/>
    <w:rsid w:val="0082126F"/>
    <w:rsid w:val="0082234D"/>
    <w:rsid w:val="00822BCD"/>
    <w:rsid w:val="00837463"/>
    <w:rsid w:val="0084524A"/>
    <w:rsid w:val="00850C3C"/>
    <w:rsid w:val="00851A46"/>
    <w:rsid w:val="008523A2"/>
    <w:rsid w:val="0085447A"/>
    <w:rsid w:val="00862D20"/>
    <w:rsid w:val="00867DFD"/>
    <w:rsid w:val="00881210"/>
    <w:rsid w:val="00882794"/>
    <w:rsid w:val="0089286D"/>
    <w:rsid w:val="008A7471"/>
    <w:rsid w:val="008B29D2"/>
    <w:rsid w:val="008B42A3"/>
    <w:rsid w:val="008C5A95"/>
    <w:rsid w:val="008D24E3"/>
    <w:rsid w:val="008D6158"/>
    <w:rsid w:val="008D681C"/>
    <w:rsid w:val="008F40D8"/>
    <w:rsid w:val="008F4824"/>
    <w:rsid w:val="008F5C98"/>
    <w:rsid w:val="00901316"/>
    <w:rsid w:val="00902F09"/>
    <w:rsid w:val="00906454"/>
    <w:rsid w:val="00912E0C"/>
    <w:rsid w:val="00916BFE"/>
    <w:rsid w:val="009261E0"/>
    <w:rsid w:val="00934EA4"/>
    <w:rsid w:val="009521E4"/>
    <w:rsid w:val="009646AC"/>
    <w:rsid w:val="009658BA"/>
    <w:rsid w:val="0096777C"/>
    <w:rsid w:val="0097694F"/>
    <w:rsid w:val="00977608"/>
    <w:rsid w:val="00984635"/>
    <w:rsid w:val="009905AE"/>
    <w:rsid w:val="00997F02"/>
    <w:rsid w:val="009B289F"/>
    <w:rsid w:val="009B31B9"/>
    <w:rsid w:val="009B6540"/>
    <w:rsid w:val="009B6C08"/>
    <w:rsid w:val="009C008A"/>
    <w:rsid w:val="009C1062"/>
    <w:rsid w:val="009C4ED7"/>
    <w:rsid w:val="009D7F20"/>
    <w:rsid w:val="009E1463"/>
    <w:rsid w:val="009E2E66"/>
    <w:rsid w:val="009F4E60"/>
    <w:rsid w:val="00A0145A"/>
    <w:rsid w:val="00A035A1"/>
    <w:rsid w:val="00A207EB"/>
    <w:rsid w:val="00A21BF9"/>
    <w:rsid w:val="00A22637"/>
    <w:rsid w:val="00A26861"/>
    <w:rsid w:val="00A32ACB"/>
    <w:rsid w:val="00A34CE1"/>
    <w:rsid w:val="00A36BCA"/>
    <w:rsid w:val="00A72C07"/>
    <w:rsid w:val="00A767AA"/>
    <w:rsid w:val="00A76B04"/>
    <w:rsid w:val="00A817D1"/>
    <w:rsid w:val="00A85AD8"/>
    <w:rsid w:val="00A87EDD"/>
    <w:rsid w:val="00A92F46"/>
    <w:rsid w:val="00A943DA"/>
    <w:rsid w:val="00AA70FA"/>
    <w:rsid w:val="00AB18BF"/>
    <w:rsid w:val="00AB440A"/>
    <w:rsid w:val="00AB44F1"/>
    <w:rsid w:val="00AC2469"/>
    <w:rsid w:val="00AC2762"/>
    <w:rsid w:val="00AC380E"/>
    <w:rsid w:val="00AC3BDB"/>
    <w:rsid w:val="00AC4C22"/>
    <w:rsid w:val="00AD1F45"/>
    <w:rsid w:val="00AD63DB"/>
    <w:rsid w:val="00AE07AF"/>
    <w:rsid w:val="00AE2683"/>
    <w:rsid w:val="00AF4A8D"/>
    <w:rsid w:val="00B02F86"/>
    <w:rsid w:val="00B0403C"/>
    <w:rsid w:val="00B06BD8"/>
    <w:rsid w:val="00B074FC"/>
    <w:rsid w:val="00B13385"/>
    <w:rsid w:val="00B145D3"/>
    <w:rsid w:val="00B20C47"/>
    <w:rsid w:val="00B213F6"/>
    <w:rsid w:val="00B336D4"/>
    <w:rsid w:val="00B369BC"/>
    <w:rsid w:val="00B36E9C"/>
    <w:rsid w:val="00B40020"/>
    <w:rsid w:val="00B42C38"/>
    <w:rsid w:val="00B47CF0"/>
    <w:rsid w:val="00B558A6"/>
    <w:rsid w:val="00B6049C"/>
    <w:rsid w:val="00B60E9B"/>
    <w:rsid w:val="00B62C6C"/>
    <w:rsid w:val="00B64089"/>
    <w:rsid w:val="00B71072"/>
    <w:rsid w:val="00B76DAD"/>
    <w:rsid w:val="00B825D7"/>
    <w:rsid w:val="00B87D26"/>
    <w:rsid w:val="00B93AC4"/>
    <w:rsid w:val="00BA71E3"/>
    <w:rsid w:val="00BB4CFC"/>
    <w:rsid w:val="00BB788D"/>
    <w:rsid w:val="00BC042C"/>
    <w:rsid w:val="00BD5C66"/>
    <w:rsid w:val="00BD775A"/>
    <w:rsid w:val="00BF2DB8"/>
    <w:rsid w:val="00C00613"/>
    <w:rsid w:val="00C03E13"/>
    <w:rsid w:val="00C15774"/>
    <w:rsid w:val="00C157F3"/>
    <w:rsid w:val="00C17DCD"/>
    <w:rsid w:val="00C246F0"/>
    <w:rsid w:val="00C36FA7"/>
    <w:rsid w:val="00C411EC"/>
    <w:rsid w:val="00C459D6"/>
    <w:rsid w:val="00C508E2"/>
    <w:rsid w:val="00C57775"/>
    <w:rsid w:val="00C62442"/>
    <w:rsid w:val="00C62DD1"/>
    <w:rsid w:val="00C6476A"/>
    <w:rsid w:val="00C669F0"/>
    <w:rsid w:val="00C80C36"/>
    <w:rsid w:val="00C828C3"/>
    <w:rsid w:val="00CA0504"/>
    <w:rsid w:val="00CB1E09"/>
    <w:rsid w:val="00CB3DC7"/>
    <w:rsid w:val="00CB769F"/>
    <w:rsid w:val="00CD095E"/>
    <w:rsid w:val="00CD1D4A"/>
    <w:rsid w:val="00CD5DCA"/>
    <w:rsid w:val="00CE7A55"/>
    <w:rsid w:val="00CF255D"/>
    <w:rsid w:val="00D0077D"/>
    <w:rsid w:val="00D035C1"/>
    <w:rsid w:val="00D036AC"/>
    <w:rsid w:val="00D06437"/>
    <w:rsid w:val="00D10FBF"/>
    <w:rsid w:val="00D163E7"/>
    <w:rsid w:val="00D209FE"/>
    <w:rsid w:val="00D2229A"/>
    <w:rsid w:val="00D24D99"/>
    <w:rsid w:val="00D3607C"/>
    <w:rsid w:val="00D43429"/>
    <w:rsid w:val="00D51914"/>
    <w:rsid w:val="00D5403B"/>
    <w:rsid w:val="00D559DC"/>
    <w:rsid w:val="00D56BAD"/>
    <w:rsid w:val="00D617C3"/>
    <w:rsid w:val="00D64034"/>
    <w:rsid w:val="00D64399"/>
    <w:rsid w:val="00D6606B"/>
    <w:rsid w:val="00D6729D"/>
    <w:rsid w:val="00D81D9B"/>
    <w:rsid w:val="00D81E15"/>
    <w:rsid w:val="00D875D2"/>
    <w:rsid w:val="00DC00F9"/>
    <w:rsid w:val="00DC3F47"/>
    <w:rsid w:val="00DC4780"/>
    <w:rsid w:val="00DC7181"/>
    <w:rsid w:val="00DD36A8"/>
    <w:rsid w:val="00DE1522"/>
    <w:rsid w:val="00DE23D1"/>
    <w:rsid w:val="00DE4A8E"/>
    <w:rsid w:val="00DE59A8"/>
    <w:rsid w:val="00E01100"/>
    <w:rsid w:val="00E30BE0"/>
    <w:rsid w:val="00E43BA0"/>
    <w:rsid w:val="00E43E0C"/>
    <w:rsid w:val="00E46176"/>
    <w:rsid w:val="00E46F99"/>
    <w:rsid w:val="00E674AB"/>
    <w:rsid w:val="00E7274C"/>
    <w:rsid w:val="00E727E3"/>
    <w:rsid w:val="00E812FB"/>
    <w:rsid w:val="00E916CE"/>
    <w:rsid w:val="00EA0F79"/>
    <w:rsid w:val="00EA1976"/>
    <w:rsid w:val="00EA53F9"/>
    <w:rsid w:val="00EC1C07"/>
    <w:rsid w:val="00ED3E1C"/>
    <w:rsid w:val="00EE1568"/>
    <w:rsid w:val="00EF7CD4"/>
    <w:rsid w:val="00F0562A"/>
    <w:rsid w:val="00F14291"/>
    <w:rsid w:val="00F20B85"/>
    <w:rsid w:val="00F20DC3"/>
    <w:rsid w:val="00F22035"/>
    <w:rsid w:val="00F247F2"/>
    <w:rsid w:val="00F31958"/>
    <w:rsid w:val="00F31BE7"/>
    <w:rsid w:val="00F338B8"/>
    <w:rsid w:val="00F41C3C"/>
    <w:rsid w:val="00F42D49"/>
    <w:rsid w:val="00F44DDE"/>
    <w:rsid w:val="00F4554F"/>
    <w:rsid w:val="00F501EA"/>
    <w:rsid w:val="00F5082F"/>
    <w:rsid w:val="00F515F1"/>
    <w:rsid w:val="00F53412"/>
    <w:rsid w:val="00F620B3"/>
    <w:rsid w:val="00F63388"/>
    <w:rsid w:val="00F63CB7"/>
    <w:rsid w:val="00F7387C"/>
    <w:rsid w:val="00F77144"/>
    <w:rsid w:val="00F8097C"/>
    <w:rsid w:val="00F80FF9"/>
    <w:rsid w:val="00F83FC0"/>
    <w:rsid w:val="00F87EE1"/>
    <w:rsid w:val="00F90251"/>
    <w:rsid w:val="00F9361C"/>
    <w:rsid w:val="00FA22EA"/>
    <w:rsid w:val="00FA4D94"/>
    <w:rsid w:val="00FA51FE"/>
    <w:rsid w:val="00FA56FC"/>
    <w:rsid w:val="00FB27E7"/>
    <w:rsid w:val="00FB3419"/>
    <w:rsid w:val="00FC2D61"/>
    <w:rsid w:val="00FC34B8"/>
    <w:rsid w:val="00FC3CBC"/>
    <w:rsid w:val="00FC3EF2"/>
    <w:rsid w:val="00FD0903"/>
    <w:rsid w:val="00FD37D0"/>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8</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36</cp:revision>
  <dcterms:created xsi:type="dcterms:W3CDTF">2022-03-13T01:22:00Z</dcterms:created>
  <dcterms:modified xsi:type="dcterms:W3CDTF">2022-03-14T23:28:00Z</dcterms:modified>
</cp:coreProperties>
</file>