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7CB35">
      <w:pPr>
        <w:spacing w:after="1400" w:line="300" w:lineRule="auto"/>
        <w:jc w:val="center"/>
        <w:rPr>
          <w:color w:val="000000" w:themeColor="text1"/>
          <w14:textFill>
            <w14:solidFill>
              <w14:schemeClr w14:val="tx1"/>
            </w14:solidFill>
          </w14:textFill>
        </w:rPr>
      </w:pPr>
    </w:p>
    <w:p w14:paraId="77A99FE4">
      <w:pPr>
        <w:spacing w:after="60" w:line="30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6"/>
          <w:szCs w:val="26"/>
          <w14:textFill>
            <w14:solidFill>
              <w14:schemeClr w14:val="tx1"/>
            </w14:solidFill>
          </w14:textFill>
        </w:rPr>
        <w:t>CS ELEC 6 – Introduction to Cognitive Computing</w:t>
      </w:r>
    </w:p>
    <w:p w14:paraId="283F0117">
      <w:pPr>
        <w:spacing w:after="500" w:line="300" w:lineRule="auto"/>
        <w:jc w:val="center"/>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6"/>
          <w:szCs w:val="26"/>
          <w14:textFill>
            <w14:solidFill>
              <w14:schemeClr w14:val="tx1"/>
            </w14:solidFill>
          </w14:textFill>
        </w:rPr>
        <w:t>Prefinal Project Proposal</w:t>
      </w:r>
    </w:p>
    <w:p w14:paraId="19E628B2">
      <w:pPr>
        <w:spacing w:after="80" w:line="30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40"/>
          <w:szCs w:val="40"/>
          <w14:textFill>
            <w14:solidFill>
              <w14:schemeClr w14:val="tx1"/>
            </w14:solidFill>
          </w14:textFill>
        </w:rPr>
        <w:t>COGNITIVE CAMPUS ASSISTANT</w:t>
      </w:r>
    </w:p>
    <w:p w14:paraId="49C682E7">
      <w:pPr>
        <w:spacing w:after="600" w:line="300" w:lineRule="auto"/>
        <w:jc w:val="center"/>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 xml:space="preserve">An Enrollment Requirements and Student Services Advisor for </w:t>
      </w:r>
      <w:r>
        <w:rPr>
          <w:rFonts w:hint="default" w:cs="Times New Roman"/>
          <w:b w:val="0"/>
          <w:bCs w:val="0"/>
          <w:color w:val="000000" w:themeColor="text1"/>
          <w:sz w:val="28"/>
          <w:szCs w:val="28"/>
          <w:lang w:val="en-US"/>
          <w14:textFill>
            <w14:solidFill>
              <w14:schemeClr w14:val="tx1"/>
            </w14:solidFill>
          </w14:textFill>
        </w:rPr>
        <w:t>GRA SCHOOL</w:t>
      </w:r>
      <w:r>
        <w:rPr>
          <w:rFonts w:ascii="Times New Roman" w:hAnsi="Times New Roman" w:eastAsia="Times New Roman" w:cs="Times New Roman"/>
          <w:b w:val="0"/>
          <w:bCs w:val="0"/>
          <w:color w:val="000000" w:themeColor="text1"/>
          <w:sz w:val="28"/>
          <w:szCs w:val="28"/>
          <w14:textFill>
            <w14:solidFill>
              <w14:schemeClr w14:val="tx1"/>
            </w14:solidFill>
          </w14:textFill>
        </w:rPr>
        <w:t xml:space="preserve"> Registrar’s Office</w:t>
      </w:r>
    </w:p>
    <w:p w14:paraId="6B252736">
      <w:pPr>
        <w:spacing w:after="120" w:line="300" w:lineRule="auto"/>
        <w:jc w:val="center"/>
        <w:rPr>
          <w:rFonts w:hint="default" w:cs="Times New Roman"/>
          <w:b/>
          <w:bCs/>
          <w:color w:val="000000" w:themeColor="text1"/>
          <w:sz w:val="24"/>
          <w:szCs w:val="24"/>
          <w:lang w:val="en-US"/>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Team</w:t>
      </w:r>
      <w:r>
        <w:rPr>
          <w:rFonts w:hint="default" w:cs="Times New Roman"/>
          <w:b/>
          <w:bCs/>
          <w:color w:val="000000" w:themeColor="text1"/>
          <w:sz w:val="24"/>
          <w:szCs w:val="24"/>
          <w:lang w:val="en-US"/>
          <w14:textFill>
            <w14:solidFill>
              <w14:schemeClr w14:val="tx1"/>
            </w14:solidFill>
          </w14:textFill>
        </w:rPr>
        <w:t>:</w:t>
      </w:r>
    </w:p>
    <w:p w14:paraId="0A54F6A6">
      <w:pPr>
        <w:numPr>
          <w:ilvl w:val="0"/>
          <w:numId w:val="0"/>
        </w:numPr>
        <w:spacing w:after="120" w:line="300" w:lineRule="auto"/>
        <w:jc w:val="center"/>
        <w:rPr>
          <w:rFonts w:hint="default" w:cs="Times New Roman"/>
          <w:b/>
          <w:bCs/>
          <w:color w:val="000000" w:themeColor="text1"/>
          <w:sz w:val="24"/>
          <w:szCs w:val="24"/>
          <w:u w:val="single"/>
          <w:lang w:val="en-US"/>
          <w14:textFill>
            <w14:solidFill>
              <w14:schemeClr w14:val="tx1"/>
            </w14:solidFill>
          </w14:textFill>
        </w:rPr>
      </w:pPr>
      <w:r>
        <w:rPr>
          <w:rFonts w:hint="default" w:cs="Times New Roman"/>
          <w:b/>
          <w:bCs/>
          <w:color w:val="000000" w:themeColor="text1"/>
          <w:sz w:val="24"/>
          <w:szCs w:val="24"/>
          <w:u w:val="single"/>
          <w:lang w:val="en-US"/>
          <w14:textFill>
            <w14:solidFill>
              <w14:schemeClr w14:val="tx1"/>
            </w14:solidFill>
          </w14:textFill>
        </w:rPr>
        <w:t>Mirabete, John Earl C.</w:t>
      </w:r>
    </w:p>
    <w:p w14:paraId="2F5EB90B">
      <w:pPr>
        <w:numPr>
          <w:ilvl w:val="0"/>
          <w:numId w:val="0"/>
        </w:numPr>
        <w:spacing w:after="120" w:line="300" w:lineRule="auto"/>
        <w:ind w:leftChars="0"/>
        <w:jc w:val="center"/>
        <w:rPr>
          <w:rFonts w:hint="default" w:cs="Times New Roman"/>
          <w:b/>
          <w:bCs/>
          <w:color w:val="000000" w:themeColor="text1"/>
          <w:sz w:val="24"/>
          <w:szCs w:val="24"/>
          <w:u w:val="single"/>
          <w:lang w:val="en-US"/>
          <w14:textFill>
            <w14:solidFill>
              <w14:schemeClr w14:val="tx1"/>
            </w14:solidFill>
          </w14:textFill>
        </w:rPr>
      </w:pPr>
      <w:r>
        <w:rPr>
          <w:rFonts w:hint="default" w:cs="Times New Roman"/>
          <w:b/>
          <w:bCs/>
          <w:color w:val="000000" w:themeColor="text1"/>
          <w:sz w:val="24"/>
          <w:szCs w:val="24"/>
          <w:u w:val="single"/>
          <w:lang w:val="en-US"/>
          <w14:textFill>
            <w14:solidFill>
              <w14:schemeClr w14:val="tx1"/>
            </w14:solidFill>
          </w14:textFill>
        </w:rPr>
        <w:t>Napili, Tristan</w:t>
      </w:r>
    </w:p>
    <w:p w14:paraId="1B0CA329">
      <w:pPr>
        <w:spacing w:after="40" w:line="300" w:lineRule="auto"/>
        <w:jc w:val="center"/>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Knowledge and conversation</w:t>
      </w:r>
    </w:p>
    <w:p w14:paraId="699110EF">
      <w:pPr>
        <w:spacing w:after="40" w:line="300" w:lineRule="auto"/>
        <w:jc w:val="center"/>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Data and learning</w:t>
      </w:r>
    </w:p>
    <w:p w14:paraId="00BCDCC6">
      <w:pPr>
        <w:spacing w:after="40" w:line="300" w:lineRule="auto"/>
        <w:jc w:val="center"/>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Integration and interface</w:t>
      </w:r>
    </w:p>
    <w:p w14:paraId="62185976">
      <w:pPr>
        <w:spacing w:after="500" w:line="300" w:lineRule="auto"/>
        <w:jc w:val="center"/>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Perception and analytics</w:t>
      </w:r>
    </w:p>
    <w:p w14:paraId="2972E8C4">
      <w:pPr>
        <w:spacing w:after="60" w:line="300" w:lineRule="auto"/>
        <w:jc w:val="center"/>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BSCS, School of Engineering and Computer Studies · CS4-A · 1st Semester, AY 2026–2027</w:t>
      </w:r>
    </w:p>
    <w:p w14:paraId="6A229D95">
      <w:pPr>
        <w:spacing w:after="60" w:line="300" w:lineRule="auto"/>
        <w:jc w:val="center"/>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 xml:space="preserve">Instructor: </w:t>
      </w:r>
      <w:r>
        <w:rPr>
          <w:rFonts w:ascii="Times New Roman" w:hAnsi="Times New Roman" w:eastAsia="Times New Roman" w:cs="Times New Roman"/>
          <w:b w:val="0"/>
          <w:bCs w:val="0"/>
          <w:color w:val="000000" w:themeColor="text1"/>
          <w:sz w:val="24"/>
          <w:szCs w:val="24"/>
          <w:u w:val="single"/>
          <w14:textFill>
            <w14:solidFill>
              <w14:schemeClr w14:val="tx1"/>
            </w14:solidFill>
          </w14:textFill>
        </w:rPr>
        <w:t>Neal Errol K. Bulawan</w:t>
      </w:r>
    </w:p>
    <w:p w14:paraId="5EC6DA8F">
      <w:pPr>
        <w:spacing w:after="60" w:line="300" w:lineRule="auto"/>
        <w:jc w:val="center"/>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Date submitted:</w:t>
      </w:r>
      <w:r>
        <w:rPr>
          <w:rFonts w:ascii="Times New Roman" w:hAnsi="Times New Roman" w:eastAsia="Times New Roman" w:cs="Times New Roman"/>
          <w:b w:val="0"/>
          <w:bCs w:val="0"/>
          <w:color w:val="000000" w:themeColor="text1"/>
          <w:sz w:val="24"/>
          <w:szCs w:val="24"/>
          <w:highlight w:val="none"/>
          <w14:textFill>
            <w14:solidFill>
              <w14:schemeClr w14:val="tx1"/>
            </w14:solidFill>
          </w14:textFill>
        </w:rPr>
        <w:t xml:space="preserve"> </w:t>
      </w:r>
      <w:r>
        <w:rPr>
          <w:rFonts w:hint="default" w:cs="Times New Roman"/>
          <w:b w:val="0"/>
          <w:bCs w:val="0"/>
          <w:color w:val="000000" w:themeColor="text1"/>
          <w:sz w:val="24"/>
          <w:szCs w:val="24"/>
          <w:highlight w:val="none"/>
          <w:lang w:val="en-US"/>
          <w14:textFill>
            <w14:solidFill>
              <w14:schemeClr w14:val="tx1"/>
            </w14:solidFill>
          </w14:textFill>
        </w:rPr>
        <w:t>10/26/2026</w:t>
      </w:r>
    </w:p>
    <w:p w14:paraId="2B753A45">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229C217">
      <w:pPr>
        <w:pStyle w:val="2"/>
        <w:keepNext/>
        <w:spacing w:before="200" w:after="1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 xml:space="preserve">PART </w:t>
      </w:r>
      <w:r>
        <w:rPr>
          <w:rFonts w:hint="default" w:cs="Times New Roman"/>
          <w:b/>
          <w:bCs/>
          <w:color w:val="000000" w:themeColor="text1"/>
          <w:sz w:val="28"/>
          <w:szCs w:val="28"/>
          <w:lang w:val="en-PH"/>
          <w14:textFill>
            <w14:solidFill>
              <w14:schemeClr w14:val="tx1"/>
            </w14:solidFill>
          </w14:textFill>
        </w:rPr>
        <w:t xml:space="preserve">1:  </w:t>
      </w:r>
      <w:r>
        <w:rPr>
          <w:rFonts w:ascii="Times New Roman" w:hAnsi="Times New Roman" w:eastAsia="Times New Roman" w:cs="Times New Roman"/>
          <w:b/>
          <w:bCs/>
          <w:color w:val="000000" w:themeColor="text1"/>
          <w:sz w:val="28"/>
          <w:szCs w:val="28"/>
          <w14:textFill>
            <w14:solidFill>
              <w14:schemeClr w14:val="tx1"/>
            </w14:solidFill>
          </w14:textFill>
        </w:rPr>
        <w:t>THE SITUATION</w:t>
      </w:r>
    </w:p>
    <w:p w14:paraId="4D91477C">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 Title Page</w:t>
      </w:r>
    </w:p>
    <w:p w14:paraId="0ED82873">
      <w:pPr>
        <w:numPr>
          <w:numId w:val="0"/>
        </w:numPr>
        <w:spacing w:after="80" w:line="300" w:lineRule="auto"/>
        <w:ind w:leftChars="0" w:firstLine="500" w:firstLineChars="0"/>
        <w:jc w:val="both"/>
        <w:rPr>
          <w:rFonts w:hint="default" w:ascii="Times New Roman" w:hAnsi="Times New Roman" w:cs="Times New Roman"/>
          <w:color w:val="000000" w:themeColor="text1"/>
          <w:sz w:val="24"/>
          <w:szCs w:val="24"/>
          <w:shd w:val="clear" w:color="auto" w:fill="auto"/>
          <w:lang w:val="en-PH"/>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Ask anything about enrollment, requirements, fees, clearance or your documents. Answers come from the GRA SCHOOL - Registrar's Office rule base and knowledge base, with a confidence score and the source shown.</w:t>
      </w:r>
    </w:p>
    <w:p w14:paraId="0536C051">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2. The Situation</w:t>
      </w:r>
    </w:p>
    <w:p w14:paraId="44A90A29">
      <w:pPr>
        <w:spacing w:after="80" w:line="360" w:lineRule="auto"/>
        <w:ind w:firstLine="500" w:firstLineChars="0"/>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The place and the people.</w:t>
      </w:r>
      <w:r>
        <w:rPr>
          <w:rFonts w:ascii="Times New Roman" w:hAnsi="Times New Roman" w:eastAsia="Times New Roman" w:cs="Times New Roman"/>
          <w:color w:val="000000" w:themeColor="text1"/>
          <w:sz w:val="24"/>
          <w:szCs w:val="24"/>
          <w14:textFill>
            <w14:solidFill>
              <w14:schemeClr w14:val="tx1"/>
            </w14:solidFill>
          </w14:textFill>
        </w:rPr>
        <w:t xml:space="preserve"> The Registrar’s Office of </w:t>
      </w:r>
      <w:r>
        <w:rPr>
          <w:rFonts w:hint="default" w:cs="Times New Roman"/>
          <w:color w:val="000000" w:themeColor="text1"/>
          <w:sz w:val="24"/>
          <w:szCs w:val="24"/>
          <w:lang w:val="en-US"/>
          <w14:textFill>
            <w14:solidFill>
              <w14:schemeClr w14:val="tx1"/>
            </w14:solidFill>
          </w14:textFill>
        </w:rPr>
        <w:t>Gra School</w:t>
      </w:r>
      <w:r>
        <w:rPr>
          <w:rFonts w:ascii="Times New Roman" w:hAnsi="Times New Roman" w:eastAsia="Times New Roman" w:cs="Times New Roman"/>
          <w:color w:val="000000" w:themeColor="text1"/>
          <w:sz w:val="24"/>
          <w:szCs w:val="24"/>
          <w14:textFill>
            <w14:solidFill>
              <w14:schemeClr w14:val="tx1"/>
            </w14:solidFill>
          </w14:textFill>
        </w:rPr>
        <w:t xml:space="preserve"> serves freshmen, transferees, and returning students every enrollment period. Two to </w:t>
      </w:r>
      <w:r>
        <w:rPr>
          <w:rFonts w:hint="default" w:cs="Times New Roman"/>
          <w:color w:val="000000" w:themeColor="text1"/>
          <w:sz w:val="24"/>
          <w:szCs w:val="24"/>
          <w:lang w:val="en-US"/>
          <w14:textFill>
            <w14:solidFill>
              <w14:schemeClr w14:val="tx1"/>
            </w14:solidFill>
          </w14:textFill>
        </w:rPr>
        <w:t>2</w:t>
      </w:r>
      <w:r>
        <w:rPr>
          <w:rFonts w:ascii="Times New Roman" w:hAnsi="Times New Roman" w:eastAsia="Times New Roman" w:cs="Times New Roman"/>
          <w:color w:val="000000" w:themeColor="text1"/>
          <w:sz w:val="24"/>
          <w:szCs w:val="24"/>
          <w14:textFill>
            <w14:solidFill>
              <w14:schemeClr w14:val="tx1"/>
            </w14:solidFill>
          </w14:textFill>
        </w:rPr>
        <w:t xml:space="preserve"> staff members answer questions at the window, by Messenger, and by phone. Most of the answers are already printed in the student handbook and on posted announcements, but students still ask staff in person.</w:t>
      </w:r>
    </w:p>
    <w:p w14:paraId="6CBECF3E">
      <w:pPr>
        <w:spacing w:after="80" w:line="360" w:lineRule="auto"/>
        <w:ind w:firstLine="500" w:firstLineChars="0"/>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How the work is done today.</w:t>
      </w:r>
      <w:r>
        <w:rPr>
          <w:rFonts w:ascii="Times New Roman" w:hAnsi="Times New Roman" w:eastAsia="Times New Roman" w:cs="Times New Roman"/>
          <w:color w:val="000000" w:themeColor="text1"/>
          <w:sz w:val="24"/>
          <w:szCs w:val="24"/>
          <w14:textFill>
            <w14:solidFill>
              <w14:schemeClr w14:val="tx1"/>
            </w14:solidFill>
          </w14:textFill>
        </w:rPr>
        <w:t xml:space="preserve"> A student joins the queue, states the concern, and the staff member recalls the requirements for that type of student, checks the documents the student carries, and tells the student which window to visit next. The same steps are repeated for each student.</w:t>
      </w:r>
    </w:p>
    <w:p w14:paraId="77CD48CA">
      <w:pPr>
        <w:spacing w:after="80" w:line="360" w:lineRule="auto"/>
        <w:ind w:firstLine="500" w:firstLineChars="0"/>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What goes wrong.</w:t>
      </w:r>
      <w:r>
        <w:rPr>
          <w:rFonts w:ascii="Times New Roman" w:hAnsi="Times New Roman" w:eastAsia="Times New Roman" w:cs="Times New Roman"/>
          <w:color w:val="000000" w:themeColor="text1"/>
          <w:sz w:val="24"/>
          <w:szCs w:val="24"/>
          <w14:textFill>
            <w14:solidFill>
              <w14:schemeClr w14:val="tx1"/>
            </w14:solidFill>
          </w14:textFill>
        </w:rPr>
        <w:t xml:space="preserve"> The team’s observation as clients of the service (to be completed with the numbers collected) points to these problems:</w:t>
      </w:r>
    </w:p>
    <w:p w14:paraId="3809679A">
      <w:pPr>
        <w:pStyle w:val="16"/>
        <w:numPr>
          <w:ilvl w:val="0"/>
          <w:numId w:val="1"/>
        </w:numPr>
        <w:spacing w:after="4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Repeated questions: the same five or six questions (requirements, schedule, fees, clearance, office hours) make up most of the queue.</w:t>
      </w:r>
    </w:p>
    <w:p w14:paraId="4F95D67F">
      <w:pPr>
        <w:pStyle w:val="16"/>
        <w:numPr>
          <w:ilvl w:val="0"/>
          <w:numId w:val="1"/>
        </w:numPr>
        <w:spacing w:after="4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Inconsistent answers: different staff members or older posts give different wording or outdated dates.</w:t>
      </w:r>
    </w:p>
    <w:p w14:paraId="0F5C46B2">
      <w:pPr>
        <w:pStyle w:val="16"/>
        <w:numPr>
          <w:ilvl w:val="0"/>
          <w:numId w:val="1"/>
        </w:numPr>
        <w:spacing w:after="4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Wasted trips: students arrive with incomplete documents and are sent back.</w:t>
      </w:r>
    </w:p>
    <w:p w14:paraId="60D0FB6B">
      <w:pPr>
        <w:pStyle w:val="16"/>
        <w:numPr>
          <w:ilvl w:val="0"/>
          <w:numId w:val="1"/>
        </w:numPr>
        <w:spacing w:after="4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Staff overload at peak days, with no record of which questions are most common, so staff cannot plan ahead.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3360"/>
      </w:tblGrid>
      <w:tr w14:paraId="5503D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5C643D42">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Evidence the team collects (public information and own experience only)</w:t>
            </w:r>
          </w:p>
        </w:tc>
        <w:tc>
          <w:tcPr>
            <w:tcW w:w="33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1F2C4D92">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Value</w:t>
            </w:r>
          </w:p>
        </w:tc>
      </w:tr>
      <w:tr w14:paraId="27F1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73713B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Queue observations (number of visits, date, time of day)</w:t>
            </w:r>
          </w:p>
        </w:tc>
        <w:tc>
          <w:tcPr>
            <w:tcW w:w="33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vAlign w:val="top"/>
          </w:tcPr>
          <w:p w14:paraId="5D448AEC">
            <w:pPr>
              <w:spacing w:after="0" w:line="240" w:lineRule="auto"/>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none"/>
                <w14:textFill>
                  <w14:solidFill>
                    <w14:schemeClr w14:val="tx1"/>
                  </w14:solidFill>
                </w14:textFill>
              </w:rPr>
              <w:t>[n visits; dates]</w:t>
            </w:r>
          </w:p>
        </w:tc>
      </w:tr>
      <w:tr w14:paraId="511B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B0FEBF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Average waiting time observed</w:t>
            </w:r>
          </w:p>
        </w:tc>
        <w:tc>
          <w:tcPr>
            <w:tcW w:w="33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vAlign w:val="top"/>
          </w:tcPr>
          <w:p w14:paraId="464B3F8D">
            <w:pPr>
              <w:spacing w:after="0" w:line="240" w:lineRule="auto"/>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none"/>
                <w14:textFill>
                  <w14:solidFill>
                    <w14:schemeClr w14:val="tx1"/>
                  </w14:solidFill>
                </w14:textFill>
              </w:rPr>
              <w:t>[minutes]</w:t>
            </w:r>
          </w:p>
        </w:tc>
      </w:tr>
      <w:tr w14:paraId="2A5D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1F9DEA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Share of questions that were repeats of the five common topics</w:t>
            </w:r>
          </w:p>
        </w:tc>
        <w:tc>
          <w:tcPr>
            <w:tcW w:w="33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vAlign w:val="top"/>
          </w:tcPr>
          <w:p w14:paraId="7982DAA9">
            <w:pPr>
              <w:spacing w:after="0" w:line="240" w:lineRule="auto"/>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none"/>
                <w14:textFill>
                  <w14:solidFill>
                    <w14:schemeClr w14:val="tx1"/>
                  </w14:solidFill>
                </w14:textFill>
              </w:rPr>
              <w:t>[%, from n questions noted]</w:t>
            </w:r>
          </w:p>
        </w:tc>
      </w:tr>
      <w:tr w14:paraId="2320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01BC37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Number of times a student was sent back for missing documents</w:t>
            </w:r>
          </w:p>
        </w:tc>
        <w:tc>
          <w:tcPr>
            <w:tcW w:w="33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vAlign w:val="top"/>
          </w:tcPr>
          <w:p w14:paraId="1F9F3235">
            <w:pPr>
              <w:spacing w:after="0" w:line="240" w:lineRule="auto"/>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none"/>
                <w14:textFill>
                  <w14:solidFill>
                    <w14:schemeClr w14:val="tx1"/>
                  </w14:solidFill>
                </w14:textFill>
              </w:rPr>
              <w:t>[count]</w:t>
            </w:r>
          </w:p>
        </w:tc>
      </w:tr>
      <w:tr w14:paraId="2168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8593C7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Source of each number</w:t>
            </w:r>
          </w:p>
        </w:tc>
        <w:tc>
          <w:tcPr>
            <w:tcW w:w="33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vAlign w:val="top"/>
          </w:tcPr>
          <w:p w14:paraId="5CBDA51E">
            <w:pPr>
              <w:spacing w:after="0" w:line="240" w:lineRule="auto"/>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none"/>
                <w14:textFill>
                  <w14:solidFill>
                    <w14:schemeClr w14:val="tx1"/>
                  </w14:solidFill>
                </w14:textFill>
              </w:rPr>
              <w:t>[team log, date, who recorded]</w:t>
            </w:r>
          </w:p>
        </w:tc>
      </w:tr>
    </w:tbl>
    <w:p w14:paraId="416DBDA3">
      <w:pPr>
        <w:spacing w:after="80" w:line="240" w:lineRule="auto"/>
        <w:rPr>
          <w:color w:val="000000" w:themeColor="text1"/>
          <w14:textFill>
            <w14:solidFill>
              <w14:schemeClr w14:val="tx1"/>
            </w14:solidFill>
          </w14:textFill>
        </w:rPr>
      </w:pPr>
    </w:p>
    <w:p w14:paraId="4C299E72">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3. Users and Their Needs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060"/>
      </w:tblGrid>
      <w:tr w14:paraId="0C6F1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60D6AC01">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Role</w:t>
            </w:r>
          </w:p>
        </w:tc>
        <w:tc>
          <w:tcPr>
            <w:tcW w:w="70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24F3B90A">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User story</w:t>
            </w:r>
          </w:p>
        </w:tc>
      </w:tr>
      <w:tr w14:paraId="0429A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7CBA80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Freshman</w:t>
            </w:r>
          </w:p>
        </w:tc>
        <w:tc>
          <w:tcPr>
            <w:tcW w:w="7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3733C3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 a freshman, I can ask what documents I need to enroll so that I do not make a wasted trip.</w:t>
            </w:r>
          </w:p>
        </w:tc>
      </w:tr>
      <w:tr w14:paraId="4C3A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521A69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Transferee</w:t>
            </w:r>
          </w:p>
        </w:tc>
        <w:tc>
          <w:tcPr>
            <w:tcW w:w="7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E8476B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 a transferee, I can tell the assistant what documents I already have and learn exactly which are missing.</w:t>
            </w:r>
          </w:p>
        </w:tc>
      </w:tr>
      <w:tr w14:paraId="3F4C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BC0009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Returning student</w:t>
            </w:r>
          </w:p>
        </w:tc>
        <w:tc>
          <w:tcPr>
            <w:tcW w:w="7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1BFADD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 a returning student, I can ask about clearance steps and deadlines so that I enroll on time.</w:t>
            </w:r>
          </w:p>
        </w:tc>
      </w:tr>
      <w:tr w14:paraId="02A95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6BA12F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Any student (Filipino or English)</w:t>
            </w:r>
          </w:p>
        </w:tc>
        <w:tc>
          <w:tcPr>
            <w:tcW w:w="7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D2D757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 a student, I can type or speak in English, Filipino, or a mix, and still get a correct answer.</w:t>
            </w:r>
          </w:p>
        </w:tc>
      </w:tr>
      <w:tr w14:paraId="0594A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D06FB3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Any student</w:t>
            </w:r>
          </w:p>
        </w:tc>
        <w:tc>
          <w:tcPr>
            <w:tcW w:w="7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5EDC24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 a student, I can see why the assistant gave an answer and reach a real staff member when it is unsure.</w:t>
            </w:r>
          </w:p>
        </w:tc>
      </w:tr>
      <w:tr w14:paraId="5FE38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7B79BE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Registrar staff</w:t>
            </w:r>
          </w:p>
        </w:tc>
        <w:tc>
          <w:tcPr>
            <w:tcW w:w="7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0A8198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 a staff member, I can see which questions are most common and which the assistant could not answer, so that I can update announcements.</w:t>
            </w:r>
          </w:p>
        </w:tc>
      </w:tr>
      <w:tr w14:paraId="1478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084EA9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Registrar staff</w:t>
            </w:r>
          </w:p>
        </w:tc>
        <w:tc>
          <w:tcPr>
            <w:tcW w:w="7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3541D7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 a staff member, I can see a staffing or announcement recommendation together with its evidence and confidence before I act.</w:t>
            </w:r>
          </w:p>
        </w:tc>
      </w:tr>
      <w:tr w14:paraId="54D79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D4CD11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Office head</w:t>
            </w:r>
          </w:p>
        </w:tc>
        <w:tc>
          <w:tcPr>
            <w:tcW w:w="7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F3FA6E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 the office head, I can see weekly volume and feedback trends and a forecast of the next week.</w:t>
            </w:r>
          </w:p>
        </w:tc>
      </w:tr>
    </w:tbl>
    <w:p w14:paraId="57EB323D">
      <w:pPr>
        <w:spacing w:after="80" w:line="240" w:lineRule="auto"/>
        <w:rPr>
          <w:color w:val="000000" w:themeColor="text1"/>
          <w14:textFill>
            <w14:solidFill>
              <w14:schemeClr w14:val="tx1"/>
            </w14:solidFill>
          </w14:textFill>
        </w:rPr>
      </w:pPr>
    </w:p>
    <w:p w14:paraId="77E7660F">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4. Human Task Model</w:t>
      </w:r>
    </w:p>
    <w:p w14:paraId="06576FF7">
      <w:pPr>
        <w:spacing w:after="80" w:line="360" w:lineRule="auto"/>
        <w:ind w:firstLine="500" w:firstLineChars="0"/>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One member role-plays the staff member and handles one typical request aloud (“Can I enroll? I am a transferee and I have my TOR”) while another member records the think-aloud. The steps below are a </w:t>
      </w:r>
      <w:r>
        <w:rPr>
          <w:rFonts w:ascii="Times New Roman" w:hAnsi="Times New Roman" w:eastAsia="Times New Roman" w:cs="Times New Roman"/>
          <w:b/>
          <w:bCs/>
          <w:color w:val="000000" w:themeColor="text1"/>
          <w:sz w:val="24"/>
          <w:szCs w:val="24"/>
          <w14:textFill>
            <w14:solidFill>
              <w14:schemeClr w14:val="tx1"/>
            </w14:solidFill>
          </w14:textFill>
        </w:rPr>
        <w:t>draft</w:t>
      </w:r>
      <w:r>
        <w:rPr>
          <w:rFonts w:ascii="Times New Roman" w:hAnsi="Times New Roman" w:eastAsia="Times New Roman" w:cs="Times New Roman"/>
          <w:color w:val="000000" w:themeColor="text1"/>
          <w:sz w:val="24"/>
          <w:szCs w:val="24"/>
          <w14:textFill>
            <w14:solidFill>
              <w14:schemeClr w14:val="tx1"/>
            </w14:solidFill>
          </w14:textFill>
        </w:rPr>
        <w:t xml:space="preserve"> that the team must replace and confirm with its own recording.</w:t>
      </w:r>
    </w:p>
    <w:p w14:paraId="6ED7FFF5">
      <w:pPr>
        <w:spacing w:after="80" w:line="360" w:lineRule="auto"/>
        <w:rPr>
          <w:color w:val="000000" w:themeColor="text1"/>
          <w14:textFill>
            <w14:solidFill>
              <w14:schemeClr w14:val="tx1"/>
            </w14:solidFill>
          </w14:textFill>
        </w:rPr>
      </w:pPr>
    </w:p>
    <w:p w14:paraId="2B5796CF">
      <w:pPr>
        <w:keepNext/>
        <w:spacing w:before="6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943600" cy="1847850"/>
            <wp:effectExtent l="0" t="0" r="0" b="0"/>
            <wp:docPr id="1" name="f2" descr="f2" titl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2" descr="f2" title="f2"/>
                    <pic:cNvPicPr>
                      <a:picLocks noChangeAspect="1" noChangeArrowheads="1"/>
                    </pic:cNvPicPr>
                  </pic:nvPicPr>
                  <pic:blipFill>
                    <a:blip r:embed="rId5"/>
                    <a:srcRect/>
                    <a:stretch>
                      <a:fillRect/>
                    </a:stretch>
                  </pic:blipFill>
                  <pic:spPr>
                    <a:xfrm>
                      <a:off x="0" y="0"/>
                      <a:ext cx="5943600" cy="1847850"/>
                    </a:xfrm>
                    <a:prstGeom prst="rect">
                      <a:avLst/>
                    </a:prstGeom>
                  </pic:spPr>
                </pic:pic>
              </a:graphicData>
            </a:graphic>
          </wp:inline>
        </w:drawing>
      </w:r>
    </w:p>
    <w:p w14:paraId="31C691D8">
      <w:pPr>
        <w:spacing w:after="140" w:line="276" w:lineRule="auto"/>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0"/>
          <w:szCs w:val="20"/>
          <w14:textFill>
            <w14:solidFill>
              <w14:schemeClr w14:val="tx1"/>
            </w14:solidFill>
          </w14:textFill>
        </w:rPr>
        <w:t>Figure 1. Human task model (perception, attention, memory, reasoning, decision). Green steps are taken over by the system; orange stays with the human.</w:t>
      </w:r>
    </w:p>
    <w:p w14:paraId="262B29FE">
      <w:pPr>
        <w:spacing w:after="80" w:line="360" w:lineRule="auto"/>
        <w:ind w:firstLine="500" w:firstLineChars="0"/>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The system takes over the repetitive recall and checking work (steps 1–4). The human keeps the decision: exceptions, special cases, and upset students stay with the registrar staff. The design therefore augments the staff rather than replacing them.</w:t>
      </w:r>
    </w:p>
    <w:p w14:paraId="26F6F800">
      <w:pPr>
        <w:pStyle w:val="2"/>
        <w:keepNext/>
        <w:spacing w:before="200" w:after="1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 xml:space="preserve">PART </w:t>
      </w:r>
      <w:r>
        <w:rPr>
          <w:rFonts w:hint="default" w:cs="Times New Roman"/>
          <w:b/>
          <w:bCs/>
          <w:color w:val="000000" w:themeColor="text1"/>
          <w:sz w:val="28"/>
          <w:szCs w:val="28"/>
          <w:lang w:val="en-PH"/>
          <w14:textFill>
            <w14:solidFill>
              <w14:schemeClr w14:val="tx1"/>
            </w14:solidFill>
          </w14:textFill>
        </w:rPr>
        <w:t xml:space="preserve">2: </w:t>
      </w:r>
      <w:r>
        <w:rPr>
          <w:rFonts w:ascii="Times New Roman" w:hAnsi="Times New Roman" w:eastAsia="Times New Roman" w:cs="Times New Roman"/>
          <w:b/>
          <w:bCs/>
          <w:color w:val="000000" w:themeColor="text1"/>
          <w:sz w:val="28"/>
          <w:szCs w:val="28"/>
          <w14:textFill>
            <w14:solidFill>
              <w14:schemeClr w14:val="tx1"/>
            </w14:solidFill>
          </w14:textFill>
        </w:rPr>
        <w:t xml:space="preserve"> THE PROPOSED COGNITIVE SYSTEM</w:t>
      </w:r>
    </w:p>
    <w:p w14:paraId="3BD84D25">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5. System Overview and Why It Must Be Cognitive</w:t>
      </w:r>
    </w:p>
    <w:p w14:paraId="082C1DA1">
      <w:pPr>
        <w:spacing w:after="80" w:line="360" w:lineRule="auto"/>
        <w:ind w:firstLine="500" w:firstLineChars="0"/>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Cognitive Campus Assistant</w:t>
      </w:r>
      <w:r>
        <w:rPr>
          <w:rFonts w:ascii="Times New Roman" w:hAnsi="Times New Roman" w:eastAsia="Times New Roman" w:cs="Times New Roman"/>
          <w:color w:val="000000" w:themeColor="text1"/>
          <w:sz w:val="24"/>
          <w:szCs w:val="24"/>
          <w14:textFill>
            <w14:solidFill>
              <w14:schemeClr w14:val="tx1"/>
            </w14:solidFill>
          </w14:textFill>
        </w:rPr>
        <w:t xml:space="preserve"> is a web application</w:t>
      </w:r>
      <w:r>
        <w:rPr>
          <w:rFonts w:hint="default" w:cs="Times New Roman"/>
          <w:color w:val="000000" w:themeColor="text1"/>
          <w:sz w:val="24"/>
          <w:szCs w:val="24"/>
          <w:lang w:val="en-PH"/>
          <w14:textFill>
            <w14:solidFill>
              <w14:schemeClr w14:val="tx1"/>
            </w14:solidFill>
          </w14:textFill>
        </w:rPr>
        <w:t xml:space="preserve"> and mobile applications</w:t>
      </w:r>
      <w:r>
        <w:rPr>
          <w:rFonts w:ascii="Times New Roman" w:hAnsi="Times New Roman" w:eastAsia="Times New Roman" w:cs="Times New Roman"/>
          <w:color w:val="000000" w:themeColor="text1"/>
          <w:sz w:val="24"/>
          <w:szCs w:val="24"/>
          <w14:textFill>
            <w14:solidFill>
              <w14:schemeClr w14:val="tx1"/>
            </w14:solidFill>
          </w14:textFill>
        </w:rPr>
        <w:t xml:space="preserve"> where students ask enrollment and student-service questions in English, Filipino, or</w:t>
      </w:r>
      <w:r>
        <w:rPr>
          <w:rFonts w:hint="default" w:cs="Times New Roman"/>
          <w:color w:val="000000" w:themeColor="text1"/>
          <w:sz w:val="24"/>
          <w:szCs w:val="24"/>
          <w:lang w:val="en-PH"/>
          <w14:textFill>
            <w14:solidFill>
              <w14:schemeClr w14:val="tx1"/>
            </w14:solidFill>
          </w14:textFill>
        </w:rPr>
        <w:t xml:space="preserve"> Taglish </w:t>
      </w:r>
      <w:r>
        <w:rPr>
          <w:rFonts w:ascii="Times New Roman" w:hAnsi="Times New Roman" w:eastAsia="Times New Roman" w:cs="Times New Roman"/>
          <w:color w:val="000000" w:themeColor="text1"/>
          <w:sz w:val="24"/>
          <w:szCs w:val="24"/>
          <w14:textFill>
            <w14:solidFill>
              <w14:schemeClr w14:val="tx1"/>
            </w14:solidFill>
          </w14:textFill>
        </w:rPr>
        <w:t>language, by typing or speaking</w:t>
      </w:r>
      <w:r>
        <w:rPr>
          <w:rFonts w:hint="default" w:cs="Times New Roman"/>
          <w:color w:val="000000" w:themeColor="text1"/>
          <w:sz w:val="24"/>
          <w:szCs w:val="24"/>
          <w:lang w:val="en-PH"/>
          <w14:textFill>
            <w14:solidFill>
              <w14:schemeClr w14:val="tx1"/>
            </w14:solidFill>
          </w14:textFill>
        </w:rPr>
        <w:t xml:space="preserve"> </w:t>
      </w:r>
      <w:r>
        <w:rPr>
          <w:rFonts w:ascii="Times New Roman" w:hAnsi="Times New Roman" w:eastAsia="Times New Roman" w:cs="Times New Roman"/>
          <w:color w:val="000000" w:themeColor="text1"/>
          <w:sz w:val="24"/>
          <w:szCs w:val="24"/>
          <w14:textFill>
            <w14:solidFill>
              <w14:schemeClr w14:val="tx1"/>
            </w14:solidFill>
          </w14:textFill>
        </w:rPr>
        <w:t>. It understands the question, remembers what the student already said, checks the student’s situation against a rule base built from the handbook, and answers with a confidence score and the rules and sources behind it. Staff see a dashboard of common concerns with recommendations that show their evidence and confidence.</w:t>
      </w:r>
    </w:p>
    <w:p w14:paraId="721A75FB">
      <w:pPr>
        <w:spacing w:after="8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Characteristics needed.</w:t>
      </w:r>
    </w:p>
    <w:p w14:paraId="16AE68B8">
      <w:pPr>
        <w:pStyle w:val="16"/>
        <w:numPr>
          <w:ilvl w:val="0"/>
          <w:numId w:val="1"/>
        </w:numPr>
        <w:spacing w:after="40" w:line="360" w:lineRule="auto"/>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Interactive:</w:t>
      </w:r>
      <w:r>
        <w:rPr>
          <w:rFonts w:ascii="Times New Roman" w:hAnsi="Times New Roman" w:eastAsia="Times New Roman" w:cs="Times New Roman"/>
          <w:color w:val="000000" w:themeColor="text1"/>
          <w:sz w:val="24"/>
          <w:szCs w:val="24"/>
          <w14:textFill>
            <w14:solidFill>
              <w14:schemeClr w14:val="tx1"/>
            </w14:solidFill>
          </w14:textFill>
        </w:rPr>
        <w:t xml:space="preserve"> it asks clarifying questions when the question is unclear or a fact is missing.</w:t>
      </w:r>
    </w:p>
    <w:p w14:paraId="32B94F79">
      <w:pPr>
        <w:pStyle w:val="16"/>
        <w:numPr>
          <w:ilvl w:val="0"/>
          <w:numId w:val="1"/>
        </w:numPr>
        <w:spacing w:after="40" w:line="360" w:lineRule="auto"/>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Iterative and stateful:</w:t>
      </w:r>
      <w:r>
        <w:rPr>
          <w:rFonts w:ascii="Times New Roman" w:hAnsi="Times New Roman" w:eastAsia="Times New Roman" w:cs="Times New Roman"/>
          <w:color w:val="000000" w:themeColor="text1"/>
          <w:sz w:val="24"/>
          <w:szCs w:val="24"/>
          <w14:textFill>
            <w14:solidFill>
              <w14:schemeClr w14:val="tx1"/>
            </w14:solidFill>
          </w14:textFill>
        </w:rPr>
        <w:t xml:space="preserve"> it remembers the student type and documents already mentioned during the session.</w:t>
      </w:r>
    </w:p>
    <w:p w14:paraId="20523375">
      <w:pPr>
        <w:pStyle w:val="16"/>
        <w:numPr>
          <w:ilvl w:val="0"/>
          <w:numId w:val="1"/>
        </w:numPr>
        <w:spacing w:after="40" w:line="360" w:lineRule="auto"/>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Contextual:</w:t>
      </w:r>
      <w:r>
        <w:rPr>
          <w:rFonts w:ascii="Times New Roman" w:hAnsi="Times New Roman" w:eastAsia="Times New Roman" w:cs="Times New Roman"/>
          <w:color w:val="000000" w:themeColor="text1"/>
          <w:sz w:val="24"/>
          <w:szCs w:val="24"/>
          <w14:textFill>
            <w14:solidFill>
              <w14:schemeClr w14:val="tx1"/>
            </w14:solidFill>
          </w14:textFill>
        </w:rPr>
        <w:t xml:space="preserve"> answers depend on student type, term, and language (Taglish), not only on keywords.</w:t>
      </w:r>
    </w:p>
    <w:p w14:paraId="589C90C5">
      <w:pPr>
        <w:pStyle w:val="16"/>
        <w:numPr>
          <w:ilvl w:val="0"/>
          <w:numId w:val="1"/>
        </w:numPr>
        <w:spacing w:after="40" w:line="360" w:lineRule="auto"/>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Adaptive:</w:t>
      </w:r>
      <w:r>
        <w:rPr>
          <w:rFonts w:ascii="Times New Roman" w:hAnsi="Times New Roman" w:eastAsia="Times New Roman" w:cs="Times New Roman"/>
          <w:color w:val="000000" w:themeColor="text1"/>
          <w:sz w:val="24"/>
          <w:szCs w:val="24"/>
          <w14:textFill>
            <w14:solidFill>
              <w14:schemeClr w14:val="tx1"/>
            </w14:solidFill>
          </w14:textFill>
        </w:rPr>
        <w:t xml:space="preserve"> the intent model is retrained from the failed-query log so that it improves with use.</w:t>
      </w:r>
    </w:p>
    <w:p w14:paraId="5AC8D399">
      <w:pPr>
        <w:spacing w:after="80" w:line="360" w:lineRule="auto"/>
        <w:ind w:firstLine="500" w:firstLineChars="0"/>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Why ordinary software is not enough.</w:t>
      </w:r>
      <w:r>
        <w:rPr>
          <w:rFonts w:ascii="Times New Roman" w:hAnsi="Times New Roman" w:eastAsia="Times New Roman" w:cs="Times New Roman"/>
          <w:color w:val="000000" w:themeColor="text1"/>
          <w:sz w:val="24"/>
          <w:szCs w:val="24"/>
          <w14:textFill>
            <w14:solidFill>
              <w14:schemeClr w14:val="tx1"/>
            </w14:solidFill>
          </w14:textFill>
        </w:rPr>
        <w:t xml:space="preserve"> A fixed menu or keyword search fails on varied phrasing and mixed language, cannot give a confidence score, and cannot learn from missed questions. A conventional program also cannot weigh uncertain evidence for a staff recommendation. At the same time, the enrollment policy is fixed and must be auditable, so the decision part uses explicit rules, and the language part uses a trained model. Combining both is what makes the system cognitive rather than a plain FAQ bot.</w:t>
      </w:r>
    </w:p>
    <w:p w14:paraId="61172CE7">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6. Features and Scope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00"/>
        <w:gridCol w:w="4460"/>
      </w:tblGrid>
      <w:tr w14:paraId="1C26C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09156EA7">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 xml:space="preserve">Will build (3 weeks, </w:t>
            </w:r>
            <w:r>
              <w:rPr>
                <w:rFonts w:hint="default" w:cs="Times New Roman"/>
                <w:b/>
                <w:bCs/>
                <w:color w:val="000000" w:themeColor="text1"/>
                <w:sz w:val="19"/>
                <w:szCs w:val="19"/>
                <w:lang w:val="en-US"/>
                <w14:textFill>
                  <w14:solidFill>
                    <w14:schemeClr w14:val="tx1"/>
                  </w14:solidFill>
                </w14:textFill>
              </w:rPr>
              <w:t>2</w:t>
            </w:r>
            <w:r>
              <w:rPr>
                <w:rFonts w:ascii="Times New Roman" w:hAnsi="Times New Roman" w:eastAsia="Times New Roman" w:cs="Times New Roman"/>
                <w:b/>
                <w:bCs/>
                <w:color w:val="000000" w:themeColor="text1"/>
                <w:sz w:val="19"/>
                <w:szCs w:val="19"/>
                <w14:textFill>
                  <w14:solidFill>
                    <w14:schemeClr w14:val="tx1"/>
                  </w14:solidFill>
                </w14:textFill>
              </w:rPr>
              <w:t xml:space="preserve"> members)</w:t>
            </w:r>
          </w:p>
        </w:tc>
        <w:tc>
          <w:tcPr>
            <w:tcW w:w="44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681C630A">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Will not build</w:t>
            </w:r>
          </w:p>
        </w:tc>
      </w:tr>
      <w:tr w14:paraId="27B37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70BF0D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F1 Ask about requirements, schedule, fees, offices, clearance, and prerequisites (10 intents)</w:t>
            </w:r>
          </w:p>
        </w:tc>
        <w:tc>
          <w:tcPr>
            <w:tcW w:w="44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923E15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Real student records, grades, or login (no personal data)</w:t>
            </w:r>
          </w:p>
        </w:tc>
      </w:tr>
      <w:tr w14:paraId="213AB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023C95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F2 “Can I enroll?” eligibility check using forward chaining, showing rules fired</w:t>
            </w:r>
          </w:p>
        </w:tc>
        <w:tc>
          <w:tcPr>
            <w:tcW w:w="44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048C97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Diagnosis, legal, or financial advice; payment processing</w:t>
            </w:r>
          </w:p>
        </w:tc>
      </w:tr>
      <w:tr w14:paraId="6D9E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8A4C7C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F3 Confidence on every answer; clarification and hand-off when low</w:t>
            </w:r>
          </w:p>
        </w:tc>
        <w:tc>
          <w:tcPr>
            <w:tcW w:w="44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34DA90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Native mobile app or Messenger deployment</w:t>
            </w:r>
          </w:p>
        </w:tc>
      </w:tr>
      <w:tr w14:paraId="0A364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923065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F4 Voice input: record from the browser microphone or upload an audio clip, with playback (no speech-to-text in this build)</w:t>
            </w:r>
          </w:p>
        </w:tc>
        <w:tc>
          <w:tcPr>
            <w:tcW w:w="44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94DFB8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Text-to-speech replies and many-language support (Filipino and English only)</w:t>
            </w:r>
          </w:p>
        </w:tc>
      </w:tr>
      <w:tr w14:paraId="3CFF7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D4EF5A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F5 Feedback sentiment classifier (thumbs and short comments)</w:t>
            </w:r>
          </w:p>
        </w:tc>
        <w:tc>
          <w:tcPr>
            <w:tcW w:w="44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F0FADC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Automated replies to staff mail or social media</w:t>
            </w:r>
          </w:p>
        </w:tc>
      </w:tr>
      <w:tr w14:paraId="3114B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DE573D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F6 Staff dashboard: 3 descriptive views, a volume forecast, and a recommendation with evidence and confidence</w:t>
            </w:r>
          </w:p>
        </w:tc>
        <w:tc>
          <w:tcPr>
            <w:tcW w:w="44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4E9E6E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Integration with the school’s real information system</w:t>
            </w:r>
          </w:p>
        </w:tc>
      </w:tr>
    </w:tbl>
    <w:p w14:paraId="476EAF23">
      <w:pPr>
        <w:spacing w:after="80" w:line="240" w:lineRule="auto"/>
        <w:rPr>
          <w:color w:val="000000" w:themeColor="text1"/>
          <w14:textFill>
            <w14:solidFill>
              <w14:schemeClr w14:val="tx1"/>
            </w14:solidFill>
          </w14:textFill>
        </w:rPr>
      </w:pPr>
    </w:p>
    <w:p w14:paraId="3B5D7EB8">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7. Architecture</w:t>
      </w:r>
    </w:p>
    <w:p w14:paraId="5D2648F9">
      <w:pPr>
        <w:keepNext/>
        <w:spacing w:before="6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943600" cy="2876550"/>
            <wp:effectExtent l="0" t="0" r="0" b="0"/>
            <wp:docPr id="2" name="f1" descr="f1" titl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1" descr="f1" title="f1"/>
                    <pic:cNvPicPr>
                      <a:picLocks noChangeAspect="1" noChangeArrowheads="1"/>
                    </pic:cNvPicPr>
                  </pic:nvPicPr>
                  <pic:blipFill>
                    <a:blip r:embed="rId6"/>
                    <a:srcRect/>
                    <a:stretch>
                      <a:fillRect/>
                    </a:stretch>
                  </pic:blipFill>
                  <pic:spPr>
                    <a:xfrm>
                      <a:off x="0" y="0"/>
                      <a:ext cx="5943600" cy="2876550"/>
                    </a:xfrm>
                    <a:prstGeom prst="rect">
                      <a:avLst/>
                    </a:prstGeom>
                  </pic:spPr>
                </pic:pic>
              </a:graphicData>
            </a:graphic>
          </wp:inline>
        </w:drawing>
      </w:r>
    </w:p>
    <w:p w14:paraId="0EB49ACE">
      <w:pPr>
        <w:spacing w:after="140" w:line="276" w:lineRule="auto"/>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0"/>
          <w:szCs w:val="20"/>
          <w14:textFill>
            <w14:solidFill>
              <w14:schemeClr w14:val="tx1"/>
            </w14:solidFill>
          </w14:textFill>
        </w:rPr>
        <w:t>Figure 2. Six-layer architecture with the data crossing each boundary.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700"/>
        <w:gridCol w:w="3260"/>
        <w:gridCol w:w="1500"/>
      </w:tblGrid>
      <w:tr w14:paraId="5AF2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31A76F06">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Service / library</w:t>
            </w:r>
          </w:p>
        </w:tc>
        <w:tc>
          <w:tcPr>
            <w:tcW w:w="17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197F43A4">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Layer</w:t>
            </w:r>
          </w:p>
        </w:tc>
        <w:tc>
          <w:tcPr>
            <w:tcW w:w="32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39403B95">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Used for</w:t>
            </w:r>
          </w:p>
        </w:tc>
        <w:tc>
          <w:tcPr>
            <w:tcW w:w="15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344CC42B">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Cost</w:t>
            </w:r>
          </w:p>
        </w:tc>
      </w:tr>
      <w:tr w14:paraId="43E75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1" w:hRule="atLeast"/>
        </w:trPr>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A423BA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Python, pandas, scikit-learn</w:t>
            </w:r>
          </w:p>
        </w:tc>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51ADF3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Learning</w:t>
            </w:r>
          </w:p>
        </w:tc>
        <w:tc>
          <w:tcPr>
            <w:tcW w:w="32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0E059C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Intent and sentiment models, forecast</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63D066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Free</w:t>
            </w:r>
          </w:p>
        </w:tc>
      </w:tr>
      <w:tr w14:paraId="25F5E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DAC1B6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Python standard library (re), own rules</w:t>
            </w:r>
          </w:p>
        </w:tc>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9133C0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Ingestion</w:t>
            </w:r>
          </w:p>
        </w:tc>
        <w:tc>
          <w:tcPr>
            <w:tcW w:w="32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B7D11E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Preprocessing and entity patterns</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4BDD89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Free</w:t>
            </w:r>
          </w:p>
        </w:tc>
      </w:tr>
      <w:tr w14:paraId="23E54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7DC051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No speech-to-text</w:t>
            </w:r>
          </w:p>
        </w:tc>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A7D415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Voice</w:t>
            </w:r>
          </w:p>
        </w:tc>
        <w:tc>
          <w:tcPr>
            <w:tcW w:w="32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122677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Recording and playback only; nothing is transcribed in this build</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561524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Free, runs on laptop</w:t>
            </w:r>
          </w:p>
        </w:tc>
      </w:tr>
      <w:tr w14:paraId="6A43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19" w:hRule="atLeast"/>
        </w:trPr>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EAA103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JSON ontology and own rule engine</w:t>
            </w:r>
          </w:p>
        </w:tc>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AE076B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Knowledge, Reasoning</w:t>
            </w:r>
          </w:p>
        </w:tc>
        <w:tc>
          <w:tcPr>
            <w:tcW w:w="32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FF639A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Facts, rules, chaining trace</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7F3B22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Free</w:t>
            </w:r>
          </w:p>
        </w:tc>
      </w:tr>
      <w:tr w14:paraId="1D1B4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8" w:hRule="atLeast"/>
        </w:trPr>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A171C1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Streamlit</w:t>
            </w:r>
          </w:p>
        </w:tc>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ED132E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Presentation</w:t>
            </w:r>
          </w:p>
        </w:tc>
        <w:tc>
          <w:tcPr>
            <w:tcW w:w="32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BCD904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Chat page and dashboard</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CBB7B7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Free</w:t>
            </w:r>
          </w:p>
        </w:tc>
      </w:tr>
    </w:tbl>
    <w:p w14:paraId="69EDABF7">
      <w:pPr>
        <w:spacing w:after="80" w:line="240" w:lineRule="auto"/>
        <w:rPr>
          <w:color w:val="000000" w:themeColor="text1"/>
          <w14:textFill>
            <w14:solidFill>
              <w14:schemeClr w14:val="tx1"/>
            </w14:solidFill>
          </w14:textFill>
        </w:rPr>
      </w:pPr>
    </w:p>
    <w:p w14:paraId="427331CB">
      <w:pPr>
        <w:spacing w:after="80" w:line="240" w:lineRule="auto"/>
        <w:rPr>
          <w:color w:val="000000" w:themeColor="text1"/>
          <w14:textFill>
            <w14:solidFill>
              <w14:schemeClr w14:val="tx1"/>
            </w14:solidFill>
          </w14:textFill>
        </w:rPr>
      </w:pPr>
    </w:p>
    <w:p w14:paraId="2D97B9AF">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8. Knowledge Design</w:t>
      </w:r>
    </w:p>
    <w:p w14:paraId="63213496">
      <w:pPr>
        <w:spacing w:after="80" w:line="360" w:lineRule="auto"/>
        <w:ind w:firstLine="500" w:firstLineChars="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Draft ontology (12 classes).</w:t>
      </w:r>
      <w:r>
        <w:rPr>
          <w:rFonts w:ascii="Times New Roman" w:hAnsi="Times New Roman" w:eastAsia="Times New Roman" w:cs="Times New Roman"/>
          <w:color w:val="000000" w:themeColor="text1"/>
          <w:sz w:val="24"/>
          <w:szCs w:val="24"/>
          <w14:textFill>
            <w14:solidFill>
              <w14:schemeClr w14:val="tx1"/>
            </w14:solidFill>
          </w14:textFill>
        </w:rPr>
        <w:t xml:space="preserve"> Stored as a JSON file in data/ontology.json: 11 record sections holding 41 records, each with its own source note. The Student class is not stored in the file - it is the session memory in code/dialogue.py.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600"/>
        <w:gridCol w:w="4060"/>
      </w:tblGrid>
      <w:tr w14:paraId="154D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5C54EF84">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Class</w:t>
            </w:r>
          </w:p>
        </w:tc>
        <w:tc>
          <w:tcPr>
            <w:tcW w:w="36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55ABCF38">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Main properties</w:t>
            </w:r>
          </w:p>
        </w:tc>
        <w:tc>
          <w:tcPr>
            <w:tcW w:w="40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67579D97">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Relationships</w:t>
            </w:r>
          </w:p>
        </w:tc>
      </w:tr>
      <w:tr w14:paraId="3A4C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87EC25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1F6D11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type, term, documents_held (session only)</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4C2C0C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hasType → StudentType</w:t>
            </w:r>
          </w:p>
        </w:tc>
      </w:tr>
      <w:tr w14:paraId="61F29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3FD49C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StudentType</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ED8ED4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name (freshman, transferee, returning)</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71C45A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requires → Requirement</w:t>
            </w:r>
          </w:p>
        </w:tc>
      </w:tr>
      <w:tr w14:paraId="6047A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D5D4BD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Requirement</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B671AD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name, description, issuing_body</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F9ED46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neededFor → Service</w:t>
            </w:r>
          </w:p>
        </w:tc>
      </w:tr>
      <w:tr w14:paraId="1CD2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5F0E8F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Service</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533910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name, steps, online_or_window</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182BD9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providedBy → Office; hasFee → Fee; hasDeadline → Deadline</w:t>
            </w:r>
          </w:p>
        </w:tc>
      </w:tr>
      <w:tr w14:paraId="11848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19F7B6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Office</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485F06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name, location, hours</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B7E5AC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provides → Service</w:t>
            </w:r>
          </w:p>
        </w:tc>
      </w:tr>
      <w:tr w14:paraId="3D0D2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DDA656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Course</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77266F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code, title, units</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B9C510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prerequisiteOf → Course; partOf → Program; offeredIn → Semester</w:t>
            </w:r>
          </w:p>
        </w:tc>
      </w:tr>
      <w:tr w14:paraId="4C538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50F282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Program</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1B9C44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name (e.g., BSCS), max_units</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6AB688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contains → Course</w:t>
            </w:r>
          </w:p>
        </w:tc>
      </w:tr>
      <w:tr w14:paraId="2D21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E74EC3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Semester</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A6A9FD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name, start_date, end_date</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53DD4B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has → Deadline</w:t>
            </w:r>
          </w:p>
        </w:tc>
      </w:tr>
      <w:tr w14:paraId="38F5D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B23720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Deadline</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A373DB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label, date</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111EE0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appliesTo → Service</w:t>
            </w:r>
          </w:p>
        </w:tc>
      </w:tr>
      <w:tr w14:paraId="4A094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5E6EA8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Fee</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CB515F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label, amount, payment_options</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CE2CF1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chargedFor → Service</w:t>
            </w:r>
          </w:p>
        </w:tc>
      </w:tr>
      <w:tr w14:paraId="007A5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4CAB51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Policy</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C2F02F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statement, source</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6F4771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appliesTo → StudentType</w:t>
            </w:r>
          </w:p>
        </w:tc>
      </w:tr>
      <w:tr w14:paraId="12DC1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7B121A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Announcement</w:t>
            </w:r>
          </w:p>
        </w:tc>
        <w:tc>
          <w:tcPr>
            <w:tcW w:w="3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EA2B82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text, date_posted, source</w:t>
            </w:r>
          </w:p>
        </w:tc>
        <w:tc>
          <w:tcPr>
            <w:tcW w:w="40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A82447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about → Service</w:t>
            </w:r>
          </w:p>
        </w:tc>
      </w:tr>
    </w:tbl>
    <w:p w14:paraId="460DD2B0">
      <w:pPr>
        <w:spacing w:after="80" w:line="360" w:lineRule="auto"/>
        <w:rPr>
          <w:rFonts w:ascii="Times New Roman" w:hAnsi="Times New Roman" w:eastAsia="Times New Roman" w:cs="Times New Roman"/>
          <w:color w:val="000000" w:themeColor="text1"/>
          <w:sz w:val="22"/>
          <w:szCs w:val="22"/>
          <w14:textFill>
            <w14:solidFill>
              <w14:schemeClr w14:val="tx1"/>
            </w14:solidFill>
          </w14:textFill>
        </w:rPr>
      </w:pPr>
    </w:p>
    <w:p w14:paraId="4E9BBA68">
      <w:pPr>
        <w:spacing w:after="80" w:line="360" w:lineRule="auto"/>
        <w:ind w:firstLine="500" w:firstLineChars="0"/>
        <w:jc w:val="both"/>
        <w:rPr>
          <w:color w:val="000000" w:themeColor="text1"/>
          <w:highlight w:val="none"/>
          <w14:textFill>
            <w14:solidFill>
              <w14:schemeClr w14:val="tx1"/>
            </w14:solidFill>
          </w14:textFill>
        </w:rPr>
      </w:pPr>
      <w:r>
        <w:rPr>
          <w:rFonts w:ascii="Times New Roman" w:hAnsi="Times New Roman" w:eastAsia="Times New Roman" w:cs="Times New Roman"/>
          <w:color w:val="000000" w:themeColor="text1"/>
          <w:sz w:val="22"/>
          <w:szCs w:val="22"/>
          <w14:textFill>
            <w14:solidFill>
              <w14:schemeClr w14:val="tx1"/>
            </w14:solidFill>
          </w14:textFill>
        </w:rPr>
        <w:t xml:space="preserve">All facts are taken from public pages or the handbook, or written by the team, with a source note on each. The requirement lists below are drafts; the team must verify them against the actual handbook of </w:t>
      </w:r>
      <w:r>
        <w:rPr>
          <w:rFonts w:hint="default" w:cs="Times New Roman"/>
          <w:color w:val="000000" w:themeColor="text1"/>
          <w:sz w:val="22"/>
          <w:szCs w:val="22"/>
          <w:highlight w:val="none"/>
          <w:lang w:val="en-US"/>
          <w14:textFill>
            <w14:solidFill>
              <w14:schemeClr w14:val="tx1"/>
            </w14:solidFill>
          </w14:textFill>
        </w:rPr>
        <w:t>GRA SCHOOL</w:t>
      </w:r>
      <w:r>
        <w:rPr>
          <w:rFonts w:ascii="Times New Roman" w:hAnsi="Times New Roman" w:eastAsia="Times New Roman" w:cs="Times New Roman"/>
          <w:color w:val="000000" w:themeColor="text1"/>
          <w:sz w:val="22"/>
          <w:szCs w:val="22"/>
          <w:highlight w:val="none"/>
          <w14:textFill>
            <w14:solidFill>
              <w14:schemeClr w14:val="tx1"/>
            </w14:solidFill>
          </w14:textFill>
        </w:rPr>
        <w:t>.</w:t>
      </w:r>
    </w:p>
    <w:p w14:paraId="70245977">
      <w:pPr>
        <w:spacing w:after="80" w:line="360" w:lineRule="auto"/>
        <w:ind w:firstLine="500" w:firstLineChars="0"/>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First rules (13).</w:t>
      </w:r>
      <w:r>
        <w:rPr>
          <w:rFonts w:ascii="Times New Roman" w:hAnsi="Times New Roman" w:eastAsia="Times New Roman" w:cs="Times New Roman"/>
          <w:color w:val="000000" w:themeColor="text1"/>
          <w:sz w:val="24"/>
          <w:szCs w:val="24"/>
          <w14:textFill>
            <w14:solidFill>
              <w14:schemeClr w14:val="tx1"/>
            </w14:solidFill>
          </w14:textFill>
        </w:rPr>
        <w:t xml:space="preserve"> Forward chaining over facts such as student_type(transferee) and has(tor). “not” is negation as failure on base facts only (closed-world assumption), which keeps results independent of rule order. This prototype was run and tested: rules_trace.py at the project root passes its 6 own cases, and the suite in tests/test_app.py runs 20 hand-made rule cases plus the ontology-agreement, entity-extraction and conversation checks - 81 checks in total, all passing.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9"/>
        <w:gridCol w:w="5544"/>
        <w:gridCol w:w="3117"/>
      </w:tblGrid>
      <w:tr w14:paraId="59F7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43962366">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w:t>
            </w:r>
          </w:p>
        </w:tc>
        <w:tc>
          <w:tcPr>
            <w:tcW w:w="55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3963669F">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IF</w:t>
            </w:r>
          </w:p>
        </w:tc>
        <w:tc>
          <w:tcPr>
            <w:tcW w:w="31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2AE6B5AC">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THEN</w:t>
            </w:r>
          </w:p>
        </w:tc>
      </w:tr>
      <w:tr w14:paraId="23C7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015CD2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R1</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23F0C8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student_type(freshman)</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F516CD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needs(form138)</w:t>
            </w:r>
          </w:p>
        </w:tc>
      </w:tr>
      <w:tr w14:paraId="384B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A90AB3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R2</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926240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student_type(freshman)</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C94317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needs(psa_birth_certificate)</w:t>
            </w:r>
          </w:p>
        </w:tc>
      </w:tr>
      <w:tr w14:paraId="467C1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AA63EF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R3</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A10865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student_type(transferee)</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E715A1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needs(tor)</w:t>
            </w:r>
          </w:p>
        </w:tc>
      </w:tr>
      <w:tr w14:paraId="7556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9E4722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R4</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BAC198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student_type(transferee)</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8FEEAB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needs(honorable_dismissal)</w:t>
            </w:r>
          </w:p>
        </w:tc>
      </w:tr>
      <w:tr w14:paraId="32C4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7AFF81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R5</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6DE25B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student_type(returning)</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1E99CE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needs(clearance)</w:t>
            </w:r>
          </w:p>
        </w:tc>
      </w:tr>
      <w:tr w14:paraId="2CA9F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B6615A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R6</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A215FB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needs(D) AND NOT has(D)</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A10679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missing(D)</w:t>
            </w:r>
          </w:p>
        </w:tc>
      </w:tr>
      <w:tr w14:paraId="10DF9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F54662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R7</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413A39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missing(D)</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35E15D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docs_incomplete</w:t>
            </w:r>
          </w:p>
        </w:tc>
      </w:tr>
      <w:tr w14:paraId="03B38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DF70CC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R8</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D06EF0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student_type(freshman) AND has(form138) AND has(psa_birth_certificate)</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0A5EA8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docs_complete</w:t>
            </w:r>
          </w:p>
        </w:tc>
      </w:tr>
      <w:tr w14:paraId="49B6D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C9B425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R9</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A88193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student_type(transferee) AND has(tor) AND has(honorable_dismissal)</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BDCF12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docs_complete</w:t>
            </w:r>
          </w:p>
        </w:tc>
      </w:tr>
      <w:tr w14:paraId="41C8E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64ECDC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R10</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5E861C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student_type(returning) AND has(clearance)</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9BE733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docs_complete</w:t>
            </w:r>
          </w:p>
        </w:tc>
      </w:tr>
      <w:tr w14:paraId="6C8D9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5026F5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R11</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64D022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docs_complete AND fees_paid</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8C2EAB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eligible(official_enrollment)</w:t>
            </w:r>
          </w:p>
        </w:tc>
      </w:tr>
      <w:tr w14:paraId="65FF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76CAEE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R12</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75F284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docs_complete AND NOT fees_paid</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955F80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next_step(pay_assessment)</w:t>
            </w:r>
          </w:p>
        </w:tc>
      </w:tr>
      <w:tr w14:paraId="4A95B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5AC569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R13</w:t>
            </w:r>
          </w:p>
        </w:tc>
        <w:tc>
          <w:tcPr>
            <w:tcW w:w="5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9A36F7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docs_incomplete</w:t>
            </w:r>
          </w:p>
        </w:tc>
        <w:tc>
          <w:tcPr>
            <w:tcW w:w="3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8E12AF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next_step(submit_missing_documents)</w:t>
            </w:r>
          </w:p>
        </w:tc>
      </w:tr>
    </w:tbl>
    <w:p w14:paraId="6A4C4411">
      <w:pPr>
        <w:spacing w:after="80" w:line="240" w:lineRule="auto"/>
        <w:rPr>
          <w:color w:val="000000" w:themeColor="text1"/>
          <w14:textFill>
            <w14:solidFill>
              <w14:schemeClr w14:val="tx1"/>
            </w14:solidFill>
          </w14:textFill>
        </w:rPr>
      </w:pPr>
    </w:p>
    <w:p w14:paraId="429D37EB">
      <w:pPr>
        <w:spacing w:after="80" w:line="360" w:lineRule="auto"/>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Forward chaining trace, worked by hand.</w:t>
      </w:r>
      <w:r>
        <w:rPr>
          <w:rFonts w:ascii="Times New Roman" w:hAnsi="Times New Roman" w:eastAsia="Times New Roman" w:cs="Times New Roman"/>
          <w:color w:val="000000" w:themeColor="text1"/>
          <w:sz w:val="24"/>
          <w:szCs w:val="24"/>
          <w14:textFill>
            <w14:solidFill>
              <w14:schemeClr w14:val="tx1"/>
            </w14:solidFill>
          </w14:textFill>
        </w:rPr>
        <w:t xml:space="preserve"> Facts (made-up student): student_type(transferee), has(tor). In each cycle, all rules are matched against the facts at the start of the cycle.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8"/>
        <w:gridCol w:w="972"/>
        <w:gridCol w:w="4483"/>
        <w:gridCol w:w="3117"/>
      </w:tblGrid>
      <w:tr w14:paraId="2A3A9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00909E13">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Cycle</w:t>
            </w:r>
          </w:p>
        </w:tc>
        <w:tc>
          <w:tcPr>
            <w:tcW w:w="10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3A525E4E">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Rule fired</w:t>
            </w:r>
          </w:p>
        </w:tc>
        <w:tc>
          <w:tcPr>
            <w:tcW w:w="46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16CD55D9">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Binding</w:t>
            </w:r>
          </w:p>
        </w:tc>
        <w:tc>
          <w:tcPr>
            <w:tcW w:w="29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4BE13644">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New fact</w:t>
            </w:r>
          </w:p>
        </w:tc>
      </w:tr>
      <w:tr w14:paraId="27641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773418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1</w:t>
            </w:r>
          </w:p>
        </w:tc>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458716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R3</w:t>
            </w:r>
          </w:p>
        </w:tc>
        <w:tc>
          <w:tcPr>
            <w:tcW w:w="4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7F01CE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t>
            </w:r>
          </w:p>
        </w:tc>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140783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needs(tor)</w:t>
            </w:r>
          </w:p>
        </w:tc>
      </w:tr>
      <w:tr w14:paraId="4C11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B9819B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1</w:t>
            </w:r>
          </w:p>
        </w:tc>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2F1AEC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R4</w:t>
            </w:r>
          </w:p>
        </w:tc>
        <w:tc>
          <w:tcPr>
            <w:tcW w:w="4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A8E239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t>
            </w:r>
          </w:p>
        </w:tc>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5B264B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needs(honorable_dismissal)</w:t>
            </w:r>
          </w:p>
        </w:tc>
      </w:tr>
      <w:tr w14:paraId="6BD0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3EECEC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2</w:t>
            </w:r>
          </w:p>
        </w:tc>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D29335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R6</w:t>
            </w:r>
          </w:p>
        </w:tc>
        <w:tc>
          <w:tcPr>
            <w:tcW w:w="4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3ADBD5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 = honorable_dismissal (has(tor) exists, so D = tor does not fire)</w:t>
            </w:r>
          </w:p>
        </w:tc>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84A2E6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missing(honorable_dismissal)</w:t>
            </w:r>
          </w:p>
        </w:tc>
      </w:tr>
      <w:tr w14:paraId="437C9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C536EC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3</w:t>
            </w:r>
          </w:p>
        </w:tc>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E8A0EB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R7</w:t>
            </w:r>
          </w:p>
        </w:tc>
        <w:tc>
          <w:tcPr>
            <w:tcW w:w="4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6AFDD6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 = honorable_dismissal</w:t>
            </w:r>
          </w:p>
        </w:tc>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32C0B2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docs_incomplete</w:t>
            </w:r>
          </w:p>
        </w:tc>
      </w:tr>
      <w:tr w14:paraId="52549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2BCA80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4</w:t>
            </w:r>
          </w:p>
        </w:tc>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CE9904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R13</w:t>
            </w:r>
          </w:p>
        </w:tc>
        <w:tc>
          <w:tcPr>
            <w:tcW w:w="4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8586E7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t>
            </w:r>
          </w:p>
        </w:tc>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7B0379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next_step(submit_missing_documents)</w:t>
            </w:r>
          </w:p>
        </w:tc>
      </w:tr>
      <w:tr w14:paraId="1A8C6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8E85F4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5</w:t>
            </w:r>
          </w:p>
        </w:tc>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EFFF14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none</w:t>
            </w:r>
          </w:p>
        </w:tc>
        <w:tc>
          <w:tcPr>
            <w:tcW w:w="4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07D4F7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R8–R12 do not match</w:t>
            </w:r>
          </w:p>
        </w:tc>
        <w:tc>
          <w:tcPr>
            <w:tcW w:w="2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8E980B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stop (fixpoint)</w:t>
            </w:r>
          </w:p>
        </w:tc>
      </w:tr>
    </w:tbl>
    <w:p w14:paraId="3BDA0682">
      <w:pPr>
        <w:spacing w:after="80" w:line="240" w:lineRule="auto"/>
        <w:rPr>
          <w:color w:val="000000" w:themeColor="text1"/>
          <w14:textFill>
            <w14:solidFill>
              <w14:schemeClr w14:val="tx1"/>
            </w14:solidFill>
          </w14:textFill>
        </w:rPr>
      </w:pPr>
    </w:p>
    <w:p w14:paraId="2D014865">
      <w:pPr>
        <w:spacing w:after="80" w:line="360" w:lineRule="auto"/>
        <w:ind w:firstLine="500" w:firstLineChars="0"/>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Answer shown: “Submit your honorable dismissal first,” with fired rules R3, R4, R6, R7, R13. </w:t>
      </w:r>
      <w:r>
        <w:rPr>
          <w:rFonts w:ascii="Times New Roman" w:hAnsi="Times New Roman" w:eastAsia="Times New Roman" w:cs="Times New Roman"/>
          <w:b/>
          <w:bCs/>
          <w:color w:val="000000" w:themeColor="text1"/>
          <w:sz w:val="24"/>
          <w:szCs w:val="24"/>
          <w14:textFill>
            <w14:solidFill>
              <w14:schemeClr w14:val="tx1"/>
            </w14:solidFill>
          </w14:textFill>
        </w:rPr>
        <w:t>Backward chaining</w:t>
      </w:r>
      <w:r>
        <w:rPr>
          <w:rFonts w:ascii="Times New Roman" w:hAnsi="Times New Roman" w:eastAsia="Times New Roman" w:cs="Times New Roman"/>
          <w:color w:val="000000" w:themeColor="text1"/>
          <w:sz w:val="24"/>
          <w:szCs w:val="24"/>
          <w14:textFill>
            <w14:solidFill>
              <w14:schemeClr w14:val="tx1"/>
            </w14:solidFill>
          </w14:textFill>
        </w:rPr>
        <w:t xml:space="preserve"> is used for “why can’t I enroll?”: goal eligible(official_enrollment) needs R11 → docs_complete and fees_paid; docs_complete via R9 needs has(tor) (true) and has(honorable_dismissal) (unknown, so it fails); therefore the blocking fact is the missing honorable dismissal.</w:t>
      </w:r>
    </w:p>
    <w:p w14:paraId="555A1D87">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9. Data and Corpus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7660"/>
      </w:tblGrid>
      <w:tr w14:paraId="04716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4A5C5888">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Item</w:t>
            </w:r>
          </w:p>
        </w:tc>
        <w:tc>
          <w:tcPr>
            <w:tcW w:w="76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1941EF30">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Plan</w:t>
            </w:r>
          </w:p>
        </w:tc>
      </w:tr>
      <w:tr w14:paraId="131AB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C1CC0B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Sources</w:t>
            </w:r>
          </w:p>
        </w:tc>
        <w:tc>
          <w:tcPr>
            <w:tcW w:w="7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A41624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Public school website pages, published handbook, and posted announcements (no data requested from any office); phrases and records written by the team; voice clips recorded by consenting teammates and classmates.</w:t>
            </w:r>
          </w:p>
        </w:tc>
      </w:tr>
      <w:tr w14:paraId="1F3EB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DAC595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Size</w:t>
            </w:r>
          </w:p>
        </w:tc>
        <w:tc>
          <w:tcPr>
            <w:tcW w:w="7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B03FA1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Intent corpus: 335 labelled questions across 10 intents (minimum is 200) - 50 team-written, 274 AI-drafted drafts, 3 labelled by staff in the dashboard, 8 harvested from the chat log. Feedback corpus: about 120 short comments labeled positive, neutral, negative - 120 drafted, all by the same source. Test set: 50 unseen questions written by a member who did not write the training phrases - still to be written. Speech: no speech corpus, because the build has no speech-to-text.</w:t>
            </w:r>
          </w:p>
        </w:tc>
      </w:tr>
      <w:tr w14:paraId="46855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1E142D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Labels</w:t>
            </w:r>
          </w:p>
        </w:tc>
        <w:tc>
          <w:tcPr>
            <w:tcW w:w="7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211488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One intent label per phrase; sentiment label per comment; the reference text of each audio clip for word error rate.</w:t>
            </w:r>
          </w:p>
        </w:tc>
      </w:tr>
      <w:tr w14:paraId="7DD9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9CC2C7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Cleaning</w:t>
            </w:r>
          </w:p>
        </w:tc>
        <w:tc>
          <w:tcPr>
            <w:tcW w:w="7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9248A2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Remove duplicates, lowercase, normalize spelling variants of Taglish (e.g., “po”, “pano”), mask course codes consistently, strip any personal detail; keep a change log.</w:t>
            </w:r>
          </w:p>
        </w:tc>
      </w:tr>
      <w:tr w14:paraId="1351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71CD2C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Split</w:t>
            </w:r>
          </w:p>
        </w:tc>
        <w:tc>
          <w:tcPr>
            <w:tcW w:w="7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C3D517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80% train / 20% test, stratified by label, with a fixed random seed; the 50 unseen questions are never used in training or tuning.</w:t>
            </w:r>
          </w:p>
        </w:tc>
      </w:tr>
      <w:tr w14:paraId="50B7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CF1114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Known gaps</w:t>
            </w:r>
          </w:p>
        </w:tc>
        <w:tc>
          <w:tcPr>
            <w:tcW w:w="7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35DF7D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Mostly Filipino and English; few regional-language phrases. The 274 AI-drafted questions are drafts, not team writing: 26 of the 300 produced were exact duplicates after normalisation and were dropped, and the rest still have to be replaced. The intent hold-out is drawn from the same writer distribution as the training data, so it is optimistic. There is no speech data at all, because there is no speech-to-text.</w:t>
            </w:r>
          </w:p>
        </w:tc>
      </w:tr>
    </w:tbl>
    <w:p w14:paraId="437FBED1">
      <w:pPr>
        <w:spacing w:after="80" w:line="240" w:lineRule="auto"/>
        <w:rPr>
          <w:color w:val="000000" w:themeColor="text1"/>
          <w14:textFill>
            <w14:solidFill>
              <w14:schemeClr w14:val="tx1"/>
            </w14:solidFill>
          </w14:textFill>
        </w:rPr>
      </w:pPr>
    </w:p>
    <w:p w14:paraId="35ABD05A">
      <w:pPr>
        <w:spacing w:after="80" w:line="360" w:lineRule="auto"/>
        <w:ind w:firstLine="500" w:firstLineChars="0"/>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 sample of 50 team-written labeled items (5 per intent) is attached in Appendix C and as data/starter_corpus_50.csv. The data card will use the course template and be completed in the Final. The training corpus now holds 335 labelled questions: 50 team-written, 274 AI-drafted drafts still to be replaced, 3 labelled by staff in the dashboard, and 8 harvested from the chat log.</w:t>
      </w:r>
    </w:p>
    <w:p w14:paraId="78A5FC81">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10. Technique Comparison</w:t>
      </w:r>
    </w:p>
    <w:p w14:paraId="53B6A45B">
      <w:pPr>
        <w:spacing w:after="80" w:line="360" w:lineRule="auto"/>
        <w:ind w:firstLine="500" w:firstLineChars="0"/>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2"/>
          <w:szCs w:val="22"/>
          <w14:textFill>
            <w14:solidFill>
              <w14:schemeClr w14:val="tx1"/>
            </w14:solidFill>
          </w14:textFill>
        </w:rPr>
        <w:t xml:space="preserve">Accuracy figures in this section were </w:t>
      </w:r>
      <w:r>
        <w:rPr>
          <w:rFonts w:ascii="Times New Roman" w:hAnsi="Times New Roman" w:eastAsia="Times New Roman" w:cs="Times New Roman"/>
          <w:b/>
          <w:bCs/>
          <w:color w:val="000000" w:themeColor="text1"/>
          <w:sz w:val="22"/>
          <w:szCs w:val="22"/>
          <w14:textFill>
            <w14:solidFill>
              <w14:schemeClr w14:val="tx1"/>
            </w14:solidFill>
          </w14:textFill>
        </w:rPr>
        <w:t>targets to be measured</w:t>
      </w:r>
      <w:r>
        <w:rPr>
          <w:rFonts w:ascii="Times New Roman" w:hAnsi="Times New Roman" w:eastAsia="Times New Roman" w:cs="Times New Roman"/>
          <w:color w:val="000000" w:themeColor="text1"/>
          <w:sz w:val="22"/>
          <w:szCs w:val="22"/>
          <w14:textFill>
            <w14:solidFill>
              <w14:schemeClr w14:val="tx1"/>
            </w14:solidFill>
          </w14:textFill>
        </w:rPr>
        <w:t xml:space="preserve"> when the section was first drafted. The build has since been trained and measured on this machine, so every measured number is now given in the Accuracy column with its caveat, and a row that still says “to pilot” has not been measured yet.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6"/>
        <w:gridCol w:w="1475"/>
        <w:gridCol w:w="1243"/>
        <w:gridCol w:w="1059"/>
        <w:gridCol w:w="759"/>
        <w:gridCol w:w="1274"/>
        <w:gridCol w:w="2334"/>
      </w:tblGrid>
      <w:tr w14:paraId="63769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44DB5F50">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6"/>
                <w:szCs w:val="16"/>
                <w14:textFill>
                  <w14:solidFill>
                    <w14:schemeClr w14:val="tx1"/>
                  </w14:solidFill>
                </w14:textFill>
              </w:rPr>
              <w:t>Layer</w:t>
            </w:r>
          </w:p>
        </w:tc>
        <w:tc>
          <w:tcPr>
            <w:tcW w:w="15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04F86F4B">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6"/>
                <w:szCs w:val="16"/>
                <w14:textFill>
                  <w14:solidFill>
                    <w14:schemeClr w14:val="tx1"/>
                  </w14:solidFill>
                </w14:textFill>
              </w:rPr>
              <w:t>Options compared</w:t>
            </w:r>
          </w:p>
        </w:tc>
        <w:tc>
          <w:tcPr>
            <w:tcW w:w="11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23625D49">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6"/>
                <w:szCs w:val="16"/>
                <w14:textFill>
                  <w14:solidFill>
                    <w14:schemeClr w14:val="tx1"/>
                  </w14:solidFill>
                </w14:textFill>
              </w:rPr>
              <w:t>Accuracy</w:t>
            </w:r>
          </w:p>
        </w:tc>
        <w:tc>
          <w:tcPr>
            <w:tcW w:w="11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7CBC116D">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6"/>
                <w:szCs w:val="16"/>
                <w14:textFill>
                  <w14:solidFill>
                    <w14:schemeClr w14:val="tx1"/>
                  </w14:solidFill>
                </w14:textFill>
              </w:rPr>
              <w:t>Data needed</w:t>
            </w:r>
          </w:p>
        </w:tc>
        <w:tc>
          <w:tcPr>
            <w:tcW w:w="8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24FE82EF">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6"/>
                <w:szCs w:val="16"/>
                <w14:textFill>
                  <w14:solidFill>
                    <w14:schemeClr w14:val="tx1"/>
                  </w14:solidFill>
                </w14:textFill>
              </w:rPr>
              <w:t>Cost</w:t>
            </w:r>
          </w:p>
        </w:tc>
        <w:tc>
          <w:tcPr>
            <w:tcW w:w="13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6ECF8B38">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6"/>
                <w:szCs w:val="16"/>
                <w14:textFill>
                  <w14:solidFill>
                    <w14:schemeClr w14:val="tx1"/>
                  </w14:solidFill>
                </w14:textFill>
              </w:rPr>
              <w:t>Explainability</w:t>
            </w:r>
          </w:p>
        </w:tc>
        <w:tc>
          <w:tcPr>
            <w:tcW w:w="25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7EA7D9D9">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6"/>
                <w:szCs w:val="16"/>
                <w14:textFill>
                  <w14:solidFill>
                    <w14:schemeClr w14:val="tx1"/>
                  </w14:solidFill>
                </w14:textFill>
              </w:rPr>
              <w:t>Choice and why</w:t>
            </w:r>
          </w:p>
        </w:tc>
      </w:tr>
      <w:tr w14:paraId="74319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C574C6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Intent recognition</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DB4D29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TF-IDF + logistic regression</w:t>
            </w:r>
          </w:p>
          <w:p w14:paraId="4993AF0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cloud NLU service</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10F7AA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measured: hold-out accuracy 0.90, macro F1 0.90; 5-fold CV macro F1 0.81 ± 0.03</w:t>
            </w:r>
          </w:p>
          <w:p w14:paraId="29DA9E9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to pilot</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F4120F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about 30 phrases per intent</w:t>
            </w:r>
          </w:p>
          <w:p w14:paraId="09B821B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10–15 per intent</w:t>
            </w:r>
          </w:p>
        </w:tc>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48952B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free</w:t>
            </w:r>
          </w:p>
          <w:p w14:paraId="73BF916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free tier with quota</w:t>
            </w:r>
          </w:p>
        </w:tc>
        <w:tc>
          <w:tcPr>
            <w:tcW w:w="1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412712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top words per prediction</w:t>
            </w:r>
          </w:p>
          <w:p w14:paraId="6F9ABDC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score only</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4E9EB3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data stays local, probability gives confidence, and every prediction can be explained at the defense - chosen and built</w:t>
            </w:r>
          </w:p>
        </w:tc>
      </w:tr>
      <w:tr w14:paraId="0DC98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F1554B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Knowledge storage</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C589A2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JSON ontology</w:t>
            </w:r>
          </w:p>
          <w:p w14:paraId="56EF2F9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OWL in Protégé</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2E2B48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Same facts</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1DEA2D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Same facts</w:t>
            </w:r>
          </w:p>
        </w:tc>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2D197C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Both free</w:t>
            </w:r>
          </w:p>
        </w:tc>
        <w:tc>
          <w:tcPr>
            <w:tcW w:w="1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50F07F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readable by all members</w:t>
            </w:r>
          </w:p>
          <w:p w14:paraId="4E02200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formal reasoning</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2D89BC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simpler for four people in 3 weeks; OWL is a stretch goal</w:t>
            </w:r>
          </w:p>
        </w:tc>
      </w:tr>
      <w:tr w14:paraId="00170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F80687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Reasoning</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A9E060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forward/backward chaining rules</w:t>
            </w:r>
          </w:p>
          <w:p w14:paraId="178DE21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learned classifier for eligibility</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91EA05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exact on policy (20 hand-made cases in tests/test_app.py, all passing)</w:t>
            </w:r>
          </w:p>
          <w:p w14:paraId="0B208D4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depends on data</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952B15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handbook only</w:t>
            </w:r>
          </w:p>
          <w:p w14:paraId="5841026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labeled eligibility cases</w:t>
            </w:r>
          </w:p>
        </w:tc>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E3E1DC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Both free</w:t>
            </w:r>
          </w:p>
        </w:tc>
        <w:tc>
          <w:tcPr>
            <w:tcW w:w="1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E35A6B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shows rules fired</w:t>
            </w:r>
          </w:p>
          <w:p w14:paraId="79AF899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hard to explain</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9A787E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policy is fixed and must be auditable</w:t>
            </w:r>
          </w:p>
        </w:tc>
      </w:tr>
      <w:tr w14:paraId="2294C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1B63B7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Trained model (feedback)</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90B014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Naive Bayes</w:t>
            </w:r>
          </w:p>
          <w:p w14:paraId="5379100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logistic regression</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4239C1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measured: hold-out accuracy 0.67, macro F1 0.64 - below the 0.75 target</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17D502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About 120 comments</w:t>
            </w:r>
          </w:p>
        </w:tc>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08C9E9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Free</w:t>
            </w:r>
          </w:p>
        </w:tc>
        <w:tc>
          <w:tcPr>
            <w:tcW w:w="1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BCD5B2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Both show word weights</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0E6823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Chosen after pilot; start with (a) as Bayes-based baseline</w:t>
            </w:r>
          </w:p>
        </w:tc>
      </w:tr>
      <w:tr w14:paraId="38CFE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955642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Perception</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CC70B9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Whisper local</w:t>
            </w:r>
          </w:p>
          <w:p w14:paraId="5A729D3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cloud speech API</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BA82DF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and (b) measured by word error rate on 20 clips - not measured, because no speech-to-text was built</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606FBF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None for training</w:t>
            </w:r>
          </w:p>
        </w:tc>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EF085C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free</w:t>
            </w:r>
          </w:p>
          <w:p w14:paraId="54AC51E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free tier</w:t>
            </w:r>
          </w:p>
        </w:tc>
        <w:tc>
          <w:tcPr>
            <w:tcW w:w="1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33D873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transcript with confidence</w:t>
            </w:r>
          </w:p>
          <w:p w14:paraId="34610A7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same</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156686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No speech-to-text was built, so this row is deferred. The Voice page records and plays back only, and the assistant answers typed questions.</w:t>
            </w:r>
          </w:p>
        </w:tc>
      </w:tr>
      <w:tr w14:paraId="5F53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7E5241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Conversation</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5A2F2E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own dialogue manager in Python</w:t>
            </w:r>
          </w:p>
          <w:p w14:paraId="27E85EC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Rasa</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84131A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Both able</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AFFB32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Phrases and flows</w:t>
            </w:r>
          </w:p>
        </w:tc>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1C028A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Both free</w:t>
            </w:r>
          </w:p>
        </w:tc>
        <w:tc>
          <w:tcPr>
            <w:tcW w:w="1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69D7CF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transparent</w:t>
            </w:r>
          </w:p>
          <w:p w14:paraId="5B27C6B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more setup</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A3448C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fewer moving parts; Rasa is the fallback</w:t>
            </w:r>
          </w:p>
        </w:tc>
      </w:tr>
      <w:tr w14:paraId="1E524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FBD8B4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Analytics / recommendation</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8B0480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moving average + rules with evidence</w:t>
            </w:r>
          </w:p>
          <w:p w14:paraId="337687B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ARIMA</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D62574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measured: 3-week moving average, mean absolute percentage error 0.29 on the log’s own weeks - above the 0.25 target</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CF3FE6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Chat logs (sample)</w:t>
            </w:r>
          </w:p>
        </w:tc>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97532C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Free</w:t>
            </w:r>
          </w:p>
        </w:tc>
        <w:tc>
          <w:tcPr>
            <w:tcW w:w="1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9CFB12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simple to explain</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12CBC4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little data, so a simple, explainable method</w:t>
            </w:r>
          </w:p>
        </w:tc>
      </w:tr>
      <w:tr w14:paraId="0B3FA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BA7347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Interface</w:t>
            </w:r>
          </w:p>
        </w:tc>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DA8331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Streamlit</w:t>
            </w:r>
          </w:p>
          <w:p w14:paraId="6C17D67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(b) Flask + HTML</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D9F1D2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w:t>
            </w:r>
          </w:p>
        </w:tc>
        <w:tc>
          <w:tcPr>
            <w:tcW w:w="11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8A118E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w:t>
            </w:r>
          </w:p>
        </w:tc>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ED90DA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Free</w:t>
            </w:r>
          </w:p>
        </w:tc>
        <w:tc>
          <w:tcPr>
            <w:tcW w:w="13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311EE8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E41328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6"/>
                <w:szCs w:val="16"/>
                <w14:textFill>
                  <w14:solidFill>
                    <w14:schemeClr w14:val="tx1"/>
                  </w14:solidFill>
                </w14:textFill>
              </w:rPr>
              <w:t>(a): faster to build both chat and dashboard</w:t>
            </w:r>
          </w:p>
        </w:tc>
      </w:tr>
    </w:tbl>
    <w:p w14:paraId="0E86E519">
      <w:pPr>
        <w:spacing w:after="80" w:line="240" w:lineRule="auto"/>
        <w:rPr>
          <w:color w:val="000000" w:themeColor="text1"/>
          <w14:textFill>
            <w14:solidFill>
              <w14:schemeClr w14:val="tx1"/>
            </w14:solidFill>
          </w14:textFill>
        </w:rPr>
      </w:pPr>
    </w:p>
    <w:p w14:paraId="71B68F14">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11. Conversation Design</w:t>
      </w:r>
    </w:p>
    <w:p w14:paraId="5C37C4EA">
      <w:pPr>
        <w:spacing w:after="80" w:line="360" w:lineRule="auto"/>
        <w:ind w:firstLine="500" w:firstLineChars="0"/>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Intents (10) and entities (5, plus the assessment-payment flag).</w:t>
      </w:r>
      <w:r>
        <w:rPr>
          <w:rFonts w:ascii="Times New Roman" w:hAnsi="Times New Roman" w:eastAsia="Times New Roman" w:cs="Times New Roman"/>
          <w:color w:val="000000" w:themeColor="text1"/>
          <w:sz w:val="24"/>
          <w:szCs w:val="24"/>
          <w14:textFill>
            <w14:solidFill>
              <w14:schemeClr w14:val="tx1"/>
            </w14:solidFill>
          </w14:textFill>
        </w:rPr>
        <w:t xml:space="preserve"> Each intent is answered from the rule base, the knowledge base, or a hand-off.</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800"/>
        <w:gridCol w:w="2960"/>
      </w:tblGrid>
      <w:tr w14:paraId="19F17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557C8A72">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Intent</w:t>
            </w:r>
          </w:p>
        </w:tc>
        <w:tc>
          <w:tcPr>
            <w:tcW w:w="38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38E6E51D">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Example</w:t>
            </w:r>
          </w:p>
        </w:tc>
        <w:tc>
          <w:tcPr>
            <w:tcW w:w="29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682260DB">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Handled by</w:t>
            </w:r>
          </w:p>
        </w:tc>
      </w:tr>
      <w:tr w14:paraId="3073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EFA682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greet</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70E524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“hi po good morning”</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BB6FFF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Greeting and privacy notice</w:t>
            </w:r>
          </w:p>
        </w:tc>
      </w:tr>
      <w:tr w14:paraId="4904B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80296F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ask_requirements</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1DC0A2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“what do I need to enroll as a freshman?”</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257ABD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Ontology (Requirement)</w:t>
            </w:r>
          </w:p>
        </w:tc>
      </w:tr>
      <w:tr w14:paraId="3D7EE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6B1147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check_eligibility</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EDCCD0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“can I enroll? transferee ako, may TOR”</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7B6529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Rules (forward chaining)</w:t>
            </w:r>
          </w:p>
        </w:tc>
      </w:tr>
      <w:tr w14:paraId="744C8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F49B1E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ask_schedule_deadline</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EED258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“when is the last day of enrollment?”</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770368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Ontology (Deadline)</w:t>
            </w:r>
          </w:p>
        </w:tc>
      </w:tr>
      <w:tr w14:paraId="24B71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01CEC5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ask_fees_payment</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E6AB98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“where do I pay my assessment?”</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209F9B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Ontology (Fee)</w:t>
            </w:r>
          </w:p>
        </w:tc>
      </w:tr>
      <w:tr w14:paraId="5140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398E43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ask_office_hours_location</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52F40B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“what time does the registrar open?”</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0DBD1F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Ontology (Office)</w:t>
            </w:r>
          </w:p>
        </w:tc>
      </w:tr>
      <w:tr w14:paraId="54DA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44C030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ask_course_prereq</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030F84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“prerequisite of CS 201?”</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AC4D96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Ontology (Course)</w:t>
            </w:r>
          </w:p>
        </w:tc>
      </w:tr>
      <w:tr w14:paraId="2E5B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37872A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ask_clearance_process</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DAC0A6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“how do I get my clearance?”</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3B9E98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Ontology (Service)</w:t>
            </w:r>
          </w:p>
        </w:tc>
      </w:tr>
      <w:tr w14:paraId="1B717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CB154D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request_human</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D68C4F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“pakausap po sa staff”</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B0D140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Hand-off</w:t>
            </w:r>
          </w:p>
        </w:tc>
      </w:tr>
      <w:tr w14:paraId="045E1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4FC3BD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give_feedback</w:t>
            </w:r>
          </w:p>
        </w:tc>
        <w:tc>
          <w:tcPr>
            <w:tcW w:w="3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73E5CF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“thanks, that was helpful”</w:t>
            </w:r>
          </w:p>
        </w:tc>
        <w:tc>
          <w:tcPr>
            <w:tcW w:w="29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CB96F2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Sentiment classifier</w:t>
            </w:r>
          </w:p>
        </w:tc>
      </w:tr>
    </w:tbl>
    <w:p w14:paraId="7825CA51">
      <w:pPr>
        <w:spacing w:after="80" w:line="240" w:lineRule="auto"/>
      </w:pPr>
    </w:p>
    <w:p w14:paraId="56E9316D">
      <w:pPr>
        <w:spacing w:after="80" w:line="240" w:lineRule="auto"/>
        <w:ind w:firstLine="500" w:firstLineChars="0"/>
        <w:jc w:val="both"/>
        <w:rPr>
          <w:color w:val="000000" w:themeColor="text1"/>
          <w14:textFill>
            <w14:solidFill>
              <w14:schemeClr w14:val="tx1"/>
            </w14:solidFill>
          </w14:textFill>
        </w:rPr>
      </w:pPr>
      <w:r>
        <w:t>Two notes on this table, both from the running build. “pakausap po sa staff” scores 0.37 for request_human, below the 0.40 fallback line, so it currently gets the fallback message instead of a hand-off; “I want to talk to a staff member” (0.75) does hand off. And “thanks, that was helpful” reaches the sentiment path but raises there, because code/sentiment.py:118 loads the model from a name that does not exist (MOD_PATH instead of MODEL_PATH) - a one-line defect that has to be fixed before F5 can be claimed.</w:t>
      </w:r>
    </w:p>
    <w:p w14:paraId="688407B4">
      <w:pPr>
        <w:spacing w:after="80" w:line="360" w:lineRule="auto"/>
        <w:ind w:firstLine="500" w:firstLineChars="0"/>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Entities:</w:t>
      </w:r>
      <w:r>
        <w:rPr>
          <w:rFonts w:ascii="Times New Roman" w:hAnsi="Times New Roman" w:eastAsia="Times New Roman" w:cs="Times New Roman"/>
          <w:color w:val="000000" w:themeColor="text1"/>
          <w:sz w:val="24"/>
          <w:szCs w:val="24"/>
          <w14:textFill>
            <w14:solidFill>
              <w14:schemeClr w14:val="tx1"/>
            </w14:solidFill>
          </w14:textFill>
        </w:rPr>
        <w:t xml:space="preserve"> student_type (freshman, transferee, returning), document (TOR, Form 138, clearance, …), office, course_code (pattern such as CS 201), semester or date. </w:t>
      </w:r>
    </w:p>
    <w:p w14:paraId="3D31D3EF">
      <w:pPr>
        <w:spacing w:after="80" w:line="360" w:lineRule="auto"/>
        <w:ind w:firstLine="500" w:firstLineChars="0"/>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Preprocessing:</w:t>
      </w:r>
      <w:r>
        <w:rPr>
          <w:rFonts w:ascii="Times New Roman" w:hAnsi="Times New Roman" w:eastAsia="Times New Roman" w:cs="Times New Roman"/>
          <w:color w:val="000000" w:themeColor="text1"/>
          <w:sz w:val="24"/>
          <w:szCs w:val="24"/>
          <w14:textFill>
            <w14:solidFill>
              <w14:schemeClr w14:val="tx1"/>
            </w14:solidFill>
          </w14:textFill>
        </w:rPr>
        <w:t xml:space="preserve"> lowercase, tokenize, normalize Taglish particles, extract entities with patterns and a dictionary.</w:t>
      </w:r>
    </w:p>
    <w:p w14:paraId="546AEF41">
      <w:pPr>
        <w:spacing w:after="80" w:line="360" w:lineRule="auto"/>
        <w:ind w:firstLine="500" w:firstLineChars="0"/>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Confidence policy:</w:t>
      </w:r>
      <w:r>
        <w:rPr>
          <w:rFonts w:ascii="Times New Roman" w:hAnsi="Times New Roman" w:eastAsia="Times New Roman" w:cs="Times New Roman"/>
          <w:color w:val="000000" w:themeColor="text1"/>
          <w:sz w:val="24"/>
          <w:szCs w:val="24"/>
          <w14:textFill>
            <w14:solidFill>
              <w14:schemeClr w14:val="tx1"/>
            </w14:solidFill>
          </w14:textFill>
        </w:rPr>
        <w:t xml:space="preserve"> probability ≥ 0.60 answers; 0.40–0.59 asks a clarifying question with buttons; below 0.40 triggers the fallback message and, after two misses, a hand-off. Every answer shows its confidence. One documented deviation: when the top intent leads the runner-up by 0.25 or more the answer is given even inside the clarify band, and the answer card shows the real confidence and the margin - otherwise an unambiguous question such as “what do I need to enrol as a freshman” (0.59 against 0.09 for the runner-up) would be met with a clarifying question.</w:t>
      </w:r>
    </w:p>
    <w:p w14:paraId="5CD98A63">
      <w:pPr>
        <w:keepNext/>
        <w:spacing w:before="6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943600" cy="1533525"/>
            <wp:effectExtent l="0" t="0" r="0" b="0"/>
            <wp:docPr id="3" name="f3" descr="f3" titl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3" descr="f3" title="f3"/>
                    <pic:cNvPicPr>
                      <a:picLocks noChangeAspect="1" noChangeArrowheads="1"/>
                    </pic:cNvPicPr>
                  </pic:nvPicPr>
                  <pic:blipFill>
                    <a:blip r:embed="rId7"/>
                    <a:srcRect/>
                    <a:stretch>
                      <a:fillRect/>
                    </a:stretch>
                  </pic:blipFill>
                  <pic:spPr>
                    <a:xfrm>
                      <a:off x="0" y="0"/>
                      <a:ext cx="5943600" cy="1533525"/>
                    </a:xfrm>
                    <a:prstGeom prst="rect">
                      <a:avLst/>
                    </a:prstGeom>
                  </pic:spPr>
                </pic:pic>
              </a:graphicData>
            </a:graphic>
          </wp:inline>
        </w:drawing>
      </w:r>
    </w:p>
    <w:p w14:paraId="15217868">
      <w:pPr>
        <w:spacing w:after="140" w:line="276" w:lineRule="auto"/>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0"/>
          <w:szCs w:val="20"/>
          <w14:textFill>
            <w14:solidFill>
              <w14:schemeClr w14:val="tx1"/>
            </w14:solidFill>
          </w14:textFill>
        </w:rPr>
        <w:t>Figure 3. Conversation flow: happy path and failure paths.</w:t>
      </w:r>
    </w:p>
    <w:p w14:paraId="6AEB96BF">
      <w:pPr>
        <w:spacing w:after="80" w:line="360" w:lineRule="auto"/>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Script (happy path).</w:t>
      </w:r>
      <w:r>
        <w:rPr>
          <w:rFonts w:ascii="Times New Roman" w:hAnsi="Times New Roman" w:eastAsia="Times New Roman" w:cs="Times New Roman"/>
          <w:color w:val="000000" w:themeColor="text1"/>
          <w:sz w:val="24"/>
          <w:szCs w:val="24"/>
          <w14:textFill>
            <w14:solidFill>
              <w14:schemeClr w14:val="tx1"/>
            </w14:solidFill>
          </w14:textFill>
        </w:rPr>
        <w:t xml:space="preserve"> Student: “Can I enroll? I am a transferee and I have my TOR.” → System (check_eligibility 0.80): “Not yet - you still need to submit a document. Still missing: Honorable Dismissal.” with the backward-chaining explanation and fired rules R3, R4, R6, R7, R13. → Student: thumbs up (feedback logged). The two-turn version in the earlier draft does not work yet: a bare follow-up such as “TOR lang” scores 0.18 for check_eligibility, below the 0.40 fallback line, so the assistant falls back instead of continuing. Such fragments have to enter the corpus, or a bare document mention has to be handled before the intent model, before the two-turn script can be claimed.</w:t>
      </w:r>
    </w:p>
    <w:p w14:paraId="6B38CA0E">
      <w:pPr>
        <w:spacing w:after="80" w:line="360" w:lineRule="auto"/>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Failure paths.</w:t>
      </w:r>
      <w:r>
        <w:rPr>
          <w:rFonts w:ascii="Times New Roman" w:hAnsi="Times New Roman" w:eastAsia="Times New Roman" w:cs="Times New Roman"/>
          <w:color w:val="000000" w:themeColor="text1"/>
          <w:sz w:val="24"/>
          <w:szCs w:val="24"/>
          <w14:textFill>
            <w14:solidFill>
              <w14:schemeClr w14:val="tx1"/>
            </w14:solidFill>
          </w14:textFill>
        </w:rPr>
        <w:t xml:space="preserve"> (F1) Low confidence: the assistant asks a clarifying question with buttons - “Can I enroll?” with no student type offered yet asks Freshman, Transferee or Returning student. (F2) Unknown or empty input: a helpful prompt, logged for review, and a hand-off on the second miss - both verified. (F3) There is no speech-to-text in this build, so the Voice page cannot fail that way: it records from the microphone or accepts an uploaded clip and plays it back. The API-timeout and invalid-key paths do not apply either,. (F4) Hand-off works for “I want to talk to a staff member” (0.75) and “Can you connect me to a real person?” (0.69), but not yet for “pakausap po sa staff” (0.37, below the fallback line) - those Taglish phrases have to be added to the corpus. Context (student type, documents held) is remembered within the session.</w:t>
      </w:r>
    </w:p>
    <w:p w14:paraId="159B4F88">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12. Screen Mockups</w:t>
      </w:r>
    </w:p>
    <w:p w14:paraId="7398230B">
      <w:pPr>
        <w:keepNext/>
        <w:spacing w:before="6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743200" cy="3238500"/>
            <wp:effectExtent l="0" t="0" r="0" b="0"/>
            <wp:docPr id="4" name="f4" descr="f4" titl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4" descr="f4" title="f4"/>
                    <pic:cNvPicPr>
                      <a:picLocks noChangeAspect="1" noChangeArrowheads="1"/>
                    </pic:cNvPicPr>
                  </pic:nvPicPr>
                  <pic:blipFill>
                    <a:blip r:embed="rId8"/>
                    <a:srcRect/>
                    <a:stretch>
                      <a:fillRect/>
                    </a:stretch>
                  </pic:blipFill>
                  <pic:spPr>
                    <a:xfrm>
                      <a:off x="0" y="0"/>
                      <a:ext cx="2743200" cy="3238500"/>
                    </a:xfrm>
                    <a:prstGeom prst="rect">
                      <a:avLst/>
                    </a:prstGeom>
                  </pic:spPr>
                </pic:pic>
              </a:graphicData>
            </a:graphic>
          </wp:inline>
        </w:drawing>
      </w:r>
    </w:p>
    <w:p w14:paraId="4A0E8851">
      <w:pPr>
        <w:spacing w:after="140" w:line="276" w:lineRule="auto"/>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0"/>
          <w:szCs w:val="20"/>
          <w14:textFill>
            <w14:solidFill>
              <w14:schemeClr w14:val="tx1"/>
            </w14:solidFill>
          </w14:textFill>
        </w:rPr>
        <w:t>Figure 4. Student chat mockup with a recommendation shown with its confidence, rules, and source.</w:t>
      </w:r>
    </w:p>
    <w:p w14:paraId="1629134E">
      <w:pPr>
        <w:keepNext/>
        <w:spacing w:before="6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943600" cy="2476500"/>
            <wp:effectExtent l="0" t="0" r="0" b="0"/>
            <wp:docPr id="5" name="f5" descr="f5" titl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5" descr="f5" title="f5"/>
                    <pic:cNvPicPr>
                      <a:picLocks noChangeAspect="1" noChangeArrowheads="1"/>
                    </pic:cNvPicPr>
                  </pic:nvPicPr>
                  <pic:blipFill>
                    <a:blip r:embed="rId9"/>
                    <a:srcRect/>
                    <a:stretch>
                      <a:fillRect/>
                    </a:stretch>
                  </pic:blipFill>
                  <pic:spPr>
                    <a:xfrm>
                      <a:off x="0" y="0"/>
                      <a:ext cx="5943600" cy="2476500"/>
                    </a:xfrm>
                    <a:prstGeom prst="rect">
                      <a:avLst/>
                    </a:prstGeom>
                  </pic:spPr>
                </pic:pic>
              </a:graphicData>
            </a:graphic>
          </wp:inline>
        </w:drawing>
      </w:r>
    </w:p>
    <w:p w14:paraId="4AAC48A9">
      <w:pPr>
        <w:spacing w:after="140" w:line="276" w:lineRule="auto"/>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0"/>
          <w:szCs w:val="20"/>
          <w14:textFill>
            <w14:solidFill>
              <w14:schemeClr w14:val="tx1"/>
            </w14:solidFill>
          </w14:textFill>
        </w:rPr>
        <w:t>Figure 5. Staff dashboard mockup (illustrative sample data): three descriptive views, a forecast, and a recommendation with evidence and confidence.</w:t>
      </w:r>
    </w:p>
    <w:p w14:paraId="245C1C8B">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13. Evaluation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000"/>
        <w:gridCol w:w="3000"/>
        <w:gridCol w:w="1660"/>
      </w:tblGrid>
      <w:tr w14:paraId="0553C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22B8DED0">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Component</w:t>
            </w:r>
          </w:p>
        </w:tc>
        <w:tc>
          <w:tcPr>
            <w:tcW w:w="30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414700F0">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Metric</w:t>
            </w:r>
          </w:p>
        </w:tc>
        <w:tc>
          <w:tcPr>
            <w:tcW w:w="30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4AADF7F3">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Target</w:t>
            </w:r>
          </w:p>
        </w:tc>
        <w:tc>
          <w:tcPr>
            <w:tcW w:w="16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2C22B453">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Test data</w:t>
            </w:r>
          </w:p>
        </w:tc>
      </w:tr>
      <w:tr w14:paraId="616AA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C31646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Intent model</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AC097D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Macro F1 (plus confusion matrix, accuracy, precision, recall)</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C1C1B0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 0.80 on 50 unseen questions; retrained at least once with results documented</w:t>
            </w:r>
          </w:p>
        </w:tc>
        <w:tc>
          <w:tcPr>
            <w:tcW w:w="1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EDEDE5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50 unseen questions</w:t>
            </w:r>
          </w:p>
        </w:tc>
      </w:tr>
      <w:tr w14:paraId="44230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A656CC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Confidence</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1CF95F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Accuracy of answers at confidence ≥ 0.60</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FD20AB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 85%</w:t>
            </w:r>
          </w:p>
        </w:tc>
        <w:tc>
          <w:tcPr>
            <w:tcW w:w="1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452A96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Held-out set</w:t>
            </w:r>
          </w:p>
        </w:tc>
      </w:tr>
      <w:tr w14:paraId="7A2D0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7C830B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Rules</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5F74D0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Correct conclusion and fired-rule trace</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6C1C5E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100% of 20 hand-made cases</w:t>
            </w:r>
          </w:p>
        </w:tc>
        <w:tc>
          <w:tcPr>
            <w:tcW w:w="1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8E88D2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20 cases written by the team</w:t>
            </w:r>
          </w:p>
        </w:tc>
      </w:tr>
      <w:tr w14:paraId="2CCED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580A87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Sentiment</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83E2ED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Accuracy and per-class F1</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409ADC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 0.75 accuracy</w:t>
            </w:r>
          </w:p>
        </w:tc>
        <w:tc>
          <w:tcPr>
            <w:tcW w:w="1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0D54ED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20% held out</w:t>
            </w:r>
          </w:p>
        </w:tc>
      </w:tr>
      <w:tr w14:paraId="5CBC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742EE8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Speech</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2F3377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Word error rate</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B5B93C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&lt; 20% on 20 or more local clips</w:t>
            </w:r>
          </w:p>
        </w:tc>
        <w:tc>
          <w:tcPr>
            <w:tcW w:w="1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2756C4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Consented clips</w:t>
            </w:r>
          </w:p>
        </w:tc>
      </w:tr>
      <w:tr w14:paraId="5A5CB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613027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Conversation</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368AFE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Task completion and failure paths handled</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BA5256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 3 failure paths work; hand-off works in 100% of tries</w:t>
            </w:r>
          </w:p>
        </w:tc>
        <w:tc>
          <w:tcPr>
            <w:tcW w:w="1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F670EF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Peer test script</w:t>
            </w:r>
          </w:p>
        </w:tc>
      </w:tr>
      <w:tr w14:paraId="069F0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D5C0C5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Failure handling</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788EA4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 xml:space="preserve">Empty input, unknown intent, </w:t>
            </w:r>
            <w:r>
              <w:rPr>
                <w:rFonts w:hint="default" w:cs="Times New Roman"/>
                <w:b w:val="0"/>
                <w:bCs w:val="0"/>
                <w:color w:val="000000" w:themeColor="text1"/>
                <w:sz w:val="19"/>
                <w:szCs w:val="19"/>
                <w:lang w:val="en-PH"/>
                <w14:textFill>
                  <w14:solidFill>
                    <w14:schemeClr w14:val="tx1"/>
                  </w14:solidFill>
                </w14:textFill>
              </w:rPr>
              <w:t xml:space="preserve">No </w:t>
            </w:r>
            <w:r>
              <w:rPr>
                <w:rFonts w:ascii="Times New Roman" w:hAnsi="Times New Roman" w:eastAsia="Times New Roman" w:cs="Times New Roman"/>
                <w:b w:val="0"/>
                <w:bCs w:val="0"/>
                <w:color w:val="000000" w:themeColor="text1"/>
                <w:sz w:val="19"/>
                <w:szCs w:val="19"/>
                <w14:textFill>
                  <w14:solidFill>
                    <w14:schemeClr w14:val="tx1"/>
                  </w14:solidFill>
                </w14:textFill>
              </w:rPr>
              <w:t>API timeout, invalid key</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9BE5E3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All 4 handled gracefully and logged</w:t>
            </w:r>
          </w:p>
        </w:tc>
        <w:tc>
          <w:tcPr>
            <w:tcW w:w="1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BC6FC2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Failure drill</w:t>
            </w:r>
          </w:p>
        </w:tc>
      </w:tr>
      <w:tr w14:paraId="1845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8CBDD1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Dashboard forecast</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19DBC1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Mean absolute percentage error</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149F4D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 25% on held-out weeks</w:t>
            </w:r>
          </w:p>
        </w:tc>
        <w:tc>
          <w:tcPr>
            <w:tcW w:w="1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7AD0FB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Sample logs</w:t>
            </w:r>
          </w:p>
        </w:tc>
      </w:tr>
      <w:tr w14:paraId="6D44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E8C707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Fairness (Final)</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6F48C8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Accuracy gap between 2 groups (e.g., English vs. Taglish; clear vs. noisy audio)</w:t>
            </w:r>
          </w:p>
        </w:tc>
        <w:tc>
          <w:tcPr>
            <w:tcW w:w="30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91C3F0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Gap ≤ 10 points, or mitigation applied</w:t>
            </w:r>
          </w:p>
        </w:tc>
        <w:tc>
          <w:tcPr>
            <w:tcW w:w="16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0DF30B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Test set split by group</w:t>
            </w:r>
          </w:p>
        </w:tc>
      </w:tr>
    </w:tbl>
    <w:p w14:paraId="22E512C5">
      <w:pPr>
        <w:spacing w:after="80" w:line="240" w:lineRule="auto"/>
        <w:ind w:firstLine="500" w:firstLineChars="0"/>
        <w:jc w:val="both"/>
        <w:rPr>
          <w:color w:val="000000" w:themeColor="text1"/>
          <w14:textFill>
            <w14:solidFill>
              <w14:schemeClr w14:val="tx1"/>
            </w14:solidFill>
          </w14:textFill>
        </w:rPr>
      </w:pPr>
      <w:r>
        <w:t>Measured status, on this machine, at the time of writing: intent model 0.90 hold-out accuracy and 0.90 macro F1 over 67 held-out questions, 5-fold CV macro F1 0.81 ± 0.03, against the 0.80 target - but on a hold-out drawn from the same writer distribution, so the 50 unseen questions still have to be written and scored. Confidence: 5 of the 67 held-out questions were answered at 0.60 or above and all 5 were correct - the 85% target is met on 5 cases, which is not yet evidence. Rules: 20 of 20 hand-made cases pass. Sentiment: 0.67 accuracy and 0.64 macro F1 on 120 comments, below the 0.75 target, and the loader defect above stops the model from being used at all. Speech: not measured, no speech-to-text. Conversation: empty input, unknown intent and the two-miss hand-off all verified; the Taglish hand-off phrase and the two-turn script are not. Failure handling: 2 of the 4 drills verified (empty input, unknown intent) and the other 2 - API timeout and invalid key - do not apply while no provider is wired. Dashboard forecast: mean absolute percentage error 0.29 on the log’s own weeks, above the 0.25 target, on 6 backtested points. Fairness: not measured.</w:t>
      </w:r>
    </w:p>
    <w:p w14:paraId="6BB9992C">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14. Preliminary Privacy and Risk Plan</w:t>
      </w:r>
    </w:p>
    <w:p w14:paraId="71D52354">
      <w:pPr>
        <w:pStyle w:val="16"/>
        <w:numPr>
          <w:ilvl w:val="0"/>
          <w:numId w:val="1"/>
        </w:numPr>
        <w:spacing w:after="40" w:line="360" w:lineRule="auto"/>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Personal data touched:</w:t>
      </w:r>
      <w:r>
        <w:rPr>
          <w:rFonts w:ascii="Times New Roman" w:hAnsi="Times New Roman" w:eastAsia="Times New Roman" w:cs="Times New Roman"/>
          <w:color w:val="000000" w:themeColor="text1"/>
          <w:sz w:val="24"/>
          <w:szCs w:val="24"/>
          <w14:textFill>
            <w14:solidFill>
              <w14:schemeClr w14:val="tx1"/>
            </w14:solidFill>
          </w14:textFill>
        </w:rPr>
        <w:t xml:space="preserve"> typed questions (may contain a name by accident), voice clips of teammates, and chat logs. The system never asks for a name, ID number, grades, or contact details, and all records used in development are made up.</w:t>
      </w:r>
    </w:p>
    <w:p w14:paraId="4398262B">
      <w:pPr>
        <w:pStyle w:val="16"/>
        <w:numPr>
          <w:ilvl w:val="0"/>
          <w:numId w:val="1"/>
        </w:numPr>
        <w:spacing w:after="40" w:line="360" w:lineRule="auto"/>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Consent:</w:t>
      </w:r>
      <w:r>
        <w:rPr>
          <w:rFonts w:ascii="Times New Roman" w:hAnsi="Times New Roman" w:eastAsia="Times New Roman" w:cs="Times New Roman"/>
          <w:color w:val="000000" w:themeColor="text1"/>
          <w:sz w:val="24"/>
          <w:szCs w:val="24"/>
          <w14:textFill>
            <w14:solidFill>
              <w14:schemeClr w14:val="tx1"/>
            </w14:solidFill>
          </w14:textFill>
        </w:rPr>
        <w:t xml:space="preserve"> a notice on the first screen states purpose and storage; a signed consent form is collected from every person whose voice is recorded; no health, religious, or financial details are collected.</w:t>
      </w:r>
    </w:p>
    <w:p w14:paraId="5C414769">
      <w:pPr>
        <w:pStyle w:val="16"/>
        <w:numPr>
          <w:ilvl w:val="0"/>
          <w:numId w:val="1"/>
        </w:numPr>
        <w:spacing w:after="40" w:line="360" w:lineRule="auto"/>
        <w:jc w:val="both"/>
        <w:rPr>
          <w:color w:val="000000" w:themeColor="text1"/>
          <w:highlight w:val="none"/>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RA 10173 principles:</w:t>
      </w:r>
      <w:r>
        <w:rPr>
          <w:rFonts w:ascii="Times New Roman" w:hAnsi="Times New Roman" w:eastAsia="Times New Roman" w:cs="Times New Roman"/>
          <w:color w:val="000000" w:themeColor="text1"/>
          <w:sz w:val="24"/>
          <w:szCs w:val="24"/>
          <w14:textFill>
            <w14:solidFill>
              <w14:schemeClr w14:val="tx1"/>
            </w14:solidFill>
          </w14:textFill>
        </w:rPr>
        <w:t xml:space="preserve"> transparency (notice and “why this answer”), legitimate purpose (answering enrollment questions only), proportionality (collect only what is needed; mask or remove personal details from logs; keep raw logs for a short, stated period of </w:t>
      </w:r>
      <w:r>
        <w:rPr>
          <w:rFonts w:ascii="Times New Roman" w:hAnsi="Times New Roman" w:eastAsia="Times New Roman" w:cs="Times New Roman"/>
          <w:color w:val="000000" w:themeColor="text1"/>
          <w:sz w:val="24"/>
          <w:szCs w:val="24"/>
          <w:highlight w:val="none"/>
          <w14:textFill>
            <w14:solidFill>
              <w14:schemeClr w14:val="tx1"/>
            </w14:solidFill>
          </w14:textFill>
        </w:rPr>
        <w:t>days - a team decision that has not been taken yet. code/logger.py currently keeps the log indefinitely and does not mask it, so this is the next thing to write.</w:t>
      </w:r>
    </w:p>
    <w:p w14:paraId="66F63F73">
      <w:pPr>
        <w:pStyle w:val="16"/>
        <w:numPr>
          <w:ilvl w:val="0"/>
          <w:numId w:val="1"/>
        </w:numPr>
        <w:spacing w:after="40" w:line="360" w:lineRule="auto"/>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Who could be treated unfairly:</w:t>
      </w:r>
      <w:r>
        <w:rPr>
          <w:rFonts w:ascii="Times New Roman" w:hAnsi="Times New Roman" w:eastAsia="Times New Roman" w:cs="Times New Roman"/>
          <w:color w:val="000000" w:themeColor="text1"/>
          <w:sz w:val="24"/>
          <w:szCs w:val="24"/>
          <w14:textFill>
            <w14:solidFill>
              <w14:schemeClr w14:val="tx1"/>
            </w14:solidFill>
          </w14:textFill>
        </w:rPr>
        <w:t xml:space="preserve"> students who write in Taglish or regional languages, speakers with accents or noisy audio, and first-generation students unfamiliar with office terms. Mitigations planned: more varied training phrases, test accuracy by group, human hand-off always available.</w:t>
      </w:r>
    </w:p>
    <w:p w14:paraId="0432207F">
      <w:pPr>
        <w:pStyle w:val="16"/>
        <w:numPr>
          <w:ilvl w:val="0"/>
          <w:numId w:val="1"/>
        </w:numPr>
        <w:spacing w:after="40" w:line="360" w:lineRule="auto"/>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Other risks:</w:t>
      </w:r>
      <w:r>
        <w:rPr>
          <w:rFonts w:ascii="Times New Roman" w:hAnsi="Times New Roman" w:eastAsia="Times New Roman" w:cs="Times New Roman"/>
          <w:color w:val="000000" w:themeColor="text1"/>
          <w:sz w:val="24"/>
          <w:szCs w:val="24"/>
          <w14:textFill>
            <w14:solidFill>
              <w14:schemeClr w14:val="tx1"/>
            </w14:solidFill>
          </w14:textFill>
        </w:rPr>
        <w:t xml:space="preserve"> wrong policy information (mitigated by source notes and instructions to confirm with staff), API keys leaking (kept in .env and never committed), and  answering everything (not allowed; off by default).</w:t>
      </w:r>
    </w:p>
    <w:p w14:paraId="61705BAE">
      <w:pPr>
        <w:pStyle w:val="3"/>
        <w:keepNext/>
        <w:spacing w:before="140" w:after="60" w:line="360" w:lineRule="auto"/>
        <w:jc w:val="both"/>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15. Work Split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6913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4B1486C3">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Member</w:t>
            </w:r>
          </w:p>
        </w:tc>
        <w:tc>
          <w:tcPr>
            <w:tcW w:w="61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4F4EBDE5">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Final build responsibility</w:t>
            </w:r>
          </w:p>
        </w:tc>
      </w:tr>
      <w:tr w14:paraId="0954C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38D434A">
            <w:pPr>
              <w:spacing w:after="0" w:line="240" w:lineRule="auto"/>
              <w:rPr>
                <w:color w:val="000000" w:themeColor="text1"/>
                <w14:textFill>
                  <w14:solidFill>
                    <w14:schemeClr w14:val="tx1"/>
                  </w14:solidFill>
                </w14:textFill>
              </w:rPr>
            </w:pPr>
            <w:r>
              <w:rPr>
                <w:rFonts w:hint="default" w:cs="Times New Roman"/>
                <w:b w:val="0"/>
                <w:bCs w:val="0"/>
                <w:color w:val="000000" w:themeColor="text1"/>
                <w:sz w:val="19"/>
                <w:szCs w:val="19"/>
                <w:lang w:val="en-US"/>
                <w14:textFill>
                  <w14:solidFill>
                    <w14:schemeClr w14:val="tx1"/>
                  </w14:solidFill>
                </w14:textFill>
              </w:rPr>
              <w:t>Both Members -</w:t>
            </w:r>
            <w:r>
              <w:rPr>
                <w:rFonts w:ascii="Times New Roman" w:hAnsi="Times New Roman" w:eastAsia="Times New Roman" w:cs="Times New Roman"/>
                <w:b w:val="0"/>
                <w:bCs w:val="0"/>
                <w:color w:val="000000" w:themeColor="text1"/>
                <w:sz w:val="19"/>
                <w:szCs w:val="19"/>
                <w14:textFill>
                  <w14:solidFill>
                    <w14:schemeClr w14:val="tx1"/>
                  </w14:solidFill>
                </w14:textFill>
              </w:rPr>
              <w:t xml:space="preserve"> Knowledge and conversation</w:t>
            </w:r>
          </w:p>
        </w:tc>
        <w:tc>
          <w:tcPr>
            <w:tcW w:w="61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00E4E0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Ontology, rules, inference engine, intents, entities, dialogue flows, conversation design chapter</w:t>
            </w:r>
          </w:p>
        </w:tc>
      </w:tr>
      <w:tr w14:paraId="1A3AD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0F48595">
            <w:pPr>
              <w:spacing w:after="0" w:line="240" w:lineRule="auto"/>
              <w:rPr>
                <w:color w:val="000000" w:themeColor="text1"/>
                <w14:textFill>
                  <w14:solidFill>
                    <w14:schemeClr w14:val="tx1"/>
                  </w14:solidFill>
                </w14:textFill>
              </w:rPr>
            </w:pPr>
            <w:r>
              <w:rPr>
                <w:rFonts w:hint="default" w:cs="Times New Roman"/>
                <w:b w:val="0"/>
                <w:bCs w:val="0"/>
                <w:color w:val="000000" w:themeColor="text1"/>
                <w:sz w:val="19"/>
                <w:szCs w:val="19"/>
                <w:lang w:val="en-US"/>
                <w14:textFill>
                  <w14:solidFill>
                    <w14:schemeClr w14:val="tx1"/>
                  </w14:solidFill>
                </w14:textFill>
              </w:rPr>
              <w:t>Both Members -</w:t>
            </w:r>
            <w:r>
              <w:rPr>
                <w:rFonts w:ascii="Times New Roman" w:hAnsi="Times New Roman" w:eastAsia="Times New Roman" w:cs="Times New Roman"/>
                <w:b w:val="0"/>
                <w:bCs w:val="0"/>
                <w:color w:val="000000" w:themeColor="text1"/>
                <w:sz w:val="19"/>
                <w:szCs w:val="19"/>
                <w14:textFill>
                  <w14:solidFill>
                    <w14:schemeClr w14:val="tx1"/>
                  </w14:solidFill>
                </w14:textFill>
              </w:rPr>
              <w:t xml:space="preserve"> Data and learning</w:t>
            </w:r>
          </w:p>
        </w:tc>
        <w:tc>
          <w:tcPr>
            <w:tcW w:w="61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DFCE8C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Corpus, cleaning, labeling, model training and retraining, bias check, data card, evaluation report</w:t>
            </w:r>
          </w:p>
        </w:tc>
      </w:tr>
      <w:tr w14:paraId="2B25A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6793714">
            <w:pPr>
              <w:spacing w:after="0" w:line="240" w:lineRule="auto"/>
              <w:rPr>
                <w:color w:val="000000" w:themeColor="text1"/>
                <w14:textFill>
                  <w14:solidFill>
                    <w14:schemeClr w14:val="tx1"/>
                  </w14:solidFill>
                </w14:textFill>
              </w:rPr>
            </w:pPr>
            <w:r>
              <w:rPr>
                <w:rFonts w:hint="default" w:cs="Times New Roman"/>
                <w:b w:val="0"/>
                <w:bCs w:val="0"/>
                <w:color w:val="000000" w:themeColor="text1"/>
                <w:sz w:val="19"/>
                <w:szCs w:val="19"/>
                <w:lang w:val="en-US"/>
                <w14:textFill>
                  <w14:solidFill>
                    <w14:schemeClr w14:val="tx1"/>
                  </w14:solidFill>
                </w14:textFill>
              </w:rPr>
              <w:t>Both Members -</w:t>
            </w:r>
            <w:r>
              <w:rPr>
                <w:rFonts w:ascii="Times New Roman" w:hAnsi="Times New Roman" w:eastAsia="Times New Roman" w:cs="Times New Roman"/>
                <w:b w:val="0"/>
                <w:bCs w:val="0"/>
                <w:color w:val="000000" w:themeColor="text1"/>
                <w:sz w:val="19"/>
                <w:szCs w:val="19"/>
                <w14:textFill>
                  <w14:solidFill>
                    <w14:schemeClr w14:val="tx1"/>
                  </w14:solidFill>
                </w14:textFill>
              </w:rPr>
              <w:t xml:space="preserve">  Integration and interface</w:t>
            </w:r>
          </w:p>
        </w:tc>
        <w:tc>
          <w:tcPr>
            <w:tcW w:w="61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1895CB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Orchestrator, keys, errors, logging, chat interface, installation guide</w:t>
            </w:r>
          </w:p>
        </w:tc>
      </w:tr>
      <w:tr w14:paraId="7378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096E16B">
            <w:pPr>
              <w:spacing w:after="0" w:line="240" w:lineRule="auto"/>
              <w:rPr>
                <w:color w:val="000000" w:themeColor="text1"/>
                <w14:textFill>
                  <w14:solidFill>
                    <w14:schemeClr w14:val="tx1"/>
                  </w14:solidFill>
                </w14:textFill>
              </w:rPr>
            </w:pPr>
            <w:r>
              <w:rPr>
                <w:rFonts w:hint="default" w:cs="Times New Roman"/>
                <w:b w:val="0"/>
                <w:bCs w:val="0"/>
                <w:color w:val="000000" w:themeColor="text1"/>
                <w:sz w:val="19"/>
                <w:szCs w:val="19"/>
                <w:lang w:val="en-US"/>
                <w14:textFill>
                  <w14:solidFill>
                    <w14:schemeClr w14:val="tx1"/>
                  </w14:solidFill>
                </w14:textFill>
              </w:rPr>
              <w:t>Both Members -</w:t>
            </w:r>
            <w:r>
              <w:rPr>
                <w:rFonts w:ascii="Times New Roman" w:hAnsi="Times New Roman" w:eastAsia="Times New Roman" w:cs="Times New Roman"/>
                <w:b w:val="0"/>
                <w:bCs w:val="0"/>
                <w:color w:val="000000" w:themeColor="text1"/>
                <w:sz w:val="19"/>
                <w:szCs w:val="19"/>
                <w14:textFill>
                  <w14:solidFill>
                    <w14:schemeClr w14:val="tx1"/>
                  </w14:solidFill>
                </w14:textFill>
              </w:rPr>
              <w:t xml:space="preserve"> Perception and analytics</w:t>
            </w:r>
          </w:p>
        </w:tc>
        <w:tc>
          <w:tcPr>
            <w:tcW w:w="61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72C092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Speech input and 20-sample test, dashboard, recommender with evidence and confidence, user manual</w:t>
            </w:r>
          </w:p>
        </w:tc>
      </w:tr>
      <w:tr w14:paraId="26F7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E6CCF1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All members</w:t>
            </w:r>
          </w:p>
        </w:tc>
        <w:tc>
          <w:tcPr>
            <w:tcW w:w="61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858D0F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Architecture, privacy safeguards, peer testing, pull-request reviews, presentation</w:t>
            </w:r>
          </w:p>
        </w:tc>
      </w:tr>
    </w:tbl>
    <w:p w14:paraId="2E66DD4A">
      <w:pPr>
        <w:spacing w:after="80" w:line="240" w:lineRule="auto"/>
        <w:rPr>
          <w:color w:val="000000" w:themeColor="text1"/>
          <w14:textFill>
            <w14:solidFill>
              <w14:schemeClr w14:val="tx1"/>
            </w14:solidFill>
          </w14:textFill>
        </w:rPr>
      </w:pPr>
    </w:p>
    <w:p w14:paraId="177A2689">
      <w:pPr>
        <w:spacing w:after="80" w:line="360" w:lineRule="auto"/>
        <w:rPr>
          <w:rFonts w:ascii="Times New Roman" w:hAnsi="Times New Roman" w:eastAsia="Times New Roman" w:cs="Times New Roman"/>
          <w:color w:val="000000" w:themeColor="text1"/>
          <w:sz w:val="24"/>
          <w:szCs w:val="24"/>
          <w14:textFill>
            <w14:solidFill>
              <w14:schemeClr w14:val="tx1"/>
            </w14:solidFill>
          </w14:textFill>
        </w:rPr>
      </w:pPr>
    </w:p>
    <w:p w14:paraId="476C40A5">
      <w:pPr>
        <w:spacing w:after="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Every member must be able to explain and change every part of the system on the spot.</w:t>
      </w:r>
    </w:p>
    <w:p w14:paraId="416B169E">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1BEA2FD3">
      <w:pPr>
        <w:pStyle w:val="2"/>
        <w:keepNext/>
        <w:spacing w:before="200" w:after="10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16. APPENDICES</w:t>
      </w:r>
    </w:p>
    <w:p w14:paraId="47FFAE62">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Appendix A – AI Use Declaration</w:t>
      </w:r>
    </w:p>
    <w:p w14:paraId="0570FDBE">
      <w:pPr>
        <w:spacing w:after="80" w:line="276" w:lineRule="auto"/>
        <w:rPr>
          <w:rFonts w:hint="default"/>
          <w:color w:val="000000" w:themeColor="text1"/>
          <w:lang w:val="en-US"/>
          <w14:textFill>
            <w14:solidFill>
              <w14:schemeClr w14:val="tx1"/>
            </w14:solidFill>
          </w14:textFill>
        </w:rPr>
      </w:pPr>
      <w:r>
        <w:rPr>
          <w:rFonts w:hint="default" w:cs="Times New Roman"/>
          <w:color w:val="000000" w:themeColor="text1"/>
          <w:sz w:val="22"/>
          <w:szCs w:val="22"/>
          <w:lang w:val="en-US"/>
          <w14:textFill>
            <w14:solidFill>
              <w14:schemeClr w14:val="tx1"/>
            </w14:solidFill>
          </w14:textFill>
        </w:rPr>
        <w:t>Members</w:t>
      </w:r>
      <w:r>
        <w:rPr>
          <w:rFonts w:ascii="Times New Roman" w:hAnsi="Times New Roman" w:eastAsia="Times New Roman" w:cs="Times New Roman"/>
          <w:color w:val="000000" w:themeColor="text1"/>
          <w:sz w:val="22"/>
          <w:szCs w:val="22"/>
          <w14:textFill>
            <w14:solidFill>
              <w14:schemeClr w14:val="tx1"/>
            </w14:solidFill>
          </w14:textFill>
        </w:rPr>
        <w:t xml:space="preserve">: </w:t>
      </w:r>
      <w:r>
        <w:rPr>
          <w:rFonts w:hint="default" w:cs="Times New Roman"/>
          <w:color w:val="000000" w:themeColor="text1"/>
          <w:sz w:val="22"/>
          <w:szCs w:val="22"/>
          <w:lang w:val="en-US"/>
          <w14:textFill>
            <w14:solidFill>
              <w14:schemeClr w14:val="tx1"/>
            </w14:solidFill>
          </w14:textFill>
        </w:rPr>
        <w:t>John Earl C. Mirabete and Tristan P. Napili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400"/>
        <w:gridCol w:w="2560"/>
        <w:gridCol w:w="1600"/>
      </w:tblGrid>
      <w:tr w14:paraId="4AD6D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46316A4E">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Tool</w:t>
            </w:r>
          </w:p>
        </w:tc>
        <w:tc>
          <w:tcPr>
            <w:tcW w:w="34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59CA26F6">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Used for</w:t>
            </w:r>
          </w:p>
        </w:tc>
        <w:tc>
          <w:tcPr>
            <w:tcW w:w="25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7FA7E1C9">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Part of the project</w:t>
            </w:r>
          </w:p>
        </w:tc>
        <w:tc>
          <w:tcPr>
            <w:tcW w:w="16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59C7C2DE">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Member responsible</w:t>
            </w:r>
          </w:p>
        </w:tc>
      </w:tr>
      <w:tr w14:paraId="4907B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8368C2B">
            <w:pPr>
              <w:spacing w:after="0" w:line="240" w:lineRule="auto"/>
              <w:rPr>
                <w:rFonts w:hint="default"/>
                <w:color w:val="000000" w:themeColor="text1"/>
                <w:lang w:val="en-PH"/>
                <w14:textFill>
                  <w14:solidFill>
                    <w14:schemeClr w14:val="tx1"/>
                  </w14:solidFill>
                </w14:textFill>
              </w:rPr>
            </w:pPr>
            <w:r>
              <w:rPr>
                <w:rFonts w:hint="default" w:cs="Times New Roman"/>
                <w:b w:val="0"/>
                <w:bCs w:val="0"/>
                <w:color w:val="000000" w:themeColor="text1"/>
                <w:sz w:val="19"/>
                <w:szCs w:val="19"/>
                <w:lang w:val="en-PH"/>
                <w14:textFill>
                  <w14:solidFill>
                    <w14:schemeClr w14:val="tx1"/>
                  </w14:solidFill>
                </w14:textFill>
              </w:rPr>
              <w:t>Github and canva</w:t>
            </w:r>
          </w:p>
        </w:tc>
        <w:tc>
          <w:tcPr>
            <w:tcW w:w="34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8DB5BE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Drafted the proposal text and tables;the figure mockups; wrote and ran the draft rule-engine prototype and the starter phrases</w:t>
            </w:r>
          </w:p>
        </w:tc>
        <w:tc>
          <w:tcPr>
            <w:tcW w:w="25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5DD134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Whole proposal; code/rules_trace.py; data/starter_corpus_50.csv</w:t>
            </w:r>
          </w:p>
        </w:tc>
        <w:tc>
          <w:tcPr>
            <w:tcW w:w="16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1B8A363">
            <w:pPr>
              <w:spacing w:after="0" w:line="240" w:lineRule="auto"/>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Both Members</w:t>
            </w:r>
          </w:p>
        </w:tc>
      </w:tr>
    </w:tbl>
    <w:p w14:paraId="1CED61DF">
      <w:pPr>
        <w:spacing w:after="80" w:line="240" w:lineRule="auto"/>
        <w:rPr>
          <w:color w:val="000000" w:themeColor="text1"/>
          <w14:textFill>
            <w14:solidFill>
              <w14:schemeClr w14:val="tx1"/>
            </w14:solidFill>
          </w14:textFill>
        </w:rPr>
      </w:pPr>
    </w:p>
    <w:p w14:paraId="52CD40C1">
      <w:pPr>
        <w:spacing w:after="80" w:line="276" w:lineRule="auto"/>
        <w:ind w:firstLine="500" w:firstLineChars="0"/>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2"/>
          <w:szCs w:val="22"/>
          <w14:textFill>
            <w14:solidFill>
              <w14:schemeClr w14:val="tx1"/>
            </w14:solidFill>
          </w14:textFill>
        </w:rPr>
        <w:t>We declare that we reviewed, understood, and can explain and change every part of this submission, including any part produced with AI assistance.</w:t>
      </w:r>
    </w:p>
    <w:p w14:paraId="4D2BB23A">
      <w:pPr>
        <w:spacing w:after="80" w:line="276" w:lineRule="auto"/>
        <w:jc w:val="both"/>
        <w:rPr>
          <w:rFonts w:hint="default"/>
          <w:color w:val="000000" w:themeColor="text1"/>
          <w:lang w:val="en-US"/>
          <w14:textFill>
            <w14:solidFill>
              <w14:schemeClr w14:val="tx1"/>
            </w14:solidFill>
          </w14:textFill>
        </w:rPr>
      </w:pPr>
      <w:r>
        <w:rPr>
          <w:rFonts w:ascii="Times New Roman" w:hAnsi="Times New Roman" w:eastAsia="Times New Roman" w:cs="Times New Roman"/>
          <w:color w:val="000000" w:themeColor="text1"/>
          <w:sz w:val="22"/>
          <w:szCs w:val="22"/>
          <w14:textFill>
            <w14:solidFill>
              <w14:schemeClr w14:val="tx1"/>
            </w14:solidFill>
          </w14:textFill>
        </w:rPr>
        <w:t xml:space="preserve">Signed: </w:t>
      </w:r>
    </w:p>
    <w:p w14:paraId="141DDFE9">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Appendix B – Consultation Minutes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400"/>
        <w:gridCol w:w="2700"/>
        <w:gridCol w:w="2760"/>
      </w:tblGrid>
      <w:tr w14:paraId="1ADA3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577EBD78">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Consultation</w:t>
            </w:r>
          </w:p>
        </w:tc>
        <w:tc>
          <w:tcPr>
            <w:tcW w:w="24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61105921">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Date and attendees</w:t>
            </w:r>
          </w:p>
        </w:tc>
        <w:tc>
          <w:tcPr>
            <w:tcW w:w="27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0685DDCF">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Topics discussed</w:t>
            </w:r>
          </w:p>
        </w:tc>
        <w:tc>
          <w:tcPr>
            <w:tcW w:w="27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65E462DA">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Decisions and action items</w:t>
            </w:r>
          </w:p>
        </w:tc>
      </w:tr>
      <w:tr w14:paraId="4934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7017EB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Prefinal 1</w:t>
            </w:r>
          </w:p>
        </w:tc>
        <w:tc>
          <w:tcPr>
            <w:tcW w:w="24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238F4BC">
            <w:pPr>
              <w:spacing w:after="0" w:line="240" w:lineRule="auto"/>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none"/>
                <w14:textFill>
                  <w14:solidFill>
                    <w14:schemeClr w14:val="tx1"/>
                  </w14:solidFill>
                </w14:textFill>
              </w:rPr>
              <w:t>[date; members present]</w:t>
            </w:r>
          </w:p>
        </w:tc>
        <w:tc>
          <w:tcPr>
            <w:tcW w:w="2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971B803">
            <w:pPr>
              <w:spacing w:after="0" w:line="240" w:lineRule="auto"/>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none"/>
                <w14:textFill>
                  <w14:solidFill>
                    <w14:schemeClr w14:val="tx1"/>
                  </w14:solidFill>
                </w14:textFill>
              </w:rPr>
              <w:t>[topics]</w:t>
            </w:r>
          </w:p>
        </w:tc>
        <w:tc>
          <w:tcPr>
            <w:tcW w:w="2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EF7F986">
            <w:pPr>
              <w:spacing w:after="0" w:line="240" w:lineRule="auto"/>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none"/>
                <w14:textFill>
                  <w14:solidFill>
                    <w14:schemeClr w14:val="tx1"/>
                  </w14:solidFill>
                </w14:textFill>
              </w:rPr>
              <w:t>[decisions]</w:t>
            </w:r>
          </w:p>
        </w:tc>
      </w:tr>
      <w:tr w14:paraId="3654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984786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Prefinal 2</w:t>
            </w:r>
          </w:p>
        </w:tc>
        <w:tc>
          <w:tcPr>
            <w:tcW w:w="24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C6FD3BB">
            <w:pPr>
              <w:spacing w:after="0" w:line="240" w:lineRule="auto"/>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none"/>
                <w14:textFill>
                  <w14:solidFill>
                    <w14:schemeClr w14:val="tx1"/>
                  </w14:solidFill>
                </w14:textFill>
              </w:rPr>
              <w:t>[date; members present]</w:t>
            </w:r>
          </w:p>
        </w:tc>
        <w:tc>
          <w:tcPr>
            <w:tcW w:w="27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81D687C">
            <w:pPr>
              <w:spacing w:after="0" w:line="240" w:lineRule="auto"/>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none"/>
                <w14:textFill>
                  <w14:solidFill>
                    <w14:schemeClr w14:val="tx1"/>
                  </w14:solidFill>
                </w14:textFill>
              </w:rPr>
              <w:t>[topics]</w:t>
            </w:r>
          </w:p>
        </w:tc>
        <w:tc>
          <w:tcPr>
            <w:tcW w:w="2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138A673">
            <w:pPr>
              <w:spacing w:after="0" w:line="240" w:lineRule="auto"/>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none"/>
                <w14:textFill>
                  <w14:solidFill>
                    <w14:schemeClr w14:val="tx1"/>
                  </w14:solidFill>
                </w14:textFill>
              </w:rPr>
              <w:t>[decisions]</w:t>
            </w:r>
          </w:p>
        </w:tc>
      </w:tr>
    </w:tbl>
    <w:p w14:paraId="4C17ED35">
      <w:pPr>
        <w:spacing w:after="80" w:line="240" w:lineRule="auto"/>
        <w:rPr>
          <w:color w:val="000000" w:themeColor="text1"/>
          <w14:textFill>
            <w14:solidFill>
              <w14:schemeClr w14:val="tx1"/>
            </w14:solidFill>
          </w14:textFill>
        </w:rPr>
      </w:pPr>
    </w:p>
    <w:p w14:paraId="40DA429F">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Appendix C – Corpus Sample (50 items, team-written drafts)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5760"/>
        <w:gridCol w:w="2800"/>
      </w:tblGrid>
      <w:tr w14:paraId="560B1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0C536196">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8"/>
                <w:szCs w:val="18"/>
                <w14:textFill>
                  <w14:solidFill>
                    <w14:schemeClr w14:val="tx1"/>
                  </w14:solidFill>
                </w14:textFill>
              </w:rPr>
              <w:t>ID</w:t>
            </w:r>
          </w:p>
        </w:tc>
        <w:tc>
          <w:tcPr>
            <w:tcW w:w="57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16A13784">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8"/>
                <w:szCs w:val="18"/>
                <w14:textFill>
                  <w14:solidFill>
                    <w14:schemeClr w14:val="tx1"/>
                  </w14:solidFill>
                </w14:textFill>
              </w:rPr>
              <w:t>Text</w:t>
            </w:r>
          </w:p>
        </w:tc>
        <w:tc>
          <w:tcPr>
            <w:tcW w:w="28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165DCC9D">
            <w:pPr>
              <w:spacing w:after="0" w:line="240" w:lineRule="auto"/>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8"/>
                <w:szCs w:val="18"/>
                <w14:textFill>
                  <w14:solidFill>
                    <w14:schemeClr w14:val="tx1"/>
                  </w14:solidFill>
                </w14:textFill>
              </w:rPr>
              <w:t>Intent</w:t>
            </w:r>
            <w:bookmarkStart w:id="0" w:name="_GoBack"/>
            <w:bookmarkEnd w:id="0"/>
            <w:r>
              <w:rPr>
                <w:rFonts w:ascii="Times New Roman" w:hAnsi="Times New Roman" w:eastAsia="Times New Roman" w:cs="Times New Roman"/>
                <w:b/>
                <w:bCs/>
                <w:color w:val="000000" w:themeColor="text1"/>
                <w:sz w:val="18"/>
                <w:szCs w:val="18"/>
                <w14:textFill>
                  <w14:solidFill>
                    <w14:schemeClr w14:val="tx1"/>
                  </w14:solidFill>
                </w14:textFill>
              </w:rPr>
              <w:t xml:space="preserve"> label</w:t>
            </w:r>
          </w:p>
        </w:tc>
      </w:tr>
      <w:tr w14:paraId="6D949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92FCE6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S001</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2EA951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hello</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B49C2E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greet</w:t>
            </w:r>
          </w:p>
        </w:tc>
      </w:tr>
      <w:tr w14:paraId="1CDAD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1BCA86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S002</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8F7D5E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hi po good morning</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A0D96E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greet</w:t>
            </w:r>
          </w:p>
        </w:tc>
      </w:tr>
      <w:tr w14:paraId="1D7DD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1287E2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S003</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ED9EE4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good afternoon po</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BF27E7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greet</w:t>
            </w:r>
          </w:p>
        </w:tc>
      </w:tr>
      <w:tr w14:paraId="23D7F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0F10B3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S004</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818FBE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hey, may I ask something?</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652C47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greet</w:t>
            </w:r>
          </w:p>
        </w:tc>
      </w:tr>
      <w:tr w14:paraId="5C1F5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32D3C5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S005</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EE367E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kumusta po</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FF28A2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greet</w:t>
            </w:r>
          </w:p>
        </w:tc>
      </w:tr>
      <w:tr w14:paraId="1EDED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A365CA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S006</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1E0007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What documents do I need to enroll as a freshman?</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E34AE7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ask_requirements</w:t>
            </w:r>
          </w:p>
        </w:tc>
      </w:tr>
      <w:tr w14:paraId="4ED50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02C111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S007</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3E4092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ano po ang requirements for transferee?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E71B0C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ask_requirements</w:t>
            </w:r>
          </w:p>
        </w:tc>
      </w:tr>
      <w:tr w14:paraId="76CEC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7D0E23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S008</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B098CA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What do I need to bring to the registrar for enrollment?</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7438A2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ask_requirements</w:t>
            </w:r>
          </w:p>
        </w:tc>
      </w:tr>
      <w:tr w14:paraId="68CA9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14645F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S009</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F6565D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Requirements for returning students po?</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B59679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ask_requirements</w:t>
            </w:r>
          </w:p>
        </w:tc>
      </w:tr>
      <w:tr w14:paraId="3774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2FE897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S010</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264E19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Do I need a PSA birth certificate to enroll?</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1431B5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ask_requirements</w:t>
            </w:r>
          </w:p>
        </w:tc>
      </w:tr>
      <w:tr w14:paraId="1BABB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A37155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S011</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42905B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Can I enroll now? I am a transferee and I have my TOR</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E94C9A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check_eligibility</w:t>
            </w:r>
          </w:p>
        </w:tc>
      </w:tr>
      <w:tr w14:paraId="2F5E2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46D83C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S012</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29A01B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I'm a freshman, I already have Form 138 and PSA, am I ready to enroll?</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84CAB6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check_eligibility</w:t>
            </w:r>
          </w:p>
        </w:tc>
      </w:tr>
      <w:tr w14:paraId="0263E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7D1632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S013</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EDC6AD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Am I eligible to enroll as a returning student?</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A0DD5B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check_eligibility</w:t>
            </w:r>
          </w:p>
        </w:tc>
      </w:tr>
      <w:tr w14:paraId="24647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8671E2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S014</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013E04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Check if my documents are complete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FA25C7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check_eligibility</w:t>
            </w:r>
          </w:p>
        </w:tc>
      </w:tr>
      <w:tr w14:paraId="24543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5F4A17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S015</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C4E3F5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pwede na ba ako mag-enroll, wala pa akong clearance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D8C976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check_eligibility</w:t>
            </w:r>
          </w:p>
        </w:tc>
      </w:tr>
      <w:tr w14:paraId="49A8E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4D7C0F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S016</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8D5DCC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When is the last day of enrollment?</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50208E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ask_schedule_deadline</w:t>
            </w:r>
          </w:p>
        </w:tc>
      </w:tr>
      <w:tr w14:paraId="06A13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20EB56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S017</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8BD9FD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What is the schedule for late enrollment?</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AE29B3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ask_schedule_deadline</w:t>
            </w:r>
          </w:p>
        </w:tc>
      </w:tr>
      <w:tr w14:paraId="3B400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0F25E2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S018</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5C5E86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Kailan ang start ng classes this semester?</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86B6FB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ask_schedule_deadline</w:t>
            </w:r>
          </w:p>
        </w:tc>
      </w:tr>
      <w:tr w14:paraId="1DC0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11D13B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S019</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7F1A39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When is the deadline for adding and dropping subjects?</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1E1795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ask_schedule_deadline</w:t>
            </w:r>
          </w:p>
        </w:tc>
      </w:tr>
      <w:tr w14:paraId="7FE83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325694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S020</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D1EB1E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What date is the payment of fees?</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3711A8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ask_schedule_deadline</w:t>
            </w:r>
          </w:p>
        </w:tc>
      </w:tr>
      <w:tr w14:paraId="1D160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DE9588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S021</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09DB72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How much is the tuition for a BSCS student?</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22DD8D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ask_fees_payment</w:t>
            </w:r>
          </w:p>
        </w:tc>
      </w:tr>
      <w:tr w14:paraId="5502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2F2255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S022</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4865DD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Where do I pay my assessment?</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C5CC8E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ask_fees_payment</w:t>
            </w:r>
          </w:p>
        </w:tc>
      </w:tr>
      <w:tr w14:paraId="16609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9E89DF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S023</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8D180B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Pwede po ba installment ang payment?</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6C45AA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ask_fees_payment</w:t>
            </w:r>
          </w:p>
        </w:tc>
      </w:tr>
      <w:tr w14:paraId="2D8CA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527FE3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S024</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81D5F0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What are the payment options at the cashier?</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DCFB9C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ask_fees_payment</w:t>
            </w:r>
          </w:p>
        </w:tc>
      </w:tr>
      <w:tr w14:paraId="71677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52A794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S025</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D42BFC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Magkano ang miscellaneous fee?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E27519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ask_fees_payment</w:t>
            </w:r>
          </w:p>
        </w:tc>
      </w:tr>
      <w:tr w14:paraId="77C5B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73B77D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S026</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EDD16C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What time does the registrar open?</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36EB5D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ask_office_hours_location</w:t>
            </w:r>
          </w:p>
        </w:tc>
      </w:tr>
      <w:tr w14:paraId="6C9D3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565E6D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S027</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7EB991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Where is the library located?</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7FB48E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ask_office_hours_location</w:t>
            </w:r>
          </w:p>
        </w:tc>
      </w:tr>
      <w:tr w14:paraId="2684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F69173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S028</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23C2F4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Anong oras po ang office hours ng guidance office?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E1603D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ask_office_hours_location</w:t>
            </w:r>
          </w:p>
        </w:tc>
      </w:tr>
      <w:tr w14:paraId="4C31E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8B7FFB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S029</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DBE22B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Saan ang registrar's office?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71D556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ask_office_hours_location</w:t>
            </w:r>
          </w:p>
        </w:tc>
      </w:tr>
      <w:tr w14:paraId="3FFA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0B3D07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S030</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03C049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Is the registrar open on Saturday?</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23291C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ask_office_hours_location</w:t>
            </w:r>
          </w:p>
        </w:tc>
      </w:tr>
      <w:tr w14:paraId="0DCDC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2FA4C1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S031</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2AC3F8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What is the prerequisite of CS 201?</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96314F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ask_course_prereq</w:t>
            </w:r>
          </w:p>
        </w:tc>
      </w:tr>
      <w:tr w14:paraId="47ECE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CE98DA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S032</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BED9F5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Can I take Data Structures if I haven't passed Programming 1?</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A06C0D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ask_course_prereq</w:t>
            </w:r>
          </w:p>
        </w:tc>
      </w:tr>
      <w:tr w14:paraId="4A66E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92610B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S033</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2E3FE7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anong prerequisite ng CS ELEC 6?</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947F66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ask_course_prereq</w:t>
            </w:r>
          </w:p>
        </w:tc>
      </w:tr>
      <w:tr w14:paraId="3B04D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3FCC55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S034</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D72DFF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Which subjects should I take in 2nd year first semester?</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36DC1F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ask_course_prereq</w:t>
            </w:r>
          </w:p>
        </w:tc>
      </w:tr>
      <w:tr w14:paraId="53EAC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184EEA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S035</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5C0F42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How many units can I take this semester?</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B8CE48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ask_course_prereq</w:t>
            </w:r>
          </w:p>
        </w:tc>
      </w:tr>
      <w:tr w14:paraId="5CC5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0C9678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S036</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0A5D8B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How do I get my clearance?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5003E0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ask_clearance_process</w:t>
            </w:r>
          </w:p>
        </w:tc>
      </w:tr>
      <w:tr w14:paraId="3963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F47F14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S037</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90DDF8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What are the steps to get a clearance for graduation?</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CD009E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ask_clearance_process</w:t>
            </w:r>
          </w:p>
        </w:tc>
      </w:tr>
      <w:tr w14:paraId="677A2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CABA67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S038</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61E9DC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Ano po ang process ng clearance sa library?</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0226D7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ask_clearance_process</w:t>
            </w:r>
          </w:p>
        </w:tc>
      </w:tr>
      <w:tr w14:paraId="216BF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2359F5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S039</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0A5B9B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Who signs the clearance form?</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21653D9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ask_clearance_process</w:t>
            </w:r>
          </w:p>
        </w:tc>
      </w:tr>
      <w:tr w14:paraId="79DEE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1E2A7D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S040</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093696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Do I need clearance before enrolling again?</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CBF084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ask_clearance_process</w:t>
            </w:r>
          </w:p>
        </w:tc>
      </w:tr>
      <w:tr w14:paraId="6C12E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B3FD54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S041</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F3425A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I want to talk to a staff member</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4DF5673">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request_human</w:t>
            </w:r>
          </w:p>
        </w:tc>
      </w:tr>
      <w:tr w14:paraId="7F384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385DD7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S042</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479FD1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Pakausap po sa registrar staff</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14F946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request_human</w:t>
            </w:r>
          </w:p>
        </w:tc>
      </w:tr>
      <w:tr w14:paraId="07A13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AB8484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S043</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EF5B789">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Can you connect me to a real person?</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A06A1F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request_human</w:t>
            </w:r>
          </w:p>
        </w:tc>
      </w:tr>
      <w:tr w14:paraId="2671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13DB33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S044</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AEA36A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human agent please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ACD5D4D">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request_human</w:t>
            </w:r>
          </w:p>
        </w:tc>
      </w:tr>
      <w:tr w14:paraId="037A8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79F9361">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S045</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A52A21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I need help from the office directly</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7552FCE">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request_human</w:t>
            </w:r>
          </w:p>
        </w:tc>
      </w:tr>
      <w:tr w14:paraId="3742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6336ED4">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S046</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340652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Thanks, that was very helpful!</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923972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give_feedback</w:t>
            </w:r>
          </w:p>
        </w:tc>
      </w:tr>
      <w:tr w14:paraId="0D6CE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8DE31F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S047</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E1052F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The answer was wrong, I wasted my time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D70509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give_feedback</w:t>
            </w:r>
          </w:p>
        </w:tc>
      </w:tr>
      <w:tr w14:paraId="240EB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1C73F1B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S048</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5142D90">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Ang bilis ng sagot, salamat po</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C026C1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give_feedback</w:t>
            </w:r>
          </w:p>
        </w:tc>
      </w:tr>
      <w:tr w14:paraId="2081C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8AF5D47">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S049</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7D8A88B">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This is confusing and not useful</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C8664EA">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give_feedback</w:t>
            </w:r>
          </w:p>
        </w:tc>
      </w:tr>
      <w:tr w14:paraId="1F38D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6B6DCBF">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S050</w:t>
            </w:r>
          </w:p>
        </w:tc>
        <w:tc>
          <w:tcPr>
            <w:tcW w:w="57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3D9BED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Great assistant, easy to use</w:t>
            </w:r>
          </w:p>
        </w:tc>
        <w:tc>
          <w:tcPr>
            <w:tcW w:w="28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01D8176">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8"/>
                <w:szCs w:val="18"/>
                <w14:textFill>
                  <w14:solidFill>
                    <w14:schemeClr w14:val="tx1"/>
                  </w14:solidFill>
                </w14:textFill>
              </w:rPr>
              <w:t>give_feedback</w:t>
            </w:r>
          </w:p>
        </w:tc>
      </w:tr>
    </w:tbl>
    <w:p w14:paraId="225FD587">
      <w:pPr>
        <w:spacing w:after="80" w:line="276"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Source for all items: written by the team for this project (no real people, no data from any office). Status: the corpus has been extended to 335 labelled questions - these 50 team-written items, 274 AI-drafted drafts still to be replaced by the team, 3 labelled by staff in the dashboard, and 8 harvested from the chat log. The 274 AI drafts have to be replaced before the data card is honest.</w:t>
      </w:r>
    </w:p>
    <w:p w14:paraId="331BA596">
      <w:pPr>
        <w:pStyle w:val="3"/>
        <w:keepNext/>
        <w:spacing w:before="140" w:after="60" w:line="36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Appendix D – Candidate Situations Submitted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4200"/>
        <w:gridCol w:w="4260"/>
      </w:tblGrid>
      <w:tr w14:paraId="18A68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9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7F74A780">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Rank</w:t>
            </w:r>
          </w:p>
        </w:tc>
        <w:tc>
          <w:tcPr>
            <w:tcW w:w="420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0D89343F">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Situation</w:t>
            </w:r>
          </w:p>
        </w:tc>
        <w:tc>
          <w:tcPr>
            <w:tcW w:w="4260" w:type="dxa"/>
            <w:tcBorders>
              <w:top w:val="single" w:color="7F8FA6" w:sz="4" w:space="0"/>
              <w:left w:val="single" w:color="7F8FA6" w:sz="4" w:space="0"/>
              <w:bottom w:val="single" w:color="7F8FA6" w:sz="4" w:space="0"/>
              <w:right w:val="single" w:color="7F8FA6" w:sz="4" w:space="0"/>
            </w:tcBorders>
            <w:shd w:val="clear" w:color="auto" w:fill="DCE6F2"/>
            <w:tcMar>
              <w:top w:w="40" w:type="dxa"/>
              <w:left w:w="70" w:type="dxa"/>
              <w:bottom w:w="40" w:type="dxa"/>
              <w:right w:w="70" w:type="dxa"/>
            </w:tcMar>
          </w:tcPr>
          <w:p w14:paraId="7B56685D">
            <w:pPr>
              <w:spacing w:after="0" w:line="240" w:lineRule="auto"/>
              <w:rPr>
                <w:color w:val="000000" w:themeColor="text1"/>
                <w14:textFill>
                  <w14:solidFill>
                    <w14:schemeClr w14:val="tx1"/>
                  </w14:solidFill>
                </w14:textFill>
              </w:rPr>
            </w:pPr>
            <w:r>
              <w:rPr>
                <w:rFonts w:ascii="Times New Roman" w:hAnsi="Times New Roman" w:eastAsia="Times New Roman" w:cs="Times New Roman"/>
                <w:b/>
                <w:bCs/>
                <w:color w:val="000000" w:themeColor="text1"/>
                <w:sz w:val="19"/>
                <w:szCs w:val="19"/>
                <w14:textFill>
                  <w14:solidFill>
                    <w14:schemeClr w14:val="tx1"/>
                  </w14:solidFill>
                </w14:textFill>
              </w:rPr>
              <w:t>Why</w:t>
            </w:r>
          </w:p>
        </w:tc>
      </w:tr>
      <w:tr w14:paraId="6EDA2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19A03E5">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1</w:t>
            </w:r>
          </w:p>
        </w:tc>
        <w:tc>
          <w:tcPr>
            <w:tcW w:w="42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6C3306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Cognitive Campus Assistant (enrollment and student services)</w:t>
            </w:r>
          </w:p>
        </w:tc>
        <w:tc>
          <w:tcPr>
            <w:tcW w:w="42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71730A3C">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Public information is easy to find; we are clients of the service</w:t>
            </w:r>
          </w:p>
        </w:tc>
      </w:tr>
      <w:tr w14:paraId="6D5BA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52A1CD78">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2</w:t>
            </w:r>
          </w:p>
        </w:tc>
        <w:tc>
          <w:tcPr>
            <w:tcW w:w="42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43D8CDE9">
            <w:pPr>
              <w:spacing w:after="0" w:line="240" w:lineRule="auto"/>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none"/>
                <w14:textFill>
                  <w14:solidFill>
                    <w14:schemeClr w14:val="tx1"/>
                  </w14:solidFill>
                </w14:textFill>
              </w:rPr>
              <w:t>[Candidate 2]</w:t>
            </w:r>
          </w:p>
        </w:tc>
        <w:tc>
          <w:tcPr>
            <w:tcW w:w="42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11F5A3F">
            <w:pPr>
              <w:spacing w:after="0" w:line="240" w:lineRule="auto"/>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none"/>
                <w14:textFill>
                  <w14:solidFill>
                    <w14:schemeClr w14:val="tx1"/>
                  </w14:solidFill>
                </w14:textFill>
              </w:rPr>
              <w:t>[reason]</w:t>
            </w:r>
          </w:p>
        </w:tc>
      </w:tr>
      <w:tr w14:paraId="04B2C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05B11DD2">
            <w:pPr>
              <w:spacing w:after="0" w:line="240" w:lineRule="auto"/>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19"/>
                <w:szCs w:val="19"/>
                <w14:textFill>
                  <w14:solidFill>
                    <w14:schemeClr w14:val="tx1"/>
                  </w14:solidFill>
                </w14:textFill>
              </w:rPr>
              <w:t>3</w:t>
            </w:r>
          </w:p>
        </w:tc>
        <w:tc>
          <w:tcPr>
            <w:tcW w:w="420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631DDE82">
            <w:pPr>
              <w:spacing w:after="0" w:line="240" w:lineRule="auto"/>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none"/>
                <w14:textFill>
                  <w14:solidFill>
                    <w14:schemeClr w14:val="tx1"/>
                  </w14:solidFill>
                </w14:textFill>
              </w:rPr>
              <w:t>[Candidate 3]</w:t>
            </w:r>
          </w:p>
        </w:tc>
        <w:tc>
          <w:tcPr>
            <w:tcW w:w="4260" w:type="dxa"/>
            <w:tcBorders>
              <w:top w:val="single" w:color="7F8FA6" w:sz="4" w:space="0"/>
              <w:left w:val="single" w:color="7F8FA6" w:sz="4" w:space="0"/>
              <w:bottom w:val="single" w:color="7F8FA6" w:sz="4" w:space="0"/>
              <w:right w:val="single" w:color="7F8FA6" w:sz="4" w:space="0"/>
            </w:tcBorders>
            <w:tcMar>
              <w:top w:w="40" w:type="dxa"/>
              <w:left w:w="70" w:type="dxa"/>
              <w:bottom w:w="40" w:type="dxa"/>
              <w:right w:w="70" w:type="dxa"/>
            </w:tcMar>
          </w:tcPr>
          <w:p w14:paraId="3E8CB70D">
            <w:pPr>
              <w:spacing w:after="0" w:line="240" w:lineRule="auto"/>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19"/>
                <w:szCs w:val="19"/>
                <w:highlight w:val="none"/>
                <w14:textFill>
                  <w14:solidFill>
                    <w14:schemeClr w14:val="tx1"/>
                  </w14:solidFill>
                </w14:textFill>
              </w:rPr>
              <w:t>[reason]</w:t>
            </w:r>
          </w:p>
        </w:tc>
      </w:tr>
    </w:tbl>
    <w:p w14:paraId="0F8DA4A2">
      <w:pPr>
        <w:rPr>
          <w:color w:val="000000" w:themeColor="text1"/>
          <w14:textFill>
            <w14:solidFill>
              <w14:schemeClr w14:val="tx1"/>
            </w14:solidFill>
          </w14:textFill>
        </w:rPr>
      </w:pP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712DF">
    <w:pPr>
      <w:jc w:val="center"/>
    </w:pP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B519AA"/>
    <w:rsid w:val="063338B9"/>
    <w:rsid w:val="260E7FC9"/>
    <w:rsid w:val="38873E56"/>
    <w:rsid w:val="574D65C9"/>
    <w:rsid w:val="752F0ACE"/>
    <w:rsid w:val="775E6B64"/>
    <w:rsid w:val="781E1ABF"/>
    <w:rsid w:val="7B2D2D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link w:val="19"/>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 w:type="character" w:customStyle="1" w:styleId="19">
    <w:name w:val="Heading 1 Char"/>
    <w:link w:val="2"/>
    <w:uiPriority w:val="0"/>
    <w:rPr>
      <w:rFonts w:ascii="Times New Roman" w:hAnsi="Times New Roman" w:eastAsia="Times New Roman" w:cs="Times New Roman"/>
      <w:color w:val="2E74B5"/>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4452</Words>
  <Characters>24151</Characters>
  <TotalTime>36</TotalTime>
  <ScaleCrop>false</ScaleCrop>
  <LinksUpToDate>false</LinksUpToDate>
  <CharactersWithSpaces>27976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2026-10-22T10:18:00Z</dcterms:created>
  <dc:creator>Un-named</dc:creator>
  <cp:lastModifiedBy>John Earl Conde</cp:lastModifiedBy>
  <dcterms:modified xsi:type="dcterms:W3CDTF">2026-10-24T23:33:38Z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eyJoZGlkIjoiYmNiOTE5ZDg2MTM3NmY1MDUwMWQxZjY3MTdjNzU1YTciLCJ1c2VySWQiOiI2ODcxOTc3MDc5MzMifQ==</vt:lpwstr>
  </property>
  <property fmtid="{D5CDD505-2E9C-101B-9397-08002B2CF9AE}" pid="3" name="KSOProductBuildVer">
    <vt:lpwstr>1033-12.1.0.29162</vt:lpwstr>
  </property>
  <property fmtid="{D5CDD505-2E9C-101B-9397-08002B2CF9AE}" pid="4" name="ICV">
    <vt:lpwstr>BEDBE16EEC86439EBA02C5DC512493E0_12</vt:lpwstr>
  </property>
</Properties>
</file>