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C907B" w14:textId="77777777" w:rsidR="000022CC" w:rsidRPr="000022CC" w:rsidRDefault="000022CC" w:rsidP="000022CC">
      <w:pPr>
        <w:spacing w:line="360" w:lineRule="auto"/>
        <w:ind w:left="360" w:hanging="360"/>
        <w:jc w:val="center"/>
        <w:rPr>
          <w:b/>
          <w:sz w:val="28"/>
          <w:szCs w:val="28"/>
        </w:rPr>
      </w:pPr>
      <w:bookmarkStart w:id="0" w:name="_Hlk2000709"/>
      <w:r w:rsidRPr="000022CC">
        <w:rPr>
          <w:b/>
          <w:sz w:val="28"/>
          <w:szCs w:val="28"/>
        </w:rPr>
        <w:t>Ethical and Legal Issues concerning Predictive Analytics</w:t>
      </w:r>
    </w:p>
    <w:bookmarkEnd w:id="0"/>
    <w:p w14:paraId="55EFBDC3" w14:textId="77777777" w:rsidR="002A56A4" w:rsidRDefault="002A56A4" w:rsidP="002A56A4">
      <w:pPr>
        <w:pStyle w:val="ListParagraph"/>
        <w:numPr>
          <w:ilvl w:val="0"/>
          <w:numId w:val="1"/>
        </w:numPr>
        <w:spacing w:line="360" w:lineRule="auto"/>
      </w:pPr>
      <w:r>
        <w:t>Identify ethical and legal concerns that may exist across various sectors.</w:t>
      </w:r>
    </w:p>
    <w:p w14:paraId="694FBE13" w14:textId="77777777" w:rsidR="002A56A4" w:rsidRDefault="002A56A4" w:rsidP="002A56A4">
      <w:pPr>
        <w:pStyle w:val="ListParagraph"/>
        <w:numPr>
          <w:ilvl w:val="0"/>
          <w:numId w:val="1"/>
        </w:numPr>
        <w:spacing w:line="360" w:lineRule="auto"/>
      </w:pPr>
      <w:r>
        <w:t>Look at various legislation that exists to guide/limit the use of predictive analytics.</w:t>
      </w:r>
    </w:p>
    <w:p w14:paraId="333BCFBF" w14:textId="77777777" w:rsidR="002A56A4" w:rsidRDefault="002A56A4" w:rsidP="002A56A4">
      <w:pPr>
        <w:pStyle w:val="ListParagraph"/>
        <w:numPr>
          <w:ilvl w:val="0"/>
          <w:numId w:val="1"/>
        </w:numPr>
        <w:spacing w:line="360" w:lineRule="auto"/>
      </w:pPr>
      <w:r>
        <w:t>Backup statement with references.</w:t>
      </w:r>
    </w:p>
    <w:p w14:paraId="189D9AFF" w14:textId="77777777" w:rsidR="002A56A4" w:rsidRDefault="002A56A4" w:rsidP="002A56A4">
      <w:pPr>
        <w:pStyle w:val="ListParagraph"/>
        <w:numPr>
          <w:ilvl w:val="0"/>
          <w:numId w:val="1"/>
        </w:numPr>
        <w:spacing w:line="360" w:lineRule="auto"/>
      </w:pPr>
      <w:r>
        <w:t>Referencing of case studies to support an argument or point.</w:t>
      </w:r>
    </w:p>
    <w:p w14:paraId="714FDC7C" w14:textId="77777777" w:rsidR="002A56A4" w:rsidRDefault="002A56A4" w:rsidP="002A56A4">
      <w:pPr>
        <w:pStyle w:val="ListParagraph"/>
        <w:numPr>
          <w:ilvl w:val="0"/>
          <w:numId w:val="1"/>
        </w:numPr>
        <w:spacing w:line="360" w:lineRule="auto"/>
      </w:pPr>
      <w:r>
        <w:t>Paper should follow a logical sequence. It should not be individual chunks with no relationship between the various paragraphs / sections.</w:t>
      </w:r>
    </w:p>
    <w:p w14:paraId="1FCA7590" w14:textId="77777777" w:rsidR="002A56A4" w:rsidRDefault="002A56A4" w:rsidP="002A56A4">
      <w:pPr>
        <w:pStyle w:val="ListParagraph"/>
        <w:numPr>
          <w:ilvl w:val="0"/>
          <w:numId w:val="1"/>
        </w:numPr>
        <w:spacing w:line="360" w:lineRule="auto"/>
      </w:pPr>
      <w:r>
        <w:t>Use Harvard notation, use scholarly articles.</w:t>
      </w:r>
    </w:p>
    <w:p w14:paraId="350CDA2C" w14:textId="77777777" w:rsidR="002A56A4" w:rsidRDefault="002A56A4" w:rsidP="002A56A4">
      <w:pPr>
        <w:pStyle w:val="ListParagraph"/>
        <w:numPr>
          <w:ilvl w:val="0"/>
          <w:numId w:val="1"/>
        </w:numPr>
        <w:spacing w:line="360" w:lineRule="auto"/>
      </w:pPr>
      <w:r>
        <w:t>Have a Bibliography</w:t>
      </w:r>
    </w:p>
    <w:p w14:paraId="491AA10D" w14:textId="77777777" w:rsidR="00341930" w:rsidRDefault="002A56A4" w:rsidP="002A56A4">
      <w:pPr>
        <w:pStyle w:val="ListParagraph"/>
        <w:numPr>
          <w:ilvl w:val="0"/>
          <w:numId w:val="1"/>
        </w:numPr>
        <w:spacing w:line="360" w:lineRule="auto"/>
      </w:pPr>
      <w:r>
        <w:t xml:space="preserve">Do </w:t>
      </w:r>
      <w:r>
        <w:rPr>
          <w:b/>
          <w:u w:val="single"/>
        </w:rPr>
        <w:t>NOT</w:t>
      </w:r>
      <w:r>
        <w:t xml:space="preserve"> Plagiarise</w:t>
      </w:r>
    </w:p>
    <w:p w14:paraId="1DA14C1D" w14:textId="77777777" w:rsidR="000022CC" w:rsidRDefault="000022CC" w:rsidP="000022CC">
      <w:pPr>
        <w:pStyle w:val="ListParagraph"/>
        <w:spacing w:line="360" w:lineRule="auto"/>
        <w:ind w:left="360"/>
      </w:pPr>
    </w:p>
    <w:p w14:paraId="4FF1A696" w14:textId="77777777" w:rsidR="00AB4EED" w:rsidRPr="00AB4EED" w:rsidRDefault="00AB4EED" w:rsidP="00AB4EED">
      <w:pPr>
        <w:pStyle w:val="ListParagraph"/>
        <w:ind w:left="360"/>
        <w:rPr>
          <w:lang w:val="en-GB"/>
        </w:rPr>
      </w:pPr>
    </w:p>
    <w:p w14:paraId="0490AF39" w14:textId="77777777" w:rsidR="00AB4EED" w:rsidRPr="00AB4EED" w:rsidRDefault="00AB4EED" w:rsidP="00AB4EED">
      <w:pPr>
        <w:pStyle w:val="ListParagraph"/>
        <w:ind w:left="0"/>
        <w:rPr>
          <w:b/>
          <w:sz w:val="24"/>
          <w:lang w:val="en-GB"/>
        </w:rPr>
      </w:pPr>
      <w:r w:rsidRPr="00AB4EED">
        <w:rPr>
          <w:b/>
          <w:sz w:val="24"/>
          <w:lang w:val="en-GB"/>
        </w:rPr>
        <w:t>Harvard Notation Guide</w:t>
      </w:r>
    </w:p>
    <w:p w14:paraId="3D9ED24F" w14:textId="77777777" w:rsidR="00AB4EED" w:rsidRDefault="00790E8F" w:rsidP="00814314">
      <w:pPr>
        <w:pStyle w:val="ListParagraph"/>
        <w:spacing w:line="360" w:lineRule="auto"/>
        <w:ind w:left="0"/>
        <w:rPr>
          <w:lang w:val="en-GB"/>
        </w:rPr>
      </w:pPr>
      <w:hyperlink r:id="rId7" w:history="1">
        <w:r w:rsidR="00305B8C" w:rsidRPr="00270F0E">
          <w:rPr>
            <w:rStyle w:val="Hyperlink"/>
            <w:lang w:val="en-GB"/>
          </w:rPr>
          <w:t>https://student.unsw.edu.au/how-do-i-cite-electronic-sources</w:t>
        </w:r>
      </w:hyperlink>
    </w:p>
    <w:p w14:paraId="10F6E7CF" w14:textId="77777777" w:rsidR="00305B8C" w:rsidRDefault="00305B8C" w:rsidP="00814314">
      <w:pPr>
        <w:pStyle w:val="ListParagraph"/>
        <w:spacing w:line="360" w:lineRule="auto"/>
        <w:ind w:left="0"/>
      </w:pPr>
    </w:p>
    <w:p w14:paraId="6B27B222" w14:textId="77777777" w:rsidR="00341930" w:rsidRPr="000022CC" w:rsidRDefault="00341930" w:rsidP="002A56A4">
      <w:pPr>
        <w:spacing w:line="360" w:lineRule="auto"/>
        <w:rPr>
          <w:sz w:val="24"/>
          <w:szCs w:val="24"/>
        </w:rPr>
      </w:pPr>
      <w:r w:rsidRPr="000022CC">
        <w:rPr>
          <w:b/>
          <w:sz w:val="24"/>
          <w:szCs w:val="24"/>
        </w:rPr>
        <w:t>4 Phases of building a predictive analytics model:</w:t>
      </w:r>
      <w:r w:rsidRPr="000022CC">
        <w:rPr>
          <w:sz w:val="24"/>
          <w:szCs w:val="24"/>
        </w:rPr>
        <w:t xml:space="preserve"> </w:t>
      </w:r>
    </w:p>
    <w:p w14:paraId="6CE9BC8F" w14:textId="77777777" w:rsidR="00341930" w:rsidRDefault="00341930" w:rsidP="00341930">
      <w:pPr>
        <w:pStyle w:val="ListParagraph"/>
        <w:numPr>
          <w:ilvl w:val="0"/>
          <w:numId w:val="2"/>
        </w:numPr>
        <w:spacing w:line="360" w:lineRule="auto"/>
      </w:pPr>
      <w:r>
        <w:t>A</w:t>
      </w:r>
      <w:r w:rsidRPr="00341930">
        <w:t>cquiring data to build the model</w:t>
      </w:r>
    </w:p>
    <w:p w14:paraId="5DF39DAD" w14:textId="77777777" w:rsidR="00341930" w:rsidRDefault="00341930" w:rsidP="00341930">
      <w:pPr>
        <w:pStyle w:val="ListParagraph"/>
        <w:numPr>
          <w:ilvl w:val="0"/>
          <w:numId w:val="2"/>
        </w:numPr>
        <w:spacing w:line="360" w:lineRule="auto"/>
      </w:pPr>
      <w:r>
        <w:t>B</w:t>
      </w:r>
      <w:r w:rsidRPr="00341930">
        <w:t>uilding and validating it</w:t>
      </w:r>
    </w:p>
    <w:p w14:paraId="65F4ED0E" w14:textId="77777777" w:rsidR="00341930" w:rsidRDefault="00341930" w:rsidP="00341930">
      <w:pPr>
        <w:pStyle w:val="ListParagraph"/>
        <w:numPr>
          <w:ilvl w:val="0"/>
          <w:numId w:val="2"/>
        </w:numPr>
        <w:spacing w:line="360" w:lineRule="auto"/>
      </w:pPr>
      <w:r>
        <w:t>T</w:t>
      </w:r>
      <w:r w:rsidRPr="00341930">
        <w:t>esting it in real-world settings</w:t>
      </w:r>
    </w:p>
    <w:p w14:paraId="003731EB" w14:textId="77777777" w:rsidR="00AB4EED" w:rsidRDefault="00341930" w:rsidP="00AB4EED">
      <w:pPr>
        <w:pStyle w:val="ListParagraph"/>
        <w:numPr>
          <w:ilvl w:val="0"/>
          <w:numId w:val="2"/>
        </w:numPr>
        <w:spacing w:line="360" w:lineRule="auto"/>
      </w:pPr>
      <w:r>
        <w:t>D</w:t>
      </w:r>
      <w:r w:rsidRPr="00341930">
        <w:t>isseminating and using it more broadly</w:t>
      </w:r>
    </w:p>
    <w:p w14:paraId="6082B333" w14:textId="77777777" w:rsidR="009A3DC3" w:rsidRDefault="009A3DC3" w:rsidP="00B754DC">
      <w:pPr>
        <w:pStyle w:val="ListParagraph"/>
        <w:spacing w:line="360" w:lineRule="auto"/>
      </w:pPr>
    </w:p>
    <w:p w14:paraId="11219987" w14:textId="77777777" w:rsidR="00454F4F" w:rsidRDefault="00454F4F" w:rsidP="00B754DC">
      <w:pPr>
        <w:pStyle w:val="ListParagraph"/>
        <w:spacing w:line="360" w:lineRule="auto"/>
      </w:pPr>
    </w:p>
    <w:p w14:paraId="510B846B" w14:textId="3E180E61" w:rsidR="009A3DC3" w:rsidRDefault="002669D2" w:rsidP="009A3DC3">
      <w:pPr>
        <w:pStyle w:val="ListParagraph"/>
        <w:spacing w:line="360" w:lineRule="auto"/>
        <w:ind w:left="0"/>
      </w:pPr>
      <w:bookmarkStart w:id="1" w:name="_Hlk2000730"/>
      <w:r>
        <w:t xml:space="preserve">Predictive Analytics is used by companies and governments to </w:t>
      </w:r>
      <w:r w:rsidR="009E0D6E">
        <w:t>interpret and analyse data and make predictions about future events.</w:t>
      </w:r>
      <w:r>
        <w:t xml:space="preserve"> </w:t>
      </w:r>
      <w:r w:rsidR="009E0D6E" w:rsidRPr="009E0D6E">
        <w:rPr>
          <w:lang w:val="en-GB"/>
        </w:rPr>
        <w:t xml:space="preserve">It has a wide array of uses in multiple industries. </w:t>
      </w:r>
      <w:r>
        <w:t xml:space="preserve">Every year </w:t>
      </w:r>
      <w:r w:rsidR="009E0D6E">
        <w:t xml:space="preserve">adoption is growing, and new applications of the technology appear. There are however many ethical and legal issues such as how to handle user’s private information. Government legislation is another hurdle that the industry is facing. </w:t>
      </w:r>
      <w:r w:rsidR="00454F4F">
        <w:t xml:space="preserve">For </w:t>
      </w:r>
      <w:r w:rsidR="001657C8">
        <w:t>Example,</w:t>
      </w:r>
      <w:r w:rsidR="00454F4F">
        <w:t xml:space="preserve"> The </w:t>
      </w:r>
      <w:r w:rsidR="00454F4F" w:rsidRPr="00454F4F">
        <w:t xml:space="preserve">General Data Protection </w:t>
      </w:r>
      <w:r w:rsidR="004F29E7" w:rsidRPr="00454F4F">
        <w:t>Regulation</w:t>
      </w:r>
      <w:r w:rsidR="004F29E7">
        <w:t xml:space="preserve"> (</w:t>
      </w:r>
      <w:r w:rsidR="00454F4F">
        <w:t xml:space="preserve">GDPR) in Europe has brought in sweeping rules relating the protection of personal data. This heavily limits what can be done with a user’s personal data. </w:t>
      </w:r>
    </w:p>
    <w:p w14:paraId="3BEC66F2" w14:textId="7736253B" w:rsidR="001657C8" w:rsidRDefault="001657C8" w:rsidP="009A3DC3">
      <w:pPr>
        <w:pStyle w:val="ListParagraph"/>
        <w:spacing w:line="360" w:lineRule="auto"/>
        <w:ind w:left="0"/>
      </w:pPr>
    </w:p>
    <w:p w14:paraId="4BA27CFC" w14:textId="77777777" w:rsidR="001657C8" w:rsidRPr="001657C8" w:rsidRDefault="001657C8" w:rsidP="001657C8">
      <w:pPr>
        <w:pStyle w:val="ListParagraph"/>
        <w:ind w:left="0"/>
        <w:rPr>
          <w:b/>
          <w:lang w:val="en-GB"/>
        </w:rPr>
      </w:pPr>
      <w:r w:rsidRPr="001657C8">
        <w:rPr>
          <w:b/>
          <w:lang w:val="en-GB"/>
        </w:rPr>
        <w:t>General Data Protection Regulation (GDPR)</w:t>
      </w:r>
    </w:p>
    <w:p w14:paraId="33A1ABDC" w14:textId="7BE31991" w:rsidR="001657C8" w:rsidRDefault="001657C8" w:rsidP="001657C8">
      <w:pPr>
        <w:pStyle w:val="ListParagraph"/>
        <w:ind w:left="0"/>
        <w:rPr>
          <w:lang w:val="en-GB"/>
        </w:rPr>
      </w:pPr>
      <w:r w:rsidRPr="001657C8">
        <w:rPr>
          <w:lang w:val="en-GB"/>
        </w:rPr>
        <w:t>Predictive Analytics requires a large amount of data to be gathered. All laws regarding the use of personal data must be followed. GDPR was adopted by the EU in 2018, the regulation brought in sweeping new rules to “enhance the data protection rights o</w:t>
      </w:r>
      <w:bookmarkStart w:id="2" w:name="_GoBack"/>
      <w:bookmarkEnd w:id="2"/>
      <w:r w:rsidRPr="001657C8">
        <w:rPr>
          <w:lang w:val="en-GB"/>
        </w:rPr>
        <w:t xml:space="preserve">f individuals” (European Council 2015a). </w:t>
      </w:r>
      <w:r w:rsidRPr="001657C8">
        <w:rPr>
          <w:lang w:val="en-GB"/>
        </w:rPr>
        <w:lastRenderedPageBreak/>
        <w:t xml:space="preserve">GDPR governs how data is collected, how it can be used and how it must be protected. As a controller or processor of personal data, companies must put in place “appropriate technical and organisational measures” to meet all requirements of GDPR (European Council 2015b). There are even more restrictions on what can be done with sensitive data such as race, religious beliefs, health-related data. With sensitive data conditions must be met such as: The explicit consent of each user along with what the data will be used for, must be obtained to use their data (European Council 2015c). </w:t>
      </w:r>
    </w:p>
    <w:p w14:paraId="5258C803" w14:textId="77777777" w:rsidR="001657C8" w:rsidRPr="001657C8" w:rsidRDefault="001657C8" w:rsidP="001657C8">
      <w:pPr>
        <w:pStyle w:val="ListParagraph"/>
        <w:ind w:left="0"/>
        <w:rPr>
          <w:lang w:val="en-GB"/>
        </w:rPr>
      </w:pPr>
    </w:p>
    <w:p w14:paraId="5C4AE85E" w14:textId="77777777" w:rsidR="001657C8" w:rsidRPr="001657C8" w:rsidRDefault="001657C8" w:rsidP="001657C8">
      <w:pPr>
        <w:pStyle w:val="ListParagraph"/>
        <w:ind w:left="0"/>
        <w:rPr>
          <w:lang w:val="en-GB"/>
        </w:rPr>
      </w:pPr>
      <w:r w:rsidRPr="001657C8">
        <w:rPr>
          <w:lang w:val="en-GB"/>
        </w:rPr>
        <w:t>GDPR heavily limits the harvesting and processing of user data. From a user’s perspective it is very positive as it gives the user new basic rights for the digital age. From a data analytics perspective it brings many challenges. With users having to consent to each use of their data along with consent specifically for marketing purposes, the pool of data for analytics will decrease (DATACONOMY 2018). One way of avoiding the restrictions on user data is to anonymise the data, according the GDPR “The principles of data protection should therefore not apply to anonymous information” (European Council 2015d). While anonymous data may provide less useful information it can be harvested and processed with significantly less restrictions allowing much larger amounts of data to be gathered. Data analysts must adapt and find new ways to gather enough user data while following all rules and regulations.</w:t>
      </w:r>
    </w:p>
    <w:p w14:paraId="733F4809" w14:textId="77777777" w:rsidR="001657C8" w:rsidRDefault="001657C8" w:rsidP="009A3DC3">
      <w:pPr>
        <w:pStyle w:val="ListParagraph"/>
        <w:spacing w:line="360" w:lineRule="auto"/>
        <w:ind w:left="0"/>
      </w:pPr>
    </w:p>
    <w:p w14:paraId="41E3D570" w14:textId="77777777" w:rsidR="00814314" w:rsidRDefault="00AB4EED" w:rsidP="00814314">
      <w:pPr>
        <w:spacing w:line="360" w:lineRule="auto"/>
        <w:rPr>
          <w:b/>
          <w:sz w:val="24"/>
        </w:rPr>
      </w:pPr>
      <w:r w:rsidRPr="00B754DC">
        <w:rPr>
          <w:b/>
          <w:sz w:val="24"/>
        </w:rPr>
        <w:t>Healthcare</w:t>
      </w:r>
    </w:p>
    <w:p w14:paraId="5C7FF7FC" w14:textId="77777777" w:rsidR="00C714BC" w:rsidRDefault="00814314" w:rsidP="00814314">
      <w:pPr>
        <w:spacing w:line="360" w:lineRule="auto"/>
      </w:pPr>
      <w:r w:rsidRPr="00814314">
        <w:t>Mac</w:t>
      </w:r>
      <w:r>
        <w:t>hine learning in healthcare is growing rapidly. It can be used to improve patient care, chronic disease management, hospital administration and supply chain efficiencies (Health Catalyst 2019).</w:t>
      </w:r>
    </w:p>
    <w:p w14:paraId="345977A2" w14:textId="77777777" w:rsidR="00814314" w:rsidRPr="00814314" w:rsidRDefault="00C714BC" w:rsidP="00814314">
      <w:pPr>
        <w:spacing w:line="360" w:lineRule="auto"/>
      </w:pPr>
      <w:r w:rsidRPr="00C714BC">
        <w:t xml:space="preserve">Big data analytics </w:t>
      </w:r>
      <w:proofErr w:type="gramStart"/>
      <w:r w:rsidRPr="00C714BC">
        <w:t>has the ability to</w:t>
      </w:r>
      <w:proofErr w:type="gramEnd"/>
      <w:r w:rsidRPr="00C714BC">
        <w:t xml:space="preserve"> go beyond improving profits and cutting down on waste, to be able to predict epidemics, cure diseases, improve the quality of life and reduce preventable deaths</w:t>
      </w:r>
      <w:r>
        <w:t xml:space="preserve"> (</w:t>
      </w:r>
      <w:proofErr w:type="spellStart"/>
      <w:r w:rsidRPr="00C714BC">
        <w:t>Atreyi</w:t>
      </w:r>
      <w:proofErr w:type="spellEnd"/>
      <w:r w:rsidRPr="00C714BC">
        <w:t xml:space="preserve"> </w:t>
      </w:r>
      <w:proofErr w:type="spellStart"/>
      <w:r w:rsidRPr="00C714BC">
        <w:t>Kankanhalli</w:t>
      </w:r>
      <w:proofErr w:type="spellEnd"/>
      <w:r>
        <w:t xml:space="preserve"> 2016)</w:t>
      </w:r>
    </w:p>
    <w:bookmarkEnd w:id="1"/>
    <w:p w14:paraId="674F49B5" w14:textId="77777777" w:rsidR="00B754DC" w:rsidRDefault="00790E8F" w:rsidP="00AB4EED">
      <w:pPr>
        <w:spacing w:line="360" w:lineRule="auto"/>
      </w:pPr>
      <w:r>
        <w:rPr>
          <w:rStyle w:val="Hyperlink"/>
        </w:rPr>
        <w:fldChar w:fldCharType="begin"/>
      </w:r>
      <w:r>
        <w:rPr>
          <w:rStyle w:val="Hyperlink"/>
        </w:rPr>
        <w:instrText xml:space="preserve"> HYPERLINK "https://www.healthaffairs.org/doi/full/10.1377/hlthaff.2014.0048" </w:instrText>
      </w:r>
      <w:r>
        <w:rPr>
          <w:rStyle w:val="Hyperlink"/>
        </w:rPr>
        <w:fldChar w:fldCharType="separate"/>
      </w:r>
      <w:r w:rsidR="00B754DC" w:rsidRPr="00270F0E">
        <w:rPr>
          <w:rStyle w:val="Hyperlink"/>
        </w:rPr>
        <w:t>https://www.healthaffairs.org/doi/full/10.1377/hlthaff.2014.0048</w:t>
      </w:r>
      <w:r>
        <w:rPr>
          <w:rStyle w:val="Hyperlink"/>
        </w:rPr>
        <w:fldChar w:fldCharType="end"/>
      </w:r>
    </w:p>
    <w:p w14:paraId="67CB8602" w14:textId="77777777" w:rsidR="00AD55C1" w:rsidRDefault="00790E8F" w:rsidP="00AB4EED">
      <w:pPr>
        <w:spacing w:line="360" w:lineRule="auto"/>
      </w:pPr>
      <w:hyperlink r:id="rId8" w:history="1">
        <w:r w:rsidR="00AD55C1" w:rsidRPr="004A76D4">
          <w:rPr>
            <w:rStyle w:val="Hyperlink"/>
          </w:rPr>
          <w:t>https://doi.org/10.1377/hlthaff.2014.0041</w:t>
        </w:r>
      </w:hyperlink>
    </w:p>
    <w:p w14:paraId="05E0F217" w14:textId="77777777" w:rsidR="00B754DC" w:rsidRDefault="00790E8F" w:rsidP="00AB4EED">
      <w:pPr>
        <w:spacing w:line="360" w:lineRule="auto"/>
      </w:pPr>
      <w:hyperlink r:id="rId9" w:history="1">
        <w:r w:rsidR="00B754DC" w:rsidRPr="00270F0E">
          <w:rPr>
            <w:rStyle w:val="Hyperlink"/>
          </w:rPr>
          <w:t>https://doi.org/10.1377/hlthaff.2014.0352</w:t>
        </w:r>
      </w:hyperlink>
    </w:p>
    <w:p w14:paraId="21B41D65" w14:textId="77777777" w:rsidR="00B754DC" w:rsidRDefault="00B754DC" w:rsidP="00AB4EED">
      <w:pPr>
        <w:spacing w:line="360" w:lineRule="auto"/>
      </w:pPr>
    </w:p>
    <w:p w14:paraId="15D878A5" w14:textId="77777777" w:rsidR="00B754DC" w:rsidRDefault="00B754DC" w:rsidP="00AB4EED">
      <w:pPr>
        <w:spacing w:line="360" w:lineRule="auto"/>
        <w:rPr>
          <w:b/>
          <w:sz w:val="24"/>
        </w:rPr>
      </w:pPr>
      <w:r w:rsidRPr="00B754DC">
        <w:rPr>
          <w:b/>
          <w:sz w:val="24"/>
        </w:rPr>
        <w:t>Retail</w:t>
      </w:r>
      <w:r>
        <w:rPr>
          <w:b/>
          <w:sz w:val="24"/>
        </w:rPr>
        <w:t xml:space="preserve"> </w:t>
      </w:r>
    </w:p>
    <w:p w14:paraId="2C991A53" w14:textId="77777777" w:rsidR="00B754DC" w:rsidRDefault="00B754DC" w:rsidP="00AB4EED">
      <w:pPr>
        <w:spacing w:line="360" w:lineRule="auto"/>
        <w:rPr>
          <w:b/>
          <w:sz w:val="24"/>
        </w:rPr>
      </w:pPr>
      <w:r>
        <w:rPr>
          <w:b/>
          <w:sz w:val="24"/>
        </w:rPr>
        <w:t xml:space="preserve">Banking </w:t>
      </w:r>
    </w:p>
    <w:p w14:paraId="0893A777" w14:textId="77777777" w:rsidR="00B754DC" w:rsidRDefault="00B754DC" w:rsidP="00AB4EED">
      <w:pPr>
        <w:spacing w:line="360" w:lineRule="auto"/>
        <w:rPr>
          <w:b/>
          <w:sz w:val="24"/>
        </w:rPr>
      </w:pPr>
      <w:r>
        <w:rPr>
          <w:b/>
          <w:sz w:val="24"/>
        </w:rPr>
        <w:t xml:space="preserve">Manufacturing </w:t>
      </w:r>
    </w:p>
    <w:p w14:paraId="238C3462" w14:textId="77777777" w:rsidR="00B754DC" w:rsidRDefault="00B754DC" w:rsidP="00AB4EED">
      <w:pPr>
        <w:spacing w:line="360" w:lineRule="auto"/>
        <w:rPr>
          <w:b/>
          <w:sz w:val="24"/>
        </w:rPr>
      </w:pPr>
      <w:r>
        <w:rPr>
          <w:b/>
          <w:sz w:val="24"/>
        </w:rPr>
        <w:t xml:space="preserve">Public Transport </w:t>
      </w:r>
    </w:p>
    <w:p w14:paraId="54C25743" w14:textId="77777777" w:rsidR="00B754DC" w:rsidRDefault="00B754DC" w:rsidP="00AB4EED">
      <w:pPr>
        <w:spacing w:line="360" w:lineRule="auto"/>
        <w:rPr>
          <w:b/>
          <w:sz w:val="24"/>
        </w:rPr>
      </w:pPr>
      <w:r>
        <w:rPr>
          <w:b/>
          <w:sz w:val="24"/>
        </w:rPr>
        <w:t>Cybersecurity</w:t>
      </w:r>
    </w:p>
    <w:p w14:paraId="3E9A8001" w14:textId="77777777" w:rsidR="00454F4F" w:rsidRDefault="00454F4F" w:rsidP="00AB4EED">
      <w:pPr>
        <w:spacing w:line="360" w:lineRule="auto"/>
        <w:rPr>
          <w:b/>
          <w:sz w:val="24"/>
        </w:rPr>
      </w:pPr>
    </w:p>
    <w:p w14:paraId="00248124" w14:textId="77777777" w:rsidR="001657C8" w:rsidRPr="001657C8" w:rsidRDefault="001657C8" w:rsidP="00AB4EED">
      <w:pPr>
        <w:spacing w:line="360" w:lineRule="auto"/>
        <w:rPr>
          <w:sz w:val="24"/>
        </w:rPr>
      </w:pPr>
    </w:p>
    <w:p w14:paraId="7B4AE64F" w14:textId="28B4DC5A" w:rsidR="00517960" w:rsidRDefault="001657C8" w:rsidP="00AB4EED">
      <w:pPr>
        <w:spacing w:line="360" w:lineRule="auto"/>
        <w:rPr>
          <w:b/>
          <w:sz w:val="24"/>
        </w:rPr>
      </w:pPr>
      <w:r>
        <w:rPr>
          <w:b/>
          <w:sz w:val="24"/>
        </w:rPr>
        <w:t>Ethical Concerns</w:t>
      </w:r>
    </w:p>
    <w:p w14:paraId="3D762E87" w14:textId="77777777" w:rsidR="001657C8" w:rsidRDefault="001657C8" w:rsidP="00AB4EED">
      <w:pPr>
        <w:spacing w:line="360" w:lineRule="auto"/>
        <w:rPr>
          <w:b/>
          <w:sz w:val="24"/>
        </w:rPr>
      </w:pPr>
    </w:p>
    <w:p w14:paraId="03725A91" w14:textId="77777777" w:rsidR="00517960" w:rsidRDefault="00517960" w:rsidP="00AB4EED">
      <w:pPr>
        <w:spacing w:line="360" w:lineRule="auto"/>
        <w:rPr>
          <w:b/>
          <w:sz w:val="24"/>
        </w:rPr>
      </w:pPr>
    </w:p>
    <w:p w14:paraId="55091583" w14:textId="77777777" w:rsidR="00517960" w:rsidRDefault="00517960" w:rsidP="00AB4EED">
      <w:pPr>
        <w:spacing w:line="360" w:lineRule="auto"/>
        <w:rPr>
          <w:b/>
          <w:sz w:val="24"/>
        </w:rPr>
      </w:pPr>
    </w:p>
    <w:p w14:paraId="588B1C34" w14:textId="77777777" w:rsidR="00517960" w:rsidRDefault="00517960" w:rsidP="00AB4EED">
      <w:pPr>
        <w:spacing w:line="360" w:lineRule="auto"/>
        <w:rPr>
          <w:b/>
          <w:sz w:val="24"/>
        </w:rPr>
      </w:pPr>
    </w:p>
    <w:p w14:paraId="5B028EEE" w14:textId="77777777" w:rsidR="00517960" w:rsidRDefault="00517960" w:rsidP="00AB4EED">
      <w:pPr>
        <w:spacing w:line="360" w:lineRule="auto"/>
        <w:rPr>
          <w:sz w:val="24"/>
        </w:rPr>
      </w:pPr>
    </w:p>
    <w:sectPr w:rsidR="005179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59835" w14:textId="77777777" w:rsidR="00790E8F" w:rsidRDefault="00790E8F" w:rsidP="00294138">
      <w:pPr>
        <w:spacing w:after="0" w:line="240" w:lineRule="auto"/>
      </w:pPr>
      <w:r>
        <w:separator/>
      </w:r>
    </w:p>
  </w:endnote>
  <w:endnote w:type="continuationSeparator" w:id="0">
    <w:p w14:paraId="45EF7C38" w14:textId="77777777" w:rsidR="00790E8F" w:rsidRDefault="00790E8F" w:rsidP="0029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59B9A" w14:textId="77777777" w:rsidR="00790E8F" w:rsidRDefault="00790E8F" w:rsidP="00294138">
      <w:pPr>
        <w:spacing w:after="0" w:line="240" w:lineRule="auto"/>
      </w:pPr>
      <w:r>
        <w:separator/>
      </w:r>
    </w:p>
  </w:footnote>
  <w:footnote w:type="continuationSeparator" w:id="0">
    <w:p w14:paraId="4B37783D" w14:textId="77777777" w:rsidR="00790E8F" w:rsidRDefault="00790E8F" w:rsidP="00294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E30ED"/>
    <w:multiLevelType w:val="hybridMultilevel"/>
    <w:tmpl w:val="626E8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F2E99"/>
    <w:multiLevelType w:val="hybridMultilevel"/>
    <w:tmpl w:val="E5B8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9A42B5"/>
    <w:multiLevelType w:val="hybridMultilevel"/>
    <w:tmpl w:val="A0821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1509B"/>
    <w:multiLevelType w:val="hybridMultilevel"/>
    <w:tmpl w:val="41E2FD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38"/>
    <w:rsid w:val="000022CC"/>
    <w:rsid w:val="000D7075"/>
    <w:rsid w:val="000E4A17"/>
    <w:rsid w:val="00150AC2"/>
    <w:rsid w:val="001657C8"/>
    <w:rsid w:val="001E6292"/>
    <w:rsid w:val="002669D2"/>
    <w:rsid w:val="0027073A"/>
    <w:rsid w:val="00294138"/>
    <w:rsid w:val="002A56A4"/>
    <w:rsid w:val="002E15E1"/>
    <w:rsid w:val="002F24DB"/>
    <w:rsid w:val="00305B8C"/>
    <w:rsid w:val="00341930"/>
    <w:rsid w:val="004045EF"/>
    <w:rsid w:val="00454F4F"/>
    <w:rsid w:val="004A76D4"/>
    <w:rsid w:val="004F29E7"/>
    <w:rsid w:val="00517960"/>
    <w:rsid w:val="00580D28"/>
    <w:rsid w:val="00620B5E"/>
    <w:rsid w:val="00790E8F"/>
    <w:rsid w:val="007E5C16"/>
    <w:rsid w:val="00814314"/>
    <w:rsid w:val="009535C1"/>
    <w:rsid w:val="00987314"/>
    <w:rsid w:val="009A3DC3"/>
    <w:rsid w:val="009E0D6E"/>
    <w:rsid w:val="009E12C8"/>
    <w:rsid w:val="00A006CC"/>
    <w:rsid w:val="00A81AB3"/>
    <w:rsid w:val="00AB4EED"/>
    <w:rsid w:val="00AD55C1"/>
    <w:rsid w:val="00B754DC"/>
    <w:rsid w:val="00C46943"/>
    <w:rsid w:val="00C714BC"/>
    <w:rsid w:val="00D11B3B"/>
    <w:rsid w:val="00DA0280"/>
    <w:rsid w:val="00DC0A9A"/>
    <w:rsid w:val="00DC6EA6"/>
    <w:rsid w:val="00EA3684"/>
    <w:rsid w:val="00F55FBF"/>
    <w:rsid w:val="00F8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9484"/>
  <w15:chartTrackingRefBased/>
  <w15:docId w15:val="{6FD890B6-8B68-479B-BBFD-366AC789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138"/>
  </w:style>
  <w:style w:type="paragraph" w:styleId="Footer">
    <w:name w:val="footer"/>
    <w:basedOn w:val="Normal"/>
    <w:link w:val="FooterChar"/>
    <w:uiPriority w:val="99"/>
    <w:unhideWhenUsed/>
    <w:rsid w:val="00294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138"/>
  </w:style>
  <w:style w:type="paragraph" w:styleId="ListParagraph">
    <w:name w:val="List Paragraph"/>
    <w:basedOn w:val="Normal"/>
    <w:uiPriority w:val="34"/>
    <w:qFormat/>
    <w:rsid w:val="002A56A4"/>
    <w:pPr>
      <w:spacing w:line="256" w:lineRule="auto"/>
      <w:ind w:left="720"/>
      <w:contextualSpacing/>
    </w:pPr>
    <w:rPr>
      <w:lang w:val="en-IE"/>
    </w:rPr>
  </w:style>
  <w:style w:type="character" w:styleId="Hyperlink">
    <w:name w:val="Hyperlink"/>
    <w:basedOn w:val="DefaultParagraphFont"/>
    <w:uiPriority w:val="99"/>
    <w:unhideWhenUsed/>
    <w:rsid w:val="00B754DC"/>
    <w:rPr>
      <w:color w:val="0563C1" w:themeColor="hyperlink"/>
      <w:u w:val="single"/>
    </w:rPr>
  </w:style>
  <w:style w:type="character" w:styleId="UnresolvedMention">
    <w:name w:val="Unresolved Mention"/>
    <w:basedOn w:val="DefaultParagraphFont"/>
    <w:uiPriority w:val="99"/>
    <w:semiHidden/>
    <w:unhideWhenUsed/>
    <w:rsid w:val="00B75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6219">
      <w:bodyDiv w:val="1"/>
      <w:marLeft w:val="0"/>
      <w:marRight w:val="0"/>
      <w:marTop w:val="0"/>
      <w:marBottom w:val="0"/>
      <w:divBdr>
        <w:top w:val="none" w:sz="0" w:space="0" w:color="auto"/>
        <w:left w:val="none" w:sz="0" w:space="0" w:color="auto"/>
        <w:bottom w:val="none" w:sz="0" w:space="0" w:color="auto"/>
        <w:right w:val="none" w:sz="0" w:space="0" w:color="auto"/>
      </w:divBdr>
    </w:div>
    <w:div w:id="250313868">
      <w:bodyDiv w:val="1"/>
      <w:marLeft w:val="0"/>
      <w:marRight w:val="0"/>
      <w:marTop w:val="0"/>
      <w:marBottom w:val="0"/>
      <w:divBdr>
        <w:top w:val="none" w:sz="0" w:space="0" w:color="auto"/>
        <w:left w:val="none" w:sz="0" w:space="0" w:color="auto"/>
        <w:bottom w:val="none" w:sz="0" w:space="0" w:color="auto"/>
        <w:right w:val="none" w:sz="0" w:space="0" w:color="auto"/>
      </w:divBdr>
    </w:div>
    <w:div w:id="807285979">
      <w:bodyDiv w:val="1"/>
      <w:marLeft w:val="0"/>
      <w:marRight w:val="0"/>
      <w:marTop w:val="0"/>
      <w:marBottom w:val="0"/>
      <w:divBdr>
        <w:top w:val="none" w:sz="0" w:space="0" w:color="auto"/>
        <w:left w:val="none" w:sz="0" w:space="0" w:color="auto"/>
        <w:bottom w:val="none" w:sz="0" w:space="0" w:color="auto"/>
        <w:right w:val="none" w:sz="0" w:space="0" w:color="auto"/>
      </w:divBdr>
    </w:div>
    <w:div w:id="1160733810">
      <w:bodyDiv w:val="1"/>
      <w:marLeft w:val="0"/>
      <w:marRight w:val="0"/>
      <w:marTop w:val="0"/>
      <w:marBottom w:val="0"/>
      <w:divBdr>
        <w:top w:val="none" w:sz="0" w:space="0" w:color="auto"/>
        <w:left w:val="none" w:sz="0" w:space="0" w:color="auto"/>
        <w:bottom w:val="none" w:sz="0" w:space="0" w:color="auto"/>
        <w:right w:val="none" w:sz="0" w:space="0" w:color="auto"/>
      </w:divBdr>
    </w:div>
    <w:div w:id="1344631154">
      <w:bodyDiv w:val="1"/>
      <w:marLeft w:val="0"/>
      <w:marRight w:val="0"/>
      <w:marTop w:val="0"/>
      <w:marBottom w:val="0"/>
      <w:divBdr>
        <w:top w:val="none" w:sz="0" w:space="0" w:color="auto"/>
        <w:left w:val="none" w:sz="0" w:space="0" w:color="auto"/>
        <w:bottom w:val="none" w:sz="0" w:space="0" w:color="auto"/>
        <w:right w:val="none" w:sz="0" w:space="0" w:color="auto"/>
      </w:divBdr>
    </w:div>
    <w:div w:id="1464345541">
      <w:bodyDiv w:val="1"/>
      <w:marLeft w:val="0"/>
      <w:marRight w:val="0"/>
      <w:marTop w:val="0"/>
      <w:marBottom w:val="0"/>
      <w:divBdr>
        <w:top w:val="none" w:sz="0" w:space="0" w:color="auto"/>
        <w:left w:val="none" w:sz="0" w:space="0" w:color="auto"/>
        <w:bottom w:val="none" w:sz="0" w:space="0" w:color="auto"/>
        <w:right w:val="none" w:sz="0" w:space="0" w:color="auto"/>
      </w:divBdr>
    </w:div>
    <w:div w:id="1464540609">
      <w:bodyDiv w:val="1"/>
      <w:marLeft w:val="0"/>
      <w:marRight w:val="0"/>
      <w:marTop w:val="0"/>
      <w:marBottom w:val="0"/>
      <w:divBdr>
        <w:top w:val="none" w:sz="0" w:space="0" w:color="auto"/>
        <w:left w:val="none" w:sz="0" w:space="0" w:color="auto"/>
        <w:bottom w:val="none" w:sz="0" w:space="0" w:color="auto"/>
        <w:right w:val="none" w:sz="0" w:space="0" w:color="auto"/>
      </w:divBdr>
      <w:divsChild>
        <w:div w:id="1113010904">
          <w:marLeft w:val="0"/>
          <w:marRight w:val="0"/>
          <w:marTop w:val="0"/>
          <w:marBottom w:val="133"/>
          <w:divBdr>
            <w:top w:val="none" w:sz="0" w:space="0" w:color="auto"/>
            <w:left w:val="none" w:sz="0" w:space="0" w:color="auto"/>
            <w:bottom w:val="none" w:sz="0" w:space="0" w:color="auto"/>
            <w:right w:val="none" w:sz="0" w:space="0" w:color="auto"/>
          </w:divBdr>
          <w:divsChild>
            <w:div w:id="3597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7/hlthaff.2014.0041" TargetMode="External"/><Relationship Id="rId3" Type="http://schemas.openxmlformats.org/officeDocument/2006/relationships/settings" Target="settings.xml"/><Relationship Id="rId7" Type="http://schemas.openxmlformats.org/officeDocument/2006/relationships/hyperlink" Target="https://student.unsw.edu.au/how-do-i-cite-electronic-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377/hlthaff.2014.0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Maher</dc:creator>
  <cp:keywords/>
  <dc:description/>
  <cp:lastModifiedBy>K00186813</cp:lastModifiedBy>
  <cp:revision>7</cp:revision>
  <dcterms:created xsi:type="dcterms:W3CDTF">2019-02-23T11:48:00Z</dcterms:created>
  <dcterms:modified xsi:type="dcterms:W3CDTF">2019-02-25T15:27:00Z</dcterms:modified>
</cp:coreProperties>
</file>