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(15-60 minute),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challenges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and locomotor play, testing across a day in the home requires models that can handle a wide range of behaviors beyond play, such as bouts of time spent held and restrained. Full days are too long to exhaustively video record,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that IMUs remain in the same anatomical location. For example, a poorly designed sensor garment that allowed an ankle sensor to bounce while the infant walked or could slide from the medial to lateral surface of the ankle across the day would be difficult to robustly model. Different labs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Securely fastening the sensors in pockets or with snaps prevents infants from handling sensors, which could be unsafe. As we discuss below, both types of placement can yield accurate results.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model accuracy decreased from XX to XX when using 4 sensors compared to only a single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WHAT. Sensor modalities also matter. Many inertial movement units record both linear acceleration and rotational velocity from a gyroscope.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secreens that make them unsuitable to embed in a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 For infant position and restraint, we video record the first 1-3 hours of each session using a tripod-mounted action camera (e.g., GoPro) that caregivers can move from room to room to capture infants’ movements. Trained human coders annotate the videos to classify each moment’s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the video annotations to synchronize across recording devices. Times where the infant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ideally avoid infant’s naps and bath times, capturing full-day data means that there are necessary interruptions to sensor recording. Machine learning models attempt to predict the best category for every data point recorded by sensors, which means they will attempt to label times where the sensor garment is crumpled on the floor while the infant takes a bath. Thus, it is important to distinguish when infants are wearing the sensors to make predictions only during those times. Our approach is to ask caregivers to log the beginning and end of every nap and any other time that infants are not wearing the leggings, such as diaper changes and baths. Caregivers also remove the leggings and log any times that they leave the house (e.g., trips to the grocery store or walks around the neighborhood). Although it is possible for infants to wear the leggings out of the home, current models are not validated to distinguish transport behaviors such as riding in a car or stroller.</w:t>
      </w:r>
    </w:p>
    <w:p>
      <w:pPr>
        <w:pStyle w:val="BodyText"/>
      </w:pPr>
      <w:r>
        <w:t xml:space="preserve">Thus, the full recording time from when infants first put on the leggings until they take them off before bedtime is longer than the amount of usable data when infants are awake and wearing the sensors. In our past work, we recorded XX sessions from XX infants in hopes of capturing the full waking day. Full recording time ranged from XX-XX (M = X) and usable data time ranged from XX-XX (M = X). Shorter usable sessions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(NEED IN PREP CITE).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by asking the caregiver to drop the sensor garment on the floor, we can correct for drift to ensure that the sensors are synchronized.</w:t>
      </w:r>
    </w:p>
    <w:bookmarkEnd w:id="35"/>
    <w:bookmarkEnd w:id="36"/>
    <w:bookmarkStart w:id="39" w:name="data-processing-and-model-training"/>
    <w:p>
      <w:pPr>
        <w:pStyle w:val="Heading1"/>
      </w:pPr>
      <w:r>
        <w:t xml:space="preserve">Data Processing and Model Training</w:t>
      </w:r>
    </w:p>
    <w:bookmarkStart w:id="37" w:name="extracting-motion-features"/>
    <w:p>
      <w:pPr>
        <w:pStyle w:val="Heading2"/>
      </w:pPr>
      <w:r>
        <w:t xml:space="preserve">Extracting Motion Features</w:t>
      </w:r>
    </w:p>
    <w:p>
      <w:pPr>
        <w:pStyle w:val="FirstParagraph"/>
      </w:pPr>
      <w:r>
        <w:t xml:space="preserve">Window size Features Accel vs. gyro features (Airaksinen) alignment of motion features to the actual behavior</w:t>
      </w:r>
    </w:p>
    <w:bookmarkEnd w:id="37"/>
    <w:bookmarkStart w:id="38" w:name="scoring-ground-truth"/>
    <w:p>
      <w:pPr>
        <w:pStyle w:val="Heading2"/>
      </w:pPr>
      <w:r>
        <w:t xml:space="preserve">Scoring Ground Truth</w:t>
      </w:r>
    </w:p>
    <w:p>
      <w:pPr>
        <w:pStyle w:val="FirstParagraph"/>
      </w:pPr>
      <w:r>
        <w:t xml:space="preserve">Synchronization Developing coding scheme is what determines output</w:t>
      </w:r>
    </w:p>
    <w:bookmarkEnd w:id="38"/>
    <w:bookmarkEnd w:id="39"/>
    <w:bookmarkStart w:id="42" w:name="model-evaluation"/>
    <w:p>
      <w:pPr>
        <w:pStyle w:val="Heading1"/>
      </w:pPr>
      <w:r>
        <w:t xml:space="preserve">Model Evaluation</w:t>
      </w:r>
    </w:p>
    <w:p>
      <w:pPr>
        <w:pStyle w:val="FirstParagraph"/>
      </w:pPr>
      <w:r>
        <w:t xml:space="preserve">Point to general refs about binary and multi-class categorization Project needs dictate what is relevant for evaluation (overall metrics vs. bouts, absolute time vs. relative time, generalization to new exemplars vs. best prediction of current data)</w:t>
      </w:r>
    </w:p>
    <w:bookmarkStart w:id="40" w:name="trainingtesting-partition"/>
    <w:p>
      <w:pPr>
        <w:pStyle w:val="Heading2"/>
      </w:pPr>
      <w:r>
        <w:t xml:space="preserve">Training/Testing Partition</w:t>
      </w:r>
    </w:p>
    <w:p>
      <w:pPr>
        <w:pStyle w:val="FirstParagraph"/>
      </w:pPr>
      <w:r>
        <w:t xml:space="preserve">Individual models vs. group models and generalization LOOCV examples Sensor CP model composition and size examples</w:t>
      </w:r>
    </w:p>
    <w:bookmarkEnd w:id="40"/>
    <w:bookmarkStart w:id="41" w:name="evaluation-metrics"/>
    <w:p>
      <w:pPr>
        <w:pStyle w:val="Heading2"/>
      </w:pPr>
      <w:r>
        <w:t xml:space="preserve">Evaluation Metrics</w:t>
      </w:r>
    </w:p>
    <w:p>
      <w:pPr>
        <w:pStyle w:val="FirstParagraph"/>
      </w:pPr>
      <w:r>
        <w:t xml:space="preserve">Accuracy/kappa Kaya lab paper</w:t>
      </w:r>
    </w:p>
    <w:p>
      <w:pPr>
        <w:pStyle w:val="BodyText"/>
      </w:pPr>
      <w:r>
        <w:t xml:space="preserve">Continuous outcomes (Yao) for prevalence predictions Bout structure</w:t>
      </w:r>
    </w:p>
    <w:bookmarkEnd w:id="41"/>
    <w:bookmarkEnd w:id="42"/>
    <w:bookmarkStart w:id="43" w:name="applications"/>
    <w:p>
      <w:pPr>
        <w:pStyle w:val="Heading1"/>
      </w:pPr>
      <w:r>
        <w:t xml:space="preserve">Applications</w:t>
      </w:r>
    </w:p>
    <w:p>
      <w:pPr>
        <w:pStyle w:val="FirstParagraph"/>
      </w:pPr>
      <w:r>
        <w:t xml:space="preserve">Mobile health and surveillance (Airaksinen)</w:t>
      </w:r>
    </w:p>
    <w:p>
      <w:pPr>
        <w:pStyle w:val="BodyText"/>
      </w:pPr>
      <w:r>
        <w:t xml:space="preserve">Understanding atypical devel trajectories</w:t>
      </w:r>
    </w:p>
    <w:p>
      <w:pPr>
        <w:pStyle w:val="BodyText"/>
      </w:pPr>
      <w:r>
        <w:t xml:space="preserve">basic time series, dyadic interactions, etc.</w:t>
      </w:r>
    </w:p>
    <w:p>
      <w:pPr>
        <w:pStyle w:val="BodyText"/>
      </w:pPr>
      <w:r>
        <w:t xml:space="preserve">Integration with other sensor modalities</w:t>
      </w:r>
      <w:r>
        <w:t xml:space="preserve"> </w:t>
      </w:r>
      <w:r>
        <w:t xml:space="preserve">Rousey et al. (</w:t>
      </w:r>
      <w:hyperlink w:anchor="ref-RouseyTang2026">
        <w:r>
          <w:rPr>
            <w:rStyle w:val="Hyperlink"/>
          </w:rPr>
          <w:t xml:space="preserve">2026</w:t>
        </w:r>
      </w:hyperlink>
      <w:r>
        <w:t xml:space="preserve">)</w:t>
      </w:r>
      <w:r>
        <w:t xml:space="preserve"> </w:t>
      </w:r>
      <w:r>
        <w:t xml:space="preserve">example.</w:t>
      </w:r>
      <w:r>
        <w:t xml:space="preserve"> </w:t>
      </w:r>
      <w:r>
        <w:t xml:space="preserve">Kaur et al. (</w:t>
      </w:r>
      <w:hyperlink w:anchor="ref-KaurKumar2026">
        <w:r>
          <w:rPr>
            <w:rStyle w:val="Hyperlink"/>
          </w:rPr>
          <w:t xml:space="preserve">2026</w:t>
        </w:r>
      </w:hyperlink>
      <w:r>
        <w:t xml:space="preserve">)</w:t>
      </w:r>
      <w:r>
        <w:t xml:space="preserve"> </w:t>
      </w:r>
      <w:r>
        <w:t xml:space="preserve">review</w:t>
      </w:r>
    </w:p>
    <w:bookmarkEnd w:id="43"/>
    <w:bookmarkStart w:id="75" w:name="references"/>
    <w:p>
      <w:pPr>
        <w:pStyle w:val="Heading1"/>
      </w:pPr>
      <w:r>
        <w:t xml:space="preserve">References</w:t>
      </w:r>
    </w:p>
    <w:bookmarkStart w:id="70" w:name="refs"/>
    <w:bookmarkStart w:id="44"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4"/>
    <w:bookmarkStart w:id="45"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5"/>
    <w:bookmarkStart w:id="46"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6"/>
    <w:bookmarkStart w:id="47"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7"/>
    <w:bookmarkStart w:id="48"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8"/>
    <w:bookmarkStart w:id="49"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9"/>
    <w:bookmarkStart w:id="50"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50"/>
    <w:bookmarkStart w:id="51"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1"/>
    <w:bookmarkStart w:id="52"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2"/>
    <w:bookmarkStart w:id="53"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3"/>
    <w:bookmarkStart w:id="54"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4"/>
    <w:bookmarkStart w:id="55"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5"/>
    <w:bookmarkStart w:id="56"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6"/>
    <w:bookmarkStart w:id="57"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7"/>
    <w:bookmarkStart w:id="58"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8"/>
    <w:bookmarkStart w:id="59"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9"/>
    <w:bookmarkStart w:id="60"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60"/>
    <w:bookmarkStart w:id="61"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61"/>
    <w:bookmarkStart w:id="62"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2"/>
    <w:bookmarkStart w:id="63"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3"/>
    <w:bookmarkStart w:id="64"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4"/>
    <w:bookmarkStart w:id="65"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5"/>
    <w:bookmarkStart w:id="66"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6"/>
    <w:bookmarkStart w:id="67"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7"/>
    <w:bookmarkStart w:id="68"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8"/>
    <w:bookmarkStart w:id="69"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69"/>
    <w:bookmarkEnd w:id="70"/>
    <w:bookmarkStart w:id="74" w:name="fig-timelines"/>
    <w:p>
      <w:pPr>
        <w:pStyle w:val="FigureTitle"/>
      </w:pPr>
      <w:r>
        <w:t xml:space="preserve">Figure 1</w:t>
      </w:r>
    </w:p>
    <w:p>
      <w:pPr>
        <w:pStyle w:val="Caption"/>
      </w:pPr>
      <w:r>
        <w:t xml:space="preserve">Full-day predictions of position and restraint time by age</w:t>
      </w:r>
    </w:p>
    <w:p>
      <w:pPr>
        <w:pStyle w:val="FigureWithNote"/>
      </w:pPr>
      <w:r>
        <w:drawing>
          <wp:inline>
            <wp:extent cx="5943600" cy="4358640"/>
            <wp:effectExtent b="0" l="0" r="0" t="0"/>
            <wp:docPr descr="" title="" id="72" name="Picture"/>
            <a:graphic>
              <a:graphicData uri="http://schemas.openxmlformats.org/drawingml/2006/picture">
                <pic:pic>
                  <pic:nvPicPr>
                    <pic:cNvPr descr="age_figure.png" id="73" name="Picture"/>
                    <pic:cNvPicPr>
                      <a:picLocks noChangeArrowheads="1" noChangeAspect="1"/>
                    </pic:cNvPicPr>
                  </pic:nvPicPr>
                  <pic:blipFill>
                    <a:blip r:embed="rId71"/>
                    <a:stretch>
                      <a:fillRect/>
                    </a:stretch>
                  </pic:blipFill>
                  <pic:spPr bwMode="auto">
                    <a:xfrm>
                      <a:off x="0" y="0"/>
                      <a:ext cx="5943600" cy="43586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1" Target="media/rId71.png" /><Relationship Type="http://schemas.openxmlformats.org/officeDocument/2006/relationships/image" Id="rId26" Target="media/rId26.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2026-07-30T22:25:36Z</dcterms:created>
  <dcterms:modified xsi:type="dcterms:W3CDTF">2026-07-30T22:25:36Z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1926</vt:lpwstr>
  </property>
  <property fmtid="{D5CDD505-2E9C-101B-9397-08002B2CF9AE}" pid="63" name="zerocitations">
    <vt:lpwstr>False</vt:lpwstr>
  </property>
</Properties>
</file>