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23.svg" ContentType="image/svg+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 </w:t>
      </w:r>
    </w:p>
    <w:p>
      <w:pPr>
        <w:pStyle w:val="BodyText"/>
      </w:pPr>
      <w:r>
        <w:t xml:space="preserve"> </w:t>
      </w:r>
    </w:p>
    <w:bookmarkStart w:id="22" w:name="title"/>
    <w:p>
      <w:pPr>
        <w:pStyle w:val="Heading1"/>
      </w:pPr>
      <w:r>
        <w:t xml:space="preserve">Machine Learning Classification of Infants’ Full-Day Movements</w:t>
      </w:r>
    </w:p>
    <w:p>
      <w:pPr>
        <w:pStyle w:val="Author"/>
      </w:pPr>
      <w:r>
        <w:t xml:space="preserve"> </w:t>
      </w:r>
    </w:p>
    <w:p>
      <w:pPr>
        <w:pStyle w:val="Author"/>
      </w:pPr>
      <w:r>
        <w:t xml:space="preserve">John M. Franchak</w:t>
      </w:r>
    </w:p>
    <w:p>
      <w:pPr>
        <w:pStyle w:val="Author"/>
      </w:pPr>
      <w:r>
        <w:t xml:space="preserve">Department of Psychology, University of California, Riverside</w:t>
      </w:r>
    </w:p>
    <w:p>
      <w:pPr>
        <w:pStyle w:val="BodyText"/>
      </w:pPr>
      <w:r>
        <w:t xml:space="preserve"> </w:t>
      </w:r>
    </w:p>
    <w:p>
      <w:pPr>
        <w:pStyle w:val="BodyText"/>
      </w:pPr>
      <w:r>
        <w:t xml:space="preserve"> </w:t>
      </w:r>
    </w:p>
    <w:bookmarkEnd w:id="22"/>
    <w:bookmarkStart w:id="30" w:name="author-note"/>
    <w:p>
      <w:pPr>
        <w:pStyle w:val="Heading1"/>
      </w:pPr>
      <w:r>
        <w:t xml:space="preserve">Author Note</w:t>
      </w:r>
    </w:p>
    <w:p>
      <w:pPr>
        <w:pStyle w:val="FirstParagraph"/>
      </w:pPr>
      <w:r>
        <w:t xml:space="preserve">John M. Franchak</w:t>
      </w:r>
      <w:r>
        <w:t xml:space="preserve"> </w:t>
      </w:r>
      <w:bookmarkStart w:id="27" w:name="orcid"/>
      <w:r>
        <w:drawing>
          <wp:inline>
            <wp:extent cx="152279" cy="152279"/>
            <wp:effectExtent b="0" l="0" r="0" t="0"/>
            <wp:docPr descr="Orcid ID Logo: A green circle with white letters ID" title="" id="24" name="Picture"/>
            <a:graphic>
              <a:graphicData uri="http://schemas.openxmlformats.org/drawingml/2006/picture">
                <pic:pic>
                  <pic:nvPicPr>
                    <pic:cNvPr descr="_extensions/wjschne/apaquarto/ORCID-iD_icon-vector.svg" id="25" name="Picture"/>
                    <pic:cNvPicPr>
                      <a:picLocks noChangeArrowheads="1" noChangeAspect="1"/>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bwMode="auto">
                    <a:xfrm>
                      <a:off x="0" y="0"/>
                      <a:ext cx="152279" cy="152279"/>
                    </a:xfrm>
                    <a:prstGeom prst="rect">
                      <a:avLst/>
                    </a:prstGeom>
                    <a:noFill/>
                    <a:ln w="9525">
                      <a:noFill/>
                      <a:headEnd/>
                      <a:tailEnd/>
                    </a:ln>
                  </pic:spPr>
                </pic:pic>
              </a:graphicData>
            </a:graphic>
          </wp:inline>
        </w:drawing>
      </w:r>
      <w:bookmarkEnd w:id="27"/>
      <w:r>
        <w:t xml:space="preserve"> </w:t>
      </w:r>
      <w:hyperlink r:id="rId28">
        <w:r>
          <w:rPr>
            <w:rStyle w:val="Hyperlink"/>
          </w:rPr>
          <w:t xml:space="preserve">https://orcid.org/0000-0002-0751-2864</w:t>
        </w:r>
      </w:hyperlink>
    </w:p>
    <w:p>
      <w:pPr>
        <w:pStyle w:val="BodyText"/>
      </w:pPr>
      <w:r>
        <w:t xml:space="preserve">Correspondence concerning this article should be addressed to John M. Franchak, Department of Psychology, University of California, Riverside, 900 University Avenue, Riverside, CA 92521, USA, Email:</w:t>
      </w:r>
      <w:r>
        <w:t xml:space="preserve"> </w:t>
      </w:r>
      <w:hyperlink r:id="rId29">
        <w:r>
          <w:rPr>
            <w:rStyle w:val="Hyperlink"/>
          </w:rPr>
          <w:t xml:space="preserve">franchak@ucr.edu</w:t>
        </w:r>
      </w:hyperlink>
    </w:p>
    <w:p>
      <w:r>
        <w:br w:type="page"/>
      </w:r>
    </w:p>
    <w:bookmarkEnd w:id="30"/>
    <w:bookmarkStart w:id="31" w:name="abstract"/>
    <w:p>
      <w:pPr>
        <w:pStyle w:val="Heading1"/>
      </w:pPr>
      <w:r>
        <w:t xml:space="preserve">Abstract</w:t>
      </w:r>
    </w:p>
    <w:p>
      <w:pPr>
        <w:pStyle w:val="AbstractFirstParagraph"/>
      </w:pPr>
      <w:r>
        <w:t xml:space="preserve">This document is a template.</w:t>
      </w:r>
    </w:p>
    <w:p>
      <w:pPr>
        <w:pStyle w:val="BodyText"/>
      </w:pPr>
      <w:r>
        <w:rPr>
          <w:i/>
          <w:iCs/>
        </w:rPr>
        <w:t xml:space="preserve">Keywords</w:t>
      </w:r>
      <w:r>
        <w:t xml:space="preserve">: Keyword 1, Keyword 2, Keyword 3</w:t>
      </w:r>
    </w:p>
    <w:p>
      <w:r>
        <w:br w:type="page"/>
      </w:r>
    </w:p>
    <w:bookmarkEnd w:id="31"/>
    <w:bookmarkStart w:id="32" w:name="firstheader"/>
    <w:p>
      <w:pPr>
        <w:pStyle w:val="Heading1"/>
      </w:pPr>
      <w:r>
        <w:t xml:space="preserve">Machine Learning Classification of Infants’ Full-Day Movements</w:t>
      </w:r>
    </w:p>
    <w:p>
      <w:pPr>
        <w:pStyle w:val="FirstParagraph"/>
      </w:pPr>
      <w:r>
        <w:t xml:space="preserve">Everyday learning inputs—visual experiences, object interactions, and social exchanges—are filtered through infants’ motor systems. In this chapter, I focus on two aspects of movement: position and restraint. Position refers to the configuration of the body with respect to gravity, such as lying supine on the back, prone on the stomach (whether stationary or crawling), sitting, or standing upright (whether stationary or walking). Infants’ position from moment to moment shapes their view of objects and faces</w:t>
      </w:r>
      <w:r>
        <w:t xml:space="preserve"> </w:t>
      </w:r>
      <w:r>
        <w:t xml:space="preserve">(</w:t>
      </w:r>
      <w:hyperlink w:anchor="ref-KretchFranchak2014">
        <w:r>
          <w:rPr>
            <w:rStyle w:val="Hyperlink"/>
          </w:rPr>
          <w:t xml:space="preserve">Kretch et al., 2014</w:t>
        </w:r>
      </w:hyperlink>
      <w:r>
        <w:t xml:space="preserve">;</w:t>
      </w:r>
      <w:r>
        <w:t xml:space="preserve"> </w:t>
      </w:r>
      <w:hyperlink w:anchor="ref-LuoFranchak2020">
        <w:r>
          <w:rPr>
            <w:rStyle w:val="Hyperlink"/>
          </w:rPr>
          <w:t xml:space="preserve">Luo &amp; Franchak, 2020</w:t>
        </w:r>
      </w:hyperlink>
      <w:r>
        <w:t xml:space="preserve">)</w:t>
      </w:r>
      <w:r>
        <w:t xml:space="preserve">, constrains how they explore objects in their hands</w:t>
      </w:r>
      <w:r>
        <w:t xml:space="preserve"> </w:t>
      </w:r>
      <w:r>
        <w:t xml:space="preserve">(</w:t>
      </w:r>
      <w:hyperlink w:anchor="ref-KretchMarcinowski2022">
        <w:r>
          <w:rPr>
            <w:rStyle w:val="Hyperlink"/>
          </w:rPr>
          <w:t xml:space="preserve">Kretch et al., 2022</w:t>
        </w:r>
      </w:hyperlink>
      <w:r>
        <w:t xml:space="preserve">;</w:t>
      </w:r>
      <w:r>
        <w:t xml:space="preserve"> </w:t>
      </w:r>
      <w:hyperlink w:anchor="ref-SoskaAdolph2014">
        <w:r>
          <w:rPr>
            <w:rStyle w:val="Hyperlink"/>
          </w:rPr>
          <w:t xml:space="preserve">Soska &amp; Adolph, 2014</w:t>
        </w:r>
      </w:hyperlink>
      <w:r>
        <w:t xml:space="preserve">)</w:t>
      </w:r>
      <w:r>
        <w:t xml:space="preserve">, and predicts the frequency of adults’ speech</w:t>
      </w:r>
      <w:r>
        <w:t xml:space="preserve"> </w:t>
      </w:r>
      <w:r>
        <w:t xml:space="preserve">(</w:t>
      </w:r>
      <w:hyperlink w:anchor="ref-RouseyTang2026">
        <w:r>
          <w:rPr>
            <w:rStyle w:val="Hyperlink"/>
          </w:rPr>
          <w:t xml:space="preserve">Rousey et al., 2026</w:t>
        </w:r>
      </w:hyperlink>
      <w:r>
        <w:t xml:space="preserve">)</w:t>
      </w:r>
      <w:r>
        <w:t xml:space="preserve">. Restraint refers to infants’ opportunity to switch positions</w:t>
      </w:r>
      <w:r>
        <w:t xml:space="preserve"> </w:t>
      </w:r>
      <w:r>
        <w:t xml:space="preserve">(</w:t>
      </w:r>
      <w:hyperlink w:anchor="ref-WangHRousey2026">
        <w:r>
          <w:rPr>
            <w:rStyle w:val="Hyperlink"/>
            <w:b/>
            <w:bCs/>
          </w:rPr>
          <w:t xml:space="preserve">WangHRousey2026?</w:t>
        </w:r>
      </w:hyperlink>
      <w:r>
        <w:t xml:space="preserve">)</w:t>
      </w:r>
      <w:r>
        <w:t xml:space="preserve">. When infants are restrained, such as held in a caregiver’s arms or strapped into a car seat or high chair, they cannot change positions. When unrestrained, infants can voluntarily switch between positions in their motor skill repertoire. Restraint also shapes everyday learning inputs: Infants have broader views of the environment when carried off the ground</w:t>
      </w:r>
      <w:r>
        <w:t xml:space="preserve"> </w:t>
      </w:r>
      <w:r>
        <w:t xml:space="preserve">(</w:t>
      </w:r>
      <w:hyperlink w:anchor="ref-KretchAdolph2015">
        <w:r>
          <w:rPr>
            <w:rStyle w:val="Hyperlink"/>
          </w:rPr>
          <w:t xml:space="preserve">Kretch &amp; Adolph, 2015</w:t>
        </w:r>
      </w:hyperlink>
      <w:r>
        <w:t xml:space="preserve">)</w:t>
      </w:r>
      <w:r>
        <w:t xml:space="preserve">, but infants have less access to objects</w:t>
      </w:r>
      <w:r>
        <w:t xml:space="preserve"> </w:t>
      </w:r>
      <w:r>
        <w:t xml:space="preserve">(</w:t>
      </w:r>
      <w:hyperlink w:anchor="ref-FranchakKadooka2024">
        <w:r>
          <w:rPr>
            <w:rStyle w:val="Hyperlink"/>
          </w:rPr>
          <w:t xml:space="preserve">Franchak, Kadooka, et al., 2024</w:t>
        </w:r>
      </w:hyperlink>
      <w:r>
        <w:t xml:space="preserve">)</w:t>
      </w:r>
      <w:r>
        <w:t xml:space="preserve"> </w:t>
      </w:r>
      <w:r>
        <w:t xml:space="preserve">and hear less adult speech when restrained</w:t>
      </w:r>
      <w:r>
        <w:t xml:space="preserve"> </w:t>
      </w:r>
      <w:r>
        <w:t xml:space="preserve">(</w:t>
      </w:r>
      <w:hyperlink w:anchor="ref-MalachowskiSalo2023">
        <w:r>
          <w:rPr>
            <w:rStyle w:val="Hyperlink"/>
          </w:rPr>
          <w:t xml:space="preserve">Malachowski et al., 2023</w:t>
        </w:r>
      </w:hyperlink>
      <w:r>
        <w:t xml:space="preserve">)</w:t>
      </w:r>
      <w:r>
        <w:t xml:space="preserve">.</w:t>
      </w:r>
    </w:p>
    <w:p>
      <w:pPr>
        <w:pStyle w:val="BodyText"/>
      </w:pPr>
      <w:r>
        <w:t xml:space="preserve">Thus, infants’ opportunities for learning depending on how much time they spend in different positions and restraint in everyday life, which vary according to infants’ age, motor skill development, and caregiving choices. With age, infants spend less time supine and restrained and spend more time sitting and standing</w:t>
      </w:r>
      <w:r>
        <w:t xml:space="preserve"> </w:t>
      </w:r>
      <w:r>
        <w:t xml:space="preserve">(</w:t>
      </w:r>
      <w:hyperlink w:anchor="ref-Franchak2019aa">
        <w:r>
          <w:rPr>
            <w:rStyle w:val="Hyperlink"/>
          </w:rPr>
          <w:t xml:space="preserve">Franchak, 2019</w:t>
        </w:r>
      </w:hyperlink>
      <w:r>
        <w:t xml:space="preserve">;</w:t>
      </w:r>
      <w:r>
        <w:t xml:space="preserve"> </w:t>
      </w:r>
      <w:hyperlink w:anchor="ref-FranchakKadooka2024">
        <w:r>
          <w:rPr>
            <w:rStyle w:val="Hyperlink"/>
          </w:rPr>
          <w:t xml:space="preserve">Franchak, Kadooka, et al., 2024</w:t>
        </w:r>
      </w:hyperlink>
      <w:r>
        <w:t xml:space="preserve">;</w:t>
      </w:r>
      <w:r>
        <w:t xml:space="preserve"> </w:t>
      </w:r>
      <w:hyperlink w:anchor="ref-FranchakRousey2026">
        <w:r>
          <w:rPr>
            <w:rStyle w:val="Hyperlink"/>
          </w:rPr>
          <w:t xml:space="preserve">Franchak, Rousey, et al., 2026</w:t>
        </w:r>
      </w:hyperlink>
      <w:r>
        <w:t xml:space="preserve">;</w:t>
      </w:r>
      <w:r>
        <w:t xml:space="preserve"> </w:t>
      </w:r>
      <w:hyperlink w:anchor="ref-KretchLuna2025">
        <w:r>
          <w:rPr>
            <w:rStyle w:val="Hyperlink"/>
          </w:rPr>
          <w:t xml:space="preserve">Kretch et al., 2025</w:t>
        </w:r>
      </w:hyperlink>
      <w:r>
        <w:t xml:space="preserve">)</w:t>
      </w:r>
      <w:r>
        <w:t xml:space="preserve">. Infants who can sit independently spend more time sitting unrestrained</w:t>
      </w:r>
      <w:r>
        <w:t xml:space="preserve"> </w:t>
      </w:r>
      <w:r>
        <w:t xml:space="preserve">(</w:t>
      </w:r>
      <w:hyperlink w:anchor="ref-KretchLuna2025">
        <w:r>
          <w:rPr>
            <w:rStyle w:val="Hyperlink"/>
          </w:rPr>
          <w:t xml:space="preserve">Kretch et al., 2025</w:t>
        </w:r>
      </w:hyperlink>
      <w:r>
        <w:t xml:space="preserve">)</w:t>
      </w:r>
      <w:r>
        <w:t xml:space="preserve">, and infants who can walk independently spend more time standing upright</w:t>
      </w:r>
      <w:r>
        <w:t xml:space="preserve"> </w:t>
      </w:r>
      <w:r>
        <w:t xml:space="preserve">(</w:t>
      </w:r>
      <w:hyperlink w:anchor="ref-FranchakRousey2026">
        <w:r>
          <w:rPr>
            <w:rStyle w:val="Hyperlink"/>
          </w:rPr>
          <w:t xml:space="preserve">Franchak, Rousey, et al., 2026</w:t>
        </w:r>
      </w:hyperlink>
      <w:r>
        <w:t xml:space="preserve">)</w:t>
      </w:r>
      <w:r>
        <w:t xml:space="preserve">. Despite these developmental trends, there are considerable individual differences that likely depend on caregiving practices and daily routines. Whereas some caregivers may choose to more often use specialized devices likes swings, jumpers, and exersaucers</w:t>
      </w:r>
      <w:r>
        <w:t xml:space="preserve"> </w:t>
      </w:r>
      <w:r>
        <w:t xml:space="preserve">(</w:t>
      </w:r>
      <w:hyperlink w:anchor="ref-CallahanSisler1997">
        <w:r>
          <w:rPr>
            <w:rStyle w:val="Hyperlink"/>
          </w:rPr>
          <w:t xml:space="preserve">Callahan &amp; Sisler, 1997</w:t>
        </w:r>
      </w:hyperlink>
      <w:r>
        <w:t xml:space="preserve">;</w:t>
      </w:r>
      <w:r>
        <w:t xml:space="preserve"> </w:t>
      </w:r>
      <w:hyperlink w:anchor="ref-KarasikKuchirko2022">
        <w:r>
          <w:rPr>
            <w:rStyle w:val="Hyperlink"/>
          </w:rPr>
          <w:t xml:space="preserve">Karasik et al., 2022</w:t>
        </w:r>
      </w:hyperlink>
      <w:r>
        <w:t xml:space="preserve">)</w:t>
      </w:r>
      <w:r>
        <w:t xml:space="preserve">, others may more often choose to hold infants in their arms or position infants on the floor. Caregivers’ choices about daily activities, such as errands and meals, also matter: Infants spend more time restrained when out of the house on errands and during mealtime</w:t>
      </w:r>
      <w:r>
        <w:t xml:space="preserve"> </w:t>
      </w:r>
      <w:r>
        <w:t xml:space="preserve">(</w:t>
      </w:r>
      <w:hyperlink w:anchor="ref-FranchakFord2026">
        <w:r>
          <w:rPr>
            <w:rStyle w:val="Hyperlink"/>
          </w:rPr>
          <w:t xml:space="preserve">Franchak, Ford, et al., 2026</w:t>
        </w:r>
      </w:hyperlink>
      <w:r>
        <w:t xml:space="preserve">)</w:t>
      </w:r>
      <w:r>
        <w:t xml:space="preserve">.</w:t>
      </w:r>
    </w:p>
    <w:p>
      <w:pPr>
        <w:pStyle w:val="BodyText"/>
      </w:pPr>
      <w:r>
        <w:t xml:space="preserve">Consequently, position and restraint are distributed heterogeneously throughout the day</w:t>
      </w:r>
      <w:r>
        <w:t xml:space="preserve"> </w:t>
      </w:r>
      <w:r>
        <w:t xml:space="preserve">(</w:t>
      </w:r>
      <w:hyperlink w:anchor="ref-FranchakTang2024">
        <w:r>
          <w:rPr>
            <w:rStyle w:val="Hyperlink"/>
          </w:rPr>
          <w:t xml:space="preserve">Franchak, Tang, et al., 2024</w:t>
        </w:r>
      </w:hyperlink>
      <w:r>
        <w:t xml:space="preserve">;</w:t>
      </w:r>
      <w:r>
        <w:t xml:space="preserve"> </w:t>
      </w:r>
      <w:hyperlink w:anchor="ref-FranchakRousey2026">
        <w:r>
          <w:rPr>
            <w:rStyle w:val="Hyperlink"/>
          </w:rPr>
          <w:t xml:space="preserve">Franchak, Rousey, et al., 2026</w:t>
        </w:r>
      </w:hyperlink>
      <w:r>
        <w:t xml:space="preserve">)</w:t>
      </w:r>
      <w:r>
        <w:t xml:space="preserve">. An hour spent playing might involve a long bout of time unrestrained during which the infant switches between sitting, prone, and standing positions. An hour spent eating a meal might involve a continuous bout of sitting while restrained in a high chair. An hour spent playing, fussing, and nursing could involve frequent switches between laying on the couch, crawling on the floor, and being held in caregivers’ arms. This poses a challenge for researchers who wish to measure everyday position and restraint, because sampling any single hour might fail to capture the full variation in movement across a day. Most video observations of infants’ home behavior sample 1-2 hours at most</w:t>
      </w:r>
      <w:r>
        <w:t xml:space="preserve"> </w:t>
      </w:r>
      <w:r>
        <w:t xml:space="preserve">(e.g.,</w:t>
      </w:r>
      <w:r>
        <w:t xml:space="preserve"> </w:t>
      </w:r>
      <w:hyperlink w:anchor="ref-HerzbergFletcher2021">
        <w:r>
          <w:rPr>
            <w:rStyle w:val="Hyperlink"/>
          </w:rPr>
          <w:t xml:space="preserve">Herzberg et al., 2021</w:t>
        </w:r>
      </w:hyperlink>
      <w:r>
        <w:t xml:space="preserve">)</w:t>
      </w:r>
      <w:r>
        <w:t xml:space="preserve">, meaning that other parts of the daily routine go unobserved. Capturing a full waking day of infants’ movements on video would also mean labor-intensive video coding, which could take as many as 5 hours per hour video to annotate</w:t>
      </w:r>
      <w:r>
        <w:t xml:space="preserve"> </w:t>
      </w:r>
      <w:r>
        <w:t xml:space="preserve">(</w:t>
      </w:r>
      <w:hyperlink w:anchor="ref-FranchakTang2024">
        <w:r>
          <w:rPr>
            <w:rStyle w:val="Hyperlink"/>
          </w:rPr>
          <w:t xml:space="preserve">Franchak, Tang, et al., 2024</w:t>
        </w:r>
      </w:hyperlink>
      <w:r>
        <w:t xml:space="preserve">)</w:t>
      </w:r>
      <w:r>
        <w:t xml:space="preserve">.</w:t>
      </w:r>
    </w:p>
    <w:p>
      <w:pPr>
        <w:pStyle w:val="BodyText"/>
      </w:pPr>
      <w:r>
        <w:t xml:space="preserve">Analogous challenge for wearable IMUs. What’s been done already.</w:t>
      </w:r>
      <w:r>
        <w:t xml:space="preserve"> </w:t>
      </w:r>
      <w:r>
        <w:t xml:space="preserve">(</w:t>
      </w:r>
      <w:hyperlink w:anchor="ref-AiraksinenRasanen2020">
        <w:r>
          <w:rPr>
            <w:rStyle w:val="Hyperlink"/>
          </w:rPr>
          <w:t xml:space="preserve">Airaksinen et al., 2020</w:t>
        </w:r>
      </w:hyperlink>
      <w:r>
        <w:t xml:space="preserve">)</w:t>
      </w:r>
      <w:r>
        <w:t xml:space="preserve">.</w:t>
      </w:r>
    </w:p>
    <w:p>
      <w:pPr>
        <w:pStyle w:val="BodyText"/>
      </w:pPr>
      <w:r>
        <w:t xml:space="preserve">Chapter focuses on our workflow used in past work focusing on full-day position and restraint</w:t>
      </w:r>
      <w:r>
        <w:t xml:space="preserve"> </w:t>
      </w:r>
      <w:r>
        <w:t xml:space="preserve">(</w:t>
      </w:r>
      <w:hyperlink w:anchor="ref-FranchakTang2024">
        <w:r>
          <w:rPr>
            <w:rStyle w:val="Hyperlink"/>
          </w:rPr>
          <w:t xml:space="preserve">Franchak, Tang, et al., 2024</w:t>
        </w:r>
      </w:hyperlink>
      <w:r>
        <w:t xml:space="preserve">;</w:t>
      </w:r>
      <w:r>
        <w:t xml:space="preserve"> </w:t>
      </w:r>
      <w:hyperlink w:anchor="ref-KretchEnriques2026">
        <w:r>
          <w:rPr>
            <w:rStyle w:val="Hyperlink"/>
          </w:rPr>
          <w:t xml:space="preserve">Kretch et al., 2026</w:t>
        </w:r>
      </w:hyperlink>
      <w:r>
        <w:t xml:space="preserve">;</w:t>
      </w:r>
      <w:r>
        <w:t xml:space="preserve"> </w:t>
      </w:r>
      <w:hyperlink w:anchor="ref-WangHRousey2026">
        <w:r>
          <w:rPr>
            <w:rStyle w:val="Hyperlink"/>
            <w:b/>
            <w:bCs/>
          </w:rPr>
          <w:t xml:space="preserve">WangHRousey2026?</w:t>
        </w:r>
      </w:hyperlink>
      <w:r>
        <w:t xml:space="preserve">)</w:t>
      </w:r>
      <w:r>
        <w:t xml:space="preserve">.</w:t>
      </w:r>
    </w:p>
    <w:bookmarkEnd w:id="32"/>
    <w:bookmarkStart w:id="36" w:name="data-collection"/>
    <w:p>
      <w:pPr>
        <w:pStyle w:val="Heading1"/>
      </w:pPr>
      <w:r>
        <w:t xml:space="preserve">Data Collection</w:t>
      </w:r>
    </w:p>
    <w:p>
      <w:pPr>
        <w:pStyle w:val="FirstParagraph"/>
      </w:pPr>
      <w:r>
        <w:t xml:space="preserve">Some past work in the lab. Focus here is in the home. Current limits (driving/strollers).</w:t>
      </w:r>
    </w:p>
    <w:bookmarkStart w:id="33" w:name="sensor-garment"/>
    <w:p>
      <w:pPr>
        <w:pStyle w:val="Heading2"/>
      </w:pPr>
      <w:r>
        <w:t xml:space="preserve">Sensor Garment</w:t>
      </w:r>
    </w:p>
    <w:p>
      <w:pPr>
        <w:pStyle w:val="FirstParagraph"/>
      </w:pPr>
      <w:r>
        <w:t xml:space="preserve">Interior pockets with closures for safety Accel and gyro Number of sensors Sensor placement Maiju’s approach; other work w/ chestworn sensor (Greenspan)</w:t>
      </w:r>
    </w:p>
    <w:bookmarkEnd w:id="33"/>
    <w:bookmarkStart w:id="34" w:name="capturing-ground-truth-video"/>
    <w:p>
      <w:pPr>
        <w:pStyle w:val="Heading2"/>
      </w:pPr>
      <w:r>
        <w:t xml:space="preserve">Capturing Ground Truth Video</w:t>
      </w:r>
    </w:p>
    <w:p>
      <w:pPr>
        <w:pStyle w:val="FirstParagraph"/>
      </w:pPr>
      <w:r>
        <w:t xml:space="preserve">Synchronization Amount of data Coverage of positions (e.g. sitting variations) and mix of freeplay</w:t>
      </w:r>
    </w:p>
    <w:bookmarkEnd w:id="34"/>
    <w:bookmarkStart w:id="35" w:name="full-day-or-multiple-day-considerations"/>
    <w:p>
      <w:pPr>
        <w:pStyle w:val="Heading2"/>
      </w:pPr>
      <w:r>
        <w:t xml:space="preserve">Full-Day or Multiple-Day Considerations</w:t>
      </w:r>
    </w:p>
    <w:p>
      <w:pPr>
        <w:pStyle w:val="FirstParagraph"/>
      </w:pPr>
      <w:r>
        <w:t xml:space="preserve">Capturing data past video recorded portion Nap/wear time logging Sensor drift Show examples of multi-day data</w:t>
      </w:r>
    </w:p>
    <w:bookmarkEnd w:id="35"/>
    <w:bookmarkEnd w:id="36"/>
    <w:bookmarkStart w:id="39" w:name="data-processing-and-model-training"/>
    <w:p>
      <w:pPr>
        <w:pStyle w:val="Heading1"/>
      </w:pPr>
      <w:r>
        <w:t xml:space="preserve">Data Processing and Model Training</w:t>
      </w:r>
    </w:p>
    <w:bookmarkStart w:id="37" w:name="extracting-motion-features"/>
    <w:p>
      <w:pPr>
        <w:pStyle w:val="Heading2"/>
      </w:pPr>
      <w:r>
        <w:t xml:space="preserve">Extracting Motion Features</w:t>
      </w:r>
    </w:p>
    <w:p>
      <w:pPr>
        <w:pStyle w:val="FirstParagraph"/>
      </w:pPr>
      <w:r>
        <w:t xml:space="preserve">Window size Features Accel vs. gyro features (Airaksinen) alignment of motion features to the actual behavior</w:t>
      </w:r>
    </w:p>
    <w:bookmarkEnd w:id="37"/>
    <w:bookmarkStart w:id="38" w:name="scoring-ground-truth"/>
    <w:p>
      <w:pPr>
        <w:pStyle w:val="Heading2"/>
      </w:pPr>
      <w:r>
        <w:t xml:space="preserve">Scoring Ground Truth</w:t>
      </w:r>
    </w:p>
    <w:p>
      <w:pPr>
        <w:pStyle w:val="FirstParagraph"/>
      </w:pPr>
      <w:r>
        <w:t xml:space="preserve">Synchronization Developing coding scheme is what determines output</w:t>
      </w:r>
    </w:p>
    <w:bookmarkEnd w:id="38"/>
    <w:bookmarkEnd w:id="39"/>
    <w:bookmarkStart w:id="42" w:name="model-evaluation"/>
    <w:p>
      <w:pPr>
        <w:pStyle w:val="Heading1"/>
      </w:pPr>
      <w:r>
        <w:t xml:space="preserve">Model Evaluation</w:t>
      </w:r>
    </w:p>
    <w:p>
      <w:pPr>
        <w:pStyle w:val="FirstParagraph"/>
      </w:pPr>
      <w:r>
        <w:t xml:space="preserve">Point to general refs about binary and multi-class categorization Project needs dictate what is relevant for evaluation (overall metrics vs. bouts, absolute time vs. relative time, generalization to new exemplars vs. best prediction of current data)</w:t>
      </w:r>
    </w:p>
    <w:bookmarkStart w:id="40" w:name="trainingtesting-partition"/>
    <w:p>
      <w:pPr>
        <w:pStyle w:val="Heading2"/>
      </w:pPr>
      <w:r>
        <w:t xml:space="preserve">Training/Testing Partition</w:t>
      </w:r>
    </w:p>
    <w:p>
      <w:pPr>
        <w:pStyle w:val="FirstParagraph"/>
      </w:pPr>
      <w:r>
        <w:t xml:space="preserve">Individual models vs. group models and generalization LOOCV examples Sensor CP model composition and size examples</w:t>
      </w:r>
    </w:p>
    <w:bookmarkEnd w:id="40"/>
    <w:bookmarkStart w:id="41" w:name="evaluation-metrics"/>
    <w:p>
      <w:pPr>
        <w:pStyle w:val="Heading2"/>
      </w:pPr>
      <w:r>
        <w:t xml:space="preserve">Evaluation Metrics</w:t>
      </w:r>
    </w:p>
    <w:p>
      <w:pPr>
        <w:pStyle w:val="FirstParagraph"/>
      </w:pPr>
      <w:r>
        <w:t xml:space="preserve">Accuracy/kappa Kaya lab paper</w:t>
      </w:r>
    </w:p>
    <w:p>
      <w:pPr>
        <w:pStyle w:val="BodyText"/>
      </w:pPr>
      <w:r>
        <w:t xml:space="preserve">Continuous outcomes (Yao) for prevalence predictions Bout structure</w:t>
      </w:r>
    </w:p>
    <w:bookmarkEnd w:id="41"/>
    <w:bookmarkEnd w:id="42"/>
    <w:bookmarkStart w:id="43" w:name="applications"/>
    <w:p>
      <w:pPr>
        <w:pStyle w:val="Heading1"/>
      </w:pPr>
      <w:r>
        <w:t xml:space="preserve">Applications</w:t>
      </w:r>
    </w:p>
    <w:bookmarkEnd w:id="43"/>
    <w:bookmarkStart w:id="63" w:name="references"/>
    <w:p>
      <w:pPr>
        <w:pStyle w:val="Heading1"/>
      </w:pPr>
      <w:r>
        <w:t xml:space="preserve">References</w:t>
      </w:r>
    </w:p>
    <w:bookmarkStart w:id="62" w:name="refs"/>
    <w:bookmarkStart w:id="44" w:name="ref-AiraksinenRasanen2020"/>
    <w:p>
      <w:pPr>
        <w:pStyle w:val="Bibliography"/>
      </w:pPr>
      <w:r>
        <w:t xml:space="preserve">Airaksinen, M., Räsänen, O., Ilén, E., Häyrinen, T., Kivi, A., Marchi, V., Gallen, A., Blom, S., Varhe, A., Kaartinen, N., Haataja, L., &amp; Vanhatalo, S. (2020). Automatic posture and movement tracking of infants with wearable movement sensors.</w:t>
      </w:r>
      <w:r>
        <w:t xml:space="preserve"> </w:t>
      </w:r>
      <w:r>
        <w:rPr>
          <w:i/>
          <w:iCs/>
        </w:rPr>
        <w:t xml:space="preserve">Scientific Reports</w:t>
      </w:r>
      <w:r>
        <w:t xml:space="preserve">,</w:t>
      </w:r>
      <w:r>
        <w:t xml:space="preserve"> </w:t>
      </w:r>
      <w:r>
        <w:rPr>
          <w:i/>
          <w:iCs/>
        </w:rPr>
        <w:t xml:space="preserve">10</w:t>
      </w:r>
      <w:r>
        <w:t xml:space="preserve">(1), 169.</w:t>
      </w:r>
    </w:p>
    <w:bookmarkEnd w:id="44"/>
    <w:bookmarkStart w:id="45" w:name="ref-CallahanSisler1997"/>
    <w:p>
      <w:pPr>
        <w:pStyle w:val="Bibliography"/>
      </w:pPr>
      <w:r>
        <w:t xml:space="preserve">Callahan, C. W., &amp; Sisler, C. (1997). Use of seating devices in infants too young to sit.</w:t>
      </w:r>
      <w:r>
        <w:t xml:space="preserve"> </w:t>
      </w:r>
      <w:r>
        <w:rPr>
          <w:i/>
          <w:iCs/>
        </w:rPr>
        <w:t xml:space="preserve">Archives of Pediatrics &amp; Adolescent Medicine</w:t>
      </w:r>
      <w:r>
        <w:t xml:space="preserve">,</w:t>
      </w:r>
      <w:r>
        <w:t xml:space="preserve"> </w:t>
      </w:r>
      <w:r>
        <w:rPr>
          <w:i/>
          <w:iCs/>
        </w:rPr>
        <w:t xml:space="preserve">151</w:t>
      </w:r>
      <w:r>
        <w:t xml:space="preserve">(3), 233–235.</w:t>
      </w:r>
    </w:p>
    <w:bookmarkEnd w:id="45"/>
    <w:bookmarkStart w:id="46" w:name="ref-Franchak2019aa"/>
    <w:p>
      <w:pPr>
        <w:pStyle w:val="Bibliography"/>
      </w:pPr>
      <w:r>
        <w:t xml:space="preserve">Franchak, J. M. (2019). Changing opportunities for learning in everyday life: Infant body position over the first year.</w:t>
      </w:r>
      <w:r>
        <w:t xml:space="preserve"> </w:t>
      </w:r>
      <w:r>
        <w:rPr>
          <w:i/>
          <w:iCs/>
        </w:rPr>
        <w:t xml:space="preserve">Infancy</w:t>
      </w:r>
      <w:r>
        <w:t xml:space="preserve">,</w:t>
      </w:r>
      <w:r>
        <w:t xml:space="preserve"> </w:t>
      </w:r>
      <w:r>
        <w:rPr>
          <w:i/>
          <w:iCs/>
        </w:rPr>
        <w:t xml:space="preserve">24</w:t>
      </w:r>
      <w:r>
        <w:t xml:space="preserve">(2), 187–209.</w:t>
      </w:r>
    </w:p>
    <w:bookmarkEnd w:id="46"/>
    <w:bookmarkStart w:id="47" w:name="ref-FranchakFord2026"/>
    <w:p>
      <w:pPr>
        <w:pStyle w:val="Bibliography"/>
      </w:pPr>
      <w:r>
        <w:t xml:space="preserve">Franchak, J. M., Ford, J., Fausey, C. M., &amp; Luna, A. (2026). Infants’ daily routines shape opportunities for perceptual-motor exploration.</w:t>
      </w:r>
      <w:r>
        <w:t xml:space="preserve"> </w:t>
      </w:r>
      <w:r>
        <w:rPr>
          <w:i/>
          <w:iCs/>
        </w:rPr>
        <w:t xml:space="preserve">Developmental Science</w:t>
      </w:r>
      <w:r>
        <w:t xml:space="preserve">,</w:t>
      </w:r>
      <w:r>
        <w:t xml:space="preserve"> </w:t>
      </w:r>
      <w:r>
        <w:rPr>
          <w:i/>
          <w:iCs/>
        </w:rPr>
        <w:t xml:space="preserve">29</w:t>
      </w:r>
      <w:r>
        <w:t xml:space="preserve">(2), e70119.</w:t>
      </w:r>
    </w:p>
    <w:bookmarkEnd w:id="47"/>
    <w:bookmarkStart w:id="48" w:name="ref-FranchakKadooka2024"/>
    <w:p>
      <w:pPr>
        <w:pStyle w:val="Bibliography"/>
      </w:pPr>
      <w:r>
        <w:t xml:space="preserve">Franchak, J. M., Kadooka, K., &amp; Fausey, C. M. (2024). Longitudinal relations between independent walking, body position, and object experiences in home life.</w:t>
      </w:r>
      <w:r>
        <w:t xml:space="preserve"> </w:t>
      </w:r>
      <w:r>
        <w:rPr>
          <w:i/>
          <w:iCs/>
        </w:rPr>
        <w:t xml:space="preserve">Developmental Psychology</w:t>
      </w:r>
      <w:r>
        <w:t xml:space="preserve">,</w:t>
      </w:r>
      <w:r>
        <w:t xml:space="preserve"> </w:t>
      </w:r>
      <w:r>
        <w:rPr>
          <w:i/>
          <w:iCs/>
        </w:rPr>
        <w:t xml:space="preserve">60</w:t>
      </w:r>
      <w:r>
        <w:t xml:space="preserve">(2), 228–242.</w:t>
      </w:r>
    </w:p>
    <w:bookmarkEnd w:id="48"/>
    <w:bookmarkStart w:id="49" w:name="ref-FranchakRousey2026"/>
    <w:p>
      <w:pPr>
        <w:pStyle w:val="Bibliography"/>
      </w:pPr>
      <w:r>
        <w:t xml:space="preserve">Franchak, J. M., Rousey, H. N., &amp; Wang, H. (2026). Natural statistics of infants’ everyday motor experiences relate to sitting and walking development.</w:t>
      </w:r>
      <w:r>
        <w:t xml:space="preserve"> </w:t>
      </w:r>
      <w:r>
        <w:rPr>
          <w:i/>
          <w:iCs/>
        </w:rPr>
        <w:t xml:space="preserve">Developmental Psychology</w:t>
      </w:r>
      <w:r>
        <w:t xml:space="preserve">.</w:t>
      </w:r>
    </w:p>
    <w:bookmarkEnd w:id="49"/>
    <w:bookmarkStart w:id="50" w:name="ref-FranchakTang2024"/>
    <w:p>
      <w:pPr>
        <w:pStyle w:val="Bibliography"/>
      </w:pPr>
      <w:r>
        <w:t xml:space="preserve">Franchak, J. M., Tang, M., Rousey, H., &amp; Luo, C. (2024). Long-form recording of infant body position in the home using wearable inertial sensors.</w:t>
      </w:r>
      <w:r>
        <w:t xml:space="preserve"> </w:t>
      </w:r>
      <w:r>
        <w:rPr>
          <w:i/>
          <w:iCs/>
        </w:rPr>
        <w:t xml:space="preserve">Behavior Research Methods</w:t>
      </w:r>
      <w:r>
        <w:t xml:space="preserve">,</w:t>
      </w:r>
      <w:r>
        <w:t xml:space="preserve"> </w:t>
      </w:r>
      <w:r>
        <w:rPr>
          <w:i/>
          <w:iCs/>
        </w:rPr>
        <w:t xml:space="preserve">56</w:t>
      </w:r>
      <w:r>
        <w:t xml:space="preserve">(5), 4982–5001.</w:t>
      </w:r>
    </w:p>
    <w:bookmarkEnd w:id="50"/>
    <w:bookmarkStart w:id="51" w:name="ref-HerzbergFletcher2021"/>
    <w:p>
      <w:pPr>
        <w:pStyle w:val="Bibliography"/>
      </w:pPr>
      <w:r>
        <w:t xml:space="preserve">Herzberg, O., Fletcher, K. K., Schatz, J. L., Adolph, K. E., &amp; Tamis-LeMonda, C. S. (2021). Infant exuberant object play at home: Immense amounts of time-distributed, variable practice.</w:t>
      </w:r>
      <w:r>
        <w:t xml:space="preserve"> </w:t>
      </w:r>
      <w:r>
        <w:rPr>
          <w:i/>
          <w:iCs/>
        </w:rPr>
        <w:t xml:space="preserve">Child Development</w:t>
      </w:r>
      <w:r>
        <w:t xml:space="preserve">.</w:t>
      </w:r>
    </w:p>
    <w:bookmarkEnd w:id="51"/>
    <w:bookmarkStart w:id="52" w:name="ref-KarasikKuchirko2022"/>
    <w:p>
      <w:pPr>
        <w:pStyle w:val="Bibliography"/>
      </w:pPr>
      <w:r>
        <w:t xml:space="preserve">Karasik, L. B., Kuchirko, Y. A., Dodojonova, R., &amp; Elison, J. T. (2022). Comparison of</w:t>
      </w:r>
      <w:r>
        <w:t xml:space="preserve"> </w:t>
      </w:r>
      <w:r>
        <w:t xml:space="preserve">U</w:t>
      </w:r>
      <w:r>
        <w:t xml:space="preserve">.</w:t>
      </w:r>
      <w:r>
        <w:t xml:space="preserve">S</w:t>
      </w:r>
      <w:r>
        <w:t xml:space="preserve">. And tajik infants’ time in containment devices.</w:t>
      </w:r>
      <w:r>
        <w:t xml:space="preserve"> </w:t>
      </w:r>
      <w:r>
        <w:rPr>
          <w:i/>
          <w:iCs/>
        </w:rPr>
        <w:t xml:space="preserve">Infant and Child Development</w:t>
      </w:r>
      <w:r>
        <w:t xml:space="preserve">,</w:t>
      </w:r>
      <w:r>
        <w:t xml:space="preserve"> </w:t>
      </w:r>
      <w:r>
        <w:rPr>
          <w:i/>
          <w:iCs/>
        </w:rPr>
        <w:t xml:space="preserve">31</w:t>
      </w:r>
      <w:r>
        <w:t xml:space="preserve">(4).</w:t>
      </w:r>
    </w:p>
    <w:bookmarkEnd w:id="52"/>
    <w:bookmarkStart w:id="53" w:name="ref-KretchAdolph2015"/>
    <w:p>
      <w:pPr>
        <w:pStyle w:val="Bibliography"/>
      </w:pPr>
      <w:r>
        <w:t xml:space="preserve">Kretch, K. S., &amp; Adolph, K. E. (2015). Active vision in passive locomotion: Real-world free viewing in infants and adults.</w:t>
      </w:r>
      <w:r>
        <w:t xml:space="preserve"> </w:t>
      </w:r>
      <w:r>
        <w:rPr>
          <w:i/>
          <w:iCs/>
        </w:rPr>
        <w:t xml:space="preserve">Developmental Science</w:t>
      </w:r>
      <w:r>
        <w:t xml:space="preserve">,</w:t>
      </w:r>
      <w:r>
        <w:t xml:space="preserve"> </w:t>
      </w:r>
      <w:r>
        <w:rPr>
          <w:i/>
          <w:iCs/>
        </w:rPr>
        <w:t xml:space="preserve">18</w:t>
      </w:r>
      <w:r>
        <w:t xml:space="preserve">(5), 736–750.</w:t>
      </w:r>
    </w:p>
    <w:bookmarkEnd w:id="53"/>
    <w:bookmarkStart w:id="54" w:name="ref-KretchEnriques2026"/>
    <w:p>
      <w:pPr>
        <w:pStyle w:val="Bibliography"/>
      </w:pPr>
      <w:r>
        <w:t xml:space="preserve">Kretch, K. S., Enriques, F. A., Franchak, J. M., Abney, D. H., Bell, C. A., Jerry, C. M., Lindig, K., &amp; Steffen, G. (2026). Body position classification using wearable sensors in infants with cerebral palsy.</w:t>
      </w:r>
      <w:r>
        <w:t xml:space="preserve"> </w:t>
      </w:r>
      <w:r>
        <w:rPr>
          <w:i/>
          <w:iCs/>
        </w:rPr>
        <w:t xml:space="preserve">Infant Behavior &amp; Development</w:t>
      </w:r>
      <w:r>
        <w:t xml:space="preserve">,</w:t>
      </w:r>
      <w:r>
        <w:t xml:space="preserve"> </w:t>
      </w:r>
      <w:r>
        <w:rPr>
          <w:i/>
          <w:iCs/>
        </w:rPr>
        <w:t xml:space="preserve">84</w:t>
      </w:r>
      <w:r>
        <w:t xml:space="preserve">(102215), 102215.</w:t>
      </w:r>
    </w:p>
    <w:bookmarkEnd w:id="54"/>
    <w:bookmarkStart w:id="55" w:name="ref-KretchFranchak2014"/>
    <w:p>
      <w:pPr>
        <w:pStyle w:val="Bibliography"/>
      </w:pPr>
      <w:r>
        <w:t xml:space="preserve">Kretch, K. S., Franchak, J. M., &amp; Adolph, K. E. (2014). Crawling and walking infants see the world differently.</w:t>
      </w:r>
      <w:r>
        <w:t xml:space="preserve"> </w:t>
      </w:r>
      <w:r>
        <w:rPr>
          <w:i/>
          <w:iCs/>
        </w:rPr>
        <w:t xml:space="preserve">Child Development</w:t>
      </w:r>
      <w:r>
        <w:t xml:space="preserve">,</w:t>
      </w:r>
      <w:r>
        <w:t xml:space="preserve"> </w:t>
      </w:r>
      <w:r>
        <w:rPr>
          <w:i/>
          <w:iCs/>
        </w:rPr>
        <w:t xml:space="preserve">85</w:t>
      </w:r>
      <w:r>
        <w:t xml:space="preserve">(4), 1503–1518.</w:t>
      </w:r>
    </w:p>
    <w:bookmarkEnd w:id="55"/>
    <w:bookmarkStart w:id="56" w:name="ref-KretchLuna2025"/>
    <w:p>
      <w:pPr>
        <w:pStyle w:val="Bibliography"/>
      </w:pPr>
      <w:r>
        <w:t xml:space="preserve">Kretch, K. S., Luna, A., Fausey, C. M., &amp; Franchak, J. M. (2025). Infant sitting status, sitting age, and everyday positioning experience across the transition to independent sitting.</w:t>
      </w:r>
      <w:r>
        <w:t xml:space="preserve"> </w:t>
      </w:r>
      <w:r>
        <w:rPr>
          <w:i/>
          <w:iCs/>
        </w:rPr>
        <w:t xml:space="preserve">Infancy</w:t>
      </w:r>
      <w:r>
        <w:t xml:space="preserve">,</w:t>
      </w:r>
      <w:r>
        <w:t xml:space="preserve"> </w:t>
      </w:r>
      <w:r>
        <w:rPr>
          <w:i/>
          <w:iCs/>
        </w:rPr>
        <w:t xml:space="preserve">30</w:t>
      </w:r>
      <w:r>
        <w:t xml:space="preserve">, e70059.</w:t>
      </w:r>
    </w:p>
    <w:bookmarkEnd w:id="56"/>
    <w:bookmarkStart w:id="57" w:name="ref-KretchMarcinowski2022"/>
    <w:p>
      <w:pPr>
        <w:pStyle w:val="Bibliography"/>
      </w:pPr>
      <w:r>
        <w:t xml:space="preserve">Kretch, K. S., Marcinowski, E. C., Hsu, L.-Y., Koziol, N. A., Harbourne, R. T., Lobo, M. A., &amp; Dusing, S. C. (2022). Opportunities for learning and social interaction in infant sitting: Effects of sitting support, sitting skill, and gross motor delay.</w:t>
      </w:r>
      <w:r>
        <w:t xml:space="preserve"> </w:t>
      </w:r>
      <w:r>
        <w:rPr>
          <w:i/>
          <w:iCs/>
        </w:rPr>
        <w:t xml:space="preserve">Developmental Science</w:t>
      </w:r>
      <w:r>
        <w:t xml:space="preserve">, e13318.</w:t>
      </w:r>
    </w:p>
    <w:bookmarkEnd w:id="57"/>
    <w:bookmarkStart w:id="58" w:name="ref-LuoFranchak2020"/>
    <w:p>
      <w:pPr>
        <w:pStyle w:val="Bibliography"/>
      </w:pPr>
      <w:r>
        <w:t xml:space="preserve">Luo, C., &amp; Franchak, J. M. (2020). Head and body structure infants’ visual experiences during mobile, naturalistic play.</w:t>
      </w:r>
      <w:r>
        <w:t xml:space="preserve"> </w:t>
      </w:r>
      <w:r>
        <w:rPr>
          <w:i/>
          <w:iCs/>
        </w:rPr>
        <w:t xml:space="preserve">PloS One</w:t>
      </w:r>
      <w:r>
        <w:t xml:space="preserve">,</w:t>
      </w:r>
      <w:r>
        <w:t xml:space="preserve"> </w:t>
      </w:r>
      <w:r>
        <w:rPr>
          <w:i/>
          <w:iCs/>
        </w:rPr>
        <w:t xml:space="preserve">15</w:t>
      </w:r>
      <w:r>
        <w:t xml:space="preserve">(11), e0242009.</w:t>
      </w:r>
    </w:p>
    <w:bookmarkEnd w:id="58"/>
    <w:bookmarkStart w:id="59" w:name="ref-MalachowskiSalo2023"/>
    <w:p>
      <w:pPr>
        <w:pStyle w:val="Bibliography"/>
      </w:pPr>
      <w:r>
        <w:t xml:space="preserve">Malachowski, L. G., Salo, V. C., Needham, A. W., &amp; Humphreys, K. L. (2023). Infant placement and language exposure in daily life.</w:t>
      </w:r>
      <w:r>
        <w:t xml:space="preserve"> </w:t>
      </w:r>
      <w:r>
        <w:rPr>
          <w:i/>
          <w:iCs/>
        </w:rPr>
        <w:t xml:space="preserve">Infant and Child Development</w:t>
      </w:r>
      <w:r>
        <w:t xml:space="preserve">.</w:t>
      </w:r>
    </w:p>
    <w:bookmarkEnd w:id="59"/>
    <w:bookmarkStart w:id="60" w:name="ref-RouseyTang2026"/>
    <w:p>
      <w:pPr>
        <w:pStyle w:val="Bibliography"/>
      </w:pPr>
      <w:r>
        <w:t xml:space="preserve">Rousey, H. N., Tang, M., Garcia, S., &amp; Franchak, J. M. (2026). Within-day variations in infant body position predict caregiver speech input.</w:t>
      </w:r>
      <w:r>
        <w:t xml:space="preserve"> </w:t>
      </w:r>
      <w:r>
        <w:rPr>
          <w:i/>
          <w:iCs/>
        </w:rPr>
        <w:t xml:space="preserve">Developmental Science</w:t>
      </w:r>
      <w:r>
        <w:t xml:space="preserve">,</w:t>
      </w:r>
      <w:r>
        <w:t xml:space="preserve"> </w:t>
      </w:r>
      <w:r>
        <w:rPr>
          <w:i/>
          <w:iCs/>
        </w:rPr>
        <w:t xml:space="preserve">29</w:t>
      </w:r>
      <w:r>
        <w:t xml:space="preserve">(2), e70120.</w:t>
      </w:r>
    </w:p>
    <w:bookmarkEnd w:id="60"/>
    <w:bookmarkStart w:id="61" w:name="ref-SoskaAdolph2014"/>
    <w:p>
      <w:pPr>
        <w:pStyle w:val="Bibliography"/>
      </w:pPr>
      <w:r>
        <w:t xml:space="preserve">Soska, K. C., &amp; Adolph, K. E. (2014). Postural position constrains multimodal object exploration in infants.</w:t>
      </w:r>
      <w:r>
        <w:t xml:space="preserve"> </w:t>
      </w:r>
      <w:r>
        <w:rPr>
          <w:i/>
          <w:iCs/>
        </w:rPr>
        <w:t xml:space="preserve">Infancy</w:t>
      </w:r>
      <w:r>
        <w:t xml:space="preserve">,</w:t>
      </w:r>
      <w:r>
        <w:t xml:space="preserve"> </w:t>
      </w:r>
      <w:r>
        <w:rPr>
          <w:i/>
          <w:iCs/>
        </w:rPr>
        <w:t xml:space="preserve">19</w:t>
      </w:r>
      <w:r>
        <w:t xml:space="preserve">(2), 138–161.</w:t>
      </w:r>
    </w:p>
    <w:bookmarkEnd w:id="61"/>
    <w:bookmarkEnd w:id="62"/>
    <w:bookmarkEnd w:id="63"/>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36EDA"/>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2E7A3C"/>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057F5"/>
    <w:rsid w:val="00932B9C"/>
    <w:rsid w:val="009638C5"/>
    <w:rsid w:val="009B29FD"/>
    <w:rsid w:val="009B41AF"/>
    <w:rsid w:val="00A072AF"/>
    <w:rsid w:val="00A16B10"/>
    <w:rsid w:val="00A46245"/>
    <w:rsid w:val="00A82821"/>
    <w:rsid w:val="00A946AC"/>
    <w:rsid w:val="00AA1F29"/>
    <w:rsid w:val="00AC3115"/>
    <w:rsid w:val="00AC58E4"/>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23682"/>
    <w:rsid w:val="00C304F7"/>
    <w:rsid w:val="00C4693A"/>
    <w:rsid w:val="00C84525"/>
    <w:rsid w:val="00CA071F"/>
    <w:rsid w:val="00CB7758"/>
    <w:rsid w:val="00CE01EB"/>
    <w:rsid w:val="00D11429"/>
    <w:rsid w:val="00D25C5B"/>
    <w:rsid w:val="00D630B7"/>
    <w:rsid w:val="00D807FA"/>
    <w:rsid w:val="00DA752F"/>
    <w:rsid w:val="00DB4D47"/>
    <w:rsid w:val="00DE772F"/>
    <w:rsid w:val="00E37D61"/>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 w:val="00FC515E"/>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sid w:val="00036EDA"/>
    <w:rPr>
      <w:i w:val="0"/>
      <w:shd w:color="auto" w:fill="F1F3F5" w:val="clear"/>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rsid w:val="00036EDA"/>
    <w:pPr>
      <w:shd w:color="auto" w:fill="F1F3F5" w:val="clear"/>
      <w:wordWrap w:val="0"/>
      <w:spacing w:after="240" w:line="240" w:lineRule="auto"/>
      <w:contextualSpacing/>
    </w:pPr>
  </w:style>
  <w:style w:customStyle="1" w:styleId="KeywordTok" w:type="character">
    <w:name w:val="KeywordTok"/>
    <w:basedOn w:val="VerbatimChar"/>
    <w:rPr>
      <w:rFonts w:ascii="Consolas" w:hAnsi="Consolas"/>
      <w:i w:val="0"/>
      <w:color w:val="003B4F"/>
      <w:sz w:val="22"/>
      <w:shd w:color="auto" w:fill="F1F3F5" w:val="clear"/>
    </w:rPr>
  </w:style>
  <w:style w:customStyle="1" w:styleId="DataTypeTok" w:type="character">
    <w:name w:val="DataTypeTok"/>
    <w:basedOn w:val="VerbatimChar"/>
    <w:rPr>
      <w:rFonts w:ascii="Consolas" w:hAnsi="Consolas"/>
      <w:i w:val="0"/>
      <w:color w:val="AD0000"/>
      <w:sz w:val="22"/>
      <w:shd w:color="auto" w:fill="F1F3F5" w:val="clear"/>
    </w:rPr>
  </w:style>
  <w:style w:customStyle="1" w:styleId="DecValTok" w:type="character">
    <w:name w:val="DecValTok"/>
    <w:basedOn w:val="VerbatimChar"/>
    <w:rPr>
      <w:rFonts w:ascii="Consolas" w:hAnsi="Consolas"/>
      <w:i w:val="0"/>
      <w:color w:val="AD0000"/>
      <w:sz w:val="22"/>
      <w:shd w:color="auto" w:fill="F1F3F5" w:val="clear"/>
    </w:rPr>
  </w:style>
  <w:style w:customStyle="1" w:styleId="BaseNTok" w:type="character">
    <w:name w:val="BaseNTok"/>
    <w:basedOn w:val="VerbatimChar"/>
    <w:rPr>
      <w:rFonts w:ascii="Consolas" w:hAnsi="Consolas"/>
      <w:i w:val="0"/>
      <w:color w:val="AD0000"/>
      <w:sz w:val="22"/>
      <w:shd w:color="auto" w:fill="F1F3F5" w:val="clear"/>
    </w:rPr>
  </w:style>
  <w:style w:customStyle="1" w:styleId="FloatTok" w:type="character">
    <w:name w:val="FloatTok"/>
    <w:basedOn w:val="VerbatimChar"/>
    <w:rPr>
      <w:rFonts w:ascii="Consolas" w:hAnsi="Consolas"/>
      <w:i w:val="0"/>
      <w:color w:val="AD0000"/>
      <w:sz w:val="22"/>
      <w:shd w:color="auto" w:fill="F1F3F5" w:val="clear"/>
    </w:rPr>
  </w:style>
  <w:style w:customStyle="1" w:styleId="ConstantTok" w:type="character">
    <w:name w:val="ConstantTok"/>
    <w:basedOn w:val="VerbatimChar"/>
    <w:rPr>
      <w:rFonts w:ascii="Consolas" w:hAnsi="Consolas"/>
      <w:i w:val="0"/>
      <w:color w:val="8F5902"/>
      <w:sz w:val="22"/>
      <w:shd w:color="auto" w:fill="F1F3F5" w:val="clear"/>
    </w:rPr>
  </w:style>
  <w:style w:customStyle="1" w:styleId="CharTok" w:type="character">
    <w:name w:val="CharTok"/>
    <w:basedOn w:val="VerbatimChar"/>
    <w:rPr>
      <w:rFonts w:ascii="Consolas" w:hAnsi="Consolas"/>
      <w:i w:val="0"/>
      <w:color w:val="20794D"/>
      <w:sz w:val="22"/>
      <w:shd w:color="auto" w:fill="F1F3F5" w:val="clear"/>
    </w:rPr>
  </w:style>
  <w:style w:customStyle="1" w:styleId="SpecialCharTok" w:type="character">
    <w:name w:val="SpecialCharTok"/>
    <w:basedOn w:val="VerbatimChar"/>
    <w:rPr>
      <w:rFonts w:ascii="Consolas" w:hAnsi="Consolas"/>
      <w:i w:val="0"/>
      <w:color w:val="5E5E5E"/>
      <w:sz w:val="22"/>
      <w:shd w:color="auto" w:fill="F1F3F5" w:val="clear"/>
    </w:rPr>
  </w:style>
  <w:style w:customStyle="1" w:styleId="StringTok" w:type="character">
    <w:name w:val="StringTok"/>
    <w:basedOn w:val="VerbatimChar"/>
    <w:rPr>
      <w:rFonts w:ascii="Consolas" w:hAnsi="Consolas"/>
      <w:i w:val="0"/>
      <w:color w:val="20794D"/>
      <w:sz w:val="22"/>
      <w:shd w:color="auto" w:fill="F1F3F5" w:val="clear"/>
    </w:rPr>
  </w:style>
  <w:style w:customStyle="1" w:styleId="VerbatimStringTok" w:type="character">
    <w:name w:val="VerbatimStringTok"/>
    <w:basedOn w:val="VerbatimChar"/>
    <w:rPr>
      <w:rFonts w:ascii="Consolas" w:hAnsi="Consolas"/>
      <w:i w:val="0"/>
      <w:color w:val="20794D"/>
      <w:sz w:val="22"/>
      <w:shd w:color="auto" w:fill="F1F3F5" w:val="clear"/>
    </w:rPr>
  </w:style>
  <w:style w:customStyle="1" w:styleId="SpecialStringTok" w:type="character">
    <w:name w:val="SpecialStringTok"/>
    <w:basedOn w:val="VerbatimChar"/>
    <w:rPr>
      <w:rFonts w:ascii="Consolas" w:hAnsi="Consolas"/>
      <w:i w:val="0"/>
      <w:color w:val="20794D"/>
      <w:sz w:val="22"/>
      <w:shd w:color="auto" w:fill="F1F3F5" w:val="clear"/>
    </w:rPr>
  </w:style>
  <w:style w:customStyle="1" w:styleId="ImportTok" w:type="character">
    <w:name w:val="ImportTok"/>
    <w:basedOn w:val="VerbatimChar"/>
    <w:rPr>
      <w:rFonts w:ascii="Consolas" w:hAnsi="Consolas"/>
      <w:i w:val="0"/>
      <w:color w:val="00769E"/>
      <w:sz w:val="22"/>
      <w:shd w:color="auto" w:fill="F1F3F5" w:val="clear"/>
    </w:rPr>
  </w:style>
  <w:style w:customStyle="1" w:styleId="CommentTok" w:type="character">
    <w:name w:val="CommentTok"/>
    <w:basedOn w:val="VerbatimChar"/>
    <w:rPr>
      <w:rFonts w:ascii="Consolas" w:hAnsi="Consolas"/>
      <w:i w:val="0"/>
      <w:color w:val="5E5E5E"/>
      <w:sz w:val="22"/>
      <w:shd w:color="auto" w:fill="F1F3F5" w:val="clear"/>
    </w:rPr>
  </w:style>
  <w:style w:customStyle="1" w:styleId="DocumentationTok" w:type="character">
    <w:name w:val="DocumentationTok"/>
    <w:basedOn w:val="VerbatimChar"/>
    <w:rPr>
      <w:rFonts w:ascii="Consolas" w:hAnsi="Consolas"/>
      <w:i/>
      <w:color w:val="5E5E5E"/>
      <w:sz w:val="22"/>
      <w:shd w:color="auto" w:fill="F1F3F5" w:val="clear"/>
    </w:rPr>
  </w:style>
  <w:style w:customStyle="1" w:styleId="AnnotationTok" w:type="character">
    <w:name w:val="AnnotationTok"/>
    <w:basedOn w:val="VerbatimChar"/>
    <w:rPr>
      <w:rFonts w:ascii="Consolas" w:hAnsi="Consolas"/>
      <w:i w:val="0"/>
      <w:color w:val="5E5E5E"/>
      <w:sz w:val="22"/>
      <w:shd w:color="auto" w:fill="F1F3F5" w:val="clear"/>
    </w:rPr>
  </w:style>
  <w:style w:customStyle="1" w:styleId="CommentVarTok" w:type="character">
    <w:name w:val="CommentVarTok"/>
    <w:basedOn w:val="VerbatimChar"/>
    <w:rPr>
      <w:rFonts w:ascii="Consolas" w:hAnsi="Consolas"/>
      <w:i/>
      <w:color w:val="5E5E5E"/>
      <w:sz w:val="22"/>
      <w:shd w:color="auto" w:fill="F1F3F5" w:val="clear"/>
    </w:rPr>
  </w:style>
  <w:style w:customStyle="1" w:styleId="OtherTok" w:type="character">
    <w:name w:val="OtherTok"/>
    <w:basedOn w:val="VerbatimChar"/>
    <w:rPr>
      <w:rFonts w:ascii="Consolas" w:hAnsi="Consolas"/>
      <w:i w:val="0"/>
      <w:color w:val="003B4F"/>
      <w:sz w:val="22"/>
      <w:shd w:color="auto" w:fill="F1F3F5" w:val="clear"/>
    </w:rPr>
  </w:style>
  <w:style w:customStyle="1" w:styleId="FunctionTok" w:type="character">
    <w:name w:val="FunctionTok"/>
    <w:basedOn w:val="VerbatimChar"/>
    <w:rPr>
      <w:rFonts w:ascii="Consolas" w:hAnsi="Consolas"/>
      <w:i w:val="0"/>
      <w:color w:val="4758AB"/>
      <w:sz w:val="22"/>
      <w:shd w:color="auto" w:fill="F1F3F5" w:val="clear"/>
    </w:rPr>
  </w:style>
  <w:style w:customStyle="1" w:styleId="VariableTok" w:type="character">
    <w:name w:val="VariableTok"/>
    <w:basedOn w:val="VerbatimChar"/>
    <w:rPr>
      <w:rFonts w:ascii="Consolas" w:hAnsi="Consolas"/>
      <w:i w:val="0"/>
      <w:color w:val="111111"/>
      <w:sz w:val="22"/>
      <w:shd w:color="auto" w:fill="F1F3F5" w:val="clear"/>
    </w:rPr>
  </w:style>
  <w:style w:customStyle="1" w:styleId="ControlFlowTok" w:type="character">
    <w:name w:val="ControlFlowTok"/>
    <w:basedOn w:val="VerbatimChar"/>
    <w:rPr>
      <w:rFonts w:ascii="Consolas" w:hAnsi="Consolas"/>
      <w:i w:val="0"/>
      <w:color w:val="003B4F"/>
      <w:sz w:val="22"/>
      <w:shd w:color="auto" w:fill="F1F3F5" w:val="clear"/>
    </w:rPr>
  </w:style>
  <w:style w:customStyle="1" w:styleId="OperatorTok" w:type="character">
    <w:name w:val="OperatorTok"/>
    <w:basedOn w:val="VerbatimChar"/>
    <w:rPr>
      <w:rFonts w:ascii="Consolas" w:hAnsi="Consolas"/>
      <w:i w:val="0"/>
      <w:color w:val="5E5E5E"/>
      <w:sz w:val="22"/>
      <w:shd w:color="auto" w:fill="F1F3F5" w:val="clear"/>
    </w:rPr>
  </w:style>
  <w:style w:customStyle="1" w:styleId="BuiltInTok" w:type="character">
    <w:name w:val="BuiltInTok"/>
    <w:basedOn w:val="VerbatimChar"/>
    <w:rPr>
      <w:rFonts w:ascii="Consolas" w:hAnsi="Consolas"/>
      <w:i w:val="0"/>
      <w:color w:val="003B4F"/>
      <w:sz w:val="22"/>
      <w:shd w:color="auto" w:fill="F1F3F5" w:val="clear"/>
    </w:rPr>
  </w:style>
  <w:style w:customStyle="1" w:styleId="ExtensionTok" w:type="character">
    <w:name w:val="ExtensionTok"/>
    <w:basedOn w:val="VerbatimChar"/>
    <w:rPr>
      <w:rFonts w:ascii="Consolas" w:hAnsi="Consolas"/>
      <w:i w:val="0"/>
      <w:color w:val="003B4F"/>
      <w:sz w:val="22"/>
      <w:shd w:color="auto" w:fill="F1F3F5" w:val="clear"/>
    </w:rPr>
  </w:style>
  <w:style w:customStyle="1" w:styleId="PreprocessorTok" w:type="character">
    <w:name w:val="PreprocessorTok"/>
    <w:basedOn w:val="VerbatimChar"/>
    <w:rPr>
      <w:rFonts w:ascii="Consolas" w:hAnsi="Consolas"/>
      <w:i w:val="0"/>
      <w:color w:val="AD0000"/>
      <w:sz w:val="22"/>
      <w:shd w:color="auto" w:fill="F1F3F5" w:val="clear"/>
    </w:rPr>
  </w:style>
  <w:style w:customStyle="1" w:styleId="AttributeTok" w:type="character">
    <w:name w:val="AttributeTok"/>
    <w:basedOn w:val="VerbatimChar"/>
    <w:rPr>
      <w:rFonts w:ascii="Consolas" w:hAnsi="Consolas"/>
      <w:i w:val="0"/>
      <w:color w:val="657422"/>
      <w:sz w:val="22"/>
      <w:shd w:color="auto" w:fill="F1F3F5" w:val="clear"/>
    </w:rPr>
  </w:style>
  <w:style w:customStyle="1" w:styleId="RegionMarkerTok" w:type="character">
    <w:name w:val="RegionMarkerTok"/>
    <w:basedOn w:val="VerbatimChar"/>
    <w:rPr>
      <w:rFonts w:ascii="Consolas" w:hAnsi="Consolas"/>
      <w:i w:val="0"/>
      <w:color w:val="003B4F"/>
      <w:sz w:val="22"/>
      <w:shd w:color="auto" w:fill="F1F3F5" w:val="clear"/>
    </w:rPr>
  </w:style>
  <w:style w:customStyle="1" w:styleId="InformationTok" w:type="character">
    <w:name w:val="InformationTok"/>
    <w:basedOn w:val="VerbatimChar"/>
    <w:rPr>
      <w:rFonts w:ascii="Consolas" w:hAnsi="Consolas"/>
      <w:i w:val="0"/>
      <w:color w:val="5E5E5E"/>
      <w:sz w:val="22"/>
      <w:shd w:color="auto" w:fill="F1F3F5" w:val="clear"/>
    </w:rPr>
  </w:style>
  <w:style w:customStyle="1" w:styleId="WarningTok" w:type="character">
    <w:name w:val="WarningTok"/>
    <w:basedOn w:val="VerbatimChar"/>
    <w:rPr>
      <w:rFonts w:ascii="Consolas" w:hAnsi="Consolas"/>
      <w:i/>
      <w:color w:val="5E5E5E"/>
      <w:sz w:val="22"/>
      <w:shd w:color="auto" w:fill="F1F3F5" w:val="clear"/>
    </w:rPr>
  </w:style>
  <w:style w:customStyle="1" w:styleId="AlertTok" w:type="character">
    <w:name w:val="AlertTok"/>
    <w:basedOn w:val="VerbatimChar"/>
    <w:rPr>
      <w:rFonts w:ascii="Consolas" w:hAnsi="Consolas"/>
      <w:i w:val="0"/>
      <w:color w:val="AD0000"/>
      <w:sz w:val="22"/>
      <w:shd w:color="auto" w:fill="F1F3F5" w:val="clear"/>
    </w:rPr>
  </w:style>
  <w:style w:customStyle="1" w:styleId="ErrorTok" w:type="character">
    <w:name w:val="ErrorTok"/>
    <w:basedOn w:val="VerbatimChar"/>
    <w:rPr>
      <w:rFonts w:ascii="Consolas" w:hAnsi="Consolas"/>
      <w:i w:val="0"/>
      <w:color w:val="AD0000"/>
      <w:sz w:val="22"/>
      <w:shd w:color="auto" w:fill="F1F3F5" w:val="clear"/>
    </w:rPr>
  </w:style>
  <w:style w:customStyle="1" w:styleId="NormalTok" w:type="character">
    <w:name w:val="NormalTok"/>
    <w:basedOn w:val="VerbatimChar"/>
    <w:rPr>
      <w:rFonts w:ascii="Consolas" w:hAnsi="Consolas"/>
      <w:i w:val="0"/>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23" Target="media/rId23.svg" /><Relationship Type="http://schemas.openxmlformats.org/officeDocument/2006/relationships/image" Id="rId26" Target="media/rId26.png" /><Relationship Type="http://schemas.openxmlformats.org/officeDocument/2006/relationships/hyperlink" Id="rId28" Target="https://orcid.org/0000-0002-0751-2864" TargetMode="External" /><Relationship Type="http://schemas.openxmlformats.org/officeDocument/2006/relationships/hyperlink" Id="rId29" Target="mailto:franchak@ucr.edu" TargetMode="External" /></Relationships>
</file>

<file path=word/_rels/footnotes.xml.rels><?xml version="1.0" encoding="UTF-8"?><Relationships xmlns="http://schemas.openxmlformats.org/package/2006/relationships"><Relationship Type="http://schemas.openxmlformats.org/officeDocument/2006/relationships/hyperlink" Id="rId28" Target="https://orcid.org/0000-0002-0751-2864" TargetMode="External" /><Relationship Type="http://schemas.openxmlformats.org/officeDocument/2006/relationships/hyperlink" Id="rId29" Target="mailto:franchak@uc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205</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CLASSIFYING MOVEMENTS</dc:description>
  <cp:keywords>Keyword 1, Keyword 2, Keyword 3</cp:keywords>
  <dcterms:created xsi:type="dcterms:W3CDTF">2026-07-29T21:15:06Z</dcterms:created>
  <dcterms:modified xsi:type="dcterms:W3CDTF">2026-07-29T21:15:06Z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ffiliationsdifferent">
    <vt:lpwstr>False</vt:lpwstr>
  </property>
  <property fmtid="{D5CDD505-2E9C-101B-9397-08002B2CF9AE}" pid="4" name="apaabstract">
    <vt:lpwstr>This document is a template.</vt:lpwstr>
  </property>
  <property fmtid="{D5CDD505-2E9C-101B-9397-08002B2CF9AE}" pid="5" name="apaauthor">
    <vt:lpwstr/>
  </property>
  <property fmtid="{D5CDD505-2E9C-101B-9397-08002B2CF9AE}" pid="6" name="apatitle">
    <vt:lpwstr>Machine Learning Classification of Infants’ Full-Day Movements</vt:lpwstr>
  </property>
  <property fmtid="{D5CDD505-2E9C-101B-9397-08002B2CF9AE}" pid="7" name="apatitledisplay">
    <vt:lpwstr>Machine Learning Classification of Infants’ Full-Day Movements</vt:lpwstr>
  </property>
  <property fmtid="{D5CDD505-2E9C-101B-9397-08002B2CF9AE}" pid="8" name="author-note">
    <vt:lpwstr/>
  </property>
  <property fmtid="{D5CDD505-2E9C-101B-9397-08002B2CF9AE}" pid="9" name="authors">
    <vt:lpwstr/>
  </property>
  <property fmtid="{D5CDD505-2E9C-101B-9397-08002B2CF9AE}" pid="10" name="biblio-config">
    <vt:lpwstr>True</vt:lpwstr>
  </property>
  <property fmtid="{D5CDD505-2E9C-101B-9397-08002B2CF9AE}" pid="11" name="by-affiliation">
    <vt:lpwstr/>
  </property>
  <property fmtid="{D5CDD505-2E9C-101B-9397-08002B2CF9AE}" pid="12" name="by-author">
    <vt:lpwstr/>
  </property>
  <property fmtid="{D5CDD505-2E9C-101B-9397-08002B2CF9AE}" pid="13" name="cap-location">
    <vt:lpwstr>top</vt:lpwstr>
  </property>
  <property fmtid="{D5CDD505-2E9C-101B-9397-08002B2CF9AE}" pid="14" name="crossref">
    <vt:lpwstr/>
  </property>
  <property fmtid="{D5CDD505-2E9C-101B-9397-08002B2CF9AE}" pid="15" name="csl">
    <vt:lpwstr>_extensions/wjschne/apaquarto/apa.csl</vt:lpwstr>
  </property>
  <property fmtid="{D5CDD505-2E9C-101B-9397-08002B2CF9AE}" pid="16" name="documentmode">
    <vt:lpwstr>man</vt:lpwstr>
  </property>
  <property fmtid="{D5CDD505-2E9C-101B-9397-08002B2CF9AE}" pid="17" name="engines">
    <vt:lpwstr/>
  </property>
  <property fmtid="{D5CDD505-2E9C-101B-9397-08002B2CF9AE}" pid="18" name="fig-cap-location">
    <vt:lpwstr>top</vt:lpwstr>
  </property>
  <property fmtid="{D5CDD505-2E9C-101B-9397-08002B2CF9AE}" pid="19" name="header-includes">
    <vt:lpwstr/>
  </property>
  <property fmtid="{D5CDD505-2E9C-101B-9397-08002B2CF9AE}" pid="20" name="impact-statement">
    <vt:lpwstr/>
  </property>
  <property fmtid="{D5CDD505-2E9C-101B-9397-08002B2CF9AE}" pid="21" name="include-after">
    <vt:lpwstr/>
  </property>
  <property fmtid="{D5CDD505-2E9C-101B-9397-08002B2CF9AE}" pid="22" name="include-before">
    <vt:lpwstr/>
  </property>
  <property fmtid="{D5CDD505-2E9C-101B-9397-08002B2CF9AE}" pid="23" name="knitr">
    <vt:lpwstr/>
  </property>
  <property fmtid="{D5CDD505-2E9C-101B-9397-08002B2CF9AE}" pid="24" name="labels">
    <vt:lpwstr/>
  </property>
  <property fmtid="{D5CDD505-2E9C-101B-9397-08002B2CF9AE}" pid="25" name="language">
    <vt:lpwstr/>
  </property>
  <property fmtid="{D5CDD505-2E9C-101B-9397-08002B2CF9AE}" pid="26" name="link-citations">
    <vt:lpwstr>True</vt:lpwstr>
  </property>
  <property fmtid="{D5CDD505-2E9C-101B-9397-08002B2CF9AE}" pid="27" name="no-ampersand-parenthetical">
    <vt:lpwstr>False</vt:lpwstr>
  </property>
  <property fmtid="{D5CDD505-2E9C-101B-9397-08002B2CF9AE}" pid="28" name="number-depth">
    <vt:lpwstr>3</vt:lpwstr>
  </property>
  <property fmtid="{D5CDD505-2E9C-101B-9397-08002B2CF9AE}" pid="29" name="numbersections">
    <vt:lpwstr>False</vt:lpwstr>
  </property>
  <property fmtid="{D5CDD505-2E9C-101B-9397-08002B2CF9AE}" pid="30" name="oneaffiliation">
    <vt:lpwstr>True</vt:lpwstr>
  </property>
  <property fmtid="{D5CDD505-2E9C-101B-9397-08002B2CF9AE}" pid="31" name="oneauthor">
    <vt:lpwstr>True</vt:lpwstr>
  </property>
  <property fmtid="{D5CDD505-2E9C-101B-9397-08002B2CF9AE}" pid="32" name="references">
    <vt:lpwstr/>
  </property>
  <property fmtid="{D5CDD505-2E9C-101B-9397-08002B2CF9AE}" pid="33" name="revealjs-plugins">
    <vt:lpwstr/>
  </property>
  <property fmtid="{D5CDD505-2E9C-101B-9397-08002B2CF9AE}" pid="34" name="shorttitle">
    <vt:lpwstr>CLASSIFYING MOVEMENTS</vt:lpwstr>
  </property>
  <property fmtid="{D5CDD505-2E9C-101B-9397-08002B2CF9AE}" pid="35" name="suppress-abstract">
    <vt:lpwstr>False</vt:lpwstr>
  </property>
  <property fmtid="{D5CDD505-2E9C-101B-9397-08002B2CF9AE}" pid="36" name="suppress-affiliation">
    <vt:lpwstr>False</vt:lpwstr>
  </property>
  <property fmtid="{D5CDD505-2E9C-101B-9397-08002B2CF9AE}" pid="37" name="suppress-author">
    <vt:lpwstr>False</vt:lpwstr>
  </property>
  <property fmtid="{D5CDD505-2E9C-101B-9397-08002B2CF9AE}" pid="38" name="suppress-author-note">
    <vt:lpwstr>False</vt:lpwstr>
  </property>
  <property fmtid="{D5CDD505-2E9C-101B-9397-08002B2CF9AE}" pid="39" name="suppress-corresponding-address">
    <vt:lpwstr>False</vt:lpwstr>
  </property>
  <property fmtid="{D5CDD505-2E9C-101B-9397-08002B2CF9AE}" pid="40" name="suppress-corresponding-affiliation-name">
    <vt:lpwstr>False</vt:lpwstr>
  </property>
  <property fmtid="{D5CDD505-2E9C-101B-9397-08002B2CF9AE}" pid="41" name="suppress-corresponding-city">
    <vt:lpwstr>False</vt:lpwstr>
  </property>
  <property fmtid="{D5CDD505-2E9C-101B-9397-08002B2CF9AE}" pid="42" name="suppress-corresponding-country">
    <vt:lpwstr>False</vt:lpwstr>
  </property>
  <property fmtid="{D5CDD505-2E9C-101B-9397-08002B2CF9AE}" pid="43" name="suppress-corresponding-department">
    <vt:lpwstr>False</vt:lpwstr>
  </property>
  <property fmtid="{D5CDD505-2E9C-101B-9397-08002B2CF9AE}" pid="44" name="suppress-corresponding-email">
    <vt:lpwstr>False</vt:lpwstr>
  </property>
  <property fmtid="{D5CDD505-2E9C-101B-9397-08002B2CF9AE}" pid="45" name="suppress-corresponding-group">
    <vt:lpwstr>False</vt:lpwstr>
  </property>
  <property fmtid="{D5CDD505-2E9C-101B-9397-08002B2CF9AE}" pid="46" name="suppress-corresponding-paragraph">
    <vt:lpwstr>False</vt:lpwstr>
  </property>
  <property fmtid="{D5CDD505-2E9C-101B-9397-08002B2CF9AE}" pid="47" name="suppress-corresponding-postal-code">
    <vt:lpwstr>False</vt:lpwstr>
  </property>
  <property fmtid="{D5CDD505-2E9C-101B-9397-08002B2CF9AE}" pid="48" name="suppress-corresponding-region">
    <vt:lpwstr>False</vt:lpwstr>
  </property>
  <property fmtid="{D5CDD505-2E9C-101B-9397-08002B2CF9AE}" pid="49" name="suppress-credit-statement">
    <vt:lpwstr>False</vt:lpwstr>
  </property>
  <property fmtid="{D5CDD505-2E9C-101B-9397-08002B2CF9AE}" pid="50" name="suppress-disclosures-paragraph">
    <vt:lpwstr>False</vt:lpwstr>
  </property>
  <property fmtid="{D5CDD505-2E9C-101B-9397-08002B2CF9AE}" pid="51" name="suppress-impact-statement">
    <vt:lpwstr>False</vt:lpwstr>
  </property>
  <property fmtid="{D5CDD505-2E9C-101B-9397-08002B2CF9AE}" pid="52" name="suppress-keywords">
    <vt:lpwstr>False</vt:lpwstr>
  </property>
  <property fmtid="{D5CDD505-2E9C-101B-9397-08002B2CF9AE}" pid="53" name="suppress-orcid">
    <vt:lpwstr>False</vt:lpwstr>
  </property>
  <property fmtid="{D5CDD505-2E9C-101B-9397-08002B2CF9AE}" pid="54" name="suppress-short-title">
    <vt:lpwstr>False</vt:lpwstr>
  </property>
  <property fmtid="{D5CDD505-2E9C-101B-9397-08002B2CF9AE}" pid="55" name="suppress-status-change-paragraph">
    <vt:lpwstr>False</vt:lpwstr>
  </property>
  <property fmtid="{D5CDD505-2E9C-101B-9397-08002B2CF9AE}" pid="56" name="suppress-title">
    <vt:lpwstr>False</vt:lpwstr>
  </property>
  <property fmtid="{D5CDD505-2E9C-101B-9397-08002B2CF9AE}" pid="57" name="suppress-title-introduction">
    <vt:lpwstr>False</vt:lpwstr>
  </property>
  <property fmtid="{D5CDD505-2E9C-101B-9397-08002B2CF9AE}" pid="58" name="suppress-title-page">
    <vt:lpwstr>False</vt:lpwstr>
  </property>
  <property fmtid="{D5CDD505-2E9C-101B-9397-08002B2CF9AE}" pid="59" name="suppress-title-page-number">
    <vt:lpwstr>False</vt:lpwstr>
  </property>
  <property fmtid="{D5CDD505-2E9C-101B-9397-08002B2CF9AE}" pid="60" name="tbl-cap-location">
    <vt:lpwstr>top</vt:lpwstr>
  </property>
  <property fmtid="{D5CDD505-2E9C-101B-9397-08002B2CF9AE}" pid="61" name="toc-title">
    <vt:lpwstr>Table of contents</vt:lpwstr>
  </property>
  <property fmtid="{D5CDD505-2E9C-101B-9397-08002B2CF9AE}" pid="62" name="wordn">
    <vt:lpwstr>695</vt:lpwstr>
  </property>
  <property fmtid="{D5CDD505-2E9C-101B-9397-08002B2CF9AE}" pid="63" name="zerocitations">
    <vt:lpwstr>False</vt:lpwstr>
  </property>
</Properties>
</file>