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73.png" ContentType="image/png"/>
  <Override PartName="/word/media/rId26.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Machine Learning Classification of Infants’ Full-Day Movements</w:t>
      </w:r>
    </w:p>
    <w:p>
      <w:pPr>
        <w:pStyle w:val="Author"/>
      </w:pPr>
      <w:r>
        <w:t xml:space="preserve"> </w:t>
      </w:r>
    </w:p>
    <w:p>
      <w:pPr>
        <w:pStyle w:val="Author"/>
      </w:pPr>
      <w:r>
        <w:t xml:space="preserve">John M. Franchak</w:t>
      </w:r>
    </w:p>
    <w:p>
      <w:pPr>
        <w:pStyle w:val="Author"/>
      </w:pPr>
      <w:r>
        <w:t xml:space="preserve">Department of Psychology, University of California, Riverside</w:t>
      </w:r>
    </w:p>
    <w:p>
      <w:pPr>
        <w:pStyle w:val="BodyText"/>
      </w:pPr>
      <w:r>
        <w:t xml:space="preserve"> </w:t>
      </w:r>
    </w:p>
    <w:p>
      <w:pPr>
        <w:pStyle w:val="BodyText"/>
      </w:pPr>
      <w:r>
        <w:t xml:space="preserve"> </w:t>
      </w:r>
    </w:p>
    <w:bookmarkEnd w:id="22"/>
    <w:bookmarkStart w:id="30" w:name="author-note"/>
    <w:p>
      <w:pPr>
        <w:pStyle w:val="Heading1"/>
      </w:pPr>
      <w:r>
        <w:t xml:space="preserve">Author Note</w:t>
      </w:r>
    </w:p>
    <w:p>
      <w:pPr>
        <w:pStyle w:val="FirstParagraph"/>
      </w:pPr>
      <w:r>
        <w:t xml:space="preserve">John M. Franchak</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https://orcid.org/0000-0002-0751-2864</w:t>
        </w:r>
      </w:hyperlink>
    </w:p>
    <w:p>
      <w:pPr>
        <w:pStyle w:val="BodyText"/>
      </w:pPr>
      <w:r>
        <w:t xml:space="preserve">Correspondence concerning this article should be addressed to John M. Franchak, Department of Psychology, University of California, Riverside, 900 University Avenue, Riverside, CA 92521, USA, Email:</w:t>
      </w:r>
      <w:r>
        <w:t xml:space="preserve"> </w:t>
      </w:r>
      <w:hyperlink r:id="rId29">
        <w:r>
          <w:rPr>
            <w:rStyle w:val="Hyperlink"/>
          </w:rPr>
          <w:t xml:space="preserve">franchak@ucr.edu</w:t>
        </w:r>
      </w:hyperlink>
    </w:p>
    <w:p>
      <w:r>
        <w:br w:type="page"/>
      </w:r>
    </w:p>
    <w:bookmarkEnd w:id="30"/>
    <w:bookmarkStart w:id="31" w:name="abstract"/>
    <w:p>
      <w:pPr>
        <w:pStyle w:val="Heading1"/>
      </w:pPr>
      <w:r>
        <w:t xml:space="preserve">Abstract</w:t>
      </w:r>
    </w:p>
    <w:p>
      <w:pPr>
        <w:pStyle w:val="AbstractFirstParagraph"/>
      </w:pPr>
      <w:r>
        <w:t xml:space="preserve">This document is a template.</w:t>
      </w:r>
    </w:p>
    <w:p>
      <w:pPr>
        <w:pStyle w:val="BodyText"/>
      </w:pPr>
      <w:r>
        <w:rPr>
          <w:i/>
          <w:iCs/>
        </w:rPr>
        <w:t xml:space="preserve">Keywords</w:t>
      </w:r>
      <w:r>
        <w:t xml:space="preserve">: Keyword 1, Keyword 2, Keyword 3</w:t>
      </w:r>
    </w:p>
    <w:p>
      <w:r>
        <w:br w:type="page"/>
      </w:r>
    </w:p>
    <w:bookmarkEnd w:id="31"/>
    <w:bookmarkStart w:id="32" w:name="firstheader"/>
    <w:p>
      <w:pPr>
        <w:pStyle w:val="Heading1"/>
      </w:pPr>
      <w:r>
        <w:t xml:space="preserve">Machine Learning Classification of Infants’ Full-Day Movements</w:t>
      </w:r>
    </w:p>
    <w:p>
      <w:pPr>
        <w:pStyle w:val="FirstParagraph"/>
      </w:pPr>
      <w:r>
        <w:t xml:space="preserve">Everyday learning inputs—visual experiences, object interactions, and social exchanges—are filtered through infants’ motor systems. In this chapter, I focus on two aspects of movement: position and restraint. Position refers to the configuration of the body with respect to gravity, such as lying supine on the back, prone on the stomach (whether stationary or crawling), sitting, or standing upright (whether stationary or walking). Infants’ position from moment to moment shapes their view of objects and faces</w:t>
      </w:r>
      <w:r>
        <w:t xml:space="preserve"> </w:t>
      </w:r>
      <w:r>
        <w:t xml:space="preserve">(</w:t>
      </w:r>
      <w:hyperlink w:anchor="ref-KretchFranchak2014">
        <w:r>
          <w:rPr>
            <w:rStyle w:val="Hyperlink"/>
          </w:rPr>
          <w:t xml:space="preserve">Kretch et al., 2014</w:t>
        </w:r>
      </w:hyperlink>
      <w:r>
        <w:t xml:space="preserve">;</w:t>
      </w:r>
      <w:r>
        <w:t xml:space="preserve"> </w:t>
      </w:r>
      <w:hyperlink w:anchor="ref-LuoFranchak2020">
        <w:r>
          <w:rPr>
            <w:rStyle w:val="Hyperlink"/>
          </w:rPr>
          <w:t xml:space="preserve">Luo &amp; Franchak, 2020</w:t>
        </w:r>
      </w:hyperlink>
      <w:r>
        <w:t xml:space="preserve">)</w:t>
      </w:r>
      <w:r>
        <w:t xml:space="preserve">, constrains how they explore objects in their hands</w:t>
      </w:r>
      <w:r>
        <w:t xml:space="preserve"> </w:t>
      </w:r>
      <w:r>
        <w:t xml:space="preserve">(</w:t>
      </w:r>
      <w:hyperlink w:anchor="ref-KretchMarcinowski2022">
        <w:r>
          <w:rPr>
            <w:rStyle w:val="Hyperlink"/>
          </w:rPr>
          <w:t xml:space="preserve">Kretch et al., 2022</w:t>
        </w:r>
      </w:hyperlink>
      <w:r>
        <w:t xml:space="preserve">;</w:t>
      </w:r>
      <w:r>
        <w:t xml:space="preserve"> </w:t>
      </w:r>
      <w:hyperlink w:anchor="ref-SoskaAdolph2014">
        <w:r>
          <w:rPr>
            <w:rStyle w:val="Hyperlink"/>
          </w:rPr>
          <w:t xml:space="preserve">Soska &amp; Adolph, 2014</w:t>
        </w:r>
      </w:hyperlink>
      <w:r>
        <w:t xml:space="preserve">)</w:t>
      </w:r>
      <w:r>
        <w:t xml:space="preserve">, and predicts the frequency of adults’ speech</w:t>
      </w:r>
      <w:r>
        <w:t xml:space="preserve"> </w:t>
      </w:r>
      <w:r>
        <w:t xml:space="preserve">(</w:t>
      </w:r>
      <w:hyperlink w:anchor="ref-RouseyTang2026">
        <w:r>
          <w:rPr>
            <w:rStyle w:val="Hyperlink"/>
          </w:rPr>
          <w:t xml:space="preserve">Rousey et al., 2026</w:t>
        </w:r>
      </w:hyperlink>
      <w:r>
        <w:t xml:space="preserve">)</w:t>
      </w:r>
      <w:r>
        <w:t xml:space="preserve">. Restraint refers to infants’ opportunity to switch positions</w:t>
      </w:r>
      <w:r>
        <w:t xml:space="preserve"> </w:t>
      </w:r>
      <w:r>
        <w:t xml:space="preserve">(</w:t>
      </w:r>
      <w:hyperlink w:anchor="ref-WangRousey2026">
        <w:r>
          <w:rPr>
            <w:rStyle w:val="Hyperlink"/>
          </w:rPr>
          <w:t xml:space="preserve">Wang et al., 2026</w:t>
        </w:r>
      </w:hyperlink>
      <w:r>
        <w:t xml:space="preserve">)</w:t>
      </w:r>
      <w:r>
        <w:t xml:space="preserve">. When infants are restrained, such as held in a caregiver’s arms or strapped into a car seat or high chair, they cannot change positions. When unrestrained, infants can voluntarily switch between positions in their motor skill repertoire. Restraint also shapes everyday learning inputs: Infants have broader views of the environment when carried off the ground</w:t>
      </w:r>
      <w:r>
        <w:t xml:space="preserve"> </w:t>
      </w:r>
      <w:r>
        <w:t xml:space="preserve">(</w:t>
      </w:r>
      <w:hyperlink w:anchor="ref-KretchAdolph2015">
        <w:r>
          <w:rPr>
            <w:rStyle w:val="Hyperlink"/>
          </w:rPr>
          <w:t xml:space="preserve">Kretch &amp; Adolph, 2015</w:t>
        </w:r>
      </w:hyperlink>
      <w:r>
        <w:t xml:space="preserve">)</w:t>
      </w:r>
      <w:r>
        <w:t xml:space="preserve">, but infants have less access to objects</w:t>
      </w:r>
      <w:r>
        <w:t xml:space="preserve"> </w:t>
      </w:r>
      <w:r>
        <w:t xml:space="preserve">(</w:t>
      </w:r>
      <w:hyperlink w:anchor="ref-FranchakKadooka2024">
        <w:r>
          <w:rPr>
            <w:rStyle w:val="Hyperlink"/>
          </w:rPr>
          <w:t xml:space="preserve">Franchak, Kadooka, et al., 2024</w:t>
        </w:r>
      </w:hyperlink>
      <w:r>
        <w:t xml:space="preserve">)</w:t>
      </w:r>
      <w:r>
        <w:t xml:space="preserve"> </w:t>
      </w:r>
      <w:r>
        <w:t xml:space="preserve">and hear less adult speech when restrained</w:t>
      </w:r>
      <w:r>
        <w:t xml:space="preserve"> </w:t>
      </w:r>
      <w:r>
        <w:t xml:space="preserve">(</w:t>
      </w:r>
      <w:hyperlink w:anchor="ref-MalachowskiSalo2023">
        <w:r>
          <w:rPr>
            <w:rStyle w:val="Hyperlink"/>
          </w:rPr>
          <w:t xml:space="preserve">Malachowski et al., 2023</w:t>
        </w:r>
      </w:hyperlink>
      <w:r>
        <w:t xml:space="preserve">)</w:t>
      </w:r>
      <w:r>
        <w:t xml:space="preserve">.</w:t>
      </w:r>
    </w:p>
    <w:p>
      <w:pPr>
        <w:pStyle w:val="BodyText"/>
      </w:pPr>
      <w:r>
        <w:t xml:space="preserve">Thus, infants’ opportunities for learning depending on how much time they spend in different positions and restraint in everyday life, which vary according to infants’ age, motor skill development, and caregiving choices. With age, infants spend less time supine and restrained and spend more time sitting and standing</w:t>
      </w:r>
      <w:r>
        <w:t xml:space="preserve"> </w:t>
      </w:r>
      <w:r>
        <w:t xml:space="preserve">(</w:t>
      </w:r>
      <w:hyperlink w:anchor="ref-Franchak2019aa">
        <w:r>
          <w:rPr>
            <w:rStyle w:val="Hyperlink"/>
          </w:rPr>
          <w:t xml:space="preserve">Franchak, 2019</w:t>
        </w:r>
      </w:hyperlink>
      <w:r>
        <w:t xml:space="preserve">;</w:t>
      </w:r>
      <w:r>
        <w:t xml:space="preserve"> </w:t>
      </w:r>
      <w:hyperlink w:anchor="ref-FranchakKadooka2024">
        <w:r>
          <w:rPr>
            <w:rStyle w:val="Hyperlink"/>
          </w:rPr>
          <w:t xml:space="preserve">Franchak, Kadooka, et al., 2024</w:t>
        </w:r>
      </w:hyperlink>
      <w:r>
        <w:t xml:space="preserve">;</w:t>
      </w:r>
      <w:r>
        <w:t xml:space="preserve"> </w:t>
      </w:r>
      <w:hyperlink w:anchor="ref-FranchakRousey2026">
        <w:r>
          <w:rPr>
            <w:rStyle w:val="Hyperlink"/>
          </w:rPr>
          <w:t xml:space="preserve">Franchak, Rousey, et al., 2026</w:t>
        </w:r>
      </w:hyperlink>
      <w:r>
        <w:t xml:space="preserve">;</w:t>
      </w:r>
      <w:r>
        <w:t xml:space="preserve"> </w:t>
      </w:r>
      <w:hyperlink w:anchor="ref-KretchLuna2025">
        <w:r>
          <w:rPr>
            <w:rStyle w:val="Hyperlink"/>
          </w:rPr>
          <w:t xml:space="preserve">Kretch et al., 2025</w:t>
        </w:r>
      </w:hyperlink>
      <w:r>
        <w:t xml:space="preserve">)</w:t>
      </w:r>
      <w:r>
        <w:t xml:space="preserve">. Infants who can sit independently spend more time sitting unrestrained</w:t>
      </w:r>
      <w:r>
        <w:t xml:space="preserve"> </w:t>
      </w:r>
      <w:r>
        <w:t xml:space="preserve">(</w:t>
      </w:r>
      <w:hyperlink w:anchor="ref-KretchLuna2025">
        <w:r>
          <w:rPr>
            <w:rStyle w:val="Hyperlink"/>
          </w:rPr>
          <w:t xml:space="preserve">Kretch et al., 2025</w:t>
        </w:r>
      </w:hyperlink>
      <w:r>
        <w:t xml:space="preserve">)</w:t>
      </w:r>
      <w:r>
        <w:t xml:space="preserve">, and infants who can walk independently spend more time standing upright</w:t>
      </w:r>
      <w:r>
        <w:t xml:space="preserve"> </w:t>
      </w:r>
      <w:r>
        <w:t xml:space="preserve">(</w:t>
      </w:r>
      <w:hyperlink w:anchor="ref-FranchakRousey2026">
        <w:r>
          <w:rPr>
            <w:rStyle w:val="Hyperlink"/>
          </w:rPr>
          <w:t xml:space="preserve">Franchak, Rousey, et al., 2026</w:t>
        </w:r>
      </w:hyperlink>
      <w:r>
        <w:t xml:space="preserve">)</w:t>
      </w:r>
      <w:r>
        <w:t xml:space="preserve">. Despite these developmental trends, there are considerable individual differences that likely depend on caregiving practices and daily routines. Whereas some caregivers may choose to more often use specialized devices likes swings, jumpers, and exersaucers</w:t>
      </w:r>
      <w:r>
        <w:t xml:space="preserve"> </w:t>
      </w:r>
      <w:r>
        <w:t xml:space="preserve">(</w:t>
      </w:r>
      <w:hyperlink w:anchor="ref-CallahanSisler1997">
        <w:r>
          <w:rPr>
            <w:rStyle w:val="Hyperlink"/>
          </w:rPr>
          <w:t xml:space="preserve">Callahan &amp; Sisler, 1997</w:t>
        </w:r>
      </w:hyperlink>
      <w:r>
        <w:t xml:space="preserve">;</w:t>
      </w:r>
      <w:r>
        <w:t xml:space="preserve"> </w:t>
      </w:r>
      <w:hyperlink w:anchor="ref-KarasikKuchirko2022">
        <w:r>
          <w:rPr>
            <w:rStyle w:val="Hyperlink"/>
          </w:rPr>
          <w:t xml:space="preserve">Karasik et al., 2022</w:t>
        </w:r>
      </w:hyperlink>
      <w:r>
        <w:t xml:space="preserve">)</w:t>
      </w:r>
      <w:r>
        <w:t xml:space="preserve">, others may more often choose to hold infants in their arms or position infants on the floor. Caregivers’ choices about daily activities, such as errands and meals, also matter: Infants spend more time restrained when out of the house on errands and during mealtime</w:t>
      </w:r>
      <w:r>
        <w:t xml:space="preserve"> </w:t>
      </w:r>
      <w:r>
        <w:t xml:space="preserve">(</w:t>
      </w:r>
      <w:hyperlink w:anchor="ref-FranchakFord2026">
        <w:r>
          <w:rPr>
            <w:rStyle w:val="Hyperlink"/>
          </w:rPr>
          <w:t xml:space="preserve">Franchak, Ford, et al., 2026</w:t>
        </w:r>
      </w:hyperlink>
      <w:r>
        <w:t xml:space="preserve">)</w:t>
      </w:r>
      <w:r>
        <w:t xml:space="preserve">.</w:t>
      </w:r>
    </w:p>
    <w:p>
      <w:pPr>
        <w:pStyle w:val="BodyText"/>
      </w:pPr>
      <w:r>
        <w:t xml:space="preserve">Consequently, position and restraint are distributed heterogeneously throughout the day</w:t>
      </w:r>
      <w:r>
        <w:t xml:space="preserve"> </w:t>
      </w:r>
      <w:r>
        <w:t xml:space="preserve">(</w:t>
      </w:r>
      <w:hyperlink w:anchor="ref-FranchakTang2024">
        <w:r>
          <w:rPr>
            <w:rStyle w:val="Hyperlink"/>
          </w:rPr>
          <w:t xml:space="preserve">Franchak, Tang, et al., 2024</w:t>
        </w:r>
      </w:hyperlink>
      <w:r>
        <w:t xml:space="preserve">;</w:t>
      </w:r>
      <w:r>
        <w:t xml:space="preserve"> </w:t>
      </w:r>
      <w:hyperlink w:anchor="ref-FranchakRousey2026">
        <w:r>
          <w:rPr>
            <w:rStyle w:val="Hyperlink"/>
          </w:rPr>
          <w:t xml:space="preserve">Franchak, Rousey, et al., 2026</w:t>
        </w:r>
      </w:hyperlink>
      <w:r>
        <w:t xml:space="preserve">)</w:t>
      </w:r>
      <w:r>
        <w:t xml:space="preserve">. An hour spent playing might involve a long bout of time unrestrained during which the infant switches between sitting, prone, and standing positions. An hour spent eating a meal might involve a continuous bout of sitting while restrained in a high chair. An hour spent playing, fussing, and nursing could involve frequent switches between laying on the couch, crawling on the floor, and being held in caregivers’ arms. This poses a challenge for researchers who wish to measure everyday position and restraint, because sampling any single hour might fail to capture the full variation in movement across a day. Most video observations of infants’ home behavior sample 1-2 hours at most</w:t>
      </w:r>
      <w:r>
        <w:t xml:space="preserve"> </w:t>
      </w:r>
      <w:r>
        <w:t xml:space="preserve">(e.g.,</w:t>
      </w:r>
      <w:r>
        <w:t xml:space="preserve"> </w:t>
      </w:r>
      <w:hyperlink w:anchor="ref-HerzbergFletcher2021">
        <w:r>
          <w:rPr>
            <w:rStyle w:val="Hyperlink"/>
          </w:rPr>
          <w:t xml:space="preserve">Herzberg et al., 2021</w:t>
        </w:r>
      </w:hyperlink>
      <w:r>
        <w:t xml:space="preserve">)</w:t>
      </w:r>
      <w:r>
        <w:t xml:space="preserve">, meaning that other parts of the daily routine go unobserved. Capturing a full waking day of infants’ movements on video would also mean labor-intensive video coding, which could take as many as 5 hours per hour video to annotate</w:t>
      </w:r>
      <w:r>
        <w:t xml:space="preserve"> </w:t>
      </w:r>
      <w:r>
        <w:t xml:space="preserve">(</w:t>
      </w:r>
      <w:hyperlink w:anchor="ref-FranchakTang2024">
        <w:r>
          <w:rPr>
            <w:rStyle w:val="Hyperlink"/>
          </w:rPr>
          <w:t xml:space="preserve">Franchak, Tang, et al., 2024</w:t>
        </w:r>
      </w:hyperlink>
      <w:r>
        <w:t xml:space="preserve">)</w:t>
      </w:r>
      <w:r>
        <w:t xml:space="preserve">.</w:t>
      </w:r>
    </w:p>
    <w:p>
      <w:pPr>
        <w:pStyle w:val="BodyText"/>
      </w:pPr>
      <w:r>
        <w:t xml:space="preserve">Categorizing infant movement from wearable sensors provides an alternative to video that is well-suited to collecting full-day behavior in the home. Customized sensor garments that embed one or more inertial movement units (IMUs) into infant leggings or</w:t>
      </w:r>
      <w:r>
        <w:t xml:space="preserve"> </w:t>
      </w:r>
      <w:r>
        <w:t xml:space="preserve">“onesies”</w:t>
      </w:r>
      <w:r>
        <w:t xml:space="preserve"> </w:t>
      </w:r>
      <w:r>
        <w:t xml:space="preserve">can be worn for an entire day or multiple days, recording temporally-rich data wherever the infant goes</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GreenspanCunha2021">
        <w:r>
          <w:rPr>
            <w:rStyle w:val="Hyperlink"/>
          </w:rPr>
          <w:t xml:space="preserve">Greenspan et al., 2021</w:t>
        </w:r>
      </w:hyperlink>
      <w:r>
        <w:t xml:space="preserve">;</w:t>
      </w:r>
      <w:r>
        <w:t xml:space="preserve"> </w:t>
      </w:r>
      <w:hyperlink w:anchor="ref-McElwainFisher2024">
        <w:r>
          <w:rPr>
            <w:rStyle w:val="Hyperlink"/>
          </w:rPr>
          <w:t xml:space="preserve">McElwain et al., 2024</w:t>
        </w:r>
      </w:hyperlink>
      <w:r>
        <w:t xml:space="preserve">)</w:t>
      </w:r>
      <w:r>
        <w:t xml:space="preserve">. Collecting and annotating a relatively small amount of ground truth video has allowed researchers to train machine learning models that categorize infant position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holding/restraint</w:t>
      </w:r>
      <w:r>
        <w:t xml:space="preserve"> </w:t>
      </w:r>
      <w:r>
        <w:t xml:space="preserve">(</w:t>
      </w:r>
      <w:hyperlink w:anchor="ref-AiraksinenGallen2022">
        <w:r>
          <w:rPr>
            <w:rStyle w:val="Hyperlink"/>
          </w:rPr>
          <w:t xml:space="preserve">Airaksinen et al., 2022</w:t>
        </w:r>
      </w:hyperlink>
      <w:r>
        <w:t xml:space="preserve">;</w:t>
      </w:r>
      <w:r>
        <w:t xml:space="preserve"> </w:t>
      </w:r>
      <w:hyperlink w:anchor="ref-WangRousey2026">
        <w:r>
          <w:rPr>
            <w:rStyle w:val="Hyperlink"/>
          </w:rPr>
          <w:t xml:space="preserve">Wang et al., 2026</w:t>
        </w:r>
      </w:hyperlink>
      <w:r>
        <w:t xml:space="preserve">;</w:t>
      </w:r>
      <w:r>
        <w:t xml:space="preserve"> </w:t>
      </w:r>
      <w:hyperlink w:anchor="ref-YaoPlotz2019">
        <w:r>
          <w:rPr>
            <w:rStyle w:val="Hyperlink"/>
          </w:rPr>
          <w:t xml:space="preserve">Yao et al., 2019</w:t>
        </w:r>
      </w:hyperlink>
      <w:r>
        <w:t xml:space="preserve">)</w:t>
      </w:r>
      <w:r>
        <w:t xml:space="preserve"> </w:t>
      </w:r>
      <w:r>
        <w:t xml:space="preserve">from the IMU signals.</w:t>
      </w:r>
    </w:p>
    <w:p>
      <w:pPr>
        <w:pStyle w:val="BodyText"/>
      </w:pPr>
      <w:r>
        <w:t xml:space="preserve">In the remainder of this chapter, I describe how to collect wearable sensor data, process and train machine learning models, and evaluate model accuracy for infant movement detection in the home. Although I focus on the workflow developed in my lab for categorizing infant position and restraint</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the approach could be extended to categorize other movements across different participant populations. Indeed, the same workflow has allowed us to train models to categorize when infants’ adult caregivers are standing upright throughout the day. I end the chapter with a review of current and future applications that can leverage full-day wearable sensor detection of natural movement.</w:t>
      </w:r>
    </w:p>
    <w:bookmarkEnd w:id="32"/>
    <w:bookmarkStart w:id="36" w:name="data-collection"/>
    <w:p>
      <w:pPr>
        <w:pStyle w:val="Heading1"/>
      </w:pPr>
      <w:r>
        <w:t xml:space="preserve">Data Collection</w:t>
      </w:r>
    </w:p>
    <w:p>
      <w:pPr>
        <w:pStyle w:val="FirstParagraph"/>
      </w:pPr>
      <w:r>
        <w:t xml:space="preserve">The first studies categorizing infant movement from wearable sensors tested infants in brief (15-60 minute), supervised observations in controlled laboratory settings where the entire session was video-recorded for ground truth validation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Scott2021">
        <w:r>
          <w:rPr>
            <w:rStyle w:val="Hyperlink"/>
          </w:rPr>
          <w:t xml:space="preserve">Franchak et al., 2021</w:t>
        </w:r>
      </w:hyperlink>
      <w:r>
        <w:t xml:space="preserve">)</w:t>
      </w:r>
      <w:r>
        <w:t xml:space="preserve">. Here, I highlight the methodological challenges of later studies that collected data in participants’ homes across the full day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Whereas laboratory observations mostly focus on infant and locomotor play, testing across a day in the home requires models that can handle a wide range of behaviors beyond play, such as bouts of time spent held and restrained. Full days are too long to exhaustively video record, so data collection begins in the morning with the infant wearing the sensor garment during a video recorded segment for model training/validation, which is followed by a sensor-only recording that captures infants’ movements until they go to sleep at the end of the day.</w:t>
      </w:r>
    </w:p>
    <w:bookmarkStart w:id="33" w:name="sensor-garment"/>
    <w:p>
      <w:pPr>
        <w:pStyle w:val="Heading2"/>
      </w:pPr>
      <w:r>
        <w:t xml:space="preserve">Sensor Garment</w:t>
      </w:r>
    </w:p>
    <w:p>
      <w:pPr>
        <w:pStyle w:val="FirstParagraph"/>
      </w:pPr>
      <w:r>
        <w:t xml:space="preserve">Collecting full-day data requires infants to be able to comfortably wear the sensors wherever they go, which means embedding the IMUs into a sensor garment. The sensor garment must be snug against the body to ensure that IMUs only pick up movements of the infant’s body and that IMUs remain in the same anatomical location. For example, a poorly designed sensor garment that allowed an ankle sensor to bounce while the infant walked or could slide from the medial to lateral surface of the ankle across the day would be difficult to robustly model. Different labs have arrived at different solutions for sensor garments and placement.</w:t>
      </w:r>
      <w:r>
        <w:t xml:space="preserve"> </w:t>
      </w:r>
      <w:r>
        <w:t xml:space="preserve">Airaksinen et al. (</w:t>
      </w:r>
      <w:hyperlink w:anchor="ref-AiraksinenGallen2022">
        <w:r>
          <w:rPr>
            <w:rStyle w:val="Hyperlink"/>
          </w:rPr>
          <w:t xml:space="preserve">2022</w:t>
        </w:r>
      </w:hyperlink>
      <w:r>
        <w:t xml:space="preserve">)</w:t>
      </w:r>
      <w:r>
        <w:t xml:space="preserve"> </w:t>
      </w:r>
      <w:r>
        <w:t xml:space="preserve">place sensors on the upper segments of infants’ left and right arms and thighs in a onesie. Our lab embeds sensors on infants’ left and right ankles and hips in a pair of snug leggings</w:t>
      </w:r>
      <w:r>
        <w:t xml:space="preserve"> </w:t>
      </w:r>
      <w:r>
        <w:t xml:space="preserve">(</w:t>
      </w:r>
      <w:hyperlink w:anchor="ref-FranchakTang2024">
        <w:r>
          <w:rPr>
            <w:rStyle w:val="Hyperlink"/>
          </w:rPr>
          <w:t xml:space="preserve">Franchak, Tang, et al., 2024</w:t>
        </w:r>
      </w:hyperlink>
      <w:r>
        <w:t xml:space="preserve">)</w:t>
      </w:r>
      <w:r>
        <w:t xml:space="preserve">. Securely fastening the sensors in pockets or with snaps prevents infants from handling sensors, which could be unsafe. As we discuss below, both types of placement can yield accurate results. However, different placements mean that models are not interoperable; each model is specific to the number and locations of sensors used at training.</w:t>
      </w:r>
    </w:p>
    <w:p>
      <w:pPr>
        <w:pStyle w:val="BodyText"/>
      </w:pPr>
      <w:r>
        <w:t xml:space="preserve">Choosing the number of sensors means balancing costs and benefits. It is more expensive and more complicated to use more sensors, but gathering data from different anatomical locations yields more accurate models. For example, we found that model accuracy decreased from XX to XX when using 4 sensors compared to only a single sensor</w:t>
      </w:r>
      <w:r>
        <w:t xml:space="preserve"> </w:t>
      </w:r>
      <w:r>
        <w:t xml:space="preserve">(</w:t>
      </w:r>
      <w:hyperlink w:anchor="ref-FranchakTang2024">
        <w:r>
          <w:rPr>
            <w:rStyle w:val="Hyperlink"/>
          </w:rPr>
          <w:t xml:space="preserve">Franchak, Tang, et al., 2024</w:t>
        </w:r>
      </w:hyperlink>
      <w:r>
        <w:t xml:space="preserve">)</w:t>
      </w:r>
      <w:r>
        <w:t xml:space="preserve"> </w:t>
      </w:r>
      <w:r>
        <w:t xml:space="preserve">and</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WHAT. Sensor modalities also matter. Many inertial movement units record both linear acceleration and rotational velocity from a gyroscope.</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that models that incorporate both accelerometer and gyroscope data outperform acceleration-only models. Other aspects of the sensors, such as sampling rate, are less impactful.</w:t>
      </w:r>
    </w:p>
    <w:p>
      <w:pPr>
        <w:pStyle w:val="BodyText"/>
      </w:pPr>
      <w:r>
        <w:t xml:space="preserve">We have used two IMUs models across different investigations, the now-discontinued MC10 Biostamp sensor</w:t>
      </w:r>
      <w:r>
        <w:t xml:space="preserve"> </w:t>
      </w:r>
      <w:r>
        <w:t xml:space="preserve">(</w:t>
      </w:r>
      <w:hyperlink w:anchor="ref-FranchakTang2024">
        <w:r>
          <w:rPr>
            <w:rStyle w:val="Hyperlink"/>
          </w:rPr>
          <w:t xml:space="preserve">Franchak, Tang, et al., 2024</w:t>
        </w:r>
      </w:hyperlink>
      <w:r>
        <w:t xml:space="preserve">)</w:t>
      </w:r>
      <w:r>
        <w:t xml:space="preserve"> </w:t>
      </w:r>
      <w:r>
        <w:t xml:space="preserve">and the Axivity AX6 sensor</w:t>
      </w:r>
      <w:r>
        <w:t xml:space="preserve"> </w:t>
      </w:r>
      <w:r>
        <w:t xml:space="preserve">(</w:t>
      </w:r>
      <w:hyperlink w:anchor="ref-KretchEnriques2026">
        <w:r>
          <w:rPr>
            <w:rStyle w:val="Hyperlink"/>
          </w:rPr>
          <w:t xml:space="preserve">Kretch et al., 2026</w:t>
        </w:r>
      </w:hyperlink>
      <w:r>
        <w:t xml:space="preserve">)</w:t>
      </w:r>
      <w:r>
        <w:t xml:space="preserve">. Each sensor records triaxial acceleration and gyroscope data at at high sampling rate (e.g., 50 Hz), with sufficiently long battery life and onboard storage to capture data across an entire day (or in the case of Axivity, up to an entire week). Small form factors and light weight allow each sensor to be worn across an entire day in a pair of leggings without protruding from the body. Other commercially-available sensors, such as those meant to be worn on adults’ wrists, are bulky and contain LCD secreens that make them unsuitable to embed in a garment.</w:t>
      </w:r>
    </w:p>
    <w:bookmarkEnd w:id="33"/>
    <w:bookmarkStart w:id="34" w:name="capturing-ground-truth-video"/>
    <w:p>
      <w:pPr>
        <w:pStyle w:val="Heading2"/>
      </w:pPr>
      <w:r>
        <w:t xml:space="preserve">Capturing Ground Truth Video</w:t>
      </w:r>
    </w:p>
    <w:p>
      <w:pPr>
        <w:pStyle w:val="FirstParagraph"/>
      </w:pPr>
      <w:r>
        <w:t xml:space="preserve">Training and validating a supervised machine learning model requires ground truth data. For infant position and restraint, we video record the first 1-3 hours of each session using a tripod-mounted action camera (e.g., GoPro) that caregivers can move from room to room to capture infants’ movements. Trained human coders annotate the videos to classify each moment’s position (held, supine, prone, sitting, or standing) and restraint category (restrained or unrestrained). Synchronizing the video codes to the sensor time series allows later model training and testing. As described previously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dropping the sensor garment in view of the video camera and allowing it to sit at rest for a defined interval, such as 30 s, allows researchers to identify what moment in the IMU time series corresponds to the video annotations to synchronize across recording devices. Times where the infant out of the field of view of the camera are excluded from model training/validation.</w:t>
      </w:r>
    </w:p>
    <w:bookmarkEnd w:id="34"/>
    <w:bookmarkStart w:id="35" w:name="full-day-or-multiple-day-considerations"/>
    <w:p>
      <w:pPr>
        <w:pStyle w:val="Heading2"/>
      </w:pPr>
      <w:r>
        <w:t xml:space="preserve">Full-Day or Multiple-Day Considerations</w:t>
      </w:r>
    </w:p>
    <w:p>
      <w:pPr>
        <w:pStyle w:val="FirstParagraph"/>
      </w:pPr>
      <w:r>
        <w:t xml:space="preserve">Unlike laboratory studies, which can be scheduled to ideally avoid infant’s naps and bath times, capturing full-day data means that there are necessary interruptions to sensor recording. Machine learning models attempt to predict the best category for every data point recorded by sensors, which means they will attempt to label times where the sensor garment is crumpled on the floor while the infant takes a bath. Thus, it is important to distinguish when infants are wearing the sensors to make predictions only during those times. Our approach is to ask caregivers to log the beginning and end of every nap and any other time that infants are not wearing the leggings, such as diaper changes and baths. Caregivers also remove the leggings and log any times that they leave the house (e.g., trips to the grocery store or walks around the neighborhood). Although it is possible for infants to wear the leggings out of the home, current models are not validated to distinguish transport behaviors such as riding in a car or stroller.</w:t>
      </w:r>
    </w:p>
    <w:p>
      <w:pPr>
        <w:pStyle w:val="BodyText"/>
      </w:pPr>
      <w:r>
        <w:t xml:space="preserve">Thus, the full recording time from when infants first put on the leggings until they take them off before bedtime is longer than the amount of usable data when infants are awake and wearing the sensors. In our past work, we recorded 136 sessions from 67 infants in hopes of capturing the full waking day</w:t>
      </w:r>
      <w:r>
        <w:t xml:space="preserve"> </w:t>
      </w:r>
      <w:r>
        <w:t xml:space="preserve">(for a more detailed description of the dataset, see</w:t>
      </w:r>
      <w:r>
        <w:t xml:space="preserve"> </w:t>
      </w:r>
      <w:hyperlink w:anchor="ref-RouseyTang2026">
        <w:r>
          <w:rPr>
            <w:rStyle w:val="Hyperlink"/>
          </w:rPr>
          <w:t xml:space="preserve">Rousey et al., 2026</w:t>
        </w:r>
      </w:hyperlink>
      <w:r>
        <w:t xml:space="preserve">;</w:t>
      </w:r>
      <w:r>
        <w:t xml:space="preserve"> </w:t>
      </w:r>
      <w:hyperlink w:anchor="ref-FranchakRousey2026">
        <w:r>
          <w:rPr>
            <w:rStyle w:val="Hyperlink"/>
          </w:rPr>
          <w:t xml:space="preserve">Franchak, Rousey, et al., 2026</w:t>
        </w:r>
      </w:hyperlink>
      <w:r>
        <w:t xml:space="preserve">)</w:t>
      </w:r>
      <w:r>
        <w:t xml:space="preserve">. Full recording time ranged from 2-12 hours (median = 9.8) and usable data time ranged from 2-10.5 hours (median = 5.8). Shorter usable recording time resulted from long excursions out of the house combined with long naps at home.</w:t>
      </w:r>
    </w:p>
    <w:p>
      <w:pPr>
        <w:pStyle w:val="BodyText"/>
      </w:pPr>
      <w:r>
        <w:t xml:space="preserve">In ongoing work, we are recording multiple days of data from each participant to investigate the day-to-day consistency of motor experiences (NEED IN PREP CITE). Although the Axivity sensors can easily record data for a full week, adding additional days of data collection introduces additional challenges. First, caregivers must switch the sensors into a clean garment each day, which requires clear labels and instructions to ensure that sensors are placed in the correct location and orientation. Second, long recordings can introduce timing drift due to small differences in the internal clocks of each sensor. By creating a synchronization point each morning by asking the caregiver to drop the sensor garment on the floor, we can correct for drift to ensure that the sensors are synchronized.</w:t>
      </w:r>
    </w:p>
    <w:bookmarkEnd w:id="35"/>
    <w:bookmarkEnd w:id="36"/>
    <w:bookmarkStart w:id="40" w:name="data-processing-and-model-training"/>
    <w:p>
      <w:pPr>
        <w:pStyle w:val="Heading1"/>
      </w:pPr>
      <w:r>
        <w:t xml:space="preserve">Data Processing and Model Training</w:t>
      </w:r>
    </w:p>
    <w:bookmarkStart w:id="37" w:name="extracting-motion-features"/>
    <w:p>
      <w:pPr>
        <w:pStyle w:val="Heading2"/>
      </w:pPr>
      <w:r>
        <w:t xml:space="preserve">Extracting Motion Features</w:t>
      </w:r>
    </w:p>
    <w:p>
      <w:pPr>
        <w:pStyle w:val="FirstParagraph"/>
      </w:pPr>
      <w:r>
        <w:t xml:space="preserve">Window size Features Accel vs. gyro features (Airaksinen) alignment of motion features to the actual behavior</w:t>
      </w:r>
    </w:p>
    <w:bookmarkEnd w:id="37"/>
    <w:bookmarkStart w:id="38" w:name="model-training-and-testing"/>
    <w:p>
      <w:pPr>
        <w:pStyle w:val="Heading2"/>
      </w:pPr>
      <w:r>
        <w:t xml:space="preserve">Model Training and Testing</w:t>
      </w:r>
    </w:p>
    <w:p>
      <w:pPr>
        <w:pStyle w:val="FirstParagraph"/>
      </w:pPr>
      <w:r>
        <w:t xml:space="preserve">Individual models vs. group models and generalization LOOCV examples Sensor CP model composition and size examples</w:t>
      </w:r>
    </w:p>
    <w:p>
      <w:pPr>
        <w:pStyle w:val="BodyText"/>
      </w:pPr>
      <w:r>
        <w:t xml:space="preserve">Point to general refs about binary and multi-class categorization Project needs dictate what is relevant for evaluation (overall metrics vs. bouts, absolute time vs. relative time, generalization to new exemplars vs. best prediction of current data)</w:t>
      </w:r>
    </w:p>
    <w:bookmarkEnd w:id="38"/>
    <w:bookmarkStart w:id="39" w:name="X276a1c0c73d22fa31922f71f3e5e966252987ab"/>
    <w:p>
      <w:pPr>
        <w:pStyle w:val="Heading2"/>
      </w:pPr>
      <w:r>
        <w:t xml:space="preserve">Validation of Position and Restraint Models</w:t>
      </w:r>
    </w:p>
    <w:p>
      <w:pPr>
        <w:pStyle w:val="FirstParagraph"/>
      </w:pPr>
      <w:r>
        <w:t xml:space="preserve">Accuracy/kappa Kaya lab paper</w:t>
      </w:r>
    </w:p>
    <w:p>
      <w:pPr>
        <w:pStyle w:val="BodyText"/>
      </w:pPr>
      <w:r>
        <w:t xml:space="preserve">Continuous outcomes (Yao) for prevalence predictions</w:t>
      </w:r>
    </w:p>
    <w:p>
      <w:pPr>
        <w:pStyle w:val="BodyText"/>
      </w:pPr>
      <w:r>
        <w:t xml:space="preserve">Distal comparison</w:t>
      </w:r>
    </w:p>
    <w:p>
      <w:pPr>
        <w:pStyle w:val="BodyText"/>
      </w:pPr>
      <w:r>
        <w:t xml:space="preserve">Bout structure</w:t>
      </w:r>
    </w:p>
    <w:bookmarkEnd w:id="39"/>
    <w:bookmarkEnd w:id="40"/>
    <w:bookmarkStart w:id="41" w:name="applications"/>
    <w:p>
      <w:pPr>
        <w:pStyle w:val="Heading1"/>
      </w:pPr>
      <w:r>
        <w:t xml:space="preserve">Applications</w:t>
      </w:r>
    </w:p>
    <w:p>
      <w:pPr>
        <w:pStyle w:val="FirstParagraph"/>
      </w:pPr>
      <w:r>
        <w:t xml:space="preserve">Mobile health and surveillance (Airaksinen)</w:t>
      </w:r>
    </w:p>
    <w:p>
      <w:pPr>
        <w:pStyle w:val="BodyText"/>
      </w:pPr>
      <w:r>
        <w:t xml:space="preserve">Understanding atypical devel trajectories</w:t>
      </w:r>
    </w:p>
    <w:p>
      <w:pPr>
        <w:pStyle w:val="BodyText"/>
      </w:pPr>
      <w:r>
        <w:t xml:space="preserve">basic time series, dyadic interactions, etc.</w:t>
      </w:r>
    </w:p>
    <w:p>
      <w:pPr>
        <w:pStyle w:val="BodyText"/>
      </w:pPr>
      <w:r>
        <w:t xml:space="preserve">Integration with other sensor modalities</w:t>
      </w:r>
      <w:r>
        <w:t xml:space="preserve"> </w:t>
      </w:r>
      <w:r>
        <w:t xml:space="preserve">Rousey et al. (</w:t>
      </w:r>
      <w:hyperlink w:anchor="ref-RouseyTang2026">
        <w:r>
          <w:rPr>
            <w:rStyle w:val="Hyperlink"/>
          </w:rPr>
          <w:t xml:space="preserve">2026</w:t>
        </w:r>
      </w:hyperlink>
      <w:r>
        <w:t xml:space="preserve">)</w:t>
      </w:r>
      <w:r>
        <w:t xml:space="preserve"> </w:t>
      </w:r>
      <w:r>
        <w:t xml:space="preserve">example.</w:t>
      </w:r>
      <w:r>
        <w:t xml:space="preserve"> </w:t>
      </w:r>
      <w:r>
        <w:t xml:space="preserve">Kaur et al. (</w:t>
      </w:r>
      <w:hyperlink w:anchor="ref-KaurKumar2026">
        <w:r>
          <w:rPr>
            <w:rStyle w:val="Hyperlink"/>
          </w:rPr>
          <w:t xml:space="preserve">2026</w:t>
        </w:r>
      </w:hyperlink>
      <w:r>
        <w:t xml:space="preserve">)</w:t>
      </w:r>
      <w:r>
        <w:t xml:space="preserve"> </w:t>
      </w:r>
      <w:r>
        <w:t xml:space="preserve">review</w:t>
      </w:r>
    </w:p>
    <w:bookmarkEnd w:id="41"/>
    <w:bookmarkStart w:id="77" w:name="references"/>
    <w:p>
      <w:pPr>
        <w:pStyle w:val="Heading1"/>
      </w:pPr>
      <w:r>
        <w:t xml:space="preserve">References</w:t>
      </w:r>
    </w:p>
    <w:bookmarkStart w:id="68" w:name="refs"/>
    <w:bookmarkStart w:id="42" w:name="ref-AiraksinenGallen2022"/>
    <w:p>
      <w:pPr>
        <w:pStyle w:val="Bibliography"/>
      </w:pPr>
      <w:r>
        <w:t xml:space="preserve">Airaksinen, M., Gallen, A., Kivi, A., Vijayakrishnan, P., Häyrinen, T., Ilén, E., Räsänen, O., Haataja, L. M., &amp; Vanhatalo, S. (2022). Intelligent wearable allows out-of-the-lab tracking of developing motor abilities in infants.</w:t>
      </w:r>
      <w:r>
        <w:t xml:space="preserve"> </w:t>
      </w:r>
      <w:r>
        <w:rPr>
          <w:i/>
          <w:iCs/>
        </w:rPr>
        <w:t xml:space="preserve">Communications Medicine</w:t>
      </w:r>
      <w:r>
        <w:t xml:space="preserve">,</w:t>
      </w:r>
      <w:r>
        <w:t xml:space="preserve"> </w:t>
      </w:r>
      <w:r>
        <w:rPr>
          <w:i/>
          <w:iCs/>
        </w:rPr>
        <w:t xml:space="preserve">2</w:t>
      </w:r>
      <w:r>
        <w:t xml:space="preserve">(1), 1–14.</w:t>
      </w:r>
    </w:p>
    <w:bookmarkEnd w:id="42"/>
    <w:bookmarkStart w:id="43" w:name="ref-AiraksinenRasanen2020"/>
    <w:p>
      <w:pPr>
        <w:pStyle w:val="Bibliography"/>
      </w:pPr>
      <w:r>
        <w:t xml:space="preserve">Airaksinen, M., Räsänen, O., Ilén, E., Häyrinen, T., Kivi, A., Marchi, V., Gallen, A., Blom, S., Varhe, A., Kaartinen, N., Haataja, L., &amp; Vanhatalo, S. (2020). Automatic posture and movement tracking of infants with wearable movement sensors.</w:t>
      </w:r>
      <w:r>
        <w:t xml:space="preserve"> </w:t>
      </w:r>
      <w:r>
        <w:rPr>
          <w:i/>
          <w:iCs/>
        </w:rPr>
        <w:t xml:space="preserve">Scientific Reports</w:t>
      </w:r>
      <w:r>
        <w:t xml:space="preserve">,</w:t>
      </w:r>
      <w:r>
        <w:t xml:space="preserve"> </w:t>
      </w:r>
      <w:r>
        <w:rPr>
          <w:i/>
          <w:iCs/>
        </w:rPr>
        <w:t xml:space="preserve">10</w:t>
      </w:r>
      <w:r>
        <w:t xml:space="preserve">(1), 169.</w:t>
      </w:r>
    </w:p>
    <w:bookmarkEnd w:id="43"/>
    <w:bookmarkStart w:id="44" w:name="ref-AiraksinenRasanen2025"/>
    <w:p>
      <w:pPr>
        <w:pStyle w:val="Bibliography"/>
      </w:pPr>
      <w:r>
        <w:t xml:space="preserve">Airaksinen, M., Räsänen, O., &amp; Vanhatalo, S. (2025). Trade-offs between simplifying inertial measurement unit-based movement recordings and the attainability of different levels of analyses: Systematic assessment of method variations.</w:t>
      </w:r>
      <w:r>
        <w:t xml:space="preserve"> </w:t>
      </w:r>
      <w:r>
        <w:rPr>
          <w:i/>
          <w:iCs/>
        </w:rPr>
        <w:t xml:space="preserve">JMIR mHealth and uHealth</w:t>
      </w:r>
      <w:r>
        <w:t xml:space="preserve">,</w:t>
      </w:r>
      <w:r>
        <w:t xml:space="preserve"> </w:t>
      </w:r>
      <w:r>
        <w:rPr>
          <w:i/>
          <w:iCs/>
        </w:rPr>
        <w:t xml:space="preserve">13</w:t>
      </w:r>
      <w:r>
        <w:t xml:space="preserve">(1), e58078.</w:t>
      </w:r>
    </w:p>
    <w:bookmarkEnd w:id="44"/>
    <w:bookmarkStart w:id="45" w:name="ref-CallahanSisler1997"/>
    <w:p>
      <w:pPr>
        <w:pStyle w:val="Bibliography"/>
      </w:pPr>
      <w:r>
        <w:t xml:space="preserve">Callahan, C. W., &amp; Sisler, C. (1997). Use of seating devices in infants too young to sit.</w:t>
      </w:r>
      <w:r>
        <w:t xml:space="preserve"> </w:t>
      </w:r>
      <w:r>
        <w:rPr>
          <w:i/>
          <w:iCs/>
        </w:rPr>
        <w:t xml:space="preserve">Archives of Pediatrics &amp; Adolescent Medicine</w:t>
      </w:r>
      <w:r>
        <w:t xml:space="preserve">,</w:t>
      </w:r>
      <w:r>
        <w:t xml:space="preserve"> </w:t>
      </w:r>
      <w:r>
        <w:rPr>
          <w:i/>
          <w:iCs/>
        </w:rPr>
        <w:t xml:space="preserve">151</w:t>
      </w:r>
      <w:r>
        <w:t xml:space="preserve">(3), 233–235.</w:t>
      </w:r>
    </w:p>
    <w:bookmarkEnd w:id="45"/>
    <w:bookmarkStart w:id="46" w:name="ref-Franchak2019aa"/>
    <w:p>
      <w:pPr>
        <w:pStyle w:val="Bibliography"/>
      </w:pPr>
      <w:r>
        <w:t xml:space="preserve">Franchak, J. M. (2019). Changing opportunities for learning in everyday life: Infant body position over the first year.</w:t>
      </w:r>
      <w:r>
        <w:t xml:space="preserve"> </w:t>
      </w:r>
      <w:r>
        <w:rPr>
          <w:i/>
          <w:iCs/>
        </w:rPr>
        <w:t xml:space="preserve">Infancy</w:t>
      </w:r>
      <w:r>
        <w:t xml:space="preserve">,</w:t>
      </w:r>
      <w:r>
        <w:t xml:space="preserve"> </w:t>
      </w:r>
      <w:r>
        <w:rPr>
          <w:i/>
          <w:iCs/>
        </w:rPr>
        <w:t xml:space="preserve">24</w:t>
      </w:r>
      <w:r>
        <w:t xml:space="preserve">(2), 187–209.</w:t>
      </w:r>
    </w:p>
    <w:bookmarkEnd w:id="46"/>
    <w:bookmarkStart w:id="47" w:name="ref-FranchakFord2026"/>
    <w:p>
      <w:pPr>
        <w:pStyle w:val="Bibliography"/>
      </w:pPr>
      <w:r>
        <w:t xml:space="preserve">Franchak, J. M., Ford, J., Fausey, C. M., &amp; Luna, A. (2026). Infants’ daily routines shape opportunities for perceptual-motor exploration.</w:t>
      </w:r>
      <w:r>
        <w:t xml:space="preserve"> </w:t>
      </w:r>
      <w:r>
        <w:rPr>
          <w:i/>
          <w:iCs/>
        </w:rPr>
        <w:t xml:space="preserve">Developmental Science</w:t>
      </w:r>
      <w:r>
        <w:t xml:space="preserve">,</w:t>
      </w:r>
      <w:r>
        <w:t xml:space="preserve"> </w:t>
      </w:r>
      <w:r>
        <w:rPr>
          <w:i/>
          <w:iCs/>
        </w:rPr>
        <w:t xml:space="preserve">29</w:t>
      </w:r>
      <w:r>
        <w:t xml:space="preserve">(2), e70119.</w:t>
      </w:r>
    </w:p>
    <w:bookmarkEnd w:id="47"/>
    <w:bookmarkStart w:id="48" w:name="ref-FranchakKadooka2024"/>
    <w:p>
      <w:pPr>
        <w:pStyle w:val="Bibliography"/>
      </w:pPr>
      <w:r>
        <w:t xml:space="preserve">Franchak, J. M., Kadooka, K., &amp; Fausey, C. M. (2024). Longitudinal relations between independent walking, body position, and object experiences in home life.</w:t>
      </w:r>
      <w:r>
        <w:t xml:space="preserve"> </w:t>
      </w:r>
      <w:r>
        <w:rPr>
          <w:i/>
          <w:iCs/>
        </w:rPr>
        <w:t xml:space="preserve">Developmental Psychology</w:t>
      </w:r>
      <w:r>
        <w:t xml:space="preserve">,</w:t>
      </w:r>
      <w:r>
        <w:t xml:space="preserve"> </w:t>
      </w:r>
      <w:r>
        <w:rPr>
          <w:i/>
          <w:iCs/>
        </w:rPr>
        <w:t xml:space="preserve">60</w:t>
      </w:r>
      <w:r>
        <w:t xml:space="preserve">(2), 228–242.</w:t>
      </w:r>
    </w:p>
    <w:bookmarkEnd w:id="48"/>
    <w:bookmarkStart w:id="49" w:name="ref-FranchakRousey2026"/>
    <w:p>
      <w:pPr>
        <w:pStyle w:val="Bibliography"/>
      </w:pPr>
      <w:r>
        <w:t xml:space="preserve">Franchak, J. M., Rousey, H. N., &amp; Wang, H. (2026). Natural statistics of infants’ everyday motor experiences relate to sitting and walking development.</w:t>
      </w:r>
      <w:r>
        <w:t xml:space="preserve"> </w:t>
      </w:r>
      <w:r>
        <w:rPr>
          <w:i/>
          <w:iCs/>
        </w:rPr>
        <w:t xml:space="preserve">Developmental Psychology</w:t>
      </w:r>
      <w:r>
        <w:t xml:space="preserve">.</w:t>
      </w:r>
    </w:p>
    <w:bookmarkEnd w:id="49"/>
    <w:bookmarkStart w:id="50" w:name="ref-FranchakScott2021"/>
    <w:p>
      <w:pPr>
        <w:pStyle w:val="Bibliography"/>
      </w:pPr>
      <w:r>
        <w:t xml:space="preserve">Franchak, J. M., Scott, V., &amp; Luo, C. (2021). A contactless method for measuring full-day, naturalistic motor behavior using wearable inertial sensors.</w:t>
      </w:r>
      <w:r>
        <w:t xml:space="preserve"> </w:t>
      </w:r>
      <w:r>
        <w:rPr>
          <w:i/>
          <w:iCs/>
        </w:rPr>
        <w:t xml:space="preserve">Frontiers in Psychology</w:t>
      </w:r>
      <w:r>
        <w:t xml:space="preserve">,</w:t>
      </w:r>
      <w:r>
        <w:t xml:space="preserve"> </w:t>
      </w:r>
      <w:r>
        <w:rPr>
          <w:i/>
          <w:iCs/>
        </w:rPr>
        <w:t xml:space="preserve">12</w:t>
      </w:r>
      <w:r>
        <w:t xml:space="preserve">, 701343.</w:t>
      </w:r>
    </w:p>
    <w:bookmarkEnd w:id="50"/>
    <w:bookmarkStart w:id="51" w:name="ref-FranchakTang2024"/>
    <w:p>
      <w:pPr>
        <w:pStyle w:val="Bibliography"/>
      </w:pPr>
      <w:r>
        <w:t xml:space="preserve">Franchak, J. M., Tang, M., Rousey, H., &amp; Luo, C. (2024). Long-form recording of infant body position in the home using wearable inertial sensors.</w:t>
      </w:r>
      <w:r>
        <w:t xml:space="preserve"> </w:t>
      </w:r>
      <w:r>
        <w:rPr>
          <w:i/>
          <w:iCs/>
        </w:rPr>
        <w:t xml:space="preserve">Behavior Research Methods</w:t>
      </w:r>
      <w:r>
        <w:t xml:space="preserve">,</w:t>
      </w:r>
      <w:r>
        <w:t xml:space="preserve"> </w:t>
      </w:r>
      <w:r>
        <w:rPr>
          <w:i/>
          <w:iCs/>
        </w:rPr>
        <w:t xml:space="preserve">56</w:t>
      </w:r>
      <w:r>
        <w:t xml:space="preserve">(5), 4982–5001.</w:t>
      </w:r>
    </w:p>
    <w:bookmarkEnd w:id="51"/>
    <w:bookmarkStart w:id="52" w:name="ref-GreenspanCunha2021"/>
    <w:p>
      <w:pPr>
        <w:pStyle w:val="Bibliography"/>
      </w:pPr>
      <w:r>
        <w:t xml:space="preserve">Greenspan, B., Cunha, A. B., &amp; Lobo, M. A. (2021). Design and validation of a smart garment to measure positioning practices of parents with young infants.</w:t>
      </w:r>
      <w:r>
        <w:t xml:space="preserve"> </w:t>
      </w:r>
      <w:r>
        <w:rPr>
          <w:i/>
          <w:iCs/>
        </w:rPr>
        <w:t xml:space="preserve">Infant Behavior &amp; Development</w:t>
      </w:r>
      <w:r>
        <w:t xml:space="preserve">,</w:t>
      </w:r>
      <w:r>
        <w:t xml:space="preserve"> </w:t>
      </w:r>
      <w:r>
        <w:rPr>
          <w:i/>
          <w:iCs/>
        </w:rPr>
        <w:t xml:space="preserve">62</w:t>
      </w:r>
      <w:r>
        <w:t xml:space="preserve">, 101530.</w:t>
      </w:r>
    </w:p>
    <w:bookmarkEnd w:id="52"/>
    <w:bookmarkStart w:id="53" w:name="ref-HerzbergFletcher2021"/>
    <w:p>
      <w:pPr>
        <w:pStyle w:val="Bibliography"/>
      </w:pPr>
      <w:r>
        <w:t xml:space="preserve">Herzberg, O., Fletcher, K. K., Schatz, J. L., Adolph, K. E., &amp; Tamis-LeMonda, C. S. (2021). Infant exuberant object play at home: Immense amounts of time-distributed, variable practice.</w:t>
      </w:r>
      <w:r>
        <w:t xml:space="preserve"> </w:t>
      </w:r>
      <w:r>
        <w:rPr>
          <w:i/>
          <w:iCs/>
        </w:rPr>
        <w:t xml:space="preserve">Child Development</w:t>
      </w:r>
      <w:r>
        <w:t xml:space="preserve">.</w:t>
      </w:r>
    </w:p>
    <w:bookmarkEnd w:id="53"/>
    <w:bookmarkStart w:id="54" w:name="ref-KarasikKuchirko2022"/>
    <w:p>
      <w:pPr>
        <w:pStyle w:val="Bibliography"/>
      </w:pPr>
      <w:r>
        <w:t xml:space="preserve">Karasik, L. B., Kuchirko, Y. A., Dodojonova, R., &amp; Elison, J. T. (2022). Comparison of</w:t>
      </w:r>
      <w:r>
        <w:t xml:space="preserve"> </w:t>
      </w:r>
      <w:r>
        <w:t xml:space="preserve">U</w:t>
      </w:r>
      <w:r>
        <w:t xml:space="preserve">.</w:t>
      </w:r>
      <w:r>
        <w:t xml:space="preserve">S</w:t>
      </w:r>
      <w:r>
        <w:t xml:space="preserve">. And tajik infants’ time in containment devices.</w:t>
      </w:r>
      <w:r>
        <w:t xml:space="preserve"> </w:t>
      </w:r>
      <w:r>
        <w:rPr>
          <w:i/>
          <w:iCs/>
        </w:rPr>
        <w:t xml:space="preserve">Infant and Child Development</w:t>
      </w:r>
      <w:r>
        <w:t xml:space="preserve">,</w:t>
      </w:r>
      <w:r>
        <w:t xml:space="preserve"> </w:t>
      </w:r>
      <w:r>
        <w:rPr>
          <w:i/>
          <w:iCs/>
        </w:rPr>
        <w:t xml:space="preserve">31</w:t>
      </w:r>
      <w:r>
        <w:t xml:space="preserve">(4).</w:t>
      </w:r>
    </w:p>
    <w:bookmarkEnd w:id="54"/>
    <w:bookmarkStart w:id="55" w:name="ref-KaurKumar2026"/>
    <w:p>
      <w:pPr>
        <w:pStyle w:val="Bibliography"/>
      </w:pPr>
      <w:r>
        <w:t xml:space="preserve">Kaur, I., Kumar, Y., &amp; Modi, N. (2026). Machine learning and mobile sensing for naturalistic infant behavior (0-36 months): A comprehensive review and research agenda.</w:t>
      </w:r>
      <w:r>
        <w:t xml:space="preserve"> </w:t>
      </w:r>
      <w:r>
        <w:rPr>
          <w:i/>
          <w:iCs/>
        </w:rPr>
        <w:t xml:space="preserve">Infant Behavior &amp; Development</w:t>
      </w:r>
      <w:r>
        <w:t xml:space="preserve">,</w:t>
      </w:r>
      <w:r>
        <w:t xml:space="preserve"> </w:t>
      </w:r>
      <w:r>
        <w:rPr>
          <w:i/>
          <w:iCs/>
        </w:rPr>
        <w:t xml:space="preserve">84</w:t>
      </w:r>
      <w:r>
        <w:t xml:space="preserve">(102217), 102217.</w:t>
      </w:r>
    </w:p>
    <w:bookmarkEnd w:id="55"/>
    <w:bookmarkStart w:id="56" w:name="ref-KretchAdolph2015"/>
    <w:p>
      <w:pPr>
        <w:pStyle w:val="Bibliography"/>
      </w:pPr>
      <w:r>
        <w:t xml:space="preserve">Kretch, K. S., &amp; Adolph, K. E. (2015). Active vision in passive locomotion: Real-world free viewing in infants and adults.</w:t>
      </w:r>
      <w:r>
        <w:t xml:space="preserve"> </w:t>
      </w:r>
      <w:r>
        <w:rPr>
          <w:i/>
          <w:iCs/>
        </w:rPr>
        <w:t xml:space="preserve">Developmental Science</w:t>
      </w:r>
      <w:r>
        <w:t xml:space="preserve">,</w:t>
      </w:r>
      <w:r>
        <w:t xml:space="preserve"> </w:t>
      </w:r>
      <w:r>
        <w:rPr>
          <w:i/>
          <w:iCs/>
        </w:rPr>
        <w:t xml:space="preserve">18</w:t>
      </w:r>
      <w:r>
        <w:t xml:space="preserve">(5), 736–750.</w:t>
      </w:r>
    </w:p>
    <w:bookmarkEnd w:id="56"/>
    <w:bookmarkStart w:id="57" w:name="ref-KretchEnriques2026"/>
    <w:p>
      <w:pPr>
        <w:pStyle w:val="Bibliography"/>
      </w:pPr>
      <w:r>
        <w:t xml:space="preserve">Kretch, K. S., Enriques, F. A., Franchak, J. M., Abney, D. H., Bell, C. A., Jerry, C. M., Lindig, K., &amp; Steffen, G. (2026). Body position classification using wearable sensors in infants with cerebral palsy.</w:t>
      </w:r>
      <w:r>
        <w:t xml:space="preserve"> </w:t>
      </w:r>
      <w:r>
        <w:rPr>
          <w:i/>
          <w:iCs/>
        </w:rPr>
        <w:t xml:space="preserve">Infant Behavior &amp; Development</w:t>
      </w:r>
      <w:r>
        <w:t xml:space="preserve">,</w:t>
      </w:r>
      <w:r>
        <w:t xml:space="preserve"> </w:t>
      </w:r>
      <w:r>
        <w:rPr>
          <w:i/>
          <w:iCs/>
        </w:rPr>
        <w:t xml:space="preserve">84</w:t>
      </w:r>
      <w:r>
        <w:t xml:space="preserve">(102215), 102215.</w:t>
      </w:r>
    </w:p>
    <w:bookmarkEnd w:id="57"/>
    <w:bookmarkStart w:id="58" w:name="ref-KretchFranchak2014"/>
    <w:p>
      <w:pPr>
        <w:pStyle w:val="Bibliography"/>
      </w:pPr>
      <w:r>
        <w:t xml:space="preserve">Kretch, K. S., Franchak, J. M., &amp; Adolph, K. E. (2014). Crawling and walking infants see the world differently.</w:t>
      </w:r>
      <w:r>
        <w:t xml:space="preserve"> </w:t>
      </w:r>
      <w:r>
        <w:rPr>
          <w:i/>
          <w:iCs/>
        </w:rPr>
        <w:t xml:space="preserve">Child Development</w:t>
      </w:r>
      <w:r>
        <w:t xml:space="preserve">,</w:t>
      </w:r>
      <w:r>
        <w:t xml:space="preserve"> </w:t>
      </w:r>
      <w:r>
        <w:rPr>
          <w:i/>
          <w:iCs/>
        </w:rPr>
        <w:t xml:space="preserve">85</w:t>
      </w:r>
      <w:r>
        <w:t xml:space="preserve">(4), 1503–1518.</w:t>
      </w:r>
    </w:p>
    <w:bookmarkEnd w:id="58"/>
    <w:bookmarkStart w:id="59" w:name="ref-KretchLuna2025"/>
    <w:p>
      <w:pPr>
        <w:pStyle w:val="Bibliography"/>
      </w:pPr>
      <w:r>
        <w:t xml:space="preserve">Kretch, K. S., Luna, A., Fausey, C. M., &amp; Franchak, J. M. (2025). Infant sitting status, sitting age, and everyday positioning experience across the transition to independent sitting.</w:t>
      </w:r>
      <w:r>
        <w:t xml:space="preserve"> </w:t>
      </w:r>
      <w:r>
        <w:rPr>
          <w:i/>
          <w:iCs/>
        </w:rPr>
        <w:t xml:space="preserve">Infancy</w:t>
      </w:r>
      <w:r>
        <w:t xml:space="preserve">,</w:t>
      </w:r>
      <w:r>
        <w:t xml:space="preserve"> </w:t>
      </w:r>
      <w:r>
        <w:rPr>
          <w:i/>
          <w:iCs/>
        </w:rPr>
        <w:t xml:space="preserve">30</w:t>
      </w:r>
      <w:r>
        <w:t xml:space="preserve">, e70059.</w:t>
      </w:r>
    </w:p>
    <w:bookmarkEnd w:id="59"/>
    <w:bookmarkStart w:id="60" w:name="ref-KretchMarcinowski2022"/>
    <w:p>
      <w:pPr>
        <w:pStyle w:val="Bibliography"/>
      </w:pPr>
      <w:r>
        <w:t xml:space="preserve">Kretch, K. S., Marcinowski, E. C., Hsu, L.-Y., Koziol, N. A., Harbourne, R. T., Lobo, M. A., &amp; Dusing, S. C. (2022). Opportunities for learning and social interaction in infant sitting: Effects of sitting support, sitting skill, and gross motor delay.</w:t>
      </w:r>
      <w:r>
        <w:t xml:space="preserve"> </w:t>
      </w:r>
      <w:r>
        <w:rPr>
          <w:i/>
          <w:iCs/>
        </w:rPr>
        <w:t xml:space="preserve">Developmental Science</w:t>
      </w:r>
      <w:r>
        <w:t xml:space="preserve">, e13318.</w:t>
      </w:r>
    </w:p>
    <w:bookmarkEnd w:id="60"/>
    <w:bookmarkStart w:id="61" w:name="ref-LuoFranchak2020"/>
    <w:p>
      <w:pPr>
        <w:pStyle w:val="Bibliography"/>
      </w:pPr>
      <w:r>
        <w:t xml:space="preserve">Luo, C., &amp; Franchak, J. M. (2020). Head and body structure infants’ visual experiences during mobile, naturalistic play.</w:t>
      </w:r>
      <w:r>
        <w:t xml:space="preserve"> </w:t>
      </w:r>
      <w:r>
        <w:rPr>
          <w:i/>
          <w:iCs/>
        </w:rPr>
        <w:t xml:space="preserve">PloS One</w:t>
      </w:r>
      <w:r>
        <w:t xml:space="preserve">,</w:t>
      </w:r>
      <w:r>
        <w:t xml:space="preserve"> </w:t>
      </w:r>
      <w:r>
        <w:rPr>
          <w:i/>
          <w:iCs/>
        </w:rPr>
        <w:t xml:space="preserve">15</w:t>
      </w:r>
      <w:r>
        <w:t xml:space="preserve">(11), e0242009.</w:t>
      </w:r>
    </w:p>
    <w:bookmarkEnd w:id="61"/>
    <w:bookmarkStart w:id="62" w:name="ref-MalachowskiSalo2023"/>
    <w:p>
      <w:pPr>
        <w:pStyle w:val="Bibliography"/>
      </w:pPr>
      <w:r>
        <w:t xml:space="preserve">Malachowski, L. G., Salo, V. C., Needham, A. W., &amp; Humphreys, K. L. (2023). Infant placement and language exposure in daily life.</w:t>
      </w:r>
      <w:r>
        <w:t xml:space="preserve"> </w:t>
      </w:r>
      <w:r>
        <w:rPr>
          <w:i/>
          <w:iCs/>
        </w:rPr>
        <w:t xml:space="preserve">Infant and Child Development</w:t>
      </w:r>
      <w:r>
        <w:t xml:space="preserve">.</w:t>
      </w:r>
    </w:p>
    <w:bookmarkEnd w:id="62"/>
    <w:bookmarkStart w:id="63" w:name="ref-McElwainFisher2024"/>
    <w:p>
      <w:pPr>
        <w:pStyle w:val="Bibliography"/>
      </w:pPr>
      <w:r>
        <w:t xml:space="preserve">McElwain, N. L., Fisher, M. C., Nebeker, C., Bodway, J. M., Islam, B., &amp; Hasegawa-Johnson, M. (2024). Evaluating users’ experiences of a child multimodal wearable device: Mixed methods approach.</w:t>
      </w:r>
      <w:r>
        <w:t xml:space="preserve"> </w:t>
      </w:r>
      <w:r>
        <w:rPr>
          <w:i/>
          <w:iCs/>
        </w:rPr>
        <w:t xml:space="preserve">JMIR Human Factors</w:t>
      </w:r>
      <w:r>
        <w:t xml:space="preserve">,</w:t>
      </w:r>
      <w:r>
        <w:t xml:space="preserve"> </w:t>
      </w:r>
      <w:r>
        <w:rPr>
          <w:i/>
          <w:iCs/>
        </w:rPr>
        <w:t xml:space="preserve">11</w:t>
      </w:r>
      <w:r>
        <w:t xml:space="preserve">(1), e49316.</w:t>
      </w:r>
    </w:p>
    <w:bookmarkEnd w:id="63"/>
    <w:bookmarkStart w:id="64" w:name="ref-RouseyTang2026"/>
    <w:p>
      <w:pPr>
        <w:pStyle w:val="Bibliography"/>
      </w:pPr>
      <w:r>
        <w:t xml:space="preserve">Rousey, H. N., Tang, M., Garcia, S., &amp; Franchak, J. M. (2026). Within-day variations in infant body position predict caregiver speech input.</w:t>
      </w:r>
      <w:r>
        <w:t xml:space="preserve"> </w:t>
      </w:r>
      <w:r>
        <w:rPr>
          <w:i/>
          <w:iCs/>
        </w:rPr>
        <w:t xml:space="preserve">Developmental Science</w:t>
      </w:r>
      <w:r>
        <w:t xml:space="preserve">,</w:t>
      </w:r>
      <w:r>
        <w:t xml:space="preserve"> </w:t>
      </w:r>
      <w:r>
        <w:rPr>
          <w:i/>
          <w:iCs/>
        </w:rPr>
        <w:t xml:space="preserve">29</w:t>
      </w:r>
      <w:r>
        <w:t xml:space="preserve">(2), e70120.</w:t>
      </w:r>
    </w:p>
    <w:bookmarkEnd w:id="64"/>
    <w:bookmarkStart w:id="65" w:name="ref-SoskaAdolph2014"/>
    <w:p>
      <w:pPr>
        <w:pStyle w:val="Bibliography"/>
      </w:pPr>
      <w:r>
        <w:t xml:space="preserve">Soska, K. C., &amp; Adolph, K. E. (2014). Postural position constrains multimodal object exploration in infants.</w:t>
      </w:r>
      <w:r>
        <w:t xml:space="preserve"> </w:t>
      </w:r>
      <w:r>
        <w:rPr>
          <w:i/>
          <w:iCs/>
        </w:rPr>
        <w:t xml:space="preserve">Infancy</w:t>
      </w:r>
      <w:r>
        <w:t xml:space="preserve">,</w:t>
      </w:r>
      <w:r>
        <w:t xml:space="preserve"> </w:t>
      </w:r>
      <w:r>
        <w:rPr>
          <w:i/>
          <w:iCs/>
        </w:rPr>
        <w:t xml:space="preserve">19</w:t>
      </w:r>
      <w:r>
        <w:t xml:space="preserve">(2), 138–161.</w:t>
      </w:r>
    </w:p>
    <w:bookmarkEnd w:id="65"/>
    <w:bookmarkStart w:id="66" w:name="ref-WangRousey2026"/>
    <w:p>
      <w:pPr>
        <w:pStyle w:val="Bibliography"/>
      </w:pPr>
      <w:r>
        <w:t xml:space="preserve">Wang, H., Rousey, H. N., &amp; Franchak, J. M. (2026).</w:t>
      </w:r>
      <w:r>
        <w:t xml:space="preserve"> </w:t>
      </w:r>
      <w:r>
        <w:rPr>
          <w:i/>
          <w:iCs/>
        </w:rPr>
        <w:t xml:space="preserve">Quantifying infants’ everyday restrained experiences in the home using wearable inertial sensors</w:t>
      </w:r>
      <w:r>
        <w:t xml:space="preserve">.</w:t>
      </w:r>
    </w:p>
    <w:bookmarkEnd w:id="66"/>
    <w:bookmarkStart w:id="67" w:name="ref-YaoPlotz2019"/>
    <w:p>
      <w:pPr>
        <w:pStyle w:val="Bibliography"/>
      </w:pPr>
      <w:r>
        <w:t xml:space="preserve">Yao, X., Plötz, T., Johnson, M., &amp; Barbaro, K. D. E. (2019). Automated detection of infant holding using wearable sensing: Implications for developmental science and intervention.</w:t>
      </w:r>
      <w:r>
        <w:t xml:space="preserve"> </w:t>
      </w:r>
      <w:r>
        <w:rPr>
          <w:i/>
          <w:iCs/>
        </w:rPr>
        <w:t xml:space="preserve">Proceedings of the ACM on Interactive, Mobile, Wearable and Ubiquitous Technologies</w:t>
      </w:r>
      <w:r>
        <w:t xml:space="preserve">,</w:t>
      </w:r>
      <w:r>
        <w:t xml:space="preserve"> </w:t>
      </w:r>
      <w:r>
        <w:rPr>
          <w:i/>
          <w:iCs/>
        </w:rPr>
        <w:t xml:space="preserve">3</w:t>
      </w:r>
      <w:r>
        <w:t xml:space="preserve">(2).</w:t>
      </w:r>
    </w:p>
    <w:bookmarkEnd w:id="67"/>
    <w:bookmarkEnd w:id="68"/>
    <w:bookmarkStart w:id="72" w:name="fig-timeline"/>
    <w:p>
      <w:pPr>
        <w:pStyle w:val="FigureTitle"/>
      </w:pPr>
      <w:r>
        <w:t xml:space="preserve">Figure 1</w:t>
      </w:r>
    </w:p>
    <w:p>
      <w:pPr>
        <w:pStyle w:val="Caption"/>
      </w:pPr>
      <w:r>
        <w:t xml:space="preserve">Full-day timelines for two infants</w:t>
      </w:r>
    </w:p>
    <w:p>
      <w:pPr>
        <w:pStyle w:val="FigureWithNote"/>
      </w:pPr>
      <w:r>
        <w:drawing>
          <wp:inline>
            <wp:extent cx="5943600" cy="7269398"/>
            <wp:effectExtent b="0" l="0" r="0" t="0"/>
            <wp:docPr descr="" title="" id="70" name="Picture"/>
            <a:graphic>
              <a:graphicData uri="http://schemas.openxmlformats.org/drawingml/2006/picture">
                <pic:pic>
                  <pic:nvPicPr>
                    <pic:cNvPr descr="timelines.png" id="71" name="Picture"/>
                    <pic:cNvPicPr>
                      <a:picLocks noChangeArrowheads="1" noChangeAspect="1"/>
                    </pic:cNvPicPr>
                  </pic:nvPicPr>
                  <pic:blipFill>
                    <a:blip r:embed="rId69"/>
                    <a:stretch>
                      <a:fillRect/>
                    </a:stretch>
                  </pic:blipFill>
                  <pic:spPr bwMode="auto">
                    <a:xfrm>
                      <a:off x="0" y="0"/>
                      <a:ext cx="5943600" cy="7269398"/>
                    </a:xfrm>
                    <a:prstGeom prst="rect">
                      <a:avLst/>
                    </a:prstGeom>
                    <a:noFill/>
                    <a:ln w="9525">
                      <a:noFill/>
                      <a:headEnd/>
                      <a:tailEnd/>
                    </a:ln>
                  </pic:spPr>
                </pic:pic>
              </a:graphicData>
            </a:graphic>
          </wp:inline>
        </w:drawing>
      </w:r>
    </w:p>
    <w:bookmarkEnd w:id="72"/>
    <w:p>
      <w:pPr>
        <w:pStyle w:val="FigureNote"/>
      </w:pPr>
      <w:r>
        <w:rPr>
          <w:i/>
          <w:iCs/>
        </w:rPr>
        <w:t xml:space="preserve">Note</w:t>
      </w:r>
      <w:r>
        <w:t xml:space="preserve">. Full-day timelines of position and restraint for exemplar (A) 9-month-old and (B) 11-month-old infants. Each black rectangle indicates the machine learning model prediction of restrained (top row) and unrestrained (bottom row) positions. Vertical lines mark the start and end times of each recording and gray rectangles signify nap times when data were excluded.</w:t>
      </w:r>
    </w:p>
    <w:p>
      <w:r>
        <w:br w:type="page"/>
      </w:r>
    </w:p>
    <w:bookmarkStart w:id="76" w:name="fig-age"/>
    <w:p>
      <w:pPr>
        <w:pStyle w:val="FigureTitle"/>
      </w:pPr>
      <w:r>
        <w:t xml:space="preserve">Figure 2</w:t>
      </w:r>
    </w:p>
    <w:p>
      <w:pPr>
        <w:pStyle w:val="Caption"/>
      </w:pPr>
      <w:r>
        <w:t xml:space="preserve">Full-day predictions of position and restraint time by age</w:t>
      </w:r>
    </w:p>
    <w:p>
      <w:pPr>
        <w:pStyle w:val="FigureWithNote"/>
      </w:pPr>
      <w:r>
        <w:drawing>
          <wp:inline>
            <wp:extent cx="5943600" cy="4358640"/>
            <wp:effectExtent b="0" l="0" r="0" t="0"/>
            <wp:docPr descr="" title="" id="74" name="Picture"/>
            <a:graphic>
              <a:graphicData uri="http://schemas.openxmlformats.org/drawingml/2006/picture">
                <pic:pic>
                  <pic:nvPicPr>
                    <pic:cNvPr descr="age_figure.png" id="75" name="Picture"/>
                    <pic:cNvPicPr>
                      <a:picLocks noChangeArrowheads="1" noChangeAspect="1"/>
                    </pic:cNvPicPr>
                  </pic:nvPicPr>
                  <pic:blipFill>
                    <a:blip r:embed="rId73"/>
                    <a:stretch>
                      <a:fillRect/>
                    </a:stretch>
                  </pic:blipFill>
                  <pic:spPr bwMode="auto">
                    <a:xfrm>
                      <a:off x="0" y="0"/>
                      <a:ext cx="5943600" cy="43586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Each column shows one position’s time when restrained (top row), unrestrained (middle row) or in total (bottom row). Each point indicates data from one infant’s session. Solid black lines indicate LOESS trends with age in months. Sessions were drawn from studies that used two different inertial sensors with different corresponding models (triangular points indicate Biostamp sensors, circular points indicate Axivity sensors). Data from both models at 7 and 11 months suggest that both models yield similar results.</w:t>
      </w:r>
    </w:p>
    <w:p>
      <w:r>
        <w:br w:type="page"/>
      </w:r>
    </w:p>
    <w:bookmarkEnd w:id="7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73" Target="media/rId73.png" /><Relationship Type="http://schemas.openxmlformats.org/officeDocument/2006/relationships/image" Id="rId26" Target="media/rId26.png" /><Relationship Type="http://schemas.openxmlformats.org/officeDocument/2006/relationships/image" Id="rId69" Target="media/rId69.png" /><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_rels/footnotes.xml.rels><?xml version="1.0" encoding="UTF-8"?><Relationships xmlns="http://schemas.openxmlformats.org/package/2006/relationships"><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CLASSIFYING MOVEMENTS</dc:description>
  <cp:keywords>Keyword 1, Keyword 2, Keyword 3</cp:keywords>
  <dcterms:created xsi:type="dcterms:W3CDTF">2026-07-31T15:55:21Z</dcterms:created>
  <dcterms:modified xsi:type="dcterms:W3CDTF">2026-07-31T15:55:21Z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Machine Learning Classification of Infants’ Full-Day Movements</vt:lpwstr>
  </property>
  <property fmtid="{D5CDD505-2E9C-101B-9397-08002B2CF9AE}" pid="7" name="apatitledisplay">
    <vt:lpwstr>Machine Learning Classification of Infants’ Full-Day Movements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ngine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CLASSIFYING MOVEMENTS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1930</vt:lpwstr>
  </property>
  <property fmtid="{D5CDD505-2E9C-101B-9397-08002B2CF9AE}" pid="63" name="zerocitations">
    <vt:lpwstr>False</vt:lpwstr>
  </property>
</Properties>
</file>