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81.png" ContentType="image/png"/>
  <Override PartName="/word/media/rId26.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by infants’ movements.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provided they have sufficient skill to do so.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 everyday position and restraint times,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of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 reducing the labor costs of measuring long durations of behavior.</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issues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unrestrained play, testing across a day in the home requires models that can handle a wide range of behaviors beyond play, such as bouts of time spent held and restrained. Importantly, because training data based on laboratory behavior are unlikely to generalize to full-day home behavior</w:t>
      </w:r>
      <w:r>
        <w:t xml:space="preserve"> </w:t>
      </w:r>
      <w:r>
        <w:t xml:space="preserve">(</w:t>
      </w:r>
      <w:hyperlink w:anchor="ref-deBarbaroMadden-Rusnak2026aa">
        <w:r>
          <w:rPr>
            <w:rStyle w:val="Hyperlink"/>
          </w:rPr>
          <w:t xml:space="preserve">Barbaro et al., 2026</w:t>
        </w:r>
      </w:hyperlink>
      <w:r>
        <w:t xml:space="preserve">)</w:t>
      </w:r>
      <w:r>
        <w:t xml:space="preserve">, we train and validate models completely based on sensor and video data collected in the home. Full days are too long to exhaustively video record and annotate,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so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placed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Both types of placement yield accurate models.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median model accuracy decreased from 89.4% with four sensors to 70%-85% when using only one of the four sensors</w:t>
      </w:r>
      <w:r>
        <w:t xml:space="preserve"> </w:t>
      </w:r>
      <w:r>
        <w:t xml:space="preserve">(</w:t>
      </w:r>
      <w:hyperlink w:anchor="ref-FranchakTang2024">
        <w:r>
          <w:rPr>
            <w:rStyle w:val="Hyperlink"/>
          </w:rPr>
          <w:t xml:space="preserve">Franchak, Tang, et al., 2024</w:t>
        </w:r>
      </w:hyperlink>
      <w:r>
        <w:t xml:space="preserve">)</w:t>
      </w:r>
      <w:r>
        <w:t xml:space="preserv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similar performance decrements when reducing sensor number. Sensor modalities also matter.</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w:t>
      </w:r>
      <w:r>
        <w:t xml:space="preserve"> </w:t>
      </w:r>
      <w:r>
        <w:t xml:space="preserve">(</w:t>
      </w:r>
      <w:hyperlink w:anchor="ref-PargentSchoedel2022">
        <w:r>
          <w:rPr>
            <w:rStyle w:val="Hyperlink"/>
          </w:rPr>
          <w:t xml:space="preserve">Pargent et al., 2022</w:t>
        </w:r>
      </w:hyperlink>
      <w:r>
        <w:t xml:space="preserve">)</w:t>
      </w:r>
      <w:r>
        <w:t xml:space="preserve">. For infant position and restraint, we video record the first 1-3 hours of each session using a tripod-mounted action camera (e.g., GoPro) that captures infants’ movements. Trained human coders annotate the videos to classify each video frame’s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a reference point in the video to synchronize across recording devices. Times where the infant is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avoid infant’s naps and bath times, capturing full-day data means that there are necessary interruptions to sensor recording. Machine learning models attempt to predict the best category for every data point recorded by sensors, which means they will label times when the sensor garment is crumpled on the floor while the infant takes a bath or when the family left the house. Thus, it is important to identify when infants are wearing the sensors to make predictions only during those times. Our approach is to ask caregivers to log the beginning and end of every nap and any other time that infants are not wearing the leggings, such as diaper changes and baths. The example timelines in</w:t>
      </w:r>
      <w:r>
        <w:t xml:space="preserve"> </w:t>
      </w:r>
      <w:hyperlink w:anchor="fig-timeline">
        <w:r>
          <w:rPr>
            <w:rStyle w:val="Hyperlink"/>
          </w:rPr>
          <w:t xml:space="preserve">Figure 1</w:t>
        </w:r>
      </w:hyperlink>
      <w:r>
        <w:t xml:space="preserve"> </w:t>
      </w:r>
      <w:r>
        <w:t xml:space="preserve">show gray rectangles indicating excluded times based on caregiver logs. Caregivers also remove the leggings and log any times when they leave the house (e.g., trips to the grocery store or walks around the neighborhood). Although it is possible for infants to wear the leggings out of the home, current models are not validated to distinguish transport activities such as riding in a car or stroller.</w:t>
      </w:r>
    </w:p>
    <w:p>
      <w:pPr>
        <w:pStyle w:val="BodyText"/>
      </w:pPr>
      <w:r>
        <w:t xml:space="preserve">Thus, the full recording time from when infants first put on the leggings until they take them off before bedtime (the time between the start and end lines on</w:t>
      </w:r>
      <w:r>
        <w:t xml:space="preserve"> </w:t>
      </w:r>
      <w:hyperlink w:anchor="fig-timeline">
        <w:r>
          <w:rPr>
            <w:rStyle w:val="Hyperlink"/>
          </w:rPr>
          <w:t xml:space="preserve">Figure 1</w:t>
        </w:r>
      </w:hyperlink>
      <w:r>
        <w:t xml:space="preserve">) is longer than the amount of usable data when infants are awake and wearing the sensors (times in</w:t>
      </w:r>
      <w:r>
        <w:t xml:space="preserve"> </w:t>
      </w:r>
      <w:hyperlink w:anchor="fig-timeline">
        <w:r>
          <w:rPr>
            <w:rStyle w:val="Hyperlink"/>
          </w:rPr>
          <w:t xml:space="preserve">Figure 1</w:t>
        </w:r>
      </w:hyperlink>
      <w:r>
        <w:t xml:space="preserve"> </w:t>
      </w:r>
      <w:r>
        <w:t xml:space="preserve">with predictions).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p>
      <w:pPr>
        <w:pStyle w:val="FirstParagraph"/>
      </w:pPr>
      <w:r>
        <w:t xml:space="preserve">After picking up the sensor garment from the family, researchers return to the laboratory to download the raw sensor data and begin data processing. Each of the four sensors records a time series of linear acceleration (X/Y/Z in</w:t>
      </w:r>
      <w:r>
        <w:t xml:space="preserve"> </w:t>
      </w:r>
      <w:r>
        <w:rPr>
          <w:i/>
          <w:iCs/>
        </w:rPr>
        <w:t xml:space="preserve">g</w:t>
      </w:r>
      <w:r>
        <w:t xml:space="preserve">s) and rotational velocity (roll/pitch/yaw in degrees/s) at 50 Hz. We pre-process the data by summarizing the raw data into a time series of motion features that describe sensor movements for pre-specified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restraint</w:t>
      </w:r>
      <w:r>
        <w:t xml:space="preserve"> </w:t>
      </w:r>
      <w:r>
        <w:t xml:space="preserve">(</w:t>
      </w:r>
      <w:hyperlink w:anchor="ref-WangRousey2026">
        <w:r>
          <w:rPr>
            <w:rStyle w:val="Hyperlink"/>
          </w:rPr>
          <w:t xml:space="preserve">Wang et al., 2026</w:t>
        </w:r>
      </w:hyperlink>
      <w:r>
        <w:t xml:space="preserve">)</w:t>
      </w:r>
      <w:r>
        <w:t xml:space="preserve"> </w:t>
      </w:r>
      <w:r>
        <w:t xml:space="preserve">models.</w:t>
      </w:r>
    </w:p>
    <w:bookmarkStart w:id="37" w:name="extracting-motion-features"/>
    <w:p>
      <w:pPr>
        <w:pStyle w:val="Heading2"/>
      </w:pPr>
      <w:r>
        <w:t xml:space="preserve">Extracting Motion Features</w:t>
      </w:r>
    </w:p>
    <w:p>
      <w:pPr>
        <w:pStyle w:val="FirstParagraph"/>
      </w:pPr>
      <w:r>
        <w:t xml:space="preserve">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w:t>
      </w:r>
      <w:r>
        <w:t xml:space="preserve"> </w:t>
      </w:r>
      <w:r>
        <w:t xml:space="preserve">(</w:t>
      </w:r>
      <w:hyperlink w:anchor="ref-NamPark2013">
        <w:r>
          <w:rPr>
            <w:rStyle w:val="Hyperlink"/>
          </w:rPr>
          <w:t xml:space="preserve">Nam &amp; Park, 2013</w:t>
        </w:r>
      </w:hyperlink>
      <w:r>
        <w:t xml:space="preserve">)</w:t>
      </w:r>
      <w:r>
        <w:t xml:space="preserve">, we summarize those 200 samples by calculating a series of single-value statistics for each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neural networks, use different pre-processing steps</w:t>
      </w:r>
      <w:r>
        <w:t xml:space="preserve"> </w:t>
      </w:r>
      <w:r>
        <w:t xml:space="preserve">(see</w:t>
      </w:r>
      <w:r>
        <w:t xml:space="preserve"> </w:t>
      </w:r>
      <w:hyperlink w:anchor="ref-AiraksinenRasanen2020">
        <w:r>
          <w:rPr>
            <w:rStyle w:val="Hyperlink"/>
          </w:rPr>
          <w:t xml:space="preserve">Airaksinen et al., 2020</w:t>
        </w:r>
      </w:hyperlink>
      <w:r>
        <w:t xml:space="preserve">,</w:t>
      </w:r>
      <w:r>
        <w:t xml:space="preserve"> </w:t>
      </w:r>
      <w:hyperlink w:anchor="ref-AiraksinenRasanen2025">
        <w:r>
          <w:rPr>
            <w:rStyle w:val="Hyperlink"/>
          </w:rPr>
          <w:t xml:space="preserve">2025</w:t>
        </w:r>
      </w:hyperlink>
      <w:r>
        <w:t xml:space="preserve">)</w:t>
      </w:r>
      <w:r>
        <w:t xml:space="preserve">.</w:t>
      </w:r>
    </w:p>
    <w:p>
      <w:pPr>
        <w:pStyle w:val="BodyText"/>
      </w:pPr>
      <w:r>
        <w:t xml:space="preserve">The pre-processing steps are important because they determine what information is available to the machine learning model to learn how to classify the categories of interest.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w:t>
      </w:r>
      <w:r>
        <w:t xml:space="preserve"> </w:t>
      </w:r>
      <w:r>
        <w:t xml:space="preserve">Wang et al. (</w:t>
      </w:r>
      <w:hyperlink w:anchor="ref-WangRousey2026">
        <w:r>
          <w:rPr>
            <w:rStyle w:val="Hyperlink"/>
          </w:rPr>
          <w:t xml:space="preserve">2026</w:t>
        </w:r>
      </w:hyperlink>
      <w:r>
        <w:t xml:space="preserve">)</w:t>
      </w:r>
      <w:r>
        <w:t xml:space="preserve">, we found slight differences in restraint modeling performance when comparing between 4 s, 16 s, and 32 s window lengths (87%, 88%, and 89% accuracy, respectively), with longer windows resulting in slightly less bias predictions. Testing multiple window lengths and motion feature sets can allow for performance-driven decisions about pre-processing parameters.</w:t>
      </w:r>
    </w:p>
    <w:bookmarkEnd w:id="37"/>
    <w:bookmarkStart w:id="38" w:name="model-training-and-validation"/>
    <w:p>
      <w:pPr>
        <w:pStyle w:val="Heading2"/>
      </w:pPr>
      <w:r>
        <w:t xml:space="preserve">Model Training and Validation</w:t>
      </w:r>
    </w:p>
    <w:p>
      <w:pPr>
        <w:pStyle w:val="FirstParagraph"/>
      </w:pPr>
      <w:r>
        <w:t xml:space="preserve">Evaluating and building machine learning models requires partitioning data into training and testing sets</w:t>
      </w:r>
      <w:r>
        <w:t xml:space="preserve"> </w:t>
      </w:r>
      <w:r>
        <w:t xml:space="preserve">(</w:t>
      </w:r>
      <w:hyperlink w:anchor="ref-PargentSchoedel2022">
        <w:r>
          <w:rPr>
            <w:rStyle w:val="Hyperlink"/>
          </w:rPr>
          <w:t xml:space="preserve">Pargent et al., 2022</w:t>
        </w:r>
      </w:hyperlink>
      <w:r>
        <w:t xml:space="preserve">)</w:t>
      </w:r>
      <w:r>
        <w:t xml:space="preserve">.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that do not generalize. More robust tests hold out entire participant sessions from the data set to see how well the model can generalize to new cases. In our past work</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we primarily have used leave-one-out cross-validation (LOOCV) in which we rotate through the entire set of participants to hold out each participant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with cerebral palsy, we discovered that models that mix data from infants with cerebral palsy and with typical development outperform models that contain only a single participant group</w:t>
      </w:r>
      <w:r>
        <w:t xml:space="preserve"> </w:t>
      </w:r>
      <w:r>
        <w:t xml:space="preserve">(e.g.,</w:t>
      </w:r>
      <w:r>
        <w:t xml:space="preserve"> </w:t>
      </w:r>
      <w:hyperlink w:anchor="ref-KretchEnriques2026">
        <w:r>
          <w:rPr>
            <w:rStyle w:val="Hyperlink"/>
          </w:rPr>
          <w:t xml:space="preserve">Kretch et al., 2026</w:t>
        </w:r>
      </w:hyperlink>
      <w:r>
        <w:t xml:space="preserve">)</w:t>
      </w:r>
      <w:r>
        <w:t xml:space="preserve">.</w:t>
      </w:r>
    </w:p>
    <w:p>
      <w:pPr>
        <w:pStyle w:val="BodyText"/>
      </w:pPr>
      <w:r>
        <w:t xml:space="preserve">Models can be trained once data are partitioned. We have exclusively used random forest models [</w:t>
      </w:r>
      <w:r>
        <w:t xml:space="preserve">Breiman (</w:t>
      </w:r>
      <w:hyperlink w:anchor="ref-Breiman2001">
        <w:r>
          <w:rPr>
            <w:rStyle w:val="Hyperlink"/>
          </w:rPr>
          <w:t xml:space="preserve">2001</w:t>
        </w:r>
      </w:hyperlink>
      <w:r>
        <w:t xml:space="preserve">)</w:t>
      </w:r>
      <w:r>
        <w:t xml:space="preserve">] in our past work because they perform well in multi-class categorization, are resistant to overfitting, and do not require much tuning compared with other models we considered, such as XGBoost and tabnet. Random forest models are easy to implement in R, Python, or Julia on consumer hardware. Although we tune hyperparameters, such as the number of trees and the number of features to select per split, their values have minimal effect on classification performance (&lt; 1% difference in accuracy).</w:t>
      </w:r>
    </w:p>
    <w:p>
      <w:pPr>
        <w:pStyle w:val="BodyText"/>
      </w:pPr>
      <w:r>
        <w:t xml:space="preserve">Once a model has been trained, it can be used to predict classification labels for new exemplars, such as extending to full-day data or new participants for which no ground truth labels exist.</w:t>
      </w:r>
      <w:r>
        <w:t xml:space="preserve"> </w:t>
      </w:r>
      <w:hyperlink w:anchor="fig-timeline">
        <w:r>
          <w:rPr>
            <w:rStyle w:val="Hyperlink"/>
          </w:rPr>
          <w:t xml:space="preserve">Figure 1</w:t>
        </w:r>
      </w:hyperlink>
      <w:r>
        <w:t xml:space="preserve"> </w:t>
      </w:r>
      <w:r>
        <w:t xml:space="preserve">shows full-day predictions for a 9-month-old and an 11-month-old predicted from a model trained from participants in a different study [i.e.,</w:t>
      </w:r>
      <w:r>
        <w:t xml:space="preserve"> </w:t>
      </w:r>
      <w:r>
        <w:t xml:space="preserve">Kretch et al. (</w:t>
      </w:r>
      <w:hyperlink w:anchor="ref-KretchEnriques2026">
        <w:r>
          <w:rPr>
            <w:rStyle w:val="Hyperlink"/>
          </w:rPr>
          <w:t xml:space="preserve">2026</w:t>
        </w:r>
      </w:hyperlink>
      <w:r>
        <w:t xml:space="preserve">)</w:t>
      </w:r>
      <w:r>
        <w:t xml:space="preserve">].</w:t>
      </w:r>
    </w:p>
    <w:bookmarkEnd w:id="38"/>
    <w:bookmarkStart w:id="39" w:name="X78e19abd4d149dedadadba2104cdf9a13b28027"/>
    <w:p>
      <w:pPr>
        <w:pStyle w:val="Heading2"/>
      </w:pPr>
      <w:r>
        <w:t xml:space="preserve">Performance of Position and Restraint Models</w:t>
      </w:r>
    </w:p>
    <w:p>
      <w:pPr>
        <w:pStyle w:val="FirstParagraph"/>
      </w:pPr>
      <w:r>
        <w:t xml:space="preserve">To date, we have trained position and restraint models on two independent data sets, one that used Biostamp sensors</w:t>
      </w:r>
      <w:r>
        <w:t xml:space="preserve"> </w:t>
      </w:r>
      <w:r>
        <w:t xml:space="preserve">(</w:t>
      </w:r>
      <w:hyperlink w:anchor="ref-FranchakTang2024">
        <w:r>
          <w:rPr>
            <w:rStyle w:val="Hyperlink"/>
          </w:rPr>
          <w:t xml:space="preserve">Franchak, Tang, et al., 2024</w:t>
        </w:r>
      </w:hyperlink>
      <w:r>
        <w:t xml:space="preserve">;</w:t>
      </w:r>
      <w:r>
        <w:t xml:space="preserve"> </w:t>
      </w:r>
      <w:hyperlink w:anchor="ref-WangRousey2026">
        <w:r>
          <w:rPr>
            <w:rStyle w:val="Hyperlink"/>
          </w:rPr>
          <w:t xml:space="preserve">Wang et al., 2026</w:t>
        </w:r>
      </w:hyperlink>
      <w:r>
        <w:t xml:space="preserve">)</w:t>
      </w:r>
      <w:r>
        <w:t xml:space="preserve"> </w:t>
      </w:r>
      <w:r>
        <w:t xml:space="preserve">and one that used the Axivity sensors</w:t>
      </w:r>
      <w:r>
        <w:t xml:space="preserve"> </w:t>
      </w:r>
      <w:r>
        <w:t xml:space="preserve">(</w:t>
      </w:r>
      <w:hyperlink w:anchor="ref-KretchEnriques2026">
        <w:r>
          <w:rPr>
            <w:rStyle w:val="Hyperlink"/>
          </w:rPr>
          <w:t xml:space="preserve">Kretch et al., 2026</w:t>
        </w:r>
      </w:hyperlink>
      <w:r>
        <w:t xml:space="preserve">)</w:t>
      </w:r>
      <w:r>
        <w:t xml:space="preserve">. Aside from the sensor hardware and participants themselves (variation in participant number and ages), all aspects of the procedure were identical across the data sets—sensor placement, ground truth annotation, windowing and motion features pre-processing, LOOCV data partitioning, and random forest modeling. Thus, each model comprises an independent replication of these procedures.</w:t>
      </w:r>
      <w:r>
        <w:t xml:space="preserve"> </w:t>
      </w:r>
      <w:hyperlink w:anchor="fig-age">
        <w:r>
          <w:rPr>
            <w:rStyle w:val="Hyperlink"/>
          </w:rPr>
          <w:t xml:space="preserve">Figure 2</w:t>
        </w:r>
      </w:hyperlink>
      <w:r>
        <w:t xml:space="preserve"> </w:t>
      </w:r>
      <w:r>
        <w:t xml:space="preserve">shows summarized results—daily time spent in each position/restraint combination—by infant age with predictions made from the two different model sets. Moreover, each data set includes infants at 7 and 11 months, allowing direct age-matched comparisons. As</w:t>
      </w:r>
      <w:r>
        <w:t xml:space="preserve"> </w:t>
      </w:r>
      <w:hyperlink w:anchor="fig-age">
        <w:r>
          <w:rPr>
            <w:rStyle w:val="Hyperlink"/>
          </w:rPr>
          <w:t xml:space="preserve">Figure 2</w:t>
        </w:r>
      </w:hyperlink>
      <w:r>
        <w:t xml:space="preserve"> </w:t>
      </w:r>
      <w:r>
        <w:t xml:space="preserve">shows, the summarized data have strong face validity: With age, infants spend less time supine and more time sitting and standing. In particular, older infants spend increasing amounts of time in unrestrained sitting and standing positions as their motor skills develop. More sitting and standing time in younger infants was while restrained, such as when supported by a caregiver or placed in an infant seat or exersaucer. Although the position and restraint models are fully independent of each other, they show strong consistency in that moments were rarely classified as unrestrained and held (by definition, impossible) or restrained and prone (unlikely although possible). Of course, the models are not perfect. The notable outlier session that contains a large amount of restrained holding time is likely a classification error.</w:t>
      </w:r>
    </w:p>
    <w:p>
      <w:pPr>
        <w:pStyle w:val="BodyText"/>
      </w:pPr>
      <w:r>
        <w:t xml:space="preserve">To better evaluate model performance, we compare model predicted classifier outputs against ground truth human annotations for each window in a given testing data set. It is important to assess multiple metrics of classification performance, especially in data sets with imbalanced frequency of categories (e.g., prone is typically rare and sitting is frequent at all ages). Overall accuracy (percentage agreement between human codes and model predictions) can mask poor prediction of low-frequency categories if the model does well at predicting the most frequent ones</w:t>
      </w:r>
      <w:r>
        <w:t xml:space="preserve"> </w:t>
      </w:r>
      <w:r>
        <w:t xml:space="preserve">(</w:t>
      </w:r>
      <w:hyperlink w:anchor="ref-deBarbaroMadden-Rusnak2026aa">
        <w:r>
          <w:rPr>
            <w:rStyle w:val="Hyperlink"/>
          </w:rPr>
          <w:t xml:space="preserve">Barbaro et al., 2026</w:t>
        </w:r>
      </w:hyperlink>
      <w:r>
        <w:t xml:space="preserve">)</w:t>
      </w:r>
      <w:r>
        <w:t xml:space="preserve">. Other metrics, such as Cohen’s kappa, help address class imbalance. Furthermore, by-class metrics quantify how well a model does at detecting true instances of a class (sensitivity) and how likely a prediction of a certain class corresponded with a true event (positive predictive value).</w:t>
      </w:r>
    </w:p>
    <w:p>
      <w:pPr>
        <w:pStyle w:val="BodyText"/>
      </w:pPr>
      <w:hyperlink w:anchor="tbl-metrics">
        <w:r>
          <w:rPr>
            <w:rStyle w:val="Hyperlink"/>
          </w:rPr>
          <w:t xml:space="preserve">Table 1</w:t>
        </w:r>
      </w:hyperlink>
      <w:r>
        <w:t xml:space="preserve"> </w:t>
      </w:r>
      <w:r>
        <w:t xml:space="preserve">summarizes these metrics across the Biostamp and Axivity models of position and restraint by averaging across LOOCV iterations in each data set. Overall, results are consistent across both models with strong accuracy (87%-90%) and kappa values (.70-.84). These metrics compare favorably to inter-rater reliability accuracy (91%) and kappa (.86) agreement statistics for two human coders scoring infants’ position. By-class sensitivity and positive predictive values vary somewhat from class to class and from model to model. For example, the Axivity position model has stronger performance for detecting prone, whereas the Biostamp position model has stronger performance for detecting standing. Beyond these metrics, we have validated models in other ways that more directly relate to subsequent analyses, such as correlations between human-predicted prevalence and model-predicted prevalence of a given behavior during the ground truth observation. Strong correlations in the Biostamp position model within each class (</w:t>
      </w:r>
      <w:r>
        <w:rPr>
          <w:i/>
          <w:iCs/>
        </w:rPr>
        <w:t xml:space="preserve">r</w:t>
      </w:r>
      <w:r>
        <w:t xml:space="preserve">(Held) = .92,</w:t>
      </w:r>
      <w:r>
        <w:t xml:space="preserve"> </w:t>
      </w:r>
      <w:r>
        <w:rPr>
          <w:i/>
          <w:iCs/>
        </w:rPr>
        <w:t xml:space="preserve">r</w:t>
      </w:r>
      <w:r>
        <w:t xml:space="preserve">(Supine) = .82,</w:t>
      </w:r>
      <w:r>
        <w:t xml:space="preserve"> </w:t>
      </w:r>
      <w:r>
        <w:rPr>
          <w:i/>
          <w:iCs/>
        </w:rPr>
        <w:t xml:space="preserve">r</w:t>
      </w:r>
      <w:r>
        <w:t xml:space="preserve">(Prone) = .85,</w:t>
      </w:r>
      <w:r>
        <w:t xml:space="preserve"> </w:t>
      </w:r>
      <w:r>
        <w:rPr>
          <w:i/>
          <w:iCs/>
        </w:rPr>
        <w:t xml:space="preserve">r</w:t>
      </w:r>
      <w:r>
        <w:t xml:space="preserve">(Supine) = .88,</w:t>
      </w:r>
      <w:r>
        <w:t xml:space="preserve"> </w:t>
      </w:r>
      <w:r>
        <w:rPr>
          <w:i/>
          <w:iCs/>
        </w:rPr>
        <w:t xml:space="preserve">r</w:t>
      </w:r>
      <w:r>
        <w:t xml:space="preserve">(Standing) = .99) indicate that models are suitable to detect relative differences in time spent in each position between individuals or across ages (as in</w:t>
      </w:r>
      <w:r>
        <w:t xml:space="preserve"> </w:t>
      </w:r>
      <w:hyperlink w:anchor="fig-age">
        <w:r>
          <w:rPr>
            <w:rStyle w:val="Hyperlink"/>
          </w:rPr>
          <w:t xml:space="preserve">Figure 2</w:t>
        </w:r>
      </w:hyperlink>
      <w:r>
        <w:t xml:space="preserve">). Similar analyses for a</w:t>
      </w:r>
      <w:r>
        <w:t xml:space="preserve"> </w:t>
      </w:r>
      <w:r>
        <w:t xml:space="preserve">“distal comparison”</w:t>
      </w:r>
      <w:r>
        <w:t xml:space="preserve"> </w:t>
      </w:r>
      <w:r>
        <w:t xml:space="preserve">using a video recorded later in the day in participants’ homes helped show that model predictions continue to be accurate throughout hours of testing</w:t>
      </w:r>
      <w:r>
        <w:t xml:space="preserve"> </w:t>
      </w:r>
      <w:r>
        <w:t xml:space="preserve">(</w:t>
      </w:r>
      <w:hyperlink w:anchor="ref-FranchakTang2024">
        <w:r>
          <w:rPr>
            <w:rStyle w:val="Hyperlink"/>
          </w:rPr>
          <w:t xml:space="preserve">Franchak, Tang, et al., 2024</w:t>
        </w:r>
      </w:hyperlink>
      <w:r>
        <w:t xml:space="preserve">)</w:t>
      </w:r>
      <w:r>
        <w:t xml:space="preserve">. Finally, a strong correlations between human-coded and model-predicted bout durations</w:t>
      </w:r>
      <w:r>
        <w:t xml:space="preserve"> </w:t>
      </w:r>
      <w:r>
        <w:t xml:space="preserve">(</w:t>
      </w:r>
      <w:hyperlink w:anchor="ref-FranchakRousey2026">
        <w:r>
          <w:rPr>
            <w:rStyle w:val="Hyperlink"/>
          </w:rPr>
          <w:t xml:space="preserve">Franchak, Rousey, et al., 2026</w:t>
        </w:r>
      </w:hyperlink>
      <w:r>
        <w:t xml:space="preserve">;</w:t>
      </w:r>
      <w:r>
        <w:t xml:space="preserve"> </w:t>
      </w:r>
      <w:hyperlink w:anchor="ref-WangFranchak2026">
        <w:r>
          <w:rPr>
            <w:rStyle w:val="Hyperlink"/>
          </w:rPr>
          <w:t xml:space="preserve">Wang &amp; Franchak, 2026</w:t>
        </w:r>
      </w:hyperlink>
      <w:r>
        <w:t xml:space="preserve">)</w:t>
      </w:r>
      <w:r>
        <w:t xml:space="preserve"> </w:t>
      </w:r>
      <w:r>
        <w:t xml:space="preserve">suggest that model-predicted position events can be used to analyze the temporal structure from second-to-second (rather than only at the scale of the day).</w:t>
      </w:r>
    </w:p>
    <w:bookmarkEnd w:id="39"/>
    <w:bookmarkEnd w:id="40"/>
    <w:bookmarkStart w:id="41" w:name="advantages-and-limitations"/>
    <w:p>
      <w:pPr>
        <w:pStyle w:val="Heading1"/>
      </w:pPr>
      <w:r>
        <w:t xml:space="preserve">Advantages and Limitations</w:t>
      </w:r>
    </w:p>
    <w:p>
      <w:pPr>
        <w:pStyle w:val="FirstParagraph"/>
      </w:pPr>
      <w:r>
        <w:t xml:space="preserve">Compared to other methods, such as video recording or caregiver surveys, the most important advantage of wearable sensing is the ability to record entire days of behavior. Each data point in</w:t>
      </w:r>
      <w:r>
        <w:t xml:space="preserve"> </w:t>
      </w:r>
      <w:hyperlink w:anchor="fig-age">
        <w:r>
          <w:rPr>
            <w:rStyle w:val="Hyperlink"/>
          </w:rPr>
          <w:t xml:space="preserve">Figure 2</w:t>
        </w:r>
      </w:hyperlink>
      <w:r>
        <w:t xml:space="preserve"> </w:t>
      </w:r>
      <w:r>
        <w:t xml:space="preserve">comprises an average of nearly 6 hours of second-by-second measurements that take place across the daily routine in the home, whereas other methods might average a few dozen survey responses or an hour of video recording. Full-day data are important because, as</w:t>
      </w:r>
      <w:r>
        <w:t xml:space="preserve"> </w:t>
      </w:r>
      <w:hyperlink w:anchor="fig-timeline">
        <w:r>
          <w:rPr>
            <w:rStyle w:val="Hyperlink"/>
          </w:rPr>
          <w:t xml:space="preserve">Figure 1</w:t>
        </w:r>
      </w:hyperlink>
      <w:r>
        <w:t xml:space="preserve"> </w:t>
      </w:r>
      <w:r>
        <w:t xml:space="preserve">shows, a single infant’s day varies hour-by-hour in the types of activities that occur. Capturing long durations of behavior mitigates the risk of time sampling bias. Each exemplar infant had at least one long block of restrained sitting time that differed greatly from unrestrained times where they freely switched between prone, sitting, and standing. Estimates of daily position and restraint frequency would vary greatly if we were to sample only the hour that contained those restrained sitting episodes or only hours that excluded such episodes. Temporally-rich data like these have allowed us show how the pace of everyday motor events changes with respect to infants’ age and motor milestone acquisition</w:t>
      </w:r>
      <w:r>
        <w:t xml:space="preserve"> </w:t>
      </w:r>
      <w:r>
        <w:t xml:space="preserve">(</w:t>
      </w:r>
      <w:hyperlink w:anchor="ref-FranchakRousey2026">
        <w:r>
          <w:rPr>
            <w:rStyle w:val="Hyperlink"/>
          </w:rPr>
          <w:t xml:space="preserve">Franchak, Rousey, et al., 2026</w:t>
        </w:r>
      </w:hyperlink>
      <w:r>
        <w:t xml:space="preserve">;</w:t>
      </w:r>
      <w:r>
        <w:t xml:space="preserve"> </w:t>
      </w:r>
      <w:hyperlink w:anchor="ref-WangFranchak2026">
        <w:r>
          <w:rPr>
            <w:rStyle w:val="Hyperlink"/>
          </w:rPr>
          <w:t xml:space="preserve">Wang &amp; Franchak, 2026</w:t>
        </w:r>
      </w:hyperlink>
      <w:r>
        <w:t xml:space="preserve">)</w:t>
      </w:r>
      <w:r>
        <w:t xml:space="preserve">. In future work, multiple-day recording will allow us to relate day-to-day consistency in motor behaviors to subsequent developmental outcomes.</w:t>
      </w:r>
    </w:p>
    <w:p>
      <w:pPr>
        <w:pStyle w:val="BodyText"/>
      </w:pPr>
      <w:r>
        <w:t xml:space="preserve">Another advantage of continuous wearable sensor recordings is that they can be integrated with other types of in-home sensing technologies</w:t>
      </w:r>
      <w:r>
        <w:t xml:space="preserve"> </w:t>
      </w:r>
      <w:r>
        <w:t xml:space="preserve">(for a review, see</w:t>
      </w:r>
      <w:r>
        <w:t xml:space="preserve"> </w:t>
      </w:r>
      <w:hyperlink w:anchor="ref-KaurKumar2026">
        <w:r>
          <w:rPr>
            <w:rStyle w:val="Hyperlink"/>
          </w:rPr>
          <w:t xml:space="preserve">Kaur et al., 2026</w:t>
        </w:r>
      </w:hyperlink>
      <w:r>
        <w:t xml:space="preserve">)</w:t>
      </w:r>
      <w:r>
        <w:t xml:space="preserve">. For example, our lab paired wearable sensor recordings with LENA audio recorders that automatically detect the frequency of adult speech that infants might hear</w:t>
      </w:r>
      <w:r>
        <w:t xml:space="preserve"> </w:t>
      </w:r>
      <w:r>
        <w:t xml:space="preserve">(</w:t>
      </w:r>
      <w:hyperlink w:anchor="ref-RouseyTang2026">
        <w:r>
          <w:rPr>
            <w:rStyle w:val="Hyperlink"/>
          </w:rPr>
          <w:t xml:space="preserve">Rousey et al., 2026</w:t>
        </w:r>
      </w:hyperlink>
      <w:r>
        <w:t xml:space="preserve">)</w:t>
      </w:r>
      <w:r>
        <w:t xml:space="preserve">. Synchronizing position and LENA signals allowed us to discover that within a day, infants hear relatively more words when they spend more time held by a caregiver or sitting. A new model that detects caregiver standing throughout the day will allow us to test how infants’ and caregivers’ movements are synchronized to one another across a day. Other research groups collect wearable sensor streams that include physiological data</w:t>
      </w:r>
      <w:r>
        <w:t xml:space="preserve"> </w:t>
      </w:r>
      <w:r>
        <w:t xml:space="preserve">(</w:t>
      </w:r>
      <w:hyperlink w:anchor="ref-McElwainFisher2024">
        <w:r>
          <w:rPr>
            <w:rStyle w:val="Hyperlink"/>
          </w:rPr>
          <w:t xml:space="preserve">McElwain et al., 2024</w:t>
        </w:r>
      </w:hyperlink>
      <w:r>
        <w:t xml:space="preserve">)</w:t>
      </w:r>
      <w:r>
        <w:t xml:space="preserve"> </w:t>
      </w:r>
      <w:r>
        <w:t xml:space="preserve">and infant-caregiver proximity</w:t>
      </w:r>
      <w:r>
        <w:t xml:space="preserve"> </w:t>
      </w:r>
      <w:r>
        <w:t xml:space="preserve">(</w:t>
      </w:r>
      <w:hyperlink w:anchor="ref-SaloPannuto2021">
        <w:r>
          <w:rPr>
            <w:rStyle w:val="Hyperlink"/>
          </w:rPr>
          <w:t xml:space="preserve">Salo et al., 2021</w:t>
        </w:r>
      </w:hyperlink>
      <w:r>
        <w:t xml:space="preserve">)</w:t>
      </w:r>
      <w:r>
        <w:t xml:space="preserve"> </w:t>
      </w:r>
      <w:r>
        <w:t xml:space="preserve">that provide additional ways of characterizing naturalistic social interactions. However, all of these examples highlight the largest drawback of wearable sensing, which is the lack of contextual information in comparison to video recording. Whereas videos capture everything that can be seen or heard, classification of sensors can only classify outcomes for which models are available. Although we can detect position and restraint from wearable sensors, those data alone cannot tell us about other variables of interest, such as the specific seat the infant is restrained in or whether they are holding an object. Whereas it is easy to check back to a video to see if a code was correct, we cannot check the accuracy of predictions during non-video recorded portions of the day.</w:t>
      </w:r>
    </w:p>
    <w:p>
      <w:pPr>
        <w:pStyle w:val="BodyText"/>
      </w:pPr>
      <w:r>
        <w:t xml:space="preserve">With these advantages and limitations in mind, there are many future applications for wearable sensing. Careful application requires validating predictions when applied to new samples</w:t>
      </w:r>
      <w:r>
        <w:t xml:space="preserve"> </w:t>
      </w:r>
      <w:r>
        <w:t xml:space="preserve">(</w:t>
      </w:r>
      <w:hyperlink w:anchor="ref-deBarbaroMadden-Rusnak2026aa">
        <w:r>
          <w:rPr>
            <w:rStyle w:val="Hyperlink"/>
          </w:rPr>
          <w:t xml:space="preserve">Barbaro et al., 2026</w:t>
        </w:r>
      </w:hyperlink>
      <w:r>
        <w:t xml:space="preserve">)</w:t>
      </w:r>
      <w:r>
        <w:t xml:space="preserve">. For example, we showed that position predictions were accurate among infants with cerebral palsy</w:t>
      </w:r>
      <w:r>
        <w:t xml:space="preserve"> </w:t>
      </w:r>
      <w:r>
        <w:t xml:space="preserve">(</w:t>
      </w:r>
      <w:hyperlink w:anchor="ref-KretchEnriques2026">
        <w:r>
          <w:rPr>
            <w:rStyle w:val="Hyperlink"/>
          </w:rPr>
          <w:t xml:space="preserve">Kretch et al., 2026</w:t>
        </w:r>
      </w:hyperlink>
      <w:r>
        <w:t xml:space="preserve">)</w:t>
      </w:r>
      <w:r>
        <w:t xml:space="preserve">, enabling future studies to examine the impacts of motor delay on full-day motor experiences or to test the efficacy of clinical interventions in movement outcomes in that population.</w:t>
      </w:r>
      <w:r>
        <w:t xml:space="preserve"> </w:t>
      </w:r>
      <w:r>
        <w:t xml:space="preserve">Airaksinen et al. (</w:t>
      </w:r>
      <w:hyperlink w:anchor="ref-AiraksinenPalsa2026">
        <w:r>
          <w:rPr>
            <w:rStyle w:val="Hyperlink"/>
          </w:rPr>
          <w:t xml:space="preserve">2026</w:t>
        </w:r>
      </w:hyperlink>
      <w:r>
        <w:t xml:space="preserve">)</w:t>
      </w:r>
      <w:r>
        <w:t xml:space="preserve"> </w:t>
      </w:r>
      <w:r>
        <w:t xml:space="preserve">have developed an automated motor skill metric derived from their wearable sensor recordings that is strongly correlated with the Alberta Infant Motor Scale, which requires a trained experimenter to administer and score. Automating clinically-relevant metrics has the potential to gather outcomes in settings where a clinical observation is not feasible.</w:t>
      </w:r>
    </w:p>
    <w:bookmarkEnd w:id="41"/>
    <w:bookmarkStart w:id="85" w:name="references"/>
    <w:p>
      <w:pPr>
        <w:pStyle w:val="Heading1"/>
      </w:pPr>
      <w:r>
        <w:t xml:space="preserve">References</w:t>
      </w:r>
    </w:p>
    <w:bookmarkStart w:id="75"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Palsa2026"/>
    <w:p>
      <w:pPr>
        <w:pStyle w:val="Bibliography"/>
      </w:pPr>
      <w:r>
        <w:t xml:space="preserve">Airaksinen, M., Palsa, T., Hautala, A., Boonzaaijer, M., Haataja, L. M., &amp; Vanhatalo, S. (2026). Gross motor performance of infants with an at-home wearable measurement and the alberta infant motor scale: A concurrent validity study.</w:t>
      </w:r>
      <w:r>
        <w:t xml:space="preserve"> </w:t>
      </w:r>
      <w:r>
        <w:rPr>
          <w:i/>
          <w:iCs/>
        </w:rPr>
        <w:t xml:space="preserve">Developmental Medicine and Child Neurology</w:t>
      </w:r>
      <w:r>
        <w:t xml:space="preserve">,</w:t>
      </w:r>
      <w:r>
        <w:t xml:space="preserve"> </w:t>
      </w:r>
      <w:r>
        <w:rPr>
          <w:i/>
          <w:iCs/>
        </w:rPr>
        <w:t xml:space="preserve">dmcn.70175</w:t>
      </w:r>
      <w:r>
        <w:t xml:space="preserve">.</w:t>
      </w:r>
    </w:p>
    <w:bookmarkEnd w:id="43"/>
    <w:bookmarkStart w:id="44"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4"/>
    <w:bookmarkStart w:id="45"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5"/>
    <w:bookmarkStart w:id="46" w:name="ref-deBarbaroMadden-Rusnak2026aa"/>
    <w:p>
      <w:pPr>
        <w:pStyle w:val="Bibliography"/>
      </w:pPr>
      <w:r>
        <w:t xml:space="preserve">Barbaro, K. de, Madden-Rusnak, A., &amp; Timmons, A. (2026). Thinking critically about algorithms for automated detection of behavior: 11 guidelines for social and behavioral scientists.</w:t>
      </w:r>
      <w:r>
        <w:t xml:space="preserve"> </w:t>
      </w:r>
      <w:r>
        <w:rPr>
          <w:i/>
          <w:iCs/>
        </w:rPr>
        <w:t xml:space="preserve">Developmental Science</w:t>
      </w:r>
      <w:r>
        <w:t xml:space="preserve">,</w:t>
      </w:r>
      <w:r>
        <w:t xml:space="preserve"> </w:t>
      </w:r>
      <w:r>
        <w:rPr>
          <w:i/>
          <w:iCs/>
        </w:rPr>
        <w:t xml:space="preserve">29</w:t>
      </w:r>
      <w:r>
        <w:t xml:space="preserve">(3), e70144.</w:t>
      </w:r>
    </w:p>
    <w:bookmarkEnd w:id="46"/>
    <w:bookmarkStart w:id="47" w:name="ref-Breiman2001"/>
    <w:p>
      <w:pPr>
        <w:pStyle w:val="Bibliography"/>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bookmarkEnd w:id="47"/>
    <w:bookmarkStart w:id="48"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8"/>
    <w:bookmarkStart w:id="49"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9"/>
    <w:bookmarkStart w:id="50"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50"/>
    <w:bookmarkStart w:id="51"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51"/>
    <w:bookmarkStart w:id="52"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2"/>
    <w:bookmarkStart w:id="53"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3"/>
    <w:bookmarkStart w:id="54"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4"/>
    <w:bookmarkStart w:id="55"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5"/>
    <w:bookmarkStart w:id="56"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6"/>
    <w:bookmarkStart w:id="57"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7"/>
    <w:bookmarkStart w:id="58"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8"/>
    <w:bookmarkStart w:id="59"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9"/>
    <w:bookmarkStart w:id="60"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60"/>
    <w:bookmarkStart w:id="61"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61"/>
    <w:bookmarkStart w:id="62"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62"/>
    <w:bookmarkStart w:id="63"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3"/>
    <w:bookmarkStart w:id="64"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4"/>
    <w:bookmarkStart w:id="65"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5"/>
    <w:bookmarkStart w:id="66"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6"/>
    <w:bookmarkStart w:id="67" w:name="ref-NamPark2013"/>
    <w:p>
      <w:pPr>
        <w:pStyle w:val="Bibliography"/>
      </w:pPr>
      <w:r>
        <w:t xml:space="preserve">Nam, Y., &amp; Park, J. W. (2013). Child activity recognition based on cooperative fusion model of a triaxial accelerometer and a barometric pressure sensor.</w:t>
      </w:r>
      <w:r>
        <w:t xml:space="preserve"> </w:t>
      </w:r>
      <w:r>
        <w:rPr>
          <w:i/>
          <w:iCs/>
        </w:rPr>
        <w:t xml:space="preserve">IEEE Journal of Biomedical and Health Informatics</w:t>
      </w:r>
      <w:r>
        <w:t xml:space="preserve">,</w:t>
      </w:r>
      <w:r>
        <w:t xml:space="preserve"> </w:t>
      </w:r>
      <w:r>
        <w:rPr>
          <w:i/>
          <w:iCs/>
        </w:rPr>
        <w:t xml:space="preserve">17</w:t>
      </w:r>
      <w:r>
        <w:t xml:space="preserve">(2), 420–426.</w:t>
      </w:r>
    </w:p>
    <w:bookmarkEnd w:id="67"/>
    <w:bookmarkStart w:id="68" w:name="ref-PargentSchoedel2022"/>
    <w:p>
      <w:pPr>
        <w:pStyle w:val="Bibliography"/>
      </w:pPr>
      <w:r>
        <w:t xml:space="preserve">Pargent, F., Schoedel, R., &amp; Stachl, C. (2022).</w:t>
      </w:r>
      <w:r>
        <w:t xml:space="preserve"> </w:t>
      </w:r>
      <w:r>
        <w:rPr>
          <w:i/>
          <w:iCs/>
        </w:rPr>
        <w:t xml:space="preserve">An introduction to machine learning for psychologists in</w:t>
      </w:r>
      <w:r>
        <w:rPr>
          <w:i/>
          <w:iCs/>
        </w:rPr>
        <w:t xml:space="preserve"> </w:t>
      </w:r>
      <w:r>
        <w:rPr>
          <w:i/>
          <w:iCs/>
        </w:rPr>
        <w:t xml:space="preserve">R</w:t>
      </w:r>
      <w:r>
        <w:t xml:space="preserve">.</w:t>
      </w:r>
    </w:p>
    <w:bookmarkEnd w:id="68"/>
    <w:bookmarkStart w:id="69"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9"/>
    <w:bookmarkStart w:id="70" w:name="ref-SaloPannuto2021"/>
    <w:p>
      <w:pPr>
        <w:pStyle w:val="Bibliography"/>
      </w:pPr>
      <w:r>
        <w:t xml:space="preserve">Salo, V. C., Pannuto, P., Hedgecock, W., Biri, A., Russo, D. A., Piersiak, H. A., &amp; Humphreys, K. L. (2021). Measuring naturalistic proximity as a window into caregiver-child interaction patterns.</w:t>
      </w:r>
      <w:r>
        <w:t xml:space="preserve"> </w:t>
      </w:r>
      <w:r>
        <w:rPr>
          <w:i/>
          <w:iCs/>
        </w:rPr>
        <w:t xml:space="preserve">Behavior Research Methods</w:t>
      </w:r>
      <w:r>
        <w:t xml:space="preserve">.</w:t>
      </w:r>
    </w:p>
    <w:bookmarkEnd w:id="70"/>
    <w:bookmarkStart w:id="71"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71"/>
    <w:bookmarkStart w:id="72" w:name="ref-WangFranchak2026"/>
    <w:p>
      <w:pPr>
        <w:pStyle w:val="Bibliography"/>
      </w:pPr>
      <w:r>
        <w:t xml:space="preserve">Wang, H., &amp; Franchak, J. M. (2026).</w:t>
      </w:r>
      <w:r>
        <w:t xml:space="preserve"> </w:t>
      </w:r>
      <w:r>
        <w:rPr>
          <w:i/>
          <w:iCs/>
        </w:rPr>
        <w:t xml:space="preserve">The temporal structure of infant daily restrained experiences in the home</w:t>
      </w:r>
      <w:r>
        <w:t xml:space="preserve">.</w:t>
      </w:r>
    </w:p>
    <w:bookmarkEnd w:id="72"/>
    <w:bookmarkStart w:id="73"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73"/>
    <w:bookmarkStart w:id="74"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74"/>
    <w:bookmarkEnd w:id="75"/>
    <w:p>
      <w:r>
        <w:br w:type="page"/>
      </w:r>
    </w:p>
    <w:p>
      <w:r>
        <w:br w:type="page"/>
      </w:r>
    </w:p>
    <w:p>
      <w:r>
        <w:br w:type="page"/>
      </w:r>
    </w:p>
    <w:bookmarkStart w:id="76" w:name="tbl-metrics"/>
    <w:p>
      <w:pPr>
        <w:pStyle w:val="FigureTitle"/>
      </w:pPr>
      <w:r>
        <w:t xml:space="preserve">Table 1</w:t>
      </w:r>
    </w:p>
    <w:p>
      <w:pPr>
        <w:pStyle w:val="Caption"/>
      </w:pPr>
      <w:r>
        <w:t xml:space="preserve">Performance of position and restraint models for two data sets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000"/>
        <w:tblLook w:firstRow="1" w:lastRow="0" w:firstColumn="0" w:lastColumn="0" w:noHBand="0" w:noVBand="1"/>
      </w:tblPr>
      <w:tr>
        <w:trPr>
          <w:trHeight w:val="360" w:hRule="auto"/>
          <w:tblHeader/>
        </w:trPr>
        header 1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Position</w:t>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Restraint</w:t>
            </w:r>
          </w:p>
        </w:tc>
      </w:tr>
      <w:tr>
        <w:trPr>
          <w:trHeight w:val="360" w:hRule="auto"/>
          <w:tblHeader/>
        </w:trPr>
        header 2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Metric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Class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Accuracy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r>
        <w:trPr>
          <w:trHeight w:val="360" w:hRule="auto"/>
        </w:trPr>
        body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Kappa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r>
      <w:tr>
        <w:trPr>
          <w:trHeight w:val="360" w:hRule="auto"/>
        </w:trPr>
        body 3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Sensitivity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4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0.74</w:t>
            </w:r>
          </w:p>
        </w:tc>
      </w:tr>
      <w:tr>
        <w:trPr>
          <w:trHeight w:val="360" w:hRule="auto"/>
        </w:trPr>
        body 9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0.96</w:t>
            </w:r>
          </w:p>
        </w:tc>
      </w:tr>
      <w:tr>
        <w:trPr>
          <w:trHeight w:val="360" w:hRule="auto"/>
        </w:trPr>
        body10
        <w:tc>
          <w:tcPr>
            <w:vMerge w:val="restart"/>
            <w:tcBorders>
              <w:bottom w:val="single" w:sz="6"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PPV</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body11
        <w:tc>
          <w:tcPr>
            <w:vMerge/>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r>
      <w:tr>
        <w:trPr>
          <w:trHeight w:val="360" w:hRule="auto"/>
        </w:trPr>
        body16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r>
    </w:tbl>
    <w:bookmarkEnd w:id="76"/>
    <w:p>
      <w:pPr>
        <w:pStyle w:val="FigureNote"/>
      </w:pPr>
      <w:r>
        <w:rPr>
          <w:i/>
          <w:iCs/>
        </w:rPr>
        <w:t xml:space="preserve">Note</w:t>
      </w:r>
      <w:r>
        <w:t xml:space="preserve">. Biostamp performance values are means across 146 LOOCV iterations and Axivity model values are means across 55 LOOCV iterations.</w:t>
      </w:r>
    </w:p>
    <w:p>
      <w:r>
        <w:br w:type="page"/>
      </w:r>
    </w:p>
    <w:bookmarkStart w:id="80"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8" name="Picture"/>
            <a:graphic>
              <a:graphicData uri="http://schemas.openxmlformats.org/drawingml/2006/picture">
                <pic:pic>
                  <pic:nvPicPr>
                    <pic:cNvPr descr="timelines.png" id="79" name="Picture"/>
                    <pic:cNvPicPr>
                      <a:picLocks noChangeArrowheads="1" noChangeAspect="1"/>
                    </pic:cNvPicPr>
                  </pic:nvPicPr>
                  <pic:blipFill>
                    <a:blip r:embed="rId77"/>
                    <a:stretch>
                      <a:fillRect/>
                    </a:stretch>
                  </pic:blipFill>
                  <pic:spPr bwMode="auto">
                    <a:xfrm>
                      <a:off x="0" y="0"/>
                      <a:ext cx="5943600" cy="7269398"/>
                    </a:xfrm>
                    <a:prstGeom prst="rect">
                      <a:avLst/>
                    </a:prstGeom>
                    <a:noFill/>
                    <a:ln w="9525">
                      <a:noFill/>
                      <a:headEnd/>
                      <a:tailEnd/>
                    </a:ln>
                  </pic:spPr>
                </pic:pic>
              </a:graphicData>
            </a:graphic>
          </wp:inline>
        </w:drawing>
      </w:r>
    </w:p>
    <w:bookmarkEnd w:id="80"/>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84"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82" name="Picture"/>
            <a:graphic>
              <a:graphicData uri="http://schemas.openxmlformats.org/drawingml/2006/picture">
                <pic:pic>
                  <pic:nvPicPr>
                    <pic:cNvPr descr="age_figure.png" id="83" name="Picture"/>
                    <pic:cNvPicPr>
                      <a:picLocks noChangeArrowheads="1" noChangeAspect="1"/>
                    </pic:cNvPicPr>
                  </pic:nvPicPr>
                  <pic:blipFill>
                    <a:blip r:embed="rId81"/>
                    <a:stretch>
                      <a:fillRect/>
                    </a:stretch>
                  </pic:blipFill>
                  <pic:spPr bwMode="auto">
                    <a:xfrm>
                      <a:off x="0" y="0"/>
                      <a:ext cx="5943600" cy="4358640"/>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8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77" Target="media/rId77.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2026-08-05T18:59:51Z</dcterms:created>
  <dcterms:modified xsi:type="dcterms:W3CDTF">2026-08-05T18:59:51Z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3991</vt:lpwstr>
  </property>
  <property fmtid="{D5CDD505-2E9C-101B-9397-08002B2CF9AE}" pid="63" name="zerocitations">
    <vt:lpwstr>False</vt:lpwstr>
  </property>
</Properties>
</file>