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StandardFrxReportTemplates.generated.cs: анализ зависимости</w:t>
      </w:r>
    </w:p>
    <w:p>
      <w:r>
        <w:rPr>
          <w:color w:val="5F6B7A"/>
          <w:sz w:val="22"/>
        </w:rPr>
        <w:t>Что находится в файле, кто на него завязан, что будет при удалении и какие есть варианты.</w:t>
      </w:r>
    </w:p>
    <w:p>
      <w:pPr>
        <w:pStyle w:val="Heading1"/>
      </w:pPr>
      <w:r>
        <w:t>Суть в двух предложениях</w:t>
      </w:r>
    </w:p>
    <w:p>
      <w:r>
        <w:t>Файл содержит 37 определений стандартных отчётов, у 37 из них внутри лежит сжатый FRX-макет. Сами макеты уже перенесены в базу в поле Reports.Template как JSON и повторно туда не записываются. Однако файл остаётся источником восстановления этих отчётов при чистой базе и после импорта чужой конфигурации — это его единственная оставшаяся работа.</w:t>
      </w:r>
    </w:p>
    <w:p>
      <w:pPr>
        <w:pStyle w:val="Heading1"/>
      </w:pPr>
      <w:r>
        <w:t>1. Что находится в файле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3600"/>
            <w:shd w:val="clear" w:fill="EAF4FB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5800"/>
            <w:shd w:val="clear" w:fill="EAF4FB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600"/>
          </w:tcPr>
          <w:p>
            <w:r/>
            <w:r>
              <w:rPr>
                <w:sz w:val="18"/>
              </w:rPr>
              <w:t>Размер</w:t>
            </w:r>
          </w:p>
        </w:tc>
        <w:tc>
          <w:tcPr>
            <w:tcW w:type="dxa" w:w="5800"/>
          </w:tcPr>
          <w:p>
            <w:r/>
            <w:r>
              <w:rPr>
                <w:sz w:val="18"/>
              </w:rPr>
              <w:t>558 строк, около 199 КБ</w:t>
            </w:r>
          </w:p>
        </w:tc>
      </w:tr>
      <w:tr>
        <w:trPr>
          <w:cantSplit/>
        </w:trPr>
        <w:tc>
          <w:tcPr>
            <w:tcW w:type="dxa" w:w="3600"/>
          </w:tcPr>
          <w:p>
            <w:r/>
            <w:r>
              <w:rPr>
                <w:sz w:val="18"/>
              </w:rPr>
              <w:t>Определений отчётов</w:t>
            </w:r>
          </w:p>
        </w:tc>
        <w:tc>
          <w:tcPr>
            <w:tcW w:type="dxa" w:w="5800"/>
          </w:tcPr>
          <w:p>
            <w:r/>
            <w:r>
              <w:rPr>
                <w:sz w:val="18"/>
              </w:rPr>
              <w:t>37</w:t>
            </w:r>
          </w:p>
        </w:tc>
      </w:tr>
      <w:tr>
        <w:trPr>
          <w:cantSplit/>
        </w:trPr>
        <w:tc>
          <w:tcPr>
            <w:tcW w:type="dxa" w:w="3600"/>
          </w:tcPr>
          <w:p>
            <w:r/>
            <w:r>
              <w:rPr>
                <w:sz w:val="18"/>
              </w:rPr>
              <w:t>Из них актов сверки</w:t>
            </w:r>
          </w:p>
        </w:tc>
        <w:tc>
          <w:tcPr>
            <w:tcW w:type="dxa" w:w="5800"/>
          </w:tcPr>
          <w:p>
            <w:r/>
            <w:r>
              <w:rPr>
                <w:sz w:val="18"/>
              </w:rPr>
              <w:t>19 вариантов</w:t>
            </w:r>
          </w:p>
        </w:tc>
      </w:tr>
      <w:tr>
        <w:trPr>
          <w:cantSplit/>
        </w:trPr>
        <w:tc>
          <w:tcPr>
            <w:tcW w:type="dxa" w:w="3600"/>
          </w:tcPr>
          <w:p>
            <w:r/>
            <w:r>
              <w:rPr>
                <w:sz w:val="18"/>
              </w:rPr>
              <w:t>Из них оборотных ведомостей</w:t>
            </w:r>
          </w:p>
        </w:tc>
        <w:tc>
          <w:tcPr>
            <w:tcW w:type="dxa" w:w="5800"/>
          </w:tcPr>
          <w:p>
            <w:r/>
            <w:r>
              <w:rPr>
                <w:sz w:val="18"/>
              </w:rPr>
              <w:t>4 варианта</w:t>
            </w:r>
          </w:p>
        </w:tc>
      </w:tr>
      <w:tr>
        <w:trPr>
          <w:cantSplit/>
        </w:trPr>
        <w:tc>
          <w:tcPr>
            <w:tcW w:type="dxa" w:w="3600"/>
          </w:tcPr>
          <w:p>
            <w:r/>
            <w:r>
              <w:rPr>
                <w:sz w:val="18"/>
              </w:rPr>
              <w:t>Из них печатных форм</w:t>
            </w:r>
          </w:p>
        </w:tc>
        <w:tc>
          <w:tcPr>
            <w:tcW w:type="dxa" w:w="5800"/>
          </w:tcPr>
          <w:p>
            <w:r/>
            <w:r>
              <w:rPr>
                <w:sz w:val="18"/>
              </w:rPr>
              <w:t>2 (приходный и расходный кассовые ордера)</w:t>
            </w:r>
          </w:p>
        </w:tc>
      </w:tr>
      <w:tr>
        <w:trPr>
          <w:cantSplit/>
        </w:trPr>
        <w:tc>
          <w:tcPr>
            <w:tcW w:type="dxa" w:w="3600"/>
          </w:tcPr>
          <w:p>
            <w:r/>
            <w:r>
              <w:rPr>
                <w:sz w:val="18"/>
              </w:rPr>
              <w:t>Прочих (основные средства, счёт-фактура, платёжка)</w:t>
            </w:r>
          </w:p>
        </w:tc>
        <w:tc>
          <w:tcPr>
            <w:tcW w:type="dxa" w:w="5800"/>
          </w:tcPr>
          <w:p>
            <w:r/>
            <w:r>
              <w:rPr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3600"/>
          </w:tcPr>
          <w:p>
            <w:r/>
            <w:r>
              <w:rPr>
                <w:sz w:val="18"/>
              </w:rPr>
              <w:t>Тип определения</w:t>
            </w:r>
          </w:p>
        </w:tc>
        <w:tc>
          <w:tcPr>
            <w:tcW w:type="dxa" w:w="5800"/>
          </w:tcPr>
          <w:p>
            <w:r/>
            <w:r>
              <w:rPr>
                <w:sz w:val="18"/>
              </w:rPr>
              <w:t>record StandardFrxReportTemplateDefinition</w:t>
            </w:r>
          </w:p>
        </w:tc>
      </w:tr>
    </w:tbl>
    <w:p/>
    <w:p>
      <w:r>
        <w:t>Поля каждого определения:</w:t>
      </w:r>
    </w:p>
    <w:p>
      <w:pPr>
        <w:spacing w:before="120" w:after="200"/>
        <w:ind w:left="240"/>
      </w:pPr>
      <w:r>
        <w:rPr>
          <w:rFonts w:ascii="Consolas" w:hAnsi="Consolas"/>
          <w:sz w:val="18"/>
        </w:rPr>
        <w:t>internal sealed record StandardFrxReportTemplateDefinition(</w:t>
        <w:br/>
      </w:r>
      <w:r>
        <w:rPr>
          <w:rFonts w:ascii="Consolas" w:hAnsi="Consolas"/>
          <w:sz w:val="18"/>
        </w:rPr>
        <w:t xml:space="preserve">    string Code,            // например standard.frx.finance.reconciliation.pr-vzp</w:t>
        <w:br/>
      </w:r>
      <w:r>
        <w:rPr>
          <w:rFonts w:ascii="Consolas" w:hAnsi="Consolas"/>
          <w:sz w:val="18"/>
        </w:rPr>
        <w:t xml:space="preserve">    string Name,            // название отчёта</w:t>
        <w:br/>
      </w:r>
      <w:r>
        <w:rPr>
          <w:rFonts w:ascii="Consolas" w:hAnsi="Consolas"/>
          <w:sz w:val="18"/>
        </w:rPr>
        <w:t xml:space="preserve">    string Description,     // описание</w:t>
        <w:br/>
      </w:r>
      <w:r>
        <w:rPr>
          <w:rFonts w:ascii="Consolas" w:hAnsi="Consolas"/>
          <w:sz w:val="18"/>
        </w:rPr>
        <w:t xml:space="preserve">    string ModuleCode,      // модуль (Finance, FixedAssets)</w:t>
        <w:br/>
      </w:r>
      <w:r>
        <w:rPr>
          <w:rFonts w:ascii="Consolas" w:hAnsi="Consolas"/>
          <w:sz w:val="18"/>
        </w:rPr>
        <w:t xml:space="preserve">    string SourceName,      // имя источника данных</w:t>
        <w:br/>
      </w:r>
      <w:r>
        <w:rPr>
          <w:rFonts w:ascii="Consolas" w:hAnsi="Consolas"/>
          <w:sz w:val="18"/>
        </w:rPr>
        <w:t xml:space="preserve">    string SourceObjectType,// Document или ReportSource</w:t>
        <w:br/>
      </w:r>
      <w:r>
        <w:rPr>
          <w:rFonts w:ascii="Consolas" w:hAnsi="Consolas"/>
          <w:sz w:val="18"/>
        </w:rPr>
        <w:t xml:space="preserve">    string ReportType,      // FoxProLayout</w:t>
        <w:br/>
      </w:r>
      <w:r>
        <w:rPr>
          <w:rFonts w:ascii="Consolas" w:hAnsi="Consolas"/>
          <w:sz w:val="18"/>
        </w:rPr>
        <w:t xml:space="preserve">    string Icon,            // значок</w:t>
        <w:br/>
      </w:r>
      <w:r>
        <w:rPr>
          <w:rFonts w:ascii="Consolas" w:hAnsi="Consolas"/>
          <w:sz w:val="18"/>
        </w:rPr>
        <w:t xml:space="preserve">    int Order,              // порядок</w:t>
        <w:br/>
      </w:r>
      <w:r>
        <w:rPr>
          <w:rFonts w:ascii="Consolas" w:hAnsi="Consolas"/>
          <w:sz w:val="18"/>
        </w:rPr>
        <w:t xml:space="preserve">    string PageOrientation, // Portrait или Landscape</w:t>
        <w:br/>
      </w:r>
      <w:r>
        <w:rPr>
          <w:rFonts w:ascii="Consolas" w:hAnsi="Consolas"/>
          <w:sz w:val="18"/>
        </w:rPr>
        <w:t xml:space="preserve">    bool IsPrintForm,       // печатная форма</w:t>
        <w:br/>
      </w:r>
      <w:r>
        <w:rPr>
          <w:rFonts w:ascii="Consolas" w:hAnsi="Consolas"/>
          <w:sz w:val="18"/>
        </w:rPr>
        <w:t xml:space="preserve">    bool IsDefault,         // по умолчанию</w:t>
        <w:br/>
      </w:r>
      <w:r>
        <w:rPr>
          <w:rFonts w:ascii="Consolas" w:hAnsi="Consolas"/>
          <w:sz w:val="18"/>
        </w:rPr>
        <w:t xml:space="preserve">    string TemplateCompressedBase64); // сам макет, gzip + base64</w:t>
      </w:r>
    </w:p>
    <w:p>
      <w:pPr>
        <w:spacing w:before="40"/>
      </w:pPr>
      <w:r>
        <w:rPr>
          <w:b/>
          <w:i w:val="0"/>
          <w:color w:val="A93226"/>
          <w:sz w:val="20"/>
        </w:rPr>
        <w:t>Оригинальных файлов .frx на диске нет — я проверял поиском. Макеты существуют только внутри этого файла и в базе. Это ключевой факт для оценки риска.</w:t>
      </w:r>
    </w:p>
    <w:p>
      <w:pPr>
        <w:pStyle w:val="Heading1"/>
      </w:pPr>
      <w:r>
        <w:t>2. Карта зависимостей</w:t>
      </w:r>
    </w:p>
    <w:p>
      <w:pPr>
        <w:pStyle w:val="Heading2"/>
      </w:pPr>
      <w:r>
        <w:t>Прямые ссылки на файл — их всего три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3100"/>
            <w:shd w:val="clear" w:fill="EAF4FB"/>
          </w:tcPr>
          <w:p>
            <w:r/>
            <w:r>
              <w:rPr>
                <w:b/>
                <w:sz w:val="18"/>
              </w:rPr>
              <w:t>Место</w:t>
            </w:r>
          </w:p>
        </w:tc>
        <w:tc>
          <w:tcPr>
            <w:tcW w:type="dxa" w:w="3500"/>
            <w:shd w:val="clear" w:fill="EAF4FB"/>
          </w:tcPr>
          <w:p>
            <w:r/>
            <w:r>
              <w:rPr>
                <w:b/>
                <w:sz w:val="18"/>
              </w:rPr>
              <w:t>Что делает</w:t>
            </w:r>
          </w:p>
        </w:tc>
        <w:tc>
          <w:tcPr>
            <w:tcW w:type="dxa" w:w="2800"/>
            <w:shd w:val="clear" w:fill="EAF4FB"/>
          </w:tcPr>
          <w:p>
            <w:r/>
            <w:r>
              <w:rPr>
                <w:b/>
                <w:sz w:val="18"/>
              </w:rPr>
              <w:t>Что будет без файла</w:t>
            </w:r>
          </w:p>
        </w:tc>
      </w:tr>
      <w:tr>
        <w:trPr>
          <w:cantSplit/>
        </w:trPr>
        <w:tc>
          <w:tcPr>
            <w:tcW w:type="dxa" w:w="3100"/>
          </w:tcPr>
          <w:p>
            <w:r/>
            <w:r>
              <w:rPr>
                <w:sz w:val="18"/>
              </w:rPr>
              <w:t>MetadataService.Reports.cs, строки 31-34</w:t>
            </w:r>
          </w:p>
        </w:tc>
        <w:tc>
          <w:tcPr>
            <w:tcW w:type="dxa" w:w="3500"/>
          </w:tcPr>
          <w:p>
            <w:r/>
            <w:r>
              <w:rPr>
                <w:sz w:val="18"/>
              </w:rPr>
              <w:t>Перебирает все 37 определений и создаёт отчёты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Отчёты перестанут создаваться автоматически</w:t>
            </w:r>
          </w:p>
        </w:tc>
      </w:tr>
      <w:tr>
        <w:trPr>
          <w:cantSplit/>
        </w:trPr>
        <w:tc>
          <w:tcPr>
            <w:tcW w:type="dxa" w:w="3100"/>
          </w:tcPr>
          <w:p>
            <w:r/>
            <w:r>
              <w:rPr>
                <w:sz w:val="18"/>
              </w:rPr>
              <w:t>MetadataService.Reports.cs, строки 50-51</w:t>
            </w:r>
          </w:p>
        </w:tc>
        <w:tc>
          <w:tcPr>
            <w:tcW w:type="dxa" w:w="3500"/>
          </w:tcPr>
          <w:p>
            <w:r/>
            <w:r>
              <w:rPr>
                <w:sz w:val="18"/>
              </w:rPr>
              <w:t>Ищет одно определение — платёжное поручение pr-pl23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Печатная форма платёжки перестанет досоздаваться</w:t>
            </w:r>
          </w:p>
        </w:tc>
      </w:tr>
      <w:tr>
        <w:trPr>
          <w:cantSplit/>
        </w:trPr>
        <w:tc>
          <w:tcPr>
            <w:tcW w:type="dxa" w:w="3100"/>
          </w:tcPr>
          <w:p>
            <w:r/>
            <w:r>
              <w:rPr>
                <w:sz w:val="18"/>
              </w:rPr>
              <w:t>ConfigurationExchangeService.cs, строки 110-114</w:t>
            </w:r>
          </w:p>
        </w:tc>
        <w:tc>
          <w:tcPr>
            <w:tcW w:type="dxa" w:w="3500"/>
          </w:tcPr>
          <w:p>
            <w:r/>
            <w:r>
              <w:rPr>
                <w:sz w:val="18"/>
              </w:rPr>
              <w:t>После импорта конфигурации досоздаёт встроенные FRX «из текущей сборки»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После импорта чужой конфигурации встроенные формы не восстановятся</w:t>
            </w:r>
          </w:p>
        </w:tc>
      </w:tr>
    </w:tbl>
    <w:p/>
    <w:p>
      <w:pPr>
        <w:spacing w:before="40"/>
      </w:pPr>
      <w:r>
        <w:rPr>
          <w:b w:val="0"/>
          <w:i/>
          <w:color w:val="5F6B7A"/>
          <w:sz w:val="20"/>
        </w:rPr>
        <w:t>Генератор BIS.ERP.FrxMetadataGenerator — не потребитель, а создатель файла. Он читает .frx с диска и перезаписывает этот .cs. Отдельная сборка, основной программой не используется.</w:t>
      </w:r>
    </w:p>
    <w:p>
      <w:pPr>
        <w:pStyle w:val="Heading2"/>
      </w:pPr>
      <w:r>
        <w:t>Где вызывается сид отчётов — 9 точек</w:t>
      </w:r>
    </w:p>
    <w:p>
      <w:r>
        <w:t>Метод EnsureStandardReportsAsync запускается регулярно, а не один раз. Это важно: он выполняется при каждом старте приложения.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5000"/>
            <w:shd w:val="clear" w:fill="EAF4FB"/>
          </w:tcPr>
          <w:p>
            <w:r/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4400"/>
            <w:shd w:val="clear" w:fill="EAF4FB"/>
          </w:tcPr>
          <w:p>
            <w:r/>
            <w:r>
              <w:rPr>
                <w:b/>
                <w:sz w:val="18"/>
              </w:rPr>
              <w:t>Когда вызывается</w:t>
            </w:r>
          </w:p>
        </w:tc>
      </w:tr>
      <w:tr>
        <w:trPr>
          <w:cantSplit/>
        </w:trPr>
        <w:tc>
          <w:tcPr>
            <w:tcW w:type="dxa" w:w="5000"/>
          </w:tcPr>
          <w:p>
            <w:r/>
            <w:r>
              <w:rPr>
                <w:sz w:val="18"/>
              </w:rPr>
              <w:t>Services/InfoBaseManager.cs, строка 186</w:t>
            </w:r>
          </w:p>
        </w:tc>
        <w:tc>
          <w:tcPr>
            <w:tcW w:type="dxa" w:w="4400"/>
          </w:tcPr>
          <w:p>
            <w:r/>
            <w:r>
              <w:rPr>
                <w:sz w:val="18"/>
              </w:rPr>
              <w:t>При подключении к инфобазе</w:t>
            </w:r>
          </w:p>
        </w:tc>
      </w:tr>
      <w:tr>
        <w:trPr>
          <w:cantSplit/>
        </w:trPr>
        <w:tc>
          <w:tcPr>
            <w:tcW w:type="dxa" w:w="5000"/>
          </w:tcPr>
          <w:p>
            <w:r/>
            <w:r>
              <w:rPr>
                <w:sz w:val="18"/>
              </w:rPr>
              <w:t>Views/MainWorkWindow.xaml.cs, строка 486</w:t>
            </w:r>
          </w:p>
        </w:tc>
        <w:tc>
          <w:tcPr>
            <w:tcW w:type="dxa" w:w="4400"/>
          </w:tcPr>
          <w:p>
            <w:r/>
            <w:r>
              <w:rPr>
                <w:sz w:val="18"/>
              </w:rPr>
              <w:t>При старте рабочего окна</w:t>
            </w:r>
          </w:p>
        </w:tc>
      </w:tr>
      <w:tr>
        <w:trPr>
          <w:cantSplit/>
        </w:trPr>
        <w:tc>
          <w:tcPr>
            <w:tcW w:type="dxa" w:w="5000"/>
          </w:tcPr>
          <w:p>
            <w:r/>
            <w:r>
              <w:rPr>
                <w:sz w:val="18"/>
              </w:rPr>
              <w:t>Views/ConfiguratorWindow.xaml.cs, строка 259</w:t>
            </w:r>
          </w:p>
        </w:tc>
        <w:tc>
          <w:tcPr>
            <w:tcW w:type="dxa" w:w="4400"/>
          </w:tcPr>
          <w:p>
            <w:r/>
            <w:r>
              <w:rPr>
                <w:sz w:val="18"/>
              </w:rPr>
              <w:t>При открытии конфигуратора</w:t>
            </w:r>
          </w:p>
        </w:tc>
      </w:tr>
      <w:tr>
        <w:trPr>
          <w:cantSplit/>
        </w:trPr>
        <w:tc>
          <w:tcPr>
            <w:tcW w:type="dxa" w:w="5000"/>
          </w:tcPr>
          <w:p>
            <w:r/>
            <w:r>
              <w:rPr>
                <w:sz w:val="18"/>
              </w:rPr>
              <w:t>Views/CashOrderWorkView.xaml.cs, строки 1969, 2311</w:t>
            </w:r>
          </w:p>
        </w:tc>
        <w:tc>
          <w:tcPr>
            <w:tcW w:type="dxa" w:w="4400"/>
          </w:tcPr>
          <w:p>
            <w:r/>
            <w:r>
              <w:rPr>
                <w:sz w:val="18"/>
              </w:rPr>
              <w:t>При работе с кассовыми ордерами</w:t>
            </w:r>
          </w:p>
        </w:tc>
      </w:tr>
      <w:tr>
        <w:trPr>
          <w:cantSplit/>
        </w:trPr>
        <w:tc>
          <w:tcPr>
            <w:tcW w:type="dxa" w:w="5000"/>
          </w:tcPr>
          <w:p>
            <w:r/>
            <w:r>
              <w:rPr>
                <w:sz w:val="18"/>
              </w:rPr>
              <w:t>Services/DocumentationMetadataSeedService.cs, строка 33</w:t>
            </w:r>
          </w:p>
        </w:tc>
        <w:tc>
          <w:tcPr>
            <w:tcW w:type="dxa" w:w="4400"/>
          </w:tcPr>
          <w:p>
            <w:r/>
            <w:r>
              <w:rPr>
                <w:sz w:val="18"/>
              </w:rPr>
              <w:t>При сиде документации</w:t>
            </w:r>
          </w:p>
        </w:tc>
      </w:tr>
      <w:tr>
        <w:trPr>
          <w:cantSplit/>
        </w:trPr>
        <w:tc>
          <w:tcPr>
            <w:tcW w:type="dxa" w:w="5000"/>
          </w:tcPr>
          <w:p>
            <w:r/>
            <w:r>
              <w:rPr>
                <w:sz w:val="18"/>
              </w:rPr>
              <w:t>Services/ConfigurationExchangeService.cs, строка 114</w:t>
            </w:r>
          </w:p>
        </w:tc>
        <w:tc>
          <w:tcPr>
            <w:tcW w:type="dxa" w:w="4400"/>
          </w:tcPr>
          <w:p>
            <w:r/>
            <w:r>
              <w:rPr>
                <w:sz w:val="18"/>
              </w:rPr>
              <w:t>После импорта конфигурации</w:t>
            </w:r>
          </w:p>
        </w:tc>
      </w:tr>
      <w:tr>
        <w:trPr>
          <w:cantSplit/>
        </w:trPr>
        <w:tc>
          <w:tcPr>
            <w:tcW w:type="dxa" w:w="5000"/>
          </w:tcPr>
          <w:p>
            <w:r/>
            <w:r>
              <w:rPr>
                <w:sz w:val="18"/>
              </w:rPr>
              <w:t>Services/ConfigurationExchangeService.cs, строка 147</w:t>
            </w:r>
          </w:p>
        </w:tc>
        <w:tc>
          <w:tcPr>
            <w:tcW w:type="dxa" w:w="4400"/>
          </w:tcPr>
          <w:p>
            <w:r/>
            <w:r>
              <w:rPr>
                <w:sz w:val="18"/>
              </w:rPr>
              <w:t>Перед выгрузкой конфигурации</w:t>
            </w:r>
          </w:p>
        </w:tc>
      </w:tr>
    </w:tbl>
    <w:p/>
    <w:p>
      <w:pPr>
        <w:pStyle w:val="Heading1"/>
      </w:pPr>
      <w:r>
        <w:t>3. Как макет попадает в базу</w:t>
      </w:r>
    </w:p>
    <w:p>
      <w:r>
        <w:t>Макет извлекается из определения распаковкой gzip и целиком уходит в поле Template отчёта:</w:t>
      </w:r>
    </w:p>
    <w:p>
      <w:pPr>
        <w:spacing w:before="120" w:after="200"/>
        <w:ind w:left="240"/>
      </w:pPr>
      <w:r>
        <w:rPr>
          <w:rFonts w:ascii="Consolas" w:hAnsi="Consolas"/>
          <w:sz w:val="18"/>
        </w:rPr>
        <w:t>var templateJson = DecodeStandardFrxTemplate(definition.TemplateCompressedBase64);</w:t>
        <w:br/>
      </w:r>
      <w:r>
        <w:rPr>
          <w:rFonts w:ascii="Consolas" w:hAnsi="Consolas"/>
          <w:sz w:val="18"/>
        </w:rPr>
        <w:t>var shouldSeedTemplate = isNewReport || string.IsNullOrWhiteSpace(report.Template);</w:t>
        <w:br/>
      </w:r>
      <w:r>
        <w:rPr>
          <w:rFonts w:ascii="Consolas" w:hAnsi="Consolas"/>
          <w:sz w:val="18"/>
        </w:rPr>
        <w:t>report.Code = definition.Code;</w:t>
        <w:br/>
      </w:r>
      <w:r>
        <w:rPr>
          <w:rFonts w:ascii="Consolas" w:hAnsi="Consolas"/>
          <w:sz w:val="18"/>
        </w:rPr>
        <w:t>report.IsSystem = true;</w:t>
        <w:br/>
      </w:r>
      <w:r>
        <w:rPr>
          <w:rFonts w:ascii="Consolas" w:hAnsi="Consolas"/>
          <w:sz w:val="18"/>
        </w:rPr>
        <w:t>...</w:t>
        <w:br/>
      </w:r>
      <w:r>
        <w:rPr>
          <w:rFonts w:ascii="Consolas" w:hAnsi="Consolas"/>
          <w:sz w:val="18"/>
        </w:rPr>
        <w:t>if (shouldSeedTemplate)</w:t>
        <w:br/>
      </w:r>
      <w:r>
        <w:rPr>
          <w:rFonts w:ascii="Consolas" w:hAnsi="Consolas"/>
          <w:sz w:val="18"/>
        </w:rPr>
        <w:t xml:space="preserve">    report.Template = templateJson;   // пишется ТОЛЬКО если отчёта нет или Template пуст</w:t>
      </w:r>
    </w:p>
    <w:p>
      <w:pPr>
        <w:spacing w:before="40"/>
      </w:pPr>
      <w:r>
        <w:rPr>
          <w:b/>
          <w:i w:val="0"/>
          <w:color w:val="1E7D4D"/>
          <w:sz w:val="20"/>
        </w:rPr>
        <w:t>Главное следствие: на рабочей базе файл уже ничего не меняет. Все отчёты созданы, шаблоны лежат в Template и не перезаписываются. Файл срабатывает только когда отчёта нет или поле Template пустое.</w:t>
      </w:r>
    </w:p>
    <w:p>
      <w:r>
        <w:t>Что ещё пишется в отчёт при сиде:</w:t>
      </w:r>
    </w:p>
    <w:p>
      <w:pPr>
        <w:pStyle w:val="ListBullet"/>
      </w:pPr>
      <w:r>
        <w:t>Code, Name, Description, Icon — только если пусто.</w:t>
      </w:r>
    </w:p>
    <w:p>
      <w:pPr>
        <w:pStyle w:val="ListBullet"/>
      </w:pPr>
      <w:r>
        <w:t>DataSourceId — привязка к источнику данных по имени.</w:t>
      </w:r>
    </w:p>
    <w:p>
      <w:pPr>
        <w:pStyle w:val="ListBullet"/>
      </w:pPr>
      <w:r>
        <w:t>ReportType = FoxProLayout, SourceFormat = FoxProFRX.</w:t>
      </w:r>
    </w:p>
    <w:p>
      <w:pPr>
        <w:pStyle w:val="ListBullet"/>
      </w:pPr>
      <w:r>
        <w:t>Ориентация и поля страницы — только если не заданы.</w:t>
      </w:r>
    </w:p>
    <w:p>
      <w:pPr>
        <w:pStyle w:val="ListBullet"/>
      </w:pPr>
      <w:r>
        <w:t>IsPrintForm — перезаписывается всегда.</w:t>
      </w:r>
    </w:p>
    <w:p>
      <w:pPr>
        <w:pStyle w:val="Heading1"/>
      </w:pPr>
      <w:r>
        <w:t>4. Почему эти отчёты не видны в меню</w:t>
      </w:r>
    </w:p>
    <w:p>
      <w:r>
        <w:t>Существует метод MarkReconciliationFrxReportsAsTemplateVariantsAsync. Он помечает FRX-отчёты как активные печатные формы и одновременно убирает их из навигации:</w:t>
      </w:r>
    </w:p>
    <w:p>
      <w:pPr>
        <w:spacing w:before="120" w:after="200"/>
        <w:ind w:left="240"/>
      </w:pPr>
      <w:r>
        <w:rPr>
          <w:rFonts w:ascii="Consolas" w:hAnsi="Consolas"/>
          <w:sz w:val="18"/>
        </w:rPr>
        <w:t>var moduleItems = await _context.MetadataModuleItems</w:t>
        <w:br/>
      </w:r>
      <w:r>
        <w:rPr>
          <w:rFonts w:ascii="Consolas" w:hAnsi="Consolas"/>
          <w:sz w:val="18"/>
        </w:rPr>
        <w:t xml:space="preserve">    .Where(item =&gt; item.ObjectType == "Report" &amp;&amp; reportIds.Contains(item.ObjectId))</w:t>
        <w:br/>
      </w:r>
      <w:r>
        <w:rPr>
          <w:rFonts w:ascii="Consolas" w:hAnsi="Consolas"/>
          <w:sz w:val="18"/>
        </w:rPr>
        <w:t xml:space="preserve">    .ToListAsync();</w:t>
        <w:br/>
      </w:r>
      <w:r>
        <w:rPr>
          <w:rFonts w:ascii="Consolas" w:hAnsi="Consolas"/>
          <w:sz w:val="18"/>
        </w:rPr>
        <w:t>if (moduleItems.Count &gt; 0)</w:t>
        <w:br/>
      </w: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  _context.MetadataModuleItems.RemoveRange(moduleItems);</w:t>
        <w:br/>
      </w:r>
      <w:r>
        <w:rPr>
          <w:rFonts w:ascii="Consolas" w:hAnsi="Consolas"/>
          <w:sz w:val="18"/>
        </w:rPr>
        <w:t xml:space="preserve">    await _context.SaveChangesAsync();</w:t>
        <w:br/>
      </w:r>
      <w:r>
        <w:rPr>
          <w:rFonts w:ascii="Consolas" w:hAnsi="Consolas"/>
          <w:sz w:val="18"/>
        </w:rPr>
        <w:t>}</w:t>
      </w:r>
    </w:p>
    <w:p>
      <w:pPr>
        <w:spacing w:before="40"/>
      </w:pPr>
      <w:r>
        <w:rPr>
          <w:b/>
          <w:i w:val="0"/>
          <w:color w:val="2C3E50"/>
          <w:sz w:val="20"/>
        </w:rPr>
        <w:t>Это не забытые отчёты, а заготовки вариантов. Они наполняют выпадающие списки «Вид ОСВ» и «Вид акта сверки» в AccountingReportsView. Удалять эти определения из базы нельзя — сломается выбор варианта формы.</w:t>
      </w:r>
    </w:p>
    <w:p>
      <w:pPr>
        <w:pStyle w:val="Heading1"/>
      </w:pPr>
      <w:r>
        <w:t>5. Что будет при удалении файла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4000"/>
            <w:shd w:val="clear" w:fill="EAF4FB"/>
          </w:tcPr>
          <w:p>
            <w:r/>
            <w:r>
              <w:rPr>
                <w:b/>
                <w:sz w:val="18"/>
              </w:rPr>
              <w:t>Последствие</w:t>
            </w:r>
          </w:p>
        </w:tc>
        <w:tc>
          <w:tcPr>
            <w:tcW w:type="dxa" w:w="2400"/>
            <w:shd w:val="clear" w:fill="EAF4FB"/>
          </w:tcPr>
          <w:p>
            <w:r/>
            <w:r>
              <w:rPr>
                <w:b/>
                <w:sz w:val="18"/>
              </w:rPr>
              <w:t>Насколько критично</w:t>
            </w:r>
          </w:p>
        </w:tc>
        <w:tc>
          <w:tcPr>
            <w:tcW w:type="dxa" w:w="3000"/>
            <w:shd w:val="clear" w:fill="EAF4FB"/>
          </w:tcPr>
          <w:p>
            <w:r/>
            <w:r>
              <w:rPr>
                <w:b/>
                <w:sz w:val="18"/>
              </w:rPr>
              <w:t>Чем закрывается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Чистая база не получит 37 отчётов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Высоко для новых внедрений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Импорт выгрузки конфигурации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После импорта чужой конфигурации встроенные FRX-формы не восстановятся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Средне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Наличие этих форм в импортируемой конфигурации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Печатная форма платёжки перестанет досоздаваться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Средне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Чтение отчёта из базы по коду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23 определения вариантов останутся только в базе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Высоко: .frx на диске нет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Выгрузка конфигурации как резервная копия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Обычная работа существующей базы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Без изменений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Ничего не требуется</w:t>
            </w:r>
          </w:p>
        </w:tc>
      </w:tr>
    </w:tbl>
    <w:p/>
    <w:p>
      <w:r>
        <w:t>Важная оговорка про восстановление после импорта.</w:t>
      </w:r>
    </w:p>
    <w:p>
      <w:r>
        <w:t>Импорт конфигурации заменяет все отчёты с признаком системного на те, что пришли в пакете, и только затем запускает сид из кода. То есть файл сейчас работает как страховка: если в чужой конфигурации встроенных форм нет, они досоздаются из сборки. Без файла эта страховка исчезает.</w:t>
      </w:r>
    </w:p>
    <w:p>
      <w:r>
        <w:t>Есть и встречный механизм: удалённые пользователем отчёты запоминаются, и сид их не возвращает. Значит отчёт, убранный через интерфейс осознанно, файл всё равно не воскресит.</w:t>
      </w:r>
    </w:p>
    <w:p>
      <w:pPr>
        <w:pStyle w:val="Heading1"/>
      </w:pPr>
      <w:r>
        <w:t>6. Варианты решения</w:t>
      </w:r>
    </w:p>
    <w:p>
      <w:pPr>
        <w:pStyle w:val="Heading2"/>
      </w:pPr>
      <w:r>
        <w:t>Вариант A. Удалить файл сразу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600"/>
            <w:shd w:val="clear" w:fill="EAF4FB"/>
          </w:tcPr>
          <w:p>
            <w:r/>
            <w:r>
              <w:rPr>
                <w:b/>
                <w:sz w:val="18"/>
              </w:rPr>
              <w:t>Плюсы</w:t>
            </w:r>
          </w:p>
        </w:tc>
        <w:tc>
          <w:tcPr>
            <w:tcW w:type="dxa" w:w="4800"/>
            <w:shd w:val="clear" w:fill="EAF4FB"/>
          </w:tcPr>
          <w:p>
            <w:r/>
            <w:r>
              <w:rPr>
                <w:b/>
                <w:sz w:val="18"/>
              </w:rPr>
              <w:t>Минусы</w:t>
            </w:r>
          </w:p>
        </w:tc>
      </w:tr>
      <w:tr>
        <w:trPr>
          <w:cantSplit/>
        </w:trPr>
        <w:tc>
          <w:tcPr>
            <w:tcW w:type="dxa" w:w="4600"/>
          </w:tcPr>
          <w:p>
            <w:r/>
            <w:r>
              <w:rPr>
                <w:sz w:val="18"/>
              </w:rPr>
              <w:t>Быстро: правка трёх мест и удаление файла</w:t>
            </w:r>
          </w:p>
        </w:tc>
        <w:tc>
          <w:tcPr>
            <w:tcW w:type="dxa" w:w="4800"/>
          </w:tcPr>
          <w:p>
            <w:r/>
            <w:r>
              <w:rPr>
                <w:sz w:val="18"/>
              </w:rPr>
              <w:t>Теряется восстановление форм после импорта чужой конфигурации</w:t>
            </w:r>
          </w:p>
        </w:tc>
      </w:tr>
      <w:tr>
        <w:trPr>
          <w:cantSplit/>
        </w:trPr>
        <w:tc>
          <w:tcPr>
            <w:tcW w:type="dxa" w:w="4600"/>
          </w:tcPr>
          <w:p>
            <w:r/>
            <w:r>
              <w:rPr>
                <w:sz w:val="18"/>
              </w:rPr>
              <w:t>Файл на 199 КБ исчезает из репозитория</w:t>
            </w:r>
          </w:p>
        </w:tc>
        <w:tc>
          <w:tcPr>
            <w:tcW w:type="dxa" w:w="4800"/>
          </w:tcPr>
          <w:p>
            <w:r/>
            <w:r>
              <w:rPr>
                <w:sz w:val="18"/>
              </w:rPr>
              <w:t>Чистая база остаётся без 37 отчётов</w:t>
            </w:r>
          </w:p>
        </w:tc>
      </w:tr>
      <w:tr>
        <w:trPr>
          <w:cantSplit/>
        </w:trPr>
        <w:tc>
          <w:tcPr>
            <w:tcW w:type="dxa" w:w="4600"/>
          </w:tcPr>
          <w:p>
            <w:r/>
            <w:r>
              <w:rPr>
                <w:sz w:val="18"/>
              </w:rPr>
              <w:t>Код становится понятнее</w:t>
            </w:r>
          </w:p>
        </w:tc>
        <w:tc>
          <w:tcPr>
            <w:tcW w:type="dxa" w:w="4800"/>
          </w:tcPr>
          <w:p>
            <w:r/>
            <w:r>
              <w:rPr>
                <w:sz w:val="18"/>
              </w:rPr>
              <w:t>23 определения вариантов остаются только в базе</w:t>
            </w:r>
          </w:p>
        </w:tc>
      </w:tr>
    </w:tbl>
    <w:p/>
    <w:p>
      <w:pPr>
        <w:spacing w:before="40"/>
      </w:pPr>
      <w:r>
        <w:rPr>
          <w:b w:val="0"/>
          <w:i/>
          <w:color w:val="A93226"/>
          <w:sz w:val="20"/>
        </w:rPr>
        <w:t>Подходит, только если есть свежая и проверенная выгрузка конфигурации.</w:t>
      </w:r>
    </w:p>
    <w:p>
      <w:pPr>
        <w:pStyle w:val="Heading2"/>
      </w:pPr>
      <w:r>
        <w:t>Вариант B. Сначала страховка, потом удаление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1000"/>
            <w:shd w:val="clear" w:fill="EAF4FB"/>
          </w:tcPr>
          <w:p>
            <w:r/>
            <w:r>
              <w:rPr>
                <w:b/>
                <w:sz w:val="18"/>
              </w:rPr>
              <w:t>Шаг</w:t>
            </w:r>
          </w:p>
        </w:tc>
        <w:tc>
          <w:tcPr>
            <w:tcW w:type="dxa" w:w="8400"/>
            <w:shd w:val="clear" w:fill="EAF4FB"/>
          </w:tcPr>
          <w:p>
            <w:r/>
            <w:r>
              <w:rPr>
                <w:b/>
                <w:sz w:val="18"/>
              </w:rPr>
              <w:t>Действие</w:t>
            </w:r>
          </w:p>
        </w:tc>
      </w:tr>
      <w:tr>
        <w:trPr>
          <w:cantSplit/>
        </w:trPr>
        <w:tc>
          <w:tcPr>
            <w:tcW w:type="dxa" w:w="100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400"/>
          </w:tcPr>
          <w:p>
            <w:r/>
            <w:r>
              <w:rPr>
                <w:sz w:val="18"/>
              </w:rPr>
              <w:t>Выгрузить конфигурацию из рабочей базы</w:t>
            </w:r>
          </w:p>
        </w:tc>
      </w:tr>
      <w:tr>
        <w:trPr>
          <w:cantSplit/>
        </w:trPr>
        <w:tc>
          <w:tcPr>
            <w:tcW w:type="dxa" w:w="100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400"/>
          </w:tcPr>
          <w:p>
            <w:r/>
            <w:r>
              <w:rPr>
                <w:sz w:val="18"/>
              </w:rPr>
              <w:t>Проверить, что в выгрузке есть все 37 отчётов и непустой Template у каждого</w:t>
            </w:r>
          </w:p>
        </w:tc>
      </w:tr>
      <w:tr>
        <w:trPr>
          <w:cantSplit/>
        </w:trPr>
        <w:tc>
          <w:tcPr>
            <w:tcW w:type="dxa" w:w="100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400"/>
          </w:tcPr>
          <w:p>
            <w:r/>
            <w:r>
              <w:rPr>
                <w:sz w:val="18"/>
              </w:rPr>
              <w:t>Импортировать выгрузку на чистую базу и убедиться, что формы на месте</w:t>
            </w:r>
          </w:p>
        </w:tc>
      </w:tr>
      <w:tr>
        <w:trPr>
          <w:cantSplit/>
        </w:trPr>
        <w:tc>
          <w:tcPr>
            <w:tcW w:type="dxa" w:w="100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400"/>
          </w:tcPr>
          <w:p>
            <w:r/>
            <w:r>
              <w:rPr>
                <w:sz w:val="18"/>
              </w:rPr>
              <w:t>Удалить файл и три ссылки на него</w:t>
            </w:r>
          </w:p>
        </w:tc>
      </w:tr>
      <w:tr>
        <w:trPr>
          <w:cantSplit/>
        </w:trPr>
        <w:tc>
          <w:tcPr>
            <w:tcW w:type="dxa" w:w="100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400"/>
          </w:tcPr>
          <w:p>
            <w:r/>
            <w:r>
              <w:rPr>
                <w:sz w:val="18"/>
              </w:rPr>
              <w:t>Собрать и запустить на рабочей базе: убедиться, что отчёты не пострадали</w:t>
            </w:r>
          </w:p>
        </w:tc>
      </w:tr>
    </w:tbl>
    <w:p/>
    <w:p>
      <w:pPr>
        <w:spacing w:before="40"/>
      </w:pPr>
      <w:r>
        <w:rPr>
          <w:b/>
          <w:i w:val="0"/>
          <w:color w:val="1E7D4D"/>
          <w:sz w:val="20"/>
        </w:rPr>
        <w:t>Рекомендуемый путь. Риск закрывается проверкой на каждом шаге, откат простой: вернуть файл из системы контроля версий.</w:t>
      </w:r>
    </w:p>
    <w:p>
      <w:pPr>
        <w:pStyle w:val="Heading2"/>
      </w:pPr>
      <w:r>
        <w:t>Вариант C. Перенести определения в базу программно</w:t>
      </w:r>
    </w:p>
    <w:p>
      <w:r>
        <w:t>Разовая операция: код читает определения из файла и записывает недостающие метаданные отчётов в базу. После этого файл удаляется, а источником правды становится база.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600"/>
            <w:shd w:val="clear" w:fill="EAF4FB"/>
          </w:tcPr>
          <w:p>
            <w:r/>
            <w:r>
              <w:rPr>
                <w:b/>
                <w:sz w:val="18"/>
              </w:rPr>
              <w:t>Плюсы</w:t>
            </w:r>
          </w:p>
        </w:tc>
        <w:tc>
          <w:tcPr>
            <w:tcW w:type="dxa" w:w="4800"/>
            <w:shd w:val="clear" w:fill="EAF4FB"/>
          </w:tcPr>
          <w:p>
            <w:r/>
            <w:r>
              <w:rPr>
                <w:b/>
                <w:sz w:val="18"/>
              </w:rPr>
              <w:t>Минусы</w:t>
            </w:r>
          </w:p>
        </w:tc>
      </w:tr>
      <w:tr>
        <w:trPr>
          <w:cantSplit/>
        </w:trPr>
        <w:tc>
          <w:tcPr>
            <w:tcW w:type="dxa" w:w="4600"/>
          </w:tcPr>
          <w:p>
            <w:r/>
            <w:r>
              <w:rPr>
                <w:sz w:val="18"/>
              </w:rPr>
              <w:t>Полностью убирает код-константу из поставки</w:t>
            </w:r>
          </w:p>
        </w:tc>
        <w:tc>
          <w:tcPr>
            <w:tcW w:type="dxa" w:w="4800"/>
          </w:tcPr>
          <w:p>
            <w:r/>
            <w:r>
              <w:rPr>
                <w:sz w:val="18"/>
              </w:rPr>
              <w:t>Плюс один день работы и отдельный прогон</w:t>
            </w:r>
          </w:p>
        </w:tc>
      </w:tr>
      <w:tr>
        <w:trPr>
          <w:cantSplit/>
        </w:trPr>
        <w:tc>
          <w:tcPr>
            <w:tcW w:type="dxa" w:w="4600"/>
          </w:tcPr>
          <w:p>
            <w:r/>
            <w:r>
              <w:rPr>
                <w:sz w:val="18"/>
              </w:rPr>
              <w:t>Не нужно полагаться на импорт конфигурации</w:t>
            </w:r>
          </w:p>
        </w:tc>
        <w:tc>
          <w:tcPr>
            <w:tcW w:type="dxa" w:w="4800"/>
          </w:tcPr>
          <w:p>
            <w:r/>
            <w:r>
              <w:rPr>
                <w:sz w:val="18"/>
              </w:rPr>
              <w:t>Нужно решить, что делать при будущих новых макетах FRX</w:t>
            </w:r>
          </w:p>
        </w:tc>
      </w:tr>
      <w:tr>
        <w:trPr>
          <w:cantSplit/>
        </w:trPr>
        <w:tc>
          <w:tcPr>
            <w:tcW w:type="dxa" w:w="4600"/>
          </w:tcPr>
          <w:p>
            <w:r/>
            <w:r>
              <w:rPr>
                <w:sz w:val="18"/>
              </w:rPr>
              <w:t>Определения становятся обычными данными: их можно править в конфигураторе</w:t>
            </w:r>
          </w:p>
        </w:tc>
        <w:tc>
          <w:tcPr>
            <w:tcW w:type="dxa" w:w="4800"/>
          </w:tcPr>
          <w:p>
            <w:r/>
            <w:r>
              <w:rPr>
                <w:sz w:val="18"/>
              </w:rPr>
              <w:t>Разовый код надо не забыть удалить после переноса</w:t>
            </w:r>
          </w:p>
        </w:tc>
      </w:tr>
    </w:tbl>
    <w:p/>
    <w:p>
      <w:pPr>
        <w:pStyle w:val="Heading2"/>
      </w:pPr>
      <w:r>
        <w:t>Вариант D. Оставить как есть</w:t>
      </w:r>
    </w:p>
    <w:p>
      <w:r>
        <w:t>Файл не мешает: на рабочей базе он ничего не перезаписывает. Его можно оставить как встроенный резерв форм FRX. Минус — 199 КБ кода-константы и неочевидная связь: правка макета в базе не сохранится при восстановлении из сборки.</w:t>
      </w:r>
    </w:p>
    <w:p>
      <w:pPr>
        <w:pStyle w:val="Heading1"/>
      </w:pPr>
      <w:r>
        <w:t>7. Сравнение вариантов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2600"/>
            <w:shd w:val="clear" w:fill="EAF4FB"/>
          </w:tcPr>
          <w:p>
            <w:r/>
            <w:r>
              <w:rPr>
                <w:b/>
                <w:sz w:val="18"/>
              </w:rPr>
              <w:t>Критерий</w:t>
            </w:r>
          </w:p>
        </w:tc>
        <w:tc>
          <w:tcPr>
            <w:tcW w:type="dxa" w:w="1600"/>
            <w:shd w:val="clear" w:fill="EAF4FB"/>
          </w:tcPr>
          <w:p>
            <w:r/>
            <w:r>
              <w:rPr>
                <w:b/>
                <w:sz w:val="18"/>
              </w:rPr>
              <w:t>A. Удалить</w:t>
            </w:r>
          </w:p>
        </w:tc>
        <w:tc>
          <w:tcPr>
            <w:tcW w:type="dxa" w:w="2300"/>
            <w:shd w:val="clear" w:fill="EAF4FB"/>
          </w:tcPr>
          <w:p>
            <w:r/>
            <w:r>
              <w:rPr>
                <w:b/>
                <w:sz w:val="18"/>
              </w:rPr>
              <w:t>B. Страховка+удалить</w:t>
            </w:r>
          </w:p>
        </w:tc>
        <w:tc>
          <w:tcPr>
            <w:tcW w:type="dxa" w:w="2100"/>
            <w:shd w:val="clear" w:fill="EAF4FB"/>
          </w:tcPr>
          <w:p>
            <w:r/>
            <w:r>
              <w:rPr>
                <w:b/>
                <w:sz w:val="18"/>
              </w:rPr>
              <w:t>C. Перенести в базу</w:t>
            </w:r>
          </w:p>
        </w:tc>
        <w:tc>
          <w:tcPr>
            <w:tcW w:type="dxa" w:w="1600"/>
            <w:shd w:val="clear" w:fill="EAF4FB"/>
          </w:tcPr>
          <w:p>
            <w:r/>
            <w:r>
              <w:rPr>
                <w:b/>
                <w:sz w:val="18"/>
              </w:rPr>
              <w:t>D. Оставить</w:t>
            </w:r>
          </w:p>
        </w:tc>
      </w:tr>
      <w:tr>
        <w:trPr>
          <w:cantSplit/>
        </w:trPr>
        <w:tc>
          <w:tcPr>
            <w:tcW w:type="dxa" w:w="2600"/>
          </w:tcPr>
          <w:p>
            <w:r/>
            <w:r>
              <w:rPr>
                <w:sz w:val="18"/>
              </w:rPr>
              <w:t>Трудозатраты</w:t>
            </w:r>
          </w:p>
        </w:tc>
        <w:tc>
          <w:tcPr>
            <w:tcW w:type="dxa" w:w="1600"/>
          </w:tcPr>
          <w:p>
            <w:r/>
            <w:r>
              <w:rPr>
                <w:sz w:val="18"/>
              </w:rPr>
              <w:t>0,5 дня</w:t>
            </w:r>
          </w:p>
        </w:tc>
        <w:tc>
          <w:tcPr>
            <w:tcW w:type="dxa" w:w="2300"/>
          </w:tcPr>
          <w:p>
            <w:r/>
            <w:r>
              <w:rPr>
                <w:sz w:val="18"/>
              </w:rPr>
              <w:t>1 день</w:t>
            </w:r>
          </w:p>
        </w:tc>
        <w:tc>
          <w:tcPr>
            <w:tcW w:type="dxa" w:w="2100"/>
          </w:tcPr>
          <w:p>
            <w:r/>
            <w:r>
              <w:rPr>
                <w:sz w:val="18"/>
              </w:rPr>
              <w:t>1,5–2 дня</w:t>
            </w:r>
          </w:p>
        </w:tc>
        <w:tc>
          <w:tcPr>
            <w:tcW w:type="dxa" w:w="1600"/>
          </w:tcPr>
          <w:p>
            <w:r/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600"/>
          </w:tcPr>
          <w:p>
            <w:r/>
            <w:r>
              <w:rPr>
                <w:sz w:val="18"/>
              </w:rPr>
              <w:t>Риск потери форм</w:t>
            </w:r>
          </w:p>
        </w:tc>
        <w:tc>
          <w:tcPr>
            <w:tcW w:type="dxa" w:w="1600"/>
          </w:tcPr>
          <w:p>
            <w:r/>
            <w:r>
              <w:rPr>
                <w:sz w:val="18"/>
              </w:rPr>
              <w:t>Высокий</w:t>
            </w:r>
          </w:p>
        </w:tc>
        <w:tc>
          <w:tcPr>
            <w:tcW w:type="dxa" w:w="2300"/>
          </w:tcPr>
          <w:p>
            <w:r/>
            <w:r>
              <w:rPr>
                <w:sz w:val="18"/>
              </w:rPr>
              <w:t>Низкий</w:t>
            </w:r>
          </w:p>
        </w:tc>
        <w:tc>
          <w:tcPr>
            <w:tcW w:type="dxa" w:w="2100"/>
          </w:tcPr>
          <w:p>
            <w:r/>
            <w:r>
              <w:rPr>
                <w:sz w:val="18"/>
              </w:rPr>
              <w:t>Низкий</w:t>
            </w:r>
          </w:p>
        </w:tc>
        <w:tc>
          <w:tcPr>
            <w:tcW w:type="dxa" w:w="1600"/>
          </w:tcPr>
          <w:p>
            <w:r/>
            <w:r>
              <w:rPr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2600"/>
          </w:tcPr>
          <w:p>
            <w:r/>
            <w:r>
              <w:rPr>
                <w:sz w:val="18"/>
              </w:rPr>
              <w:t>Чистота кода</w:t>
            </w:r>
          </w:p>
        </w:tc>
        <w:tc>
          <w:tcPr>
            <w:tcW w:type="dxa" w:w="1600"/>
          </w:tcPr>
          <w:p>
            <w:r/>
            <w:r>
              <w:rPr>
                <w:sz w:val="18"/>
              </w:rPr>
              <w:t>Высокая</w:t>
            </w:r>
          </w:p>
        </w:tc>
        <w:tc>
          <w:tcPr>
            <w:tcW w:type="dxa" w:w="2300"/>
          </w:tcPr>
          <w:p>
            <w:r/>
            <w:r>
              <w:rPr>
                <w:sz w:val="18"/>
              </w:rPr>
              <w:t>Высокая</w:t>
            </w:r>
          </w:p>
        </w:tc>
        <w:tc>
          <w:tcPr>
            <w:tcW w:type="dxa" w:w="2100"/>
          </w:tcPr>
          <w:p>
            <w:r/>
            <w:r>
              <w:rPr>
                <w:sz w:val="18"/>
              </w:rPr>
              <w:t>Высокая</w:t>
            </w:r>
          </w:p>
        </w:tc>
        <w:tc>
          <w:tcPr>
            <w:tcW w:type="dxa" w:w="1600"/>
          </w:tcPr>
          <w:p>
            <w:r/>
            <w:r>
              <w:rPr>
                <w:sz w:val="18"/>
              </w:rPr>
              <w:t>Низкая</w:t>
            </w:r>
          </w:p>
        </w:tc>
      </w:tr>
      <w:tr>
        <w:trPr>
          <w:cantSplit/>
        </w:trPr>
        <w:tc>
          <w:tcPr>
            <w:tcW w:type="dxa" w:w="2600"/>
          </w:tcPr>
          <w:p>
            <w:r/>
            <w:r>
              <w:rPr>
                <w:sz w:val="18"/>
              </w:rPr>
              <w:t>Восстановление после импорта</w:t>
            </w:r>
          </w:p>
        </w:tc>
        <w:tc>
          <w:tcPr>
            <w:tcW w:type="dxa" w:w="1600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2300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2100"/>
          </w:tcPr>
          <w:p>
            <w:r/>
            <w:r>
              <w:rPr>
                <w:sz w:val="18"/>
              </w:rPr>
              <w:t>Через конфигурацию</w:t>
            </w:r>
          </w:p>
        </w:tc>
        <w:tc>
          <w:tcPr>
            <w:tcW w:type="dxa" w:w="1600"/>
          </w:tcPr>
          <w:p>
            <w:r/>
            <w:r>
              <w:rPr>
                <w:sz w:val="18"/>
              </w:rPr>
              <w:t>Есть</w:t>
            </w:r>
          </w:p>
        </w:tc>
      </w:tr>
      <w:tr>
        <w:trPr>
          <w:cantSplit/>
        </w:trPr>
        <w:tc>
          <w:tcPr>
            <w:tcW w:type="dxa" w:w="2600"/>
          </w:tcPr>
          <w:p>
            <w:r/>
            <w:r>
              <w:rPr>
                <w:sz w:val="18"/>
              </w:rPr>
              <w:t>Новые макеты FRX в будущем</w:t>
            </w:r>
          </w:p>
        </w:tc>
        <w:tc>
          <w:tcPr>
            <w:tcW w:type="dxa" w:w="1600"/>
          </w:tcPr>
          <w:p>
            <w:r/>
            <w:r>
              <w:rPr>
                <w:sz w:val="18"/>
              </w:rPr>
              <w:t>Руками в базу</w:t>
            </w:r>
          </w:p>
        </w:tc>
        <w:tc>
          <w:tcPr>
            <w:tcW w:type="dxa" w:w="2300"/>
          </w:tcPr>
          <w:p>
            <w:r/>
            <w:r>
              <w:rPr>
                <w:sz w:val="18"/>
              </w:rPr>
              <w:t>Руками в базу</w:t>
            </w:r>
          </w:p>
        </w:tc>
        <w:tc>
          <w:tcPr>
            <w:tcW w:type="dxa" w:w="2100"/>
          </w:tcPr>
          <w:p>
            <w:r/>
            <w:r>
              <w:rPr>
                <w:sz w:val="18"/>
              </w:rPr>
              <w:t>В конфигураторе</w:t>
            </w:r>
          </w:p>
        </w:tc>
        <w:tc>
          <w:tcPr>
            <w:tcW w:type="dxa" w:w="1600"/>
          </w:tcPr>
          <w:p>
            <w:r/>
            <w:r>
              <w:rPr>
                <w:sz w:val="18"/>
              </w:rPr>
              <w:t>Через генератор</w:t>
            </w:r>
          </w:p>
        </w:tc>
      </w:tr>
    </w:tbl>
    <w:p/>
    <w:p>
      <w:pPr>
        <w:pStyle w:val="Heading1"/>
      </w:pPr>
      <w:r>
        <w:t>8. Что нужно решить</w:t>
      </w:r>
    </w:p>
    <w:p>
      <w:pPr>
        <w:pStyle w:val="ListBullet"/>
      </w:pPr>
      <w:r>
        <w:t>Есть ли свежая выгрузка конфигурации, в которой точно лежат все 37 отчётов?</w:t>
      </w:r>
    </w:p>
    <w:p>
      <w:pPr>
        <w:pStyle w:val="ListBullet"/>
      </w:pPr>
      <w:r>
        <w:t>Планируются ли новые внедрения на чистых базах? Если да, без файла нужен надёжный импорт.</w:t>
      </w:r>
    </w:p>
    <w:p>
      <w:pPr>
        <w:pStyle w:val="ListBullet"/>
      </w:pPr>
      <w:r>
        <w:t>Будут ли добавляться новые FRX-макеты? От этого зависит, нужен ли генератор дальше.</w:t>
      </w:r>
    </w:p>
    <w:p>
      <w:pPr>
        <w:pStyle w:val="ListBullet"/>
      </w:pPr>
      <w:r>
        <w:t>Допустимо ли, что варианты актов и ОСВ станут обычными данными, правимыми в конфигураторе?</w:t>
      </w:r>
    </w:p>
    <w:p>
      <w:pPr>
        <w:pStyle w:val="Heading1"/>
      </w:pPr>
      <w:r>
        <w:t>9. Проверки перед удалением</w:t>
      </w:r>
    </w:p>
    <w:p>
      <w:r>
        <w:t>Запросы к базе, которые стоит выполнить заранее.</w:t>
      </w:r>
    </w:p>
    <w:p>
      <w:r>
        <w:t>Сколько отчётов FRX сейчас в базе и у скольких заполнен шаблон:</w:t>
      </w:r>
    </w:p>
    <w:p>
      <w:pPr>
        <w:spacing w:before="120" w:after="200"/>
        <w:ind w:left="240"/>
      </w:pPr>
      <w:r>
        <w:rPr>
          <w:rFonts w:ascii="Consolas" w:hAnsi="Consolas"/>
          <w:sz w:val="18"/>
        </w:rPr>
        <w:t>SELECT count(*) AS total,</w:t>
        <w:br/>
      </w:r>
      <w:r>
        <w:rPr>
          <w:rFonts w:ascii="Consolas" w:hAnsi="Consolas"/>
          <w:sz w:val="18"/>
        </w:rPr>
        <w:t xml:space="preserve">       count(*) FILTER (WHERE "Template" &lt;&gt; '') AS with_template</w:t>
        <w:br/>
      </w:r>
      <w:r>
        <w:rPr>
          <w:rFonts w:ascii="Consolas" w:hAnsi="Consolas"/>
          <w:sz w:val="18"/>
        </w:rPr>
        <w:t>FROM "Reports"</w:t>
        <w:br/>
      </w:r>
      <w:r>
        <w:rPr>
          <w:rFonts w:ascii="Consolas" w:hAnsi="Consolas"/>
          <w:sz w:val="18"/>
        </w:rPr>
        <w:t>WHERE "SourceFormat" = 'FoxProFRX';</w:t>
      </w:r>
    </w:p>
    <w:p>
      <w:r>
        <w:t>Проверка, что все определения из файла присутствуют в базе:</w:t>
      </w:r>
    </w:p>
    <w:p>
      <w:pPr>
        <w:spacing w:before="120" w:after="200"/>
        <w:ind w:left="240"/>
      </w:pPr>
      <w:r>
        <w:rPr>
          <w:rFonts w:ascii="Consolas" w:hAnsi="Consolas"/>
          <w:sz w:val="18"/>
        </w:rPr>
        <w:t>SELECT "Code", "Name",</w:t>
        <w:br/>
      </w:r>
      <w:r>
        <w:rPr>
          <w:rFonts w:ascii="Consolas" w:hAnsi="Consolas"/>
          <w:sz w:val="18"/>
        </w:rPr>
        <w:t xml:space="preserve">       length("Template") AS template_len,</w:t>
        <w:br/>
      </w:r>
      <w:r>
        <w:rPr>
          <w:rFonts w:ascii="Consolas" w:hAnsi="Consolas"/>
          <w:sz w:val="18"/>
        </w:rPr>
        <w:t xml:space="preserve">       "IsActive", "IsPrintForm"</w:t>
        <w:br/>
      </w:r>
      <w:r>
        <w:rPr>
          <w:rFonts w:ascii="Consolas" w:hAnsi="Consolas"/>
          <w:sz w:val="18"/>
        </w:rPr>
        <w:t>FROM "Reports"</w:t>
        <w:br/>
      </w:r>
      <w:r>
        <w:rPr>
          <w:rFonts w:ascii="Consolas" w:hAnsi="Consolas"/>
          <w:sz w:val="18"/>
        </w:rPr>
        <w:t>WHERE "Code" LIKE 'standard.frx.%'</w:t>
        <w:br/>
      </w:r>
      <w:r>
        <w:rPr>
          <w:rFonts w:ascii="Consolas" w:hAnsi="Consolas"/>
          <w:sz w:val="18"/>
        </w:rPr>
        <w:t>ORDER BY "Code";</w:t>
      </w:r>
    </w:p>
    <w:p>
      <w:pPr>
        <w:spacing w:before="40"/>
      </w:pPr>
      <w:r>
        <w:rPr>
          <w:b/>
          <w:i w:val="0"/>
          <w:color w:val="1E7D4D"/>
          <w:sz w:val="20"/>
        </w:rPr>
        <w:t>Ожидаемый результат: 37 строк, у всех template_len больше нуля. Если какая-то строка отсутствует или шаблон пуст — этот отчёт как раз и сидируется из файла, удалять рано.</w:t>
      </w:r>
    </w:p>
    <w:p>
      <w:pPr>
        <w:pStyle w:val="Heading1"/>
      </w:pPr>
      <w:r>
        <w:t>Резюме</w:t>
      </w:r>
    </w:p>
    <w:p>
      <w:r>
        <w:t>Файл уже выполнил свою основную работу: все 37 макетов перенесены в базу в поле Template как JSON и в обычной работе не перезаписываются. За ним осталась одна функция — восстановление встроенных форм FRX на чистой базе и после импорта конфигурации, где их нет. Поэтому удаление технически возможно, но должно быть подготовлено: сначала выгрузка конфигурации, проверка её полноты и импорт на чистую базу, и только потом удаление файла. Оптимальным выглядит вариант B; если хочется убрать код-константу полностью и сделать источником правды базу — вариант C, но он дороже на день.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