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обучать систему сопоставлению FoxPro-полей</w:t>
      </w:r>
    </w:p>
    <w:p>
      <w:r>
        <w:rPr>
          <w:color w:val="5F6B7A"/>
          <w:sz w:val="22"/>
        </w:rPr>
        <w:t>Механизм обучения, доступный без правки кода, и примеры его применения для актов сверки и оборотных ведомостей.</w:t>
      </w:r>
    </w:p>
    <w:p>
      <w:pPr>
        <w:pStyle w:val="Heading1"/>
      </w:pPr>
      <w:r>
        <w:t>Короткий ответ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5600"/>
            <w:shd w:val="clear" w:fill="EAF4FB"/>
          </w:tcPr>
          <w:p>
            <w:r/>
            <w:r>
              <w:rPr>
                <w:b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Есть ли механизм обучения в системе?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Да. Редактор правил распознавания в конфигураторе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Нужна ли правка кода?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Для сопоставлений — нет. Для базового словаря синонимов — да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Где учить?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Конструктор отчётов → вкладка «🔗 FRX поля»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Что даёт обучение?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Один раз сопоставил — в похожих отчётах распознаётся само</w:t>
            </w:r>
          </w:p>
        </w:tc>
      </w:tr>
      <w:tr>
        <w:trPr>
          <w:cantSplit/>
        </w:trPr>
        <w:tc>
          <w:tcPr>
            <w:tcW w:type="dxa" w:w="3800"/>
          </w:tcPr>
          <w:p>
            <w:r/>
            <w:r>
              <w:rPr>
                <w:sz w:val="18"/>
              </w:rPr>
              <w:t>Сколько правил уже засеяно?</w:t>
            </w:r>
          </w:p>
        </w:tc>
        <w:tc>
          <w:tcPr>
            <w:tcW w:type="dxa" w:w="5600"/>
          </w:tcPr>
          <w:p>
            <w:r/>
            <w:r>
              <w:rPr>
                <w:sz w:val="18"/>
              </w:rPr>
              <w:t>Около 60: акт сверки, счёт-фактура, общие</w:t>
            </w:r>
          </w:p>
        </w:tc>
      </w:tr>
    </w:tbl>
    <w:p/>
    <w:p>
      <w:pPr>
        <w:pStyle w:val="Heading1"/>
      </w:pPr>
      <w:r>
        <w:t>1. Два слоя: что настраивается, а что в коде</w:t>
      </w:r>
    </w:p>
    <w:p>
      <w:r>
        <w:t>Важно понимать, что механизмов два, и они по-разному доступны для настройки.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600"/>
            <w:shd w:val="clear" w:fill="EAF4FB"/>
          </w:tcPr>
          <w:p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Где живёт</w:t>
            </w:r>
          </w:p>
        </w:tc>
        <w:tc>
          <w:tcPr>
            <w:tcW w:type="dxa" w:w="1700"/>
            <w:shd w:val="clear" w:fill="EAF4FB"/>
          </w:tcPr>
          <w:p>
            <w:r/>
            <w:r>
              <w:rPr>
                <w:b/>
                <w:sz w:val="18"/>
              </w:rPr>
              <w:t>Настройка без кода</w:t>
            </w:r>
          </w:p>
        </w:tc>
        <w:tc>
          <w:tcPr>
            <w:tcW w:type="dxa" w:w="2300"/>
            <w:shd w:val="clear" w:fill="EAF4FB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Канонические синонимы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Код, FoxProReportKnowledgeBase</w:t>
            </w:r>
          </w:p>
        </w:tc>
        <w:tc>
          <w:tcPr>
            <w:tcW w:type="dxa" w:w="17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Связывает FoxPro-имя с группой: debsum, sum_deb, deb_v — это сумма дебета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Русские названия колонок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Код, PrintFormService</w:t>
            </w:r>
          </w:p>
        </w:tc>
        <w:tc>
          <w:tcPr>
            <w:tcW w:type="dxa" w:w="17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«Сумма Дт» сопоставляется с debit_amount</w:t>
            </w:r>
          </w:p>
        </w:tc>
      </w:tr>
      <w:tr>
        <w:trPr>
          <w:cantSplit/>
        </w:trPr>
        <w:tc>
          <w:tcPr>
            <w:tcW w:type="dxa" w:w="2600"/>
          </w:tcPr>
          <w:p>
            <w:r/>
            <w:r>
              <w:rPr>
                <w:sz w:val="18"/>
              </w:rPr>
              <w:t>Правила распознавания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Таблица БД FoxProReportFieldRules</w:t>
            </w:r>
          </w:p>
        </w:tc>
        <w:tc>
          <w:tcPr>
            <w:tcW w:type="dxa" w:w="17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2300"/>
          </w:tcPr>
          <w:p>
            <w:r/>
            <w:r>
              <w:rPr>
                <w:sz w:val="18"/>
              </w:rPr>
              <w:t>Связывает выражение макета с конкретным полем данных</w:t>
            </w:r>
          </w:p>
        </w:tc>
      </w:tr>
    </w:tbl>
    <w:p/>
    <w:p>
      <w:pPr>
        <w:spacing w:before="40"/>
      </w:pPr>
      <w:r>
        <w:rPr>
          <w:b/>
          <w:i w:val="0"/>
          <w:color w:val="2C3E50"/>
          <w:sz w:val="20"/>
        </w:rPr>
        <w:t>Практический вывод: обучать сопоставлениям можно и нужно через интерфейс. Но если в макете встретится выражение, которого нет ни в синонимах, ни в правилах, и его нельзя сопоставить существующим полем данных — потребуется доработка кода.</w:t>
      </w:r>
    </w:p>
    <w:p>
      <w:pPr>
        <w:pStyle w:val="Heading1"/>
      </w:pPr>
      <w:r>
        <w:t>2. Как обучать: пошагово</w:t>
      </w:r>
    </w:p>
    <w:p>
      <w:pPr>
        <w:pStyle w:val="Heading2"/>
      </w:pPr>
      <w:r>
        <w:t>Где находится редактор</w:t>
      </w:r>
    </w:p>
    <w:p>
      <w:r>
        <w:t>Конфигуратор → «Отчёты и печатные формы» → выбрать отчёт → «Открыть профессиональный конструктор» → вкладка «🔗 FRX поля».</w:t>
      </w:r>
    </w:p>
    <w:p>
      <w:r>
        <w:t>На вкладке два раздела:</w:t>
      </w:r>
    </w:p>
    <w:p>
      <w:pPr>
        <w:pStyle w:val="ListBullet"/>
      </w:pPr>
      <w:r>
        <w:t>Сверху — таблица соответствий для текущего макета: элемент макета, тип, положение, поле данных, формат, свой текст, видимость.</w:t>
      </w:r>
    </w:p>
    <w:p>
      <w:pPr>
        <w:pStyle w:val="ListBullet"/>
      </w:pPr>
      <w:r>
        <w:t>Ниже в раскрывающемся блоке «Общие правила распознавания FoxPro-полей» — таблица переиспользуемых правил.</w:t>
      </w:r>
    </w:p>
    <w:p>
      <w:pPr>
        <w:pStyle w:val="Heading2"/>
      </w:pPr>
      <w:r>
        <w:t>Порядок обучения</w:t>
      </w:r>
    </w:p>
    <w:p>
      <w:pPr>
        <w:pStyle w:val="ListNumber"/>
      </w:pPr>
      <w:r>
        <w:t>Открыть отчёт в FRX-варианте. Система разберёт макет и покажет список его элементов.</w:t>
      </w:r>
    </w:p>
    <w:p>
      <w:pPr>
        <w:pStyle w:val="ListNumber"/>
      </w:pPr>
      <w:r>
        <w:t>В таблице соответствий для каждого элемента выбрать поле данных из выпадающего списка. Правила, уже известные системе, применятся автоматически при загрузке.</w:t>
      </w:r>
    </w:p>
    <w:p>
      <w:pPr>
        <w:pStyle w:val="ListNumber"/>
      </w:pPr>
      <w:r>
        <w:t>Нажать «Применить общие правила» — если часть элементов осталась незаполненной.</w:t>
      </w:r>
    </w:p>
    <w:p>
      <w:pPr>
        <w:pStyle w:val="ListNumber"/>
      </w:pPr>
      <w:r>
        <w:t>Нажать «Сохранить привязки как правила» — ручные сопоставления превратятся в правила. После этого такие же выражения в других макетах распознаются сами.</w:t>
      </w:r>
    </w:p>
    <w:p>
      <w:pPr>
        <w:pStyle w:val="ListNumber"/>
      </w:pPr>
      <w:r>
        <w:t>Либо нажать «Сохранить список правил», если правила правились вручную в таблице.</w:t>
      </w:r>
    </w:p>
    <w:p>
      <w:pPr>
        <w:spacing w:before="40"/>
      </w:pPr>
      <w:r>
        <w:rPr>
          <w:b w:val="0"/>
          <w:i/>
          <w:color w:val="5F6B7A"/>
          <w:sz w:val="20"/>
        </w:rPr>
        <w:t>Подсказка в самом интерфейсе формулирует это так: «Для каждого элемента макета выберите поле данных. Если нажать Сохранить привязки как правила, такие же FoxPro-поля будут распознаваться автоматически в других похожих отчетах».</w:t>
      </w:r>
    </w:p>
    <w:p>
      <w:pPr>
        <w:pStyle w:val="Heading2"/>
      </w:pPr>
      <w:r>
        <w:t>Кнопки редактора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Применить общие правила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Заполняет пустые соответствия по известным правилам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Сохранить привязки как правила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Создаёт правила из ваших сопоставлений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Сохранить список правил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Сохраняет таблицу правил как есть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Добавить правило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Создаёт новое правило вручную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Удалить правило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Убирает выбранное правило</w:t>
            </w:r>
          </w:p>
        </w:tc>
      </w:tr>
    </w:tbl>
    <w:p/>
    <w:p>
      <w:pPr>
        <w:pStyle w:val="Heading2"/>
      </w:pPr>
      <w:r>
        <w:t>Поля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800"/>
            <w:shd w:val="clear" w:fill="EAF4FB"/>
          </w:tcPr>
          <w:p>
            <w:r/>
            <w:r>
              <w:rPr>
                <w:b/>
                <w:sz w:val="18"/>
              </w:rPr>
              <w:t>Смысл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Пример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FoxPro поле/выражение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Выражение из макета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debsum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Каноническое поле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Группа полей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debit_amount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Поле данных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Из какого поля брать значение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Сумма Дт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Профиль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Для какого вида макета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foxpro_reconciliation_act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Приоритет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Меньше — срабатывает раньше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Regex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Шаблон является регулярным выражением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Активно</w:t>
            </w:r>
          </w:p>
        </w:tc>
        <w:tc>
          <w:tcPr>
            <w:tcW w:type="dxa" w:w="3800"/>
          </w:tcPr>
          <w:p>
            <w:r/>
            <w:r>
              <w:rPr>
                <w:sz w:val="18"/>
              </w:rPr>
              <w:t>Правило включено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pPr>
        <w:pStyle w:val="Heading1"/>
      </w:pPr>
      <w:r>
        <w:t>3. Примеры</w:t>
      </w:r>
    </w:p>
    <w:p>
      <w:pPr>
        <w:pStyle w:val="Heading2"/>
      </w:pPr>
      <w:r>
        <w:t>Пример 1. Поле уже распознаётся</w:t>
      </w:r>
    </w:p>
    <w:p>
      <w:r>
        <w:t>В макете акта сверки есть выражение ved.debsum. Система знает его без обучения: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В макете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ved.debsum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Отбрасывается префикс набора данных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debsum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Поиск в канонических синонимах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debsum входит в группу debit_amount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Поиск поля данных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в таблице данных ищется колонка debit_amount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В таблице акта сверки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русская колонка «Сумма Дт» сопоставляется с debit_amount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Результат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в макет попадает значение из «Сумма Дт»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Именно эту связку пришлось добавить в код: до неё русская колонка «Сумма Дт» не сопоставлялась с canonical-именем debit_amount.</w:t>
      </w:r>
    </w:p>
    <w:p>
      <w:pPr>
        <w:pStyle w:val="Heading2"/>
      </w:pPr>
      <w:r>
        <w:t>Пример 2. Новое выражение — учим через редактор</w:t>
      </w:r>
    </w:p>
    <w:p>
      <w:r>
        <w:t>В макете встретилось выражение, которое система не распознала, и в таблице соответствий поле данных пустое. Допустим, это k_zakaz — номер заказа.</w:t>
      </w:r>
    </w:p>
    <w:p>
      <w:r>
        <w:t>Выбираем подходящее поле данных вручную, затем нажимаем «Сохранить привязки как правила». Создаётся правило: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Поле правила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FoxPro поле/выражение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k_zakaz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Каноническое поле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k_zakaz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Поле данных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Номер заказа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Профиль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foxpro_reconciliation_act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Приоритет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100</w:t>
            </w:r>
          </w:p>
        </w:tc>
      </w:tr>
    </w:tbl>
    <w:p/>
    <w:p>
      <w:r>
        <w:t>Что это даст: в любом другом макете, где встретится k_zakaz, номер заказа подставится автоматически. Повторно сопоставлять не нужно.</w:t>
      </w:r>
    </w:p>
    <w:p>
      <w:pPr>
        <w:pStyle w:val="Heading2"/>
      </w:pPr>
      <w:r>
        <w:t>Пример 3. Одно правило закрывает несколько выражений</w:t>
      </w:r>
    </w:p>
    <w:p>
      <w:r>
        <w:t>В макете суммы дебета встречаются под разными именами: debsum, sum_deb, deb_beg, deb_v. Все они уже входят в одну группу. Поэтому достаточно, чтобы поле данных было найдено для группы — конкретное написание в макете не важно: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debsum   \</w:t>
        <w:br/>
      </w:r>
      <w:r>
        <w:rPr>
          <w:rFonts w:ascii="Consolas" w:hAnsi="Consolas"/>
          <w:sz w:val="18"/>
        </w:rPr>
        <w:t>sum_deb   |  -&gt;  группа debit_amount  -&gt;  колонка данных</w:t>
        <w:br/>
      </w:r>
      <w:r>
        <w:rPr>
          <w:rFonts w:ascii="Consolas" w:hAnsi="Consolas"/>
          <w:sz w:val="18"/>
        </w:rPr>
        <w:t>deb_beg   |      «Сумма Дт»</w:t>
        <w:br/>
      </w:r>
      <w:r>
        <w:rPr>
          <w:rFonts w:ascii="Consolas" w:hAnsi="Consolas"/>
          <w:sz w:val="18"/>
        </w:rPr>
        <w:t>deb_v    /</w:t>
      </w:r>
    </w:p>
    <w:p>
      <w:pPr>
        <w:spacing w:before="40"/>
      </w:pPr>
      <w:r>
        <w:rPr>
          <w:b/>
          <w:i w:val="0"/>
          <w:color w:val="1E7D4D"/>
          <w:sz w:val="20"/>
        </w:rPr>
        <w:t>Это главное достоинство подхода: правило задаётся для смысла, а не для каждого написания отдельно.</w:t>
      </w:r>
    </w:p>
    <w:p>
      <w:pPr>
        <w:pStyle w:val="Heading2"/>
      </w:pPr>
      <w:r>
        <w:t>Пример 4. Регулярное выражение для группы полей</w:t>
      </w:r>
    </w:p>
    <w:p>
      <w:r>
        <w:t>Если в макете много однотипных выражений, например ved1.debsum, ved2.debsum, ved3.debsum, можно задать одно правило с признаком Regex: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Поле правила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FoxPro поле/выражение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ved\d+\.debsum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Поле данных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Сумма Дт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Regex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Активно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Регулярное выражение проверяется и по нормализованному выражению, и по исходному — так правило срабатывает устойчивее. При ошибке в шаблоне правило просто не сработает, без падения.</w:t>
      </w:r>
    </w:p>
    <w:p>
      <w:pPr>
        <w:pStyle w:val="Heading2"/>
      </w:pPr>
      <w:r>
        <w:t>Пример 5. Профиль макета</w:t>
      </w:r>
    </w:p>
    <w:p>
      <w:r>
        <w:t>Правило можно ограничить определённым видом макета. В системе есть профили, например foxpro_reconciliation_act для актов сверки и foxpro_invoice_kg для счет-фактур. Правила с профилем common работают везде.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Профиль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Для чего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common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Общие правила, работают во всех макетах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foxpro_reconciliation_act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Акты сверки и оборотные ведомости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foxpro_invoice_kg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Счет-фактура КР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Практика: если выражение встречается только в одном виде отчёта, лучше указать его профиль — иначе правило может неверно сработать в другом макете.</w:t>
      </w:r>
    </w:p>
    <w:p>
      <w:pPr>
        <w:pStyle w:val="Heading2"/>
      </w:pPr>
      <w:r>
        <w:t>Пример 6. Приоритет правила</w:t>
      </w:r>
    </w:p>
    <w:p>
      <w:r>
        <w:t>Правила перебираются по возрастанию приоритета, срабатывает первое подходящее. Общие правила по умолчанию имеют приоритет 40, заголовки — 60, созданные вручную —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600"/>
            <w:shd w:val="clear" w:fill="EAF4FB"/>
          </w:tcPr>
          <w:p>
            <w:r/>
            <w:r>
              <w:rPr>
                <w:b/>
                <w:sz w:val="18"/>
              </w:rPr>
              <w:t>Что обычно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Предустановленные правила полей данных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Правила организации и реквизитов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Заголовки и итоговые описания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Правила, созданные пользователем вручную</w:t>
            </w:r>
          </w:p>
        </w:tc>
      </w:tr>
    </w:tbl>
    <w:p/>
    <w:p>
      <w:pPr>
        <w:spacing w:before="40"/>
      </w:pPr>
      <w:r>
        <w:rPr>
          <w:b w:val="0"/>
          <w:i/>
          <w:color w:val="5F6B7A"/>
          <w:sz w:val="20"/>
        </w:rPr>
        <w:t>Правило с приоритетом 100 проверяется позже общих. Если нужно, чтобы ваше правило перебивало предустановленное, поставьте ему приоритет меньше 40.</w:t>
      </w:r>
    </w:p>
    <w:p>
      <w:pPr>
        <w:pStyle w:val="Heading1"/>
      </w:pPr>
      <w:r>
        <w:t>4. Спорное правило, которое стоит проверить</w:t>
      </w:r>
    </w:p>
    <w:p>
      <w:r>
        <w:t>Среди предустановленных правил есть такое: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Add("deb_beg", "debit_amount", "debit_amount", "Акт сверки - сумма Дт");</w:t>
      </w:r>
    </w:p>
    <w:p>
      <w:r>
        <w:t>Смысл: выражение deb_beg сопоставляется с полем данных debit_amount — тем же, что и debsum. Но в макете акта сверки deb_beg означает сальдо на начало, а debsum — оборот. То есть два разных по смыслу показателя ведут к одному полю данных.</w:t>
      </w:r>
    </w:p>
    <w:p>
      <w:pPr>
        <w:spacing w:before="40"/>
      </w:pPr>
      <w:r>
        <w:rPr>
          <w:b/>
          <w:i w:val="0"/>
          <w:color w:val="A93226"/>
          <w:sz w:val="20"/>
        </w:rPr>
        <w:t>Возможно, это одна из причин путаницы сальдо и оборотов в сформированном отчёте. Правило стоит проверить на данных и, если оно ошибочно, развести сальдо и обороты по разным полям данных через редактор правил.</w:t>
      </w:r>
    </w:p>
    <w:p>
      <w:pPr>
        <w:pStyle w:val="Heading1"/>
      </w:pPr>
      <w:r>
        <w:t>5. Что обучением не закрывается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5200"/>
            <w:shd w:val="clear" w:fill="EAF4FB"/>
          </w:tcPr>
          <w:p>
            <w:r/>
            <w:r>
              <w:rPr>
                <w:b/>
                <w:sz w:val="18"/>
              </w:rPr>
              <w:t>Что нужно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Новое русское название колонки данных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Правка кода: сопоставление добавляется в NormalizeFieldName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Новый канонический синоним FoxPro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Правка кода: добавляется в таблицу CanonicalAliases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Составное выражение в макете, например sha+' '+SHA3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Правка кода: FRX-путь обрабатывает только простые ссылки на поля</w:t>
            </w:r>
          </w:p>
        </w:tc>
      </w:tr>
      <w:tr>
        <w:trPr>
          <w:cantSplit/>
        </w:trPr>
        <w:tc>
          <w:tcPr>
            <w:tcW w:type="dxa" w:w="4200"/>
          </w:tcPr>
          <w:p>
            <w:r/>
            <w:r>
              <w:rPr>
                <w:sz w:val="18"/>
              </w:rPr>
              <w:t>Вычисление функций, например LEFT(P1,90), DTOC(DTBEG)</w:t>
            </w:r>
          </w:p>
        </w:tc>
        <w:tc>
          <w:tcPr>
            <w:tcW w:type="dxa" w:w="5200"/>
          </w:tcPr>
          <w:p>
            <w:r/>
            <w:r>
              <w:rPr>
                <w:sz w:val="18"/>
              </w:rPr>
              <w:t>Правка кода или использование вычисляемого поля отчёта</w:t>
            </w:r>
          </w:p>
        </w:tc>
      </w:tr>
    </w:tbl>
    <w:p/>
    <w:p>
      <w:pPr>
        <w:pStyle w:val="Heading1"/>
      </w:pPr>
      <w:r>
        <w:t>6. Порядок работы при новом макете</w:t>
      </w:r>
    </w:p>
    <w:p>
      <w:pPr>
        <w:pStyle w:val="ListNumber"/>
      </w:pPr>
      <w:r>
        <w:t>Сформировать отчёт в FRX-варианте и посмотреть, какие поля остались пустыми.</w:t>
      </w:r>
    </w:p>
    <w:p>
      <w:pPr>
        <w:pStyle w:val="ListNumber"/>
      </w:pPr>
      <w:r>
        <w:t>Открыть макет в конструкторе, вкладка «🔗 FRX поля».</w:t>
      </w:r>
    </w:p>
    <w:p>
      <w:pPr>
        <w:pStyle w:val="ListNumber"/>
      </w:pPr>
      <w:r>
        <w:t>Сопоставить пустые элементы с полями данных вручную.</w:t>
      </w:r>
    </w:p>
    <w:p>
      <w:pPr>
        <w:pStyle w:val="ListNumber"/>
      </w:pPr>
      <w:r>
        <w:t>Сохранить привязки как правила — чтобы не повторять работу для похожих макетов.</w:t>
      </w:r>
    </w:p>
    <w:p>
      <w:pPr>
        <w:pStyle w:val="ListNumber"/>
      </w:pPr>
      <w:r>
        <w:t>Если для выражения нет подходящего поля данных, зафиксировать его в списке для доработки кода.</w:t>
      </w:r>
    </w:p>
    <w:p>
      <w:pPr>
        <w:spacing w:before="40"/>
      </w:pPr>
      <w:r>
        <w:rPr>
          <w:b w:val="0"/>
          <w:i/>
          <w:color w:val="5F6B7A"/>
          <w:sz w:val="20"/>
        </w:rPr>
        <w:t>Полезно вести короткий перечень выражений, которые не удалось сопоставить. Он показывает, что именно нужно добавить в базовый словарь синонимов.</w:t>
      </w:r>
    </w:p>
    <w:p>
      <w:pPr>
        <w:pStyle w:val="Heading1"/>
      </w:pPr>
      <w:r>
        <w:t>Резюме</w:t>
      </w:r>
    </w:p>
    <w:p>
      <w:r>
        <w:t>Механизм обучения в системе есть, и он не требует программиста: правила распознавания FoxPro-полей хранятся в базе и редактируются прямо в конструкторе на вкладке «🔗 FRX поля». Ключевая возможность — кнопка «Сохранить привязки как правила»: она превращает разовые ручные сопоставления в переиспользуемые правила, и дальше похожие макеты заполняются автоматически.</w:t>
      </w:r>
    </w:p>
    <w:p>
      <w:r>
        <w:t>Ограничение в другом: сам словарь синонимов и сопоставление русских названий колонок зашиты в код. Поэтому обучение работает для сопоставления выражений с уже существующими полями данных, но не для расширения базового словаря. Отдельно стоит проверить правило deb_beg: сейчас оно ведёт к тому же полю данных, что и оборот, хотя означает сальдо.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