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Привязка данных к FRX и пагинация макетов</w:t>
      </w:r>
    </w:p>
    <w:p>
      <w:r>
        <w:rPr>
          <w:color w:val="5F6B7A"/>
          <w:sz w:val="22"/>
        </w:rPr>
        <w:t>Описание выполненных работ по двум задачам: заполнение FRX-макетов акта сверки данными и исправление разбиения отчёта на страницы.</w:t>
      </w:r>
    </w:p>
    <w:p>
      <w:pPr>
        <w:pStyle w:val="Heading1"/>
      </w:pPr>
      <w:r>
        <w:t>Обзор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5000"/>
            <w:shd w:val="clear" w:fill="EAF4FB"/>
          </w:tcPr>
          <w:p>
            <w:r/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4400"/>
            <w:shd w:val="clear" w:fill="EAF4FB"/>
          </w:tcPr>
          <w:p>
            <w:r/>
            <w:r>
              <w:rPr>
                <w:b/>
                <w:sz w:val="18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1. Привязка полей к данным для FRX-акта сверки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Реализовано, требует проверки на данных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2. Пагинация: короткий отчёт разбивался на десятки страниц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Исправлено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Сборка проекта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Успешно, 0 ошибок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Проверка на реальных данных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Частично: отчёт формируется, выявлены 4 дефекта</w:t>
            </w:r>
          </w:p>
        </w:tc>
      </w:tr>
    </w:tbl>
    <w:p/>
    <w:p>
      <w:pPr>
        <w:spacing w:before="40"/>
      </w:pPr>
      <w:r>
        <w:rPr>
          <w:b/>
          <w:i w:val="0"/>
          <w:color w:val="2C3E50"/>
          <w:sz w:val="20"/>
        </w:rPr>
        <w:t>Ниже описаны причины, решения и открытые вопросы. Часть дефектов намеренно не исправлена до получения диагностических данных — правка вслепую рискованна.</w:t>
      </w:r>
    </w:p>
    <w:p>
      <w:pPr>
        <w:pStyle w:val="Heading1"/>
      </w:pPr>
      <w:r>
        <w:t>Задача 1. Привязка данных к FRX-макету</w:t>
      </w:r>
    </w:p>
    <w:p>
      <w:pPr>
        <w:pStyle w:val="Heading2"/>
      </w:pPr>
      <w:r>
        <w:t>Постановка</w:t>
      </w:r>
    </w:p>
    <w:p>
      <w:r>
        <w:t>Акт сверки и оборотные ведомости должны формироваться по родным FRX-макетам из FoxPro. Макеты в системе уже есть: 19 вариантов акта сверки и 4 варианта оборотной ведомости. При формировании отчёта в формате «FRX FoxPro PDF» макет подставляется, но данные в него не попадали.</w:t>
      </w:r>
    </w:p>
    <w:p>
      <w:pPr>
        <w:pStyle w:val="Heading2"/>
      </w:pPr>
      <w:r>
        <w:t>Причина</w:t>
      </w:r>
    </w:p>
    <w:p>
      <w:r>
        <w:t>Таблица акта сверки формируется с русскими названиями колонок, а макет обращается к каноническим именам полей FoxPro: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00"/>
            <w:shd w:val="clear" w:fill="EAF4FB"/>
          </w:tcPr>
          <w:p>
            <w:r/>
            <w:r>
              <w:rPr>
                <w:b/>
                <w:sz w:val="18"/>
              </w:rPr>
              <w:t>Что в таблице</w:t>
            </w:r>
          </w:p>
        </w:tc>
        <w:tc>
          <w:tcPr>
            <w:tcW w:type="dxa" w:w="5100"/>
            <w:shd w:val="clear" w:fill="EAF4FB"/>
          </w:tcPr>
          <w:p>
            <w:r/>
            <w:r>
              <w:rPr>
                <w:b/>
                <w:sz w:val="18"/>
              </w:rPr>
              <w:t>Что ждёт макет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«Наименование материала, вид операции»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ved.tex — содержание операции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«Дебет» / «Кредит»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ved.debet / ved.kredit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«Сумма Дт» / «Сумма Кт»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ved.debsum / ved.credsum — обороты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«N докум»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ved.dok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«Дата»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ved.date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«Модуль»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ved.prs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— (поля не было)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ved.deb_beg / ved.cred_beg — сальдо на начало</w:t>
            </w:r>
          </w:p>
        </w:tc>
      </w:tr>
    </w:tbl>
    <w:p/>
    <w:p>
      <w:pPr>
        <w:pStyle w:val="Heading2"/>
      </w:pPr>
      <w:r>
        <w:t>Как устроен механизм подстановки</w:t>
      </w:r>
    </w:p>
    <w:p>
      <w:r>
        <w:t>В PrintFormService существуют два независимых механизма, и это важно понимать при правках: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900"/>
            <w:shd w:val="clear" w:fill="EAF4FB"/>
          </w:tcPr>
          <w:p>
            <w:r/>
            <w:r>
              <w:rPr>
                <w:b/>
                <w:sz w:val="18"/>
              </w:rPr>
              <w:t>Механизм</w:t>
            </w:r>
          </w:p>
        </w:tc>
        <w:tc>
          <w:tcPr>
            <w:tcW w:type="dxa" w:w="3200"/>
            <w:shd w:val="clear" w:fill="EAF4FB"/>
          </w:tcPr>
          <w:p>
            <w:r/>
            <w:r>
              <w:rPr>
                <w:b/>
                <w:sz w:val="18"/>
              </w:rPr>
              <w:t>Что заполняет</w:t>
            </w:r>
          </w:p>
        </w:tc>
        <w:tc>
          <w:tcPr>
            <w:tcW w:type="dxa" w:w="3300"/>
            <w:shd w:val="clear" w:fill="EAF4FB"/>
          </w:tcPr>
          <w:p>
            <w:r/>
            <w:r>
              <w:rPr>
                <w:b/>
                <w:sz w:val="18"/>
              </w:rPr>
              <w:t>Источник значения</w:t>
            </w:r>
          </w:p>
        </w:tc>
      </w:tr>
      <w:tr>
        <w:trPr>
          <w:cantSplit/>
        </w:trPr>
        <w:tc>
          <w:tcPr>
            <w:tcW w:type="dxa" w:w="2900"/>
          </w:tcPr>
          <w:p>
            <w:r/>
            <w:r>
              <w:rPr>
                <w:sz w:val="18"/>
              </w:rPr>
              <w:t>AddReconciliationAliases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Строки операций: ved.date, ved.debsum, ved.deb_beg</w:t>
            </w:r>
          </w:p>
        </w:tc>
        <w:tc>
          <w:tcPr>
            <w:tcW w:type="dxa" w:w="3300"/>
          </w:tcPr>
          <w:p>
            <w:r/>
            <w:r>
              <w:rPr>
                <w:sz w:val="18"/>
              </w:rPr>
              <w:t>Колонки строки данных</w:t>
            </w:r>
          </w:p>
        </w:tc>
      </w:tr>
      <w:tr>
        <w:trPr>
          <w:cantSplit/>
        </w:trPr>
        <w:tc>
          <w:tcPr>
            <w:tcW w:type="dxa" w:w="2900"/>
          </w:tcPr>
          <w:p>
            <w:r/>
            <w:r>
              <w:rPr>
                <w:sz w:val="18"/>
              </w:rPr>
              <w:t>AddReconciliationSummaryAliases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Подытоги: ved_sch.*, ved_obj.*, ved_org.*</w:t>
            </w:r>
          </w:p>
        </w:tc>
        <w:tc>
          <w:tcPr>
            <w:tcW w:type="dxa" w:w="3300"/>
          </w:tcPr>
          <w:p>
            <w:r/>
            <w:r>
              <w:rPr>
                <w:sz w:val="18"/>
              </w:rPr>
              <w:t>Находит строки «САЛЬДО НА» и «ИТОГО ОБОРОТОВ» и читает русские колонки «Сумма Дт»/«Сумма Кт»</w:t>
            </w:r>
          </w:p>
        </w:tc>
      </w:tr>
    </w:tbl>
    <w:p/>
    <w:p>
      <w:pPr>
        <w:spacing w:before="40"/>
      </w:pPr>
      <w:r>
        <w:rPr>
          <w:b/>
          <w:i w:val="0"/>
          <w:color w:val="A93226"/>
          <w:sz w:val="20"/>
        </w:rPr>
        <w:t>Практическое следствие: значение сальдо нужно класть и в русскую колонку (её читает механизм подытогов), и в каноническую (её читает механизм строк). Если положить только в одну — вторая часть макета останется пустой.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Механизм синонимов научен понимать русские колонки: «Сумма Дт» и «Сумма Кт» сопоставляются с debit_amount и credit_amount, «N докум» — с document_number, «Модуль» и «АРМ» — с module.</w:t>
      </w:r>
    </w:p>
    <w:p>
      <w:pPr>
        <w:pStyle w:val="ListBullet"/>
      </w:pPr>
      <w:r>
        <w:t>Добавлены две колонки, которых нет среди экранных: debit_begin и credit_begin — для сальдо на начало.</w:t>
      </w:r>
    </w:p>
    <w:p>
      <w:pPr>
        <w:pStyle w:val="ListBullet"/>
      </w:pPr>
      <w:r>
        <w:t>Значения сальдо дублируются в русскую колонку «Сумма Дт»/«Сумма Кт», чтобы заработал механизм подытогов по объекту, счёту и организации.</w:t>
      </w:r>
    </w:p>
    <w:p>
      <w:pPr>
        <w:pStyle w:val="ListBullet"/>
      </w:pPr>
      <w:r>
        <w:t>Обороты и сальдо разведены по разным полям: обороты читаются как ved.debsum, сальдо на начало — как ved.deb_beg. Запись в одно поле приводит к неверным суммам.</w:t>
      </w:r>
    </w:p>
    <w:p>
      <w:pPr>
        <w:pStyle w:val="Heading2"/>
      </w:pPr>
      <w:r>
        <w:t>Ошибка, найденная при проверке</w:t>
      </w:r>
    </w:p>
    <w:p>
      <w:r>
        <w:t>При первом запуске появилась ошибка: «The input string '' was not in a correct format. Couldn't store &lt;&gt; in debit_amount Column. Expected type is Decimal».</w:t>
      </w:r>
    </w:p>
    <w:p>
      <w:r>
        <w:t>Причина: в числовую колонку записывалась пустая строка. Большинство строк акта сверки не содержит сумм — это шапка, «Пара счетов», «Организация», пустые разделители. Для них значение отсутствует, и в колонку типа decimal попадала пустая строка, что DataTable не допускает.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// Было — падало на строках без суммы:</w:t>
        <w:br/>
      </w:r>
      <w:r>
        <w:rPr>
          <w:rFonts w:ascii="Consolas" w:hAnsi="Consolas"/>
          <w:sz w:val="18"/>
        </w:rPr>
        <w:t>row[columnName] = string.IsNullOrWhiteSpace(text) ? string.Empty : text;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// Стало — в числовые колонки идёт DBNull:</w:t>
        <w:br/>
      </w:r>
      <w:r>
        <w:rPr>
          <w:rFonts w:ascii="Consolas" w:hAnsi="Consolas"/>
          <w:sz w:val="18"/>
        </w:rPr>
        <w:t>if (IsNumericColumn(row.Table.Columns[columnName]!))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row[columnName] = DBNull.Value;</w:t>
        <w:br/>
      </w:r>
      <w:r>
        <w:rPr>
          <w:rFonts w:ascii="Consolas" w:hAnsi="Consolas"/>
          <w:sz w:val="18"/>
        </w:rPr>
        <w:t xml:space="preserve">    return;</w:t>
        <w:br/>
      </w: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Задача 2. Отчёт разбивался на лишние страницы</w:t>
      </w:r>
    </w:p>
    <w:p>
      <w:pPr>
        <w:pStyle w:val="Heading2"/>
      </w:pPr>
      <w:r>
        <w:t>Постановка</w:t>
      </w:r>
    </w:p>
    <w:p>
      <w:r>
        <w:t>Акт сверки с пятью строками разбивался на несколько страниц: строки разъезжались по листам.</w:t>
      </w:r>
    </w:p>
    <w:p>
      <w:pPr>
        <w:pStyle w:val="Heading2"/>
      </w:pPr>
      <w:r>
        <w:t>Причина</w:t>
      </w:r>
    </w:p>
    <w:p>
      <w:r>
        <w:t>При реализации постраничного вывода было принято неверное допущение, что макет задан в единицах A4: 2100 x 2970, то есть 10 единиц на миллиметр. Это верно для шаблонов кассовых ордеров. Но макет акта сверки имеет собственный масштаб: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PageWidth  = 78000</w:t>
        <w:br/>
      </w:r>
      <w:r>
        <w:rPr>
          <w:rFonts w:ascii="Consolas" w:hAnsi="Consolas"/>
          <w:sz w:val="18"/>
        </w:rPr>
        <w:t>PageHeight = 86854</w:t>
      </w:r>
    </w:p>
    <w:p>
      <w:r>
        <w:t>При делении высоты на 2970 получалось 29 листов. Разбиение происходило не по содержимому, а по формальным размерам полотна — короткий отчёт распадался на десятки страниц.</w:t>
      </w:r>
    </w:p>
    <w:p>
      <w:pPr>
        <w:spacing w:before="40"/>
      </w:pPr>
      <w:r>
        <w:rPr>
          <w:b/>
          <w:i w:val="0"/>
          <w:color w:val="A93226"/>
          <w:sz w:val="20"/>
        </w:rPr>
        <w:t>Ошибка была допущена дважды: размеры макета 78000 x 86854 уже были получены при анализе FRX-файлов, но при реализации пагинации не были учтены.</w:t>
      </w:r>
    </w:p>
    <w:p>
      <w:pPr>
        <w:pStyle w:val="Heading2"/>
      </w:pPr>
      <w:r>
        <w:t>Что сделано</w:t>
      </w:r>
    </w:p>
    <w:p>
      <w:r>
        <w:t>Размер листа теперь выводится из пропорций самого макета: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private static double GetTemplatePageHeight(double pageWidth, double templateHeight)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const double a4PortraitRatio = 297d / 210d;</w:t>
        <w:br/>
      </w:r>
      <w:r>
        <w:rPr>
          <w:rFonts w:ascii="Consolas" w:hAnsi="Consolas"/>
          <w:sz w:val="18"/>
        </w:rPr>
        <w:t xml:space="preserve">    const double a4LandscapeRatio = 210d / 297d;</w:t>
        <w:br/>
      </w:r>
      <w:r>
        <w:rPr>
          <w:rFonts w:ascii="Consolas" w:hAnsi="Consolas"/>
          <w:sz w:val="18"/>
        </w:rPr>
        <w:t xml:space="preserve">    // Макет шире своей высоты — значит он альбомный.</w:t>
        <w:br/>
      </w:r>
      <w:r>
        <w:rPr>
          <w:rFonts w:ascii="Consolas" w:hAnsi="Consolas"/>
          <w:sz w:val="18"/>
        </w:rPr>
        <w:t xml:space="preserve">    var isLandscape = pageWidth &gt; templateHeight;</w:t>
        <w:br/>
      </w:r>
      <w:r>
        <w:rPr>
          <w:rFonts w:ascii="Consolas" w:hAnsi="Consolas"/>
          <w:sz w:val="18"/>
        </w:rPr>
        <w:t xml:space="preserve">    return pageWidth * (isLandscape ? a4LandscapeRatio : a4PortraitRatio);</w:t>
        <w:br/>
      </w:r>
      <w:r>
        <w:rPr>
          <w:rFonts w:ascii="Consolas" w:hAnsi="Consolas"/>
          <w:sz w:val="18"/>
        </w:rPr>
        <w:t>}</w:t>
      </w:r>
    </w:p>
    <w:p>
      <w:r>
        <w:t>Проверка для акта сверки: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Шаг</w:t>
            </w:r>
          </w:p>
        </w:tc>
        <w:tc>
          <w:tcPr>
            <w:tcW w:type="dxa" w:w="32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3200"/>
            <w:shd w:val="clear" w:fill="EAF4FB"/>
          </w:tcPr>
          <w:p>
            <w:r/>
            <w:r>
              <w:rPr>
                <w:b/>
                <w:sz w:val="18"/>
              </w:rPr>
              <w:t>Вывод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Ширина и высота макета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78000 x 86854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Макет выше своей ширины — книжный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Высота листа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78000 x 297 / 210 = 110314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Больше содержимого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Содержимое против листа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86854 &lt; 110314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Одна страница</w:t>
            </w:r>
          </w:p>
        </w:tc>
      </w:tr>
    </w:tbl>
    <w:p/>
    <w:p>
      <w:r>
        <w:t>Дополнительно: когда содержимое помещается на один лист, рендер идёт по непрерывному полотну — как было до внедрения пагинации. Разбиение включается только для документов, которые действительно длиннее листа (например, табличный отчёт с сотнями строк).</w:t>
      </w:r>
    </w:p>
    <w:p>
      <w:pPr>
        <w:pStyle w:val="Heading1"/>
      </w:pPr>
      <w:r>
        <w:t>Задача 3. Пропала колонка «Сумма Дт» в таблице</w:t>
      </w:r>
    </w:p>
    <w:p>
      <w:r>
        <w:t>При проверке обнаружилось, что из экранной таблицы отчёта пропала колонка «Сумма Дт». Это следствие первой реализации привязки.</w:t>
      </w:r>
    </w:p>
    <w:p>
      <w:pPr>
        <w:pStyle w:val="Heading2"/>
      </w:pPr>
      <w:r>
        <w:t>Причина</w:t>
      </w:r>
    </w:p>
    <w:p>
      <w:r>
        <w:t>Сетка ReportGrid настроена как AutoGenerateColumns=True: колонки берутся из колонок DataTable. Добавленные для FRX «канонические» колонки (debit_amount, credit_amount, debit_account и прочие) попали в таблицу как лишние. Поля отчёта строятся по колонкам таблицы, поэтому вместо «Сумма Дт» появилась колонка debit_amount.</w:t>
      </w:r>
    </w:p>
    <w:p>
      <w:pPr>
        <w:spacing w:before="40"/>
      </w:pPr>
      <w:r>
        <w:rPr>
          <w:b/>
          <w:i w:val="0"/>
          <w:color w:val="A93226"/>
          <w:sz w:val="20"/>
        </w:rPr>
        <w:t>Это ошибка проектирования: таблица служит одновременно источником для экранной сетки, проводок и FRX-макета. Добавлять в неё служебные колонки без учёта этого нельзя.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Из таблицы убраны все служебные колонки, кроме debit_begin и credit_begin — их действительно нет среди экранных.</w:t>
      </w:r>
    </w:p>
    <w:p>
      <w:pPr>
        <w:pStyle w:val="ListBullet"/>
      </w:pPr>
      <w:r>
        <w:t>Остальные поля FRX теперь берутся из русских названий через механизм синонимов.</w:t>
      </w:r>
    </w:p>
    <w:p>
      <w:pPr>
        <w:pStyle w:val="ListBullet"/>
      </w:pPr>
      <w:r>
        <w:t>Экранная таблица снова показывает «Сумма Дт», «Сумма Кт», «N докум», «Дата», «Модуль».</w:t>
      </w:r>
    </w:p>
    <w:p>
      <w:pPr>
        <w:pStyle w:val="Heading1"/>
      </w:pPr>
      <w:r>
        <w:t>Открытые вопросы</w:t>
      </w:r>
    </w:p>
    <w:p>
      <w:r>
        <w:t>Ниже — дефекты, замеченные в сформированном отчёте, причины которых пока не подтверждены. Они намеренно не исправлены до получения диагностических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100"/>
            <w:shd w:val="clear" w:fill="EAF4FB"/>
          </w:tcPr>
          <w:p>
            <w:r/>
            <w:r>
              <w:rPr>
                <w:b/>
                <w:sz w:val="18"/>
              </w:rPr>
              <w:t>Что видно в отчёте</w:t>
            </w:r>
          </w:p>
        </w:tc>
        <w:tc>
          <w:tcPr>
            <w:tcW w:type="dxa" w:w="3300"/>
            <w:shd w:val="clear" w:fill="EAF4FB"/>
          </w:tcPr>
          <w:p>
            <w:r/>
            <w:r>
              <w:rPr>
                <w:b/>
                <w:sz w:val="18"/>
              </w:rPr>
              <w:t>Предположение</w:t>
            </w:r>
          </w:p>
        </w:tc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Как подтвердить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Три одинаковые строки «По всем парам счетов»</w:t>
            </w:r>
          </w:p>
        </w:tc>
        <w:tc>
          <w:tcPr>
            <w:tcW w:type="dxa" w:w="3300"/>
          </w:tcPr>
          <w:p>
            <w:r/>
            <w:r>
              <w:rPr>
                <w:sz w:val="18"/>
              </w:rPr>
              <w:t>Дубли в данных от OrganizationBalanceService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Вывести список строк pairs с названиями и суммами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Одна строка операций вместо нескольких</w:t>
            </w:r>
          </w:p>
        </w:tc>
        <w:tc>
          <w:tcPr>
            <w:tcW w:type="dxa" w:w="3300"/>
          </w:tcPr>
          <w:p>
            <w:r/>
            <w:r>
              <w:rPr>
                <w:sz w:val="18"/>
              </w:rPr>
              <w:t>Фильтр по паре счетов отсекает часть движений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Сравнить количество движений до и после фильтра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Незаполненные подписи «Руководитель контрагента»</w:t>
            </w:r>
          </w:p>
        </w:tc>
        <w:tc>
          <w:tcPr>
            <w:tcW w:type="dxa" w:w="3300"/>
          </w:tcPr>
          <w:p>
            <w:r/>
            <w:r>
              <w:rPr>
                <w:sz w:val="18"/>
              </w:rPr>
              <w:t>Это статические подписи макета, данные в них не предусмотрены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Разбор макета: искать выражения в этих полях</w:t>
            </w:r>
          </w:p>
        </w:tc>
      </w:tr>
      <w:tr>
        <w:trPr>
          <w:cantSplit/>
        </w:trPr>
        <w:tc>
          <w:tcPr>
            <w:tcW w:type="dxa" w:w="3100"/>
          </w:tcPr>
          <w:p>
            <w:r/>
            <w:r>
              <w:rPr>
                <w:sz w:val="18"/>
              </w:rPr>
              <w:t>Литерал sha3 в шапке отчёта</w:t>
            </w:r>
          </w:p>
        </w:tc>
        <w:tc>
          <w:tcPr>
            <w:tcW w:type="dxa" w:w="3300"/>
          </w:tcPr>
          <w:p>
            <w:r/>
            <w:r>
              <w:rPr>
                <w:sz w:val="18"/>
              </w:rPr>
              <w:t>В макете составное выражение sha+' '+SHA3, а простые ссылки не вычисляются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Проверить, поддерживается ли вычисление выражений в FRX-пути</w:t>
            </w:r>
          </w:p>
        </w:tc>
      </w:tr>
    </w:tbl>
    <w:p/>
    <w:p>
      <w:pPr>
        <w:pStyle w:val="Heading1"/>
      </w:pPr>
      <w:r>
        <w:t>Изменённые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5400"/>
            <w:shd w:val="clear" w:fill="EAF4FB"/>
          </w:tcPr>
          <w:p>
            <w:r/>
            <w:r>
              <w:rPr>
                <w:b/>
                <w:sz w:val="18"/>
              </w:rPr>
              <w:t>Что изменено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Views/AccountingReportsView.xaml.cs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Колонки debit_begin и credit_begin; заполнение канонических полей; защита числовых колонок от пустой строки; поля шапки для макета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Services/PrintFormService.cs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Размер листа выводится из пропорций макета; непрерывное полотно для одностраничных отчётов; синонимы русских колонок акта сверки</w:t>
            </w:r>
          </w:p>
        </w:tc>
      </w:tr>
    </w:tbl>
    <w:p/>
    <w:p>
      <w:pPr>
        <w:pStyle w:val="Heading1"/>
      </w:pPr>
      <w:r>
        <w:t>Как проверялось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5400"/>
            <w:shd w:val="clear" w:fill="EAF4FB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Сборка проекта (dotnet build)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Успешно, 0 ошибок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Формирование отчёта в приложении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Отчёт формируется, страница одна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Заполнение полей макета данными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Частично: требуются доработки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Сверка сумм с эталоном FoxPro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Не выполнялась</w:t>
            </w:r>
          </w:p>
        </w:tc>
      </w:tr>
    </w:tbl>
    <w:p/>
    <w:p>
      <w:pPr>
        <w:spacing w:before="40"/>
      </w:pPr>
      <w:r>
        <w:rPr>
          <w:b/>
          <w:i w:val="0"/>
          <w:color w:val="2C3E50"/>
          <w:sz w:val="20"/>
        </w:rPr>
        <w:t>Все изменения проверены сборкой. Корректность сумм на реальных данных пока не подтверждена — это следующий обязательный шаг.</w:t>
      </w:r>
    </w:p>
    <w:p>
      <w:pPr>
        <w:pStyle w:val="Heading1"/>
      </w:pPr>
      <w:r>
        <w:t>Что делать дальше</w:t>
      </w:r>
    </w:p>
    <w:p>
      <w:pPr>
        <w:pStyle w:val="ListBullet"/>
      </w:pPr>
      <w:r>
        <w:t>Добавить диагностический вывод: список пар счетов, количество движений до и после фильтра, значения ключевых полей макета. Это снимет все четыре открытых вопроса.</w:t>
      </w:r>
    </w:p>
    <w:p>
      <w:pPr>
        <w:pStyle w:val="ListBullet"/>
      </w:pPr>
      <w:r>
        <w:t>После подтверждения сумм — перейти к оборотным ведомостям: там та же привязка, но данные строятся иначе.</w:t>
      </w:r>
    </w:p>
    <w:p>
      <w:pPr>
        <w:pStyle w:val="ListBullet"/>
      </w:pPr>
      <w:r>
        <w:t>Учесть валютные варианты: в строках операций не заполняются debsum_v и credsum_v (суммы в валюте), которые читает валютный макет.</w:t>
      </w:r>
    </w:p>
    <w:p>
      <w:pPr>
        <w:pStyle w:val="ListBullet"/>
      </w:pPr>
      <w:r>
        <w:t>Разобрать вопрос вычисляемых выражений в FRX: макеты используют составные выражения (sha+' '+SHA3, LEFT(P1,90)), которые путь простых ссылок не обрабатывает.</w:t>
      </w:r>
    </w:p>
    <w:p>
      <w:pPr>
        <w:pStyle w:val="Heading1"/>
      </w:pPr>
      <w:r>
        <w:t>Резюме</w:t>
      </w:r>
    </w:p>
    <w:p>
      <w:r>
        <w:t>Механизм привязки данных к FRX-макету существовал и был рассчитан на нужные имена полей, но таблица акта сверки отдавала русские названия колонок, которые он не сопоставлял. Добавление служебных колонок решило привязку, но сломало экранную таблицу — это исправлено переходом на сопоставление русских названий. Разбиение отчёта на лишние страницы вызывалось неверным предположением о масштабе макета: вместо 2970 единиц A4 макет акта сверки задан как 78000 x 86854. Теперь высота листа вычисляется из пропорций макета, и короткий отчёт выводится на одной странице.</w:t>
      </w:r>
    </w:p>
    <w:p>
      <w:r>
        <w:t>Текущее состояние: отчёт формируется, макет применяется, страница одна. Требуется подтвердить корректность сумм и разобрать четыре отмеченных дефекта. Для этого нужна диагностика данных, а не правка вслепую.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