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Акт сверки: полный отчёт по задаче</w:t>
      </w:r>
    </w:p>
    <w:p>
      <w:r>
        <w:rPr>
          <w:color w:val="5F6B7A"/>
          <w:sz w:val="22"/>
        </w:rPr>
        <w:t>Цель — формирование акта сверки по родному FRX-макету, перенесённому из эталонной программы. Отчёт описывает механизм, выполненные работы, найденные причины дефектов и открытые вопросы.</w:t>
      </w:r>
    </w:p>
    <w:p>
      <w:pPr>
        <w:pStyle w:val="Heading1"/>
      </w:pPr>
      <w:r>
        <w:t>1. Цель и исходные данные</w:t>
      </w:r>
    </w:p>
    <w:p>
      <w:r>
        <w:t>Требуется, чтобы акт сверки формировался по макету FRX из эталонной программы на FoxPro, а не воспроизводился кодом. Эталонный образец печатной формы был предоставлен заказчиком и принят как спецификация.</w:t>
      </w:r>
    </w:p>
    <w:p>
      <w:pPr>
        <w:pStyle w:val="Heading2"/>
      </w:pPr>
      <w:r>
        <w:t>Что есть в системе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6000"/>
            <w:shd w:val="clear" w:fill="EAF4FB"/>
          </w:tcPr>
          <w:p>
            <w:r/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3400"/>
            <w:shd w:val="clear" w:fill="EAF4FB"/>
          </w:tcPr>
          <w:p>
            <w:r/>
            <w:r>
              <w:rPr>
                <w:b/>
                <w:sz w:val="18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6000"/>
          </w:tcPr>
          <w:p>
            <w:r/>
            <w:r>
              <w:rPr>
                <w:sz w:val="18"/>
              </w:rPr>
              <w:t>Вариантов акта сверки (FRX-макеты)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type="dxa" w:w="6000"/>
          </w:tcPr>
          <w:p>
            <w:r/>
            <w:r>
              <w:rPr>
                <w:sz w:val="18"/>
              </w:rPr>
              <w:t>Вариантов оборотной ведомости (FRX-макеты)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6000"/>
          </w:tcPr>
          <w:p>
            <w:r/>
            <w:r>
              <w:rPr>
                <w:sz w:val="18"/>
              </w:rPr>
              <w:t>Полей в полосе данных основного акта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105, из них 43 поля данных</w:t>
            </w:r>
          </w:p>
        </w:tc>
      </w:tr>
      <w:tr>
        <w:trPr>
          <w:cantSplit/>
        </w:trPr>
        <w:tc>
          <w:tcPr>
            <w:tcW w:type="dxa" w:w="6000"/>
          </w:tcPr>
          <w:p>
            <w:r/>
            <w:r>
              <w:rPr>
                <w:sz w:val="18"/>
              </w:rPr>
              <w:t>Зарегистрированных правил распознавания FoxPro-полей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около 60</w:t>
            </w:r>
          </w:p>
        </w:tc>
      </w:tr>
    </w:tbl>
    <w:p/>
    <w:p>
      <w:pPr>
        <w:spacing w:before="40"/>
      </w:pPr>
      <w:r>
        <w:rPr>
          <w:b/>
          <w:i w:val="0"/>
          <w:color w:val="2C3E50"/>
          <w:sz w:val="20"/>
        </w:rPr>
        <w:t>Макеты не являются бинарными файлами FoxPro: это JSON-описание полос, полей и координат, вшитое в сборку и перенесённое в базу в поле Reports.Template.</w:t>
      </w:r>
    </w:p>
    <w:p>
      <w:pPr>
        <w:pStyle w:val="Heading2"/>
      </w:pPr>
      <w:r>
        <w:t>Структура эталонного акта</w:t>
      </w:r>
    </w:p>
    <w:p>
      <w:r>
        <w:t>Принято как образец для воспроизведения: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АКТ СВЕРКИ</w:t>
        <w:br/>
      </w:r>
      <w:r>
        <w:rPr>
          <w:rFonts w:ascii="Consolas" w:hAnsi="Consolas"/>
          <w:sz w:val="18"/>
        </w:rPr>
        <w:t>между ОсОО "..." и МП "..."                              (26)</w:t>
        <w:br/>
      </w:r>
      <w:r>
        <w:rPr>
          <w:rFonts w:ascii="Consolas" w:hAnsi="Consolas"/>
          <w:sz w:val="18"/>
        </w:rPr>
        <w:t>на 31 ИЮЛЯ 2026 г.                                  Лист 1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[шапка таблицы: Наименование | Дебет | Кредит | Сумма Дт | Сумма Кт |</w:t>
        <w:br/>
      </w:r>
      <w:r>
        <w:rPr>
          <w:rFonts w:ascii="Consolas" w:hAnsi="Consolas"/>
          <w:sz w:val="18"/>
        </w:rPr>
        <w:t xml:space="preserve">                 N докум | Дата | АРМ]</w:t>
        <w:br/>
      </w:r>
      <w:r>
        <w:rPr>
          <w:rFonts w:ascii="Consolas" w:hAnsi="Consolas"/>
          <w:sz w:val="18"/>
        </w:rPr>
        <w:t>САЛЬДО НА 01.01.2026                                        10 500,00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Пара счетов : 14200000 - 32200000 (Расчеты с заказчиками)</w:t>
        <w:br/>
      </w:r>
      <w:r>
        <w:rPr>
          <w:rFonts w:ascii="Consolas" w:hAnsi="Consolas"/>
          <w:sz w:val="18"/>
        </w:rPr>
        <w:t>[строка операций] 12100000  32200000  10 500,00    158  28.01.2026  3</w:t>
        <w:br/>
      </w:r>
      <w:r>
        <w:rPr>
          <w:rFonts w:ascii="Consolas" w:hAnsi="Consolas"/>
          <w:sz w:val="18"/>
        </w:rPr>
        <w:t>[строка операций] 14200000  61100000            11 100,00  13  30.01.2026  3</w:t>
        <w:br/>
      </w:r>
      <w:r>
        <w:rPr>
          <w:rFonts w:ascii="Consolas" w:hAnsi="Consolas"/>
          <w:sz w:val="18"/>
        </w:rPr>
        <w:t>... (все строки подряд) ...</w:t>
        <w:br/>
      </w:r>
      <w:r>
        <w:rPr>
          <w:rFonts w:ascii="Consolas" w:hAnsi="Consolas"/>
          <w:sz w:val="18"/>
        </w:rPr>
        <w:t>ИТОГО ОБОРОТОВ                        86 600,00    63 500,00</w:t>
        <w:br/>
      </w:r>
      <w:r>
        <w:rPr>
          <w:rFonts w:ascii="Consolas" w:hAnsi="Consolas"/>
          <w:sz w:val="18"/>
        </w:rPr>
        <w:t>САЛЬДО НА 31.07.2026                  33 600,00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Задолженность ... составляет Тридцать три тысячи шестьсот сом</w:t>
        <w:br/>
      </w:r>
      <w:r>
        <w:rPr>
          <w:rFonts w:ascii="Consolas" w:hAnsi="Consolas"/>
          <w:sz w:val="18"/>
        </w:rPr>
        <w:t>Руководитель ...              Руководитель ...</w:t>
        <w:br/>
      </w:r>
      <w:r>
        <w:rPr>
          <w:rFonts w:ascii="Consolas" w:hAnsi="Consolas"/>
          <w:sz w:val="18"/>
        </w:rPr>
        <w:t>Гл.бухгалтер ...              Гл.бухгалтер ...</w:t>
      </w:r>
    </w:p>
    <w:p>
      <w:pPr>
        <w:spacing w:before="40"/>
      </w:pPr>
      <w:r>
        <w:rPr>
          <w:b/>
          <w:i w:val="0"/>
          <w:color w:val="1E7D4D"/>
          <w:sz w:val="20"/>
        </w:rPr>
        <w:t>Ключевые признаки эталона: шапка таблицы выводится ОДИН раз, все строки операций идут подряд, итоги и подписи — один раз в конце. Одна страница.</w:t>
      </w:r>
    </w:p>
    <w:p>
      <w:pPr>
        <w:pStyle w:val="Heading1"/>
      </w:pPr>
      <w:r>
        <w:t>2. Как устроена привязка данных к макету</w:t>
      </w:r>
    </w:p>
    <w:p>
      <w:pPr>
        <w:pStyle w:val="Heading2"/>
      </w:pPr>
      <w:r>
        <w:t>Два независимых механизма подстановки</w:t>
      </w:r>
    </w:p>
    <w:p>
      <w:r>
        <w:t>Это ключевой момент, без понимания которого правки приводят к пустым полям.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Механизм</w:t>
            </w:r>
          </w:p>
        </w:tc>
        <w:tc>
          <w:tcPr>
            <w:tcW w:type="dxa" w:w="3100"/>
            <w:shd w:val="clear" w:fill="EAF4FB"/>
          </w:tcPr>
          <w:p>
            <w:r/>
            <w:r>
              <w:rPr>
                <w:b/>
                <w:sz w:val="18"/>
              </w:rPr>
              <w:t>Что заполняет</w:t>
            </w:r>
          </w:p>
        </w:tc>
        <w:tc>
          <w:tcPr>
            <w:tcW w:type="dxa" w:w="3300"/>
            <w:shd w:val="clear" w:fill="EAF4FB"/>
          </w:tcPr>
          <w:p>
            <w:r/>
            <w:r>
              <w:rPr>
                <w:b/>
                <w:sz w:val="18"/>
              </w:rPr>
              <w:t>Откуда берёт значение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AddReconciliationAliases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Строки операций: ved.date, ved.debsum, ved.deb_beg</w:t>
            </w:r>
          </w:p>
        </w:tc>
        <w:tc>
          <w:tcPr>
            <w:tcW w:type="dxa" w:w="3300"/>
          </w:tcPr>
          <w:p>
            <w:r/>
            <w:r>
              <w:rPr>
                <w:sz w:val="18"/>
              </w:rPr>
              <w:t>Из колонок строки данных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AddReconciliationSummaryAliases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Подытоги: ved_sch.*, ved_obj.*, ved_org.*</w:t>
            </w:r>
          </w:p>
        </w:tc>
        <w:tc>
          <w:tcPr>
            <w:tcW w:type="dxa" w:w="3300"/>
          </w:tcPr>
          <w:p>
            <w:r/>
            <w:r>
              <w:rPr>
                <w:sz w:val="18"/>
              </w:rPr>
              <w:t>Находит строки «САЛЬДО НА» и «ИТОГО ОБОРОТОВ» и читает русские колонки «Сумма Дт»/«Сумма Кт»</w:t>
            </w:r>
          </w:p>
        </w:tc>
      </w:tr>
    </w:tbl>
    <w:p/>
    <w:p>
      <w:pPr>
        <w:spacing w:before="40"/>
      </w:pPr>
      <w:r>
        <w:rPr>
          <w:b/>
          <w:i w:val="0"/>
          <w:color w:val="A93226"/>
          <w:sz w:val="20"/>
        </w:rPr>
        <w:t>Практическое следствие: значение сальдо нужно класть и в русскую колонку (её читает механизм подытогов), и в каноническую (её читает механизм строк). Если положить только в одну — часть макета останется пустой.</w:t>
      </w:r>
    </w:p>
    <w:p>
      <w:pPr>
        <w:pStyle w:val="Heading2"/>
      </w:pPr>
      <w:r>
        <w:t>Три слоя сопоставления имён</w:t>
      </w:r>
    </w:p>
    <w:p>
      <w:pPr>
        <w:pStyle w:val="ListNumber"/>
      </w:pPr>
      <w:r>
        <w:t>Каждая колонка строки публикуется под своим именем и под нормализованным.</w:t>
      </w:r>
    </w:p>
    <w:p>
      <w:pPr>
        <w:pStyle w:val="ListNumber"/>
      </w:pPr>
      <w:r>
        <w:t>Канонические синонимы: debsum, sum_deb, deb_v, deb_beg — всё это группа debit_amount.</w:t>
      </w:r>
    </w:p>
    <w:p>
      <w:pPr>
        <w:pStyle w:val="ListNumber"/>
      </w:pPr>
      <w:r>
        <w:t>Префиксы наборов данных: ved., ved_, db_cr., db_crs_, ksprorg., avt_p., а также построчные line1_, ved1_, db_cr1_. Одно значение публикуется под всеми префиксами.</w:t>
      </w:r>
    </w:p>
    <w:p>
      <w:pPr>
        <w:spacing w:before="40"/>
      </w:pPr>
      <w:r>
        <w:rPr>
          <w:b w:val="0"/>
          <w:i/>
          <w:color w:val="1E7D4D"/>
          <w:sz w:val="20"/>
        </w:rPr>
        <w:t>Благодаря третьему слою макет может ссылаться на ved.debsum или db_crs_debsum — сработает и то, и другое. Новый код для привязки писать не нужно: нужно подготовить данные с правильными колонками.</w:t>
      </w:r>
    </w:p>
    <w:p>
      <w:pPr>
        <w:pStyle w:val="Heading2"/>
      </w:pPr>
      <w:r>
        <w:t>Раскладка полосы данных</w:t>
      </w:r>
    </w:p>
    <w:p>
      <w:r>
        <w:t>Полоса Detail макета акта сверки содержит не одну строку таблицы, а целый блок. Разбор по вертикальным позициям: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2100"/>
            <w:shd w:val="clear" w:fill="EAF4FB"/>
          </w:tcPr>
          <w:p>
            <w:r/>
            <w:r>
              <w:rPr>
                <w:b/>
                <w:sz w:val="18"/>
              </w:rPr>
              <w:t>Позиция (Top)</w:t>
            </w:r>
          </w:p>
        </w:tc>
        <w:tc>
          <w:tcPr>
            <w:tcW w:type="dxa" w:w="5100"/>
            <w:shd w:val="clear" w:fill="EAF4FB"/>
          </w:tcPr>
          <w:p>
            <w:r/>
            <w:r>
              <w:rPr>
                <w:b/>
                <w:sz w:val="18"/>
              </w:rPr>
              <w:t>Содержимое</w:t>
            </w:r>
          </w:p>
        </w:tc>
        <w:tc>
          <w:tcPr>
            <w:tcW w:type="dxa" w:w="2200"/>
            <w:shd w:val="clear" w:fill="EAF4FB"/>
          </w:tcPr>
          <w:p>
            <w:r/>
            <w:r>
              <w:rPr>
                <w:b/>
                <w:sz w:val="18"/>
              </w:rPr>
              <w:t>Сколько раз выводить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23125 — 35312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САЛЬДО НА начало, «Пара счетов :», коды и название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1 раз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41562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ved.tex, ved.debet, ved.kredit, ved.debsum, ved.credsum, ved.dok, ved.date, ved.prs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N раз — по числу проводок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45729 — 47812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ИТОГО ОБОРОТОВ, САЛЬДО НА конец по паре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1 раз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51979 — 54062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ИТОГО ОБОРОТОВ ПО организации, САЛЬДО по организации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1 раз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58125 — 60208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ИТОГО ОБОРОТОВ, САЛЬДО НА конец по организации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1 раз</w:t>
            </w:r>
          </w:p>
        </w:tc>
      </w:tr>
      <w:tr>
        <w:trPr>
          <w:cantSplit/>
        </w:trPr>
        <w:tc>
          <w:tcPr>
            <w:tcW w:type="dxa" w:w="2100"/>
          </w:tcPr>
          <w:p>
            <w:r/>
            <w:r>
              <w:rPr>
                <w:sz w:val="18"/>
              </w:rPr>
              <w:t>67396 — 82188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NA1, P1, P2, P3, P4 — задолженность прописью и подписи</w:t>
            </w:r>
          </w:p>
        </w:tc>
        <w:tc>
          <w:tcPr>
            <w:tcW w:type="dxa" w:w="2200"/>
          </w:tcPr>
          <w:p>
            <w:r/>
            <w:r>
              <w:rPr>
                <w:sz w:val="18"/>
              </w:rPr>
              <w:t>1 раз</w:t>
            </w:r>
          </w:p>
        </w:tc>
      </w:tr>
    </w:tbl>
    <w:p/>
    <w:p>
      <w:pPr>
        <w:spacing w:before="40"/>
      </w:pPr>
      <w:r>
        <w:rPr>
          <w:b/>
          <w:i w:val="0"/>
          <w:color w:val="A93226"/>
          <w:sz w:val="20"/>
        </w:rPr>
        <w:t>Именно поэтому механизм «повторить полосу для каждой строки» давал три полных блока: вся секция повторялась целиком, включая шапку и подписи.</w:t>
      </w:r>
    </w:p>
    <w:p>
      <w:pPr>
        <w:pStyle w:val="Heading1"/>
      </w:pPr>
      <w:r>
        <w:t>3. Выполненные работы</w:t>
      </w:r>
    </w:p>
    <w:p>
      <w:pPr>
        <w:pStyle w:val="Heading2"/>
      </w:pPr>
      <w:r>
        <w:t>3.1. Привязка колонок таблицы к именам макета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600"/>
            <w:shd w:val="clear" w:fill="EAF4FB"/>
          </w:tcPr>
          <w:p>
            <w:r/>
            <w:r>
              <w:rPr>
                <w:b/>
                <w:sz w:val="18"/>
              </w:rPr>
              <w:t>Русская колонка</w:t>
            </w:r>
          </w:p>
        </w:tc>
        <w:tc>
          <w:tcPr>
            <w:tcW w:type="dxa" w:w="2700"/>
            <w:shd w:val="clear" w:fill="EAF4FB"/>
          </w:tcPr>
          <w:p>
            <w:r/>
            <w:r>
              <w:rPr>
                <w:b/>
                <w:sz w:val="18"/>
              </w:rPr>
              <w:t>Каноническое имя</w:t>
            </w:r>
          </w:p>
        </w:tc>
        <w:tc>
          <w:tcPr>
            <w:tcW w:type="dxa" w:w="3100"/>
            <w:shd w:val="clear" w:fill="EAF4FB"/>
          </w:tcPr>
          <w:p>
            <w:r/>
            <w:r>
              <w:rPr>
                <w:b/>
                <w:sz w:val="18"/>
              </w:rPr>
              <w:t>Имя в макете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«Наименование материала, вид операции»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</w:rPr>
              <w:t>operation_name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ved.tex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«Дебет»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</w:rPr>
              <w:t>debit_account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ved.debet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«Кредит»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</w:rPr>
              <w:t>credit_account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ved.kredit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«Сумма Дт»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</w:rPr>
              <w:t>debit_amount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ved.debsum, ved.deb_beg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«Сумма Кт»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</w:rPr>
              <w:t>credit_amount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ved.credsum, ved.cred_beg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«N докум»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</w:rPr>
              <w:t>document_number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ved.dok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«Дата»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</w:rPr>
              <w:t>document_date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ved.date</w:t>
            </w:r>
          </w:p>
        </w:tc>
      </w:tr>
      <w:tr>
        <w:trPr>
          <w:cantSplit/>
        </w:trPr>
        <w:tc>
          <w:tcPr>
            <w:tcW w:type="dxa" w:w="3600"/>
          </w:tcPr>
          <w:p>
            <w:r/>
            <w:r>
              <w:rPr>
                <w:sz w:val="18"/>
              </w:rPr>
              <w:t>«Модуль»</w:t>
            </w:r>
          </w:p>
        </w:tc>
        <w:tc>
          <w:tcPr>
            <w:tcW w:type="dxa" w:w="2700"/>
          </w:tcPr>
          <w:p>
            <w:r/>
            <w:r>
              <w:rPr>
                <w:sz w:val="18"/>
              </w:rPr>
              <w:t>module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ved.prs</w:t>
            </w:r>
          </w:p>
        </w:tc>
      </w:tr>
    </w:tbl>
    <w:p/>
    <w:p>
      <w:r>
        <w:t>В NormalizeFieldName добавлены сопоставления: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"сумма дт" or "сумма дебета" or "дебет сумма" =&gt; "debit_amount",</w:t>
        <w:br/>
      </w:r>
      <w:r>
        <w:rPr>
          <w:rFonts w:ascii="Consolas" w:hAnsi="Consolas"/>
          <w:sz w:val="18"/>
        </w:rPr>
        <w:t>"сумма кт" or "сумма кредита" or "кредит сумма" =&gt; "credit_amount",</w:t>
        <w:br/>
      </w:r>
      <w:r>
        <w:rPr>
          <w:rFonts w:ascii="Consolas" w:hAnsi="Consolas"/>
          <w:sz w:val="18"/>
        </w:rPr>
        <w:t>"n докум" or "№ докум" or "номер докум" =&gt; "document_number",</w:t>
        <w:br/>
      </w:r>
      <w:r>
        <w:rPr>
          <w:rFonts w:ascii="Consolas" w:hAnsi="Consolas"/>
          <w:sz w:val="18"/>
        </w:rPr>
        <w:t>"модуль" or "арм" =&gt; "module",</w:t>
      </w:r>
    </w:p>
    <w:p>
      <w:pPr>
        <w:pStyle w:val="Heading2"/>
      </w:pPr>
      <w:r>
        <w:t>3.2. Приоритет объявленной полосы</w:t>
      </w:r>
    </w:p>
    <w:p>
      <w:r>
        <w:t>Функция поиска полосы определяла её по вертикальной координате, игнорируя поле BandType, которое есть у каждого элемента макета. В макете акта верхние позиции полос почти совпадают, поэтому элементы уезжали в чужие полосы.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// Добавлено: сначала объявленный тип полосы, координата — как запасной путь</w:t>
        <w:br/>
      </w:r>
      <w:r>
        <w:rPr>
          <w:rFonts w:ascii="Consolas" w:hAnsi="Consolas"/>
          <w:sz w:val="18"/>
        </w:rPr>
        <w:t>var declared = FindBandByType(element.BandType, bands);</w:t>
        <w:br/>
      </w:r>
      <w:r>
        <w:rPr>
          <w:rFonts w:ascii="Consolas" w:hAnsi="Consolas"/>
          <w:sz w:val="18"/>
        </w:rPr>
        <w:t>if (declared != null)</w:t>
        <w:br/>
      </w:r>
      <w:r>
        <w:rPr>
          <w:rFonts w:ascii="Consolas" w:hAnsi="Consolas"/>
          <w:sz w:val="18"/>
        </w:rPr>
        <w:t xml:space="preserve">    return declared;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return FindBandForElement(element, bands);</w:t>
      </w:r>
    </w:p>
    <w:p>
      <w:pPr>
        <w:pStyle w:val="Heading2"/>
      </w:pPr>
      <w:r>
        <w:t>3.3. Разделение строк и обрамления в полосе данных</w:t>
      </w:r>
    </w:p>
    <w:p>
      <w:r>
        <w:t>Добавлен признак строки операций — по имени выражения. Всё, что выше и ниже, относится к обрамлению блока: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private static bool IsReconciliationRowElement(PrintFormElement element)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// Снимаем префикс набора данных: ved., ved_, db_cr. и подобные</w:t>
        <w:br/>
      </w:r>
      <w:r>
        <w:rPr>
          <w:rFonts w:ascii="Consolas" w:hAnsi="Consolas"/>
          <w:sz w:val="18"/>
        </w:rPr>
        <w:t xml:space="preserve">    var name = Regex.Replace(expression, @"^(?:ved\d*|db_crs?|dbcrs?)[._]", "");</w:t>
        <w:br/>
      </w:r>
      <w:r>
        <w:rPr>
          <w:rFonts w:ascii="Consolas" w:hAnsi="Consolas"/>
          <w:sz w:val="18"/>
        </w:rPr>
        <w:t xml:space="preserve">    return name.ToLowerInvariant() switch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"tex" or "text" or "name_kod" =&gt; true,</w:t>
        <w:br/>
      </w:r>
      <w:r>
        <w:rPr>
          <w:rFonts w:ascii="Consolas" w:hAnsi="Consolas"/>
          <w:sz w:val="18"/>
        </w:rPr>
        <w:t xml:space="preserve">        "deb" or "debet" or "schet" =&gt; true,</w:t>
        <w:br/>
      </w:r>
      <w:r>
        <w:rPr>
          <w:rFonts w:ascii="Consolas" w:hAnsi="Consolas"/>
          <w:sz w:val="18"/>
        </w:rPr>
        <w:t xml:space="preserve">        "kredit" or "cred" or "korsch" =&gt; true,</w:t>
        <w:br/>
      </w:r>
      <w:r>
        <w:rPr>
          <w:rFonts w:ascii="Consolas" w:hAnsi="Consolas"/>
          <w:sz w:val="18"/>
        </w:rPr>
        <w:t xml:space="preserve">        "debsum" or "credsum" =&gt; true,</w:t>
        <w:br/>
      </w:r>
      <w:r>
        <w:rPr>
          <w:rFonts w:ascii="Consolas" w:hAnsi="Consolas"/>
          <w:sz w:val="18"/>
        </w:rPr>
        <w:t xml:space="preserve">        "dok" or "date" or "prs" =&gt; true,</w:t>
        <w:br/>
      </w:r>
      <w:r>
        <w:rPr>
          <w:rFonts w:ascii="Consolas" w:hAnsi="Consolas"/>
          <w:sz w:val="18"/>
        </w:rPr>
        <w:t xml:space="preserve">        _ =&gt; false</w:t>
        <w:br/>
      </w:r>
      <w:r>
        <w:rPr>
          <w:rFonts w:ascii="Consolas" w:hAnsi="Consolas"/>
          <w:sz w:val="18"/>
        </w:rPr>
        <w:t xml:space="preserve">    };</w:t>
        <w:br/>
      </w: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3.4. Порядок вывода по эталону</w:t>
      </w:r>
    </w:p>
    <w:p>
      <w:r>
        <w:t>Переписан метод сборки акта. Порядок вывода:</w:t>
      </w:r>
    </w:p>
    <w:p>
      <w:pPr>
        <w:pStyle w:val="ListNumber"/>
      </w:pPr>
      <w:r>
        <w:t>Шапка документа и шапка таблицы — один раз.</w:t>
      </w:r>
    </w:p>
    <w:p>
      <w:pPr>
        <w:pStyle w:val="ListNumber"/>
      </w:pPr>
      <w:r>
        <w:t>Обрамление начала блока: САЛЬДО НА начало, «Пара счетов :», коды.</w:t>
      </w:r>
    </w:p>
    <w:p>
      <w:pPr>
        <w:pStyle w:val="ListNumber"/>
      </w:pPr>
      <w:r>
        <w:t>Строки операций — непрерывно, по одной на проводку.</w:t>
      </w:r>
    </w:p>
    <w:p>
      <w:pPr>
        <w:pStyle w:val="ListNumber"/>
      </w:pPr>
      <w:r>
        <w:t>Обрамление конца блока: ИТОГО ОБОРОТОВ, САЛЬДО НА конец, итоги по объекту и организации.</w:t>
      </w:r>
    </w:p>
    <w:p>
      <w:pPr>
        <w:pStyle w:val="ListNumber"/>
      </w:pPr>
      <w:r>
        <w:t>Задолженность прописью и подписи — один раз в конце.</w:t>
      </w:r>
    </w:p>
    <w:p>
      <w:pPr>
        <w:spacing w:before="40"/>
      </w:pPr>
      <w:r>
        <w:rPr>
          <w:b w:val="0"/>
          <w:i/>
          <w:color w:val="5F6B7A"/>
          <w:sz w:val="20"/>
        </w:rPr>
        <w:t>Полосы итогов и подписей в макете расположены по вертикали НИЖЕ полосы данных, поэтому собираются отдельно и выводятся после всех строк.</w:t>
      </w:r>
    </w:p>
    <w:p>
      <w:pPr>
        <w:pStyle w:val="Heading2"/>
      </w:pPr>
      <w:r>
        <w:t>3.5. Пагинация: размер листа из пропорций макета</w:t>
      </w:r>
    </w:p>
    <w:p>
      <w:r>
        <w:t>Ранее было принято неверное допущение, что макет задан в единицах A4 (2100 x 2970). Но макет акта сверки имеет собственный масштаб, и короткий отчёт разбивался на десятки страниц. Теперь высота листа выводится из пропорций самого макета:</w:t>
      </w:r>
    </w:p>
    <w:p>
      <w:pPr>
        <w:spacing w:before="120" w:after="200"/>
        <w:ind w:left="240"/>
      </w:pPr>
      <w:r>
        <w:rPr>
          <w:rFonts w:ascii="Consolas" w:hAnsi="Consolas"/>
          <w:sz w:val="18"/>
        </w:rPr>
        <w:t>private static double GetTemplatePageHeight(double pageWidth, double templateHeight)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const double a4PortraitRatio = 297d / 210d;</w:t>
        <w:br/>
      </w:r>
      <w:r>
        <w:rPr>
          <w:rFonts w:ascii="Consolas" w:hAnsi="Consolas"/>
          <w:sz w:val="18"/>
        </w:rPr>
        <w:t xml:space="preserve">    const double a4LandscapeRatio = 210d / 297d;</w:t>
        <w:br/>
      </w:r>
      <w:r>
        <w:rPr>
          <w:rFonts w:ascii="Consolas" w:hAnsi="Consolas"/>
          <w:sz w:val="18"/>
        </w:rPr>
        <w:t xml:space="preserve">    var isLandscape = pageWidth &gt; templateHeight;</w:t>
        <w:br/>
      </w:r>
      <w:r>
        <w:rPr>
          <w:rFonts w:ascii="Consolas" w:hAnsi="Consolas"/>
          <w:sz w:val="18"/>
        </w:rPr>
        <w:t xml:space="preserve">    return pageWidth * (isLandscape ? a4LandscapeRatio : a4PortraitRatio);</w:t>
        <w:br/>
      </w: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4. Найденные и исправленные дефекты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200"/>
            <w:shd w:val="clear" w:fill="EAF4FB"/>
          </w:tcPr>
          <w:p>
            <w:r/>
            <w:r>
              <w:rPr>
                <w:b/>
                <w:sz w:val="18"/>
              </w:rPr>
              <w:t>Дефект</w:t>
            </w:r>
          </w:p>
        </w:tc>
        <w:tc>
          <w:tcPr>
            <w:tcW w:type="dxa" w:w="3100"/>
            <w:shd w:val="clear" w:fill="EAF4FB"/>
          </w:tcPr>
          <w:p>
            <w:r/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3100"/>
            <w:shd w:val="clear" w:fill="EAF4FB"/>
          </w:tcPr>
          <w:p>
            <w:r/>
            <w:r>
              <w:rPr>
                <w:b/>
                <w:sz w:val="18"/>
              </w:rPr>
              <w:t>Исправление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Ошибка при формировании: "The input string '' was not in a correct format"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В числовую колонку записывалась пустая строка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В числовые колонки пишется DBNull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Пропала колонка «Сумма Дт» в таблице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Сетка работает с AutoGenerateColumns, и служебные колонки попали в неё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Все служебные колонки убраны, имена выводятся из русских названий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Пустые «Сумма Дт» и «Сумма Кт» в макете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Пустое значение перезаписывало реальное, так как добавлялось раньше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Пустые значения не публикуются; порядок изменён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Поля данных попадали в чужую полосу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Поиск полосы по координате игнорировал BandType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Сначала используется объявленный BandType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Короткий отчёт разбивался на десятки страниц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Размер листа брался как 2970 единиц A4, а макет имеет масштаб 78000 x 86854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Высота листа выводится из пропорций макета</w:t>
            </w:r>
          </w:p>
        </w:tc>
      </w:tr>
      <w:tr>
        <w:trPr>
          <w:cantSplit/>
        </w:trPr>
        <w:tc>
          <w:tcPr>
            <w:tcW w:type="dxa" w:w="3200"/>
          </w:tcPr>
          <w:p>
            <w:r/>
            <w:r>
              <w:rPr>
                <w:sz w:val="18"/>
              </w:rPr>
              <w:t>Шапка и подписи дублировались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Вся секция полосы данных повторялась для каждой строки</w:t>
            </w:r>
          </w:p>
        </w:tc>
        <w:tc>
          <w:tcPr>
            <w:tcW w:type="dxa" w:w="3100"/>
          </w:tcPr>
          <w:p>
            <w:r/>
            <w:r>
              <w:rPr>
                <w:sz w:val="18"/>
              </w:rPr>
              <w:t>Строки и обрамление разделены, обрамление выводится один раз</w:t>
            </w:r>
          </w:p>
        </w:tc>
      </w:tr>
    </w:tbl>
    <w:p/>
    <w:p>
      <w:pPr>
        <w:pStyle w:val="Heading2"/>
      </w:pPr>
      <w:r>
        <w:t>Что пробовалось и не сработало</w:t>
      </w:r>
    </w:p>
    <w:p>
      <w:pPr>
        <w:pStyle w:val="ListBullet"/>
      </w:pPr>
      <w:r>
        <w:t>Проверка на повторный вывод полос через HashSet — откачена: цикл и так проходит каждую полосу один раз, эффекта не было.</w:t>
      </w:r>
    </w:p>
    <w:p>
      <w:pPr>
        <w:pStyle w:val="ListBullet"/>
      </w:pPr>
      <w:r>
        <w:t>Перестановка только полос итогов в конец — недостаточна: причина была в повторении всей секции, а не в порядке полос.</w:t>
      </w:r>
    </w:p>
    <w:p>
      <w:pPr>
        <w:pStyle w:val="ListBullet"/>
      </w:pPr>
      <w:r>
        <w:t>Добавление служебных колонок в таблицу — привело к загрязнению экранной сетки, откачено в пользу сопоставления русских имён.</w:t>
      </w:r>
    </w:p>
    <w:p>
      <w:pPr>
        <w:pStyle w:val="Heading1"/>
      </w:pPr>
      <w:r>
        <w:t>5. Открытые вопросы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</w:trPr>
        <w:tc>
          <w:tcPr>
            <w:tcW w:type="dxa" w:w="3000"/>
            <w:shd w:val="clear" w:fill="EAF4FB"/>
          </w:tcPr>
          <w:p>
            <w:r/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4000"/>
            <w:shd w:val="clear" w:fill="EAF4FB"/>
          </w:tcPr>
          <w:p>
            <w:r/>
            <w:r>
              <w:rPr>
                <w:b/>
                <w:sz w:val="18"/>
              </w:rPr>
              <w:t>Состояние</w:t>
            </w:r>
          </w:p>
        </w:tc>
        <w:tc>
          <w:tcPr>
            <w:tcW w:type="dxa" w:w="2400"/>
            <w:shd w:val="clear" w:fill="EAF4FB"/>
          </w:tcPr>
          <w:p>
            <w:r/>
            <w:r>
              <w:rPr>
                <w:b/>
                <w:sz w:val="18"/>
              </w:rPr>
              <w:t>Что нужно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В колонке «Кредит» печатается слово kredit вместо счёта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Причина не подтверждена по коду. Кандидат — проводки из DBF-импорта, где в значение попало имя поля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Запрос к doc_postings на наличие значения kredit в счетах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«Сумма Дт» пуста в строках операций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Счёт дебета проводки (61500000) не входит в пару счетов (14160000 / 32160000). Это не дефект привязки, а несовпадение счетов в данных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Сверить правила проведения либо настройку пары счетов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Составные выражения макета: sha + ' ' + SHA3, LEFT(P1,90), DTOC(DTBEG)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Путь подстановки понимает только простые ссылки на поля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Реализация вычисления выражений или вычисляемые поля отчёта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Строка «По всем парам счетов : ...» в выводе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В эталонном образце такой строки нет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Определить, добавляется ли она кодом и нужно ли её убирать</w:t>
            </w:r>
          </w:p>
        </w:tc>
      </w:tr>
      <w:tr>
        <w:trPr>
          <w:cantSplit/>
        </w:trPr>
        <w:tc>
          <w:tcPr>
            <w:tcW w:type="dxa" w:w="3000"/>
          </w:tcPr>
          <w:p>
            <w:r/>
            <w:r>
              <w:rPr>
                <w:sz w:val="18"/>
              </w:rPr>
              <w:t>Пагинация длинного списка строк</w:t>
            </w:r>
          </w:p>
        </w:tc>
        <w:tc>
          <w:tcPr>
            <w:tcW w:type="dxa" w:w="4000"/>
          </w:tcPr>
          <w:p>
            <w:r/>
            <w:r>
              <w:rPr>
                <w:sz w:val="18"/>
              </w:rPr>
              <w:t>Для одностраничных актов проверено логически, на длинных списках не проверялось</w:t>
            </w:r>
          </w:p>
        </w:tc>
        <w:tc>
          <w:tcPr>
            <w:tcW w:type="dxa" w:w="2400"/>
          </w:tcPr>
          <w:p>
            <w:r/>
            <w:r>
              <w:rPr>
                <w:sz w:val="18"/>
              </w:rPr>
              <w:t>Прогон на отчёте с сотнями проводок</w:t>
            </w:r>
          </w:p>
        </w:tc>
      </w:tr>
    </w:tbl>
    <w:p/>
    <w:p>
      <w:pPr>
        <w:pStyle w:val="Heading1"/>
      </w:pPr>
      <w:r>
        <w:t>6. Проверка и текущее состояние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400"/>
            <w:shd w:val="clear" w:fill="EAF4FB"/>
          </w:tcPr>
          <w:p>
            <w:r/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5000"/>
            <w:shd w:val="clear" w:fill="EAF4FB"/>
          </w:tcPr>
          <w:p>
            <w:r/>
            <w:r>
              <w:rPr>
                <w:b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Сборка проекта (dotnet build)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Успешно, 0 ошибок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Соответствие экранной таблицы исходным колонкам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Подтверждено: все 8 колонок на месте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Значения в «Сумма Кт» (2 222,66 / 4 500,33 / 70 000,66)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Подтверждено на данных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Порядок вывода по эталону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Реализован, ожидает проверки на данных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Сверка итогов с эталонным образцом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Не выполнялась: требуется тот же период и та же организация в эталонной программе</w:t>
            </w:r>
          </w:p>
        </w:tc>
      </w:tr>
      <w:tr>
        <w:trPr>
          <w:cantSplit/>
        </w:trPr>
        <w:tc>
          <w:tcPr>
            <w:tcW w:type="dxa" w:w="4400"/>
          </w:tcPr>
          <w:p>
            <w:r/>
            <w:r>
              <w:rPr>
                <w:sz w:val="18"/>
              </w:rPr>
              <w:t>Проверка на длинном списке проводок</w:t>
            </w:r>
          </w:p>
        </w:tc>
        <w:tc>
          <w:tcPr>
            <w:tcW w:type="dxa" w:w="5000"/>
          </w:tcPr>
          <w:p>
            <w:r/>
            <w:r>
              <w:rPr>
                <w:sz w:val="18"/>
              </w:rPr>
              <w:t>Не выполнялась</w:t>
            </w:r>
          </w:p>
        </w:tc>
      </w:tr>
    </w:tbl>
    <w:p/>
    <w:p>
      <w:pPr>
        <w:pStyle w:val="Heading1"/>
      </w:pPr>
      <w:r>
        <w:t>7. Дальнейшие шаги</w:t>
      </w:r>
    </w:p>
    <w:p>
      <w:pPr>
        <w:pStyle w:val="ListNumber"/>
      </w:pPr>
      <w:r>
        <w:t>Запустить программу и сформировать акт сверки в FRX-варианте.</w:t>
      </w:r>
    </w:p>
    <w:p>
      <w:pPr>
        <w:pStyle w:val="ListNumber"/>
      </w:pPr>
      <w:r>
        <w:t>Проверить: одна шапка таблицы, строки подряд, один блок подписей, одна страница.</w:t>
      </w:r>
    </w:p>
    <w:p>
      <w:pPr>
        <w:pStyle w:val="ListNumber"/>
      </w:pPr>
      <w:r>
        <w:t>Выполнить запрос по kredit в счетах проводок, чтобы закрыть второй вопрос.</w:t>
      </w:r>
    </w:p>
    <w:p>
      <w:pPr>
        <w:pStyle w:val="ListNumber"/>
      </w:pPr>
      <w:r>
        <w:t>Сверить итоги с эталонной программой на том же периоде и организации.</w:t>
      </w:r>
    </w:p>
    <w:p>
      <w:pPr>
        <w:pStyle w:val="ListNumber"/>
      </w:pPr>
      <w:r>
        <w:t>После подтверждения акта перейти к оборотным ведомостям: там та же привязка, но данные строятся иначе.</w:t>
      </w:r>
    </w:p>
    <w:p>
      <w:pPr>
        <w:pStyle w:val="Heading1"/>
      </w:pPr>
      <w:r>
        <w:t>Резюме</w:t>
      </w:r>
    </w:p>
    <w:p>
      <w:r>
        <w:t>Механизм привязки данных к FRX-макету в системе существовал и был рассчитан на нужные имена полей, но таблица акта сверки отдавала русские названия колонок, которые он не сопоставлял. Проблема решена двумя способами: сопоставление русских имён добавлено в механизм, а служебные колонки из таблицы убраны, чтобы не загрязнять экранную сетку.</w:t>
      </w:r>
    </w:p>
    <w:p>
      <w:r>
        <w:t>Главная сложность оказалась не в привязке, а в структуре макета. Полоса данных акта сверки содержит целый блок — шапку пары счетов, строку операций и итоги, — поэтому универсальная упаковка «повторить полосу для каждой строки» давала дубли шапки и подписей. Сборка акта переписана: обрамление выводится один раз, строки операций идут непрерывно, как в эталонном образце.</w:t>
      </w:r>
    </w:p>
    <w:p>
      <w:r>
        <w:t>Отдельно исправлены три дефекта, проявившиеся в ходе работы: пустая строка в числовой колонке вызывала ошибку формирования, пустые значения перезаписывали реальные данные, а размер листа брался в единицах A4, из-за чего короткий отчёт разбивался на десятки страниц. Все правки собраны, ошибок компиляции нет. Требуется прогон на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