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вывода FRX-отчётов по полосам</w:t>
      </w:r>
    </w:p>
    <w:p>
      <w:r>
        <w:rPr>
          <w:color w:val="5F6B7A"/>
          <w:sz w:val="22"/>
        </w:rPr>
        <w:t>Какие правила применяются к полосам макета при формировании отчёта, какие из них общие для всех FRX-отчётов, а какие относятся только к акту сверки.</w:t>
      </w:r>
    </w:p>
    <w:p>
      <w:pPr>
        <w:pStyle w:val="Heading1"/>
      </w:pPr>
      <w:r>
        <w:t>Короткий ответ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200"/>
            <w:shd w:val="clear" w:fill="EAF4FB"/>
          </w:tcPr>
          <w:p>
            <w:r/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5200"/>
            <w:shd w:val="clear" w:fill="EAF4FB"/>
          </w:tcPr>
          <w:p>
            <w:r/>
            <w:r>
              <w:rPr>
                <w:b/>
                <w:sz w:val="18"/>
              </w:rPr>
              <w:t>Ответ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Работают ли другие отчёты по тем же правилам?</w:t>
            </w:r>
          </w:p>
        </w:tc>
        <w:tc>
          <w:tcPr>
            <w:tcW w:type="dxa" w:w="5200"/>
          </w:tcPr>
          <w:p>
            <w:r/>
            <w:r>
              <w:rPr>
                <w:sz w:val="18"/>
              </w:rPr>
              <w:t>Частично. Один механизм — поиск полосы по BandType — общий для всех. Порядок вывода и разделение строк и обрамления — только для акта сверки.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Сколько макетов затронуто общим правилом?</w:t>
            </w:r>
          </w:p>
        </w:tc>
        <w:tc>
          <w:tcPr>
            <w:tcW w:type="dxa" w:w="5200"/>
          </w:tcPr>
          <w:p>
            <w:r/>
            <w:r>
              <w:rPr>
                <w:sz w:val="18"/>
              </w:rPr>
              <w:t>37, то есть все FRX-отчёты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Сколько затронуто правилом акта сверки?</w:t>
            </w:r>
          </w:p>
        </w:tc>
        <w:tc>
          <w:tcPr>
            <w:tcW w:type="dxa" w:w="5200"/>
          </w:tcPr>
          <w:p>
            <w:r/>
            <w:r>
              <w:rPr>
                <w:sz w:val="18"/>
              </w:rPr>
              <w:t>19 вариантов акта сверки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Есть ли полосы, которые не выводятся?</w:t>
            </w:r>
          </w:p>
        </w:tc>
        <w:tc>
          <w:tcPr>
            <w:tcW w:type="dxa" w:w="5200"/>
          </w:tcPr>
          <w:p>
            <w:r/>
            <w:r>
              <w:rPr>
                <w:sz w:val="18"/>
              </w:rPr>
              <w:t>Да, и это нормально: 26 макетов содержат полосы без элементов</w:t>
            </w:r>
          </w:p>
        </w:tc>
      </w:tr>
    </w:tbl>
    <w:p/>
    <w:p>
      <w:pPr>
        <w:pStyle w:val="Heading1"/>
      </w:pPr>
      <w:r>
        <w:t>1. В макете два независимых списка полос</w:t>
      </w:r>
    </w:p>
    <w:p>
      <w:r>
        <w:t>Это первое, что нужно понять. Макет хранит полосы дважды, и списки не совпадают.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Список</w:t>
            </w:r>
          </w:p>
        </w:tc>
        <w:tc>
          <w:tcPr>
            <w:tcW w:type="dxa" w:w="4300"/>
            <w:shd w:val="clear" w:fill="EAF4FB"/>
          </w:tcPr>
          <w:p>
            <w:r/>
            <w:r>
              <w:rPr>
                <w:b/>
                <w:sz w:val="18"/>
              </w:rPr>
              <w:t>Что содержит</w:t>
            </w:r>
          </w:p>
        </w:tc>
        <w:tc>
          <w:tcPr>
            <w:tcW w:type="dxa" w:w="2300"/>
            <w:shd w:val="clear" w:fill="EAF4FB"/>
          </w:tcPr>
          <w:p>
            <w:r/>
            <w:r>
              <w:rPr>
                <w:b/>
                <w:sz w:val="18"/>
              </w:rPr>
              <w:t>Кто использует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Bands[]</w:t>
            </w:r>
          </w:p>
        </w:tc>
        <w:tc>
          <w:tcPr>
            <w:tcW w:type="dxa" w:w="4300"/>
          </w:tcPr>
          <w:p>
            <w:r/>
            <w:r>
              <w:rPr>
                <w:sz w:val="18"/>
              </w:rPr>
              <w:t>Объявление полос: тип, высота, порядок, исходные поля FoxPro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Служба печати строит по нему порядок вывода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Template.Elements[].BandType</w:t>
            </w:r>
          </w:p>
        </w:tc>
        <w:tc>
          <w:tcPr>
            <w:tcW w:type="dxa" w:w="4300"/>
          </w:tcPr>
          <w:p>
            <w:r/>
            <w:r>
              <w:rPr>
                <w:sz w:val="18"/>
              </w:rPr>
              <w:t>К какой полосе относится каждый элемент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Связывает элемент с полосой при рендере</w:t>
            </w:r>
          </w:p>
        </w:tc>
      </w:tr>
    </w:tbl>
    <w:p/>
    <w:p>
      <w:pPr>
        <w:pStyle w:val="Heading2"/>
      </w:pPr>
      <w:r>
        <w:t>Объявленных полос по всем 37 макетам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200"/>
            <w:shd w:val="clear" w:fill="EAF4FB"/>
          </w:tcPr>
          <w:p>
            <w:r/>
            <w:r>
              <w:rPr>
                <w:b/>
                <w:sz w:val="18"/>
              </w:rPr>
              <w:t>Тип полосы</w:t>
            </w:r>
          </w:p>
        </w:tc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Сколько полос объявлено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без типа (None)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74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GroupHeader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GroupFooter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PageHeader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PageFooter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Summary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23</w:t>
            </w:r>
          </w:p>
        </w:tc>
      </w:tr>
    </w:tbl>
    <w:p/>
    <w:p>
      <w:pPr>
        <w:spacing w:before="40"/>
      </w:pPr>
      <w:r>
        <w:rPr>
          <w:b w:val="0"/>
          <w:i/>
          <w:color w:val="2C3E50"/>
          <w:sz w:val="20"/>
        </w:rPr>
        <w:t>Полосы без типа (None) — это макеты, где структура полос не распознана: восемь макетов основных средств, кассовые ордера, счёт-фактура. Для них работает запасной путь: единственная полоса Detail на весь макет.</w:t>
      </w:r>
    </w:p>
    <w:p>
      <w:pPr>
        <w:pStyle w:val="Heading2"/>
      </w:pPr>
      <w:r>
        <w:t>Типы полос у элементов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200"/>
            <w:shd w:val="clear" w:fill="EAF4FB"/>
          </w:tcPr>
          <w:p>
            <w:r/>
            <w:r>
              <w:rPr>
                <w:b/>
                <w:sz w:val="18"/>
              </w:rPr>
              <w:t>BandType элемента</w:t>
            </w:r>
          </w:p>
        </w:tc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Сколько элементов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1594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268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Summary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PageHeader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28</w:t>
            </w:r>
          </w:p>
        </w:tc>
      </w:tr>
    </w:tbl>
    <w:p/>
    <w:p>
      <w:pPr>
        <w:spacing w:before="40"/>
      </w:pPr>
      <w:r>
        <w:rPr>
          <w:b/>
          <w:i w:val="0"/>
          <w:color w:val="A93226"/>
          <w:sz w:val="20"/>
        </w:rPr>
        <w:t>Ключевой факт: у элементов встречаются только четыре типа полос, тогда как объявлено восемь. Полосы GroupHeader, GroupFooter и PageFooter не содержат элементов вообще.</w:t>
      </w:r>
    </w:p>
    <w:p>
      <w:pPr>
        <w:pStyle w:val="Heading1"/>
      </w:pPr>
      <w:r>
        <w:t>2. Правила по каждому типу полосы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300"/>
            <w:shd w:val="clear" w:fill="EAF4FB"/>
          </w:tcPr>
          <w:p>
            <w:r/>
            <w:r>
              <w:rPr>
                <w:b/>
                <w:sz w:val="18"/>
              </w:rPr>
              <w:t>Тип полосы</w:t>
            </w:r>
          </w:p>
        </w:tc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Выводится</w:t>
            </w:r>
          </w:p>
        </w:tc>
        <w:tc>
          <w:tcPr>
            <w:tcW w:type="dxa" w:w="4500"/>
            <w:shd w:val="clear" w:fill="EAF4FB"/>
          </w:tcPr>
          <w:p>
            <w:r/>
            <w:r>
              <w:rPr>
                <w:b/>
                <w:sz w:val="18"/>
              </w:rPr>
              <w:t>Что обычно содержит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Один раз в начале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Заголовок отчёта, реквизиты сторон, период, номер листа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PageHeader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Один раз, после Title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Шапка таблицы колонок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GroupHeader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По правилу отчёта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Заголовок группы: наименование объекта, пары счетов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По правилу отчёта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Строка данных, а в акте сверки — целый блок с обрамлением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GroupFooter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По правилу отчёта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Итоги группы, подписи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PageFooter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По правилу отчёта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Колонтитул; в макетах актов пуст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Summary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Один раз в конце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Итоговое описание, задолженность прописью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без типа (None)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Один раз, одной полосой Detail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Весь макет целиком</w:t>
            </w:r>
          </w:p>
        </w:tc>
      </w:tr>
    </w:tbl>
    <w:p/>
    <w:p>
      <w:pPr>
        <w:pStyle w:val="Heading2"/>
      </w:pPr>
      <w:r>
        <w:t>Почему полосы без элементов не выводятся</w:t>
      </w:r>
    </w:p>
    <w:p>
      <w:r>
        <w:t>При построении карты «полоса → элементы» полосы, которым не досталось ни одного элемента, пропускаются: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foreach (var band in bands)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if (!elementsByBand.TryGetValue(band, out var bandElements) || bandElements.Count == 0)</w:t>
        <w:br/>
      </w:r>
      <w:r>
        <w:rPr>
          <w:rFonts w:ascii="Consolas" w:hAnsi="Consolas"/>
          <w:sz w:val="18"/>
        </w:rPr>
        <w:t xml:space="preserve">        continue;   // полоса без элементов не выводится</w:t>
        <w:br/>
      </w:r>
      <w:r>
        <w:rPr>
          <w:rFonts w:ascii="Consolas" w:hAnsi="Consolas"/>
          <w:sz w:val="18"/>
        </w:rPr>
        <w:t xml:space="preserve">    ...</w:t>
        <w:br/>
      </w:r>
      <w:r>
        <w:rPr>
          <w:rFonts w:ascii="Consolas" w:hAnsi="Consolas"/>
          <w:sz w:val="18"/>
        </w:rPr>
        <w:t>}</w:t>
      </w:r>
    </w:p>
    <w:p>
      <w:r>
        <w:t>Именно поэтому в акте сверки три полосы GroupHeader и три GroupFooter не создают отдельных блоков: они пусты, а всё их содержимое лежит в полосе Detail.</w:t>
      </w:r>
    </w:p>
    <w:p>
      <w:pPr>
        <w:pStyle w:val="Heading1"/>
      </w:pPr>
      <w:r>
        <w:t>3. Отпечаток по шагам: как выводится макет</w:t>
      </w:r>
    </w:p>
    <w:p>
      <w:r>
        <w:t>Полный путь одного FRX-отчёта от макета до страницы.</w:t>
      </w:r>
    </w:p>
    <w:p>
      <w:pPr>
        <w:pStyle w:val="Heading2"/>
      </w:pPr>
      <w:r>
        <w:t>Шаг 1. Разбор макета</w:t>
      </w:r>
    </w:p>
    <w:p>
      <w:pPr>
        <w:pStyle w:val="ListBullet"/>
      </w:pPr>
      <w:r>
        <w:t>Из поля Reports.Template читается JSON с полосами и элементами.</w:t>
      </w:r>
    </w:p>
    <w:p>
      <w:pPr>
        <w:pStyle w:val="ListBullet"/>
      </w:pPr>
      <w:r>
        <w:t>Если JSON нет — макет разбирается из FoxPro-формата FRX.</w:t>
      </w:r>
    </w:p>
    <w:p>
      <w:pPr>
        <w:pStyle w:val="ListBullet"/>
      </w:pPr>
      <w:r>
        <w:t>Результат: список полос и список элементов с координатами.</w:t>
      </w:r>
    </w:p>
    <w:p>
      <w:pPr>
        <w:pStyle w:val="Heading2"/>
      </w:pPr>
      <w:r>
        <w:t>Шаг 2. Подготовка профилем распознавания</w:t>
      </w:r>
    </w:p>
    <w:p>
      <w:pPr>
        <w:pStyle w:val="ListBullet"/>
      </w:pPr>
      <w:r>
        <w:t>Профиль определяется по имени файла и обязательным выражениям.</w:t>
      </w:r>
    </w:p>
    <w:p>
      <w:pPr>
        <w:pStyle w:val="ListBullet"/>
      </w:pPr>
      <w:r>
        <w:t>Для акта сверки — foxpro_reconciliation_act.</w:t>
      </w:r>
    </w:p>
    <w:p>
      <w:pPr>
        <w:pStyle w:val="ListBullet"/>
      </w:pPr>
      <w:r>
        <w:t>Выполняется выравнивание полей по шаблонам профиля.</w:t>
      </w:r>
    </w:p>
    <w:p>
      <w:pPr>
        <w:pStyle w:val="ListBullet"/>
      </w:pPr>
      <w:r>
        <w:t>При необходимости нормализуются верхние позиции полос.</w:t>
      </w:r>
    </w:p>
    <w:p>
      <w:pPr>
        <w:pStyle w:val="Heading2"/>
      </w:pPr>
      <w:r>
        <w:t>Шаг 3. Определение полосы для каждого элемента</w:t>
      </w:r>
    </w:p>
    <w:p>
      <w:r>
        <w:t>Это правило общее для всех FRX-отчётов и было изменено в ходе работы. Раньше полоса определялась только по вертикальной координате, теперь порядок такой:</w:t>
      </w:r>
    </w:p>
    <w:p>
      <w:pPr>
        <w:pStyle w:val="ListNumber"/>
      </w:pPr>
      <w:r>
        <w:t>Берётся объявленный BandType элемента.</w:t>
      </w:r>
    </w:p>
    <w:p>
      <w:pPr>
        <w:pStyle w:val="ListNumber"/>
      </w:pPr>
      <w:r>
        <w:t>Ищется полоса с таким же типом; если полос несколько — первая по вертикали.</w:t>
      </w:r>
    </w:p>
    <w:p>
      <w:pPr>
        <w:pStyle w:val="ListNumber"/>
      </w:pPr>
      <w:r>
        <w:t>Если тип не задан или полосы нет — используется поиск по координате.</w:t>
      </w:r>
    </w:p>
    <w:p>
      <w:pPr>
        <w:pStyle w:val="ListNumber"/>
      </w:pPr>
      <w:r>
        <w:t>Если и координата не дала результата — берётся последняя полоса выше элемента.</w:t>
      </w:r>
    </w:p>
    <w:p>
      <w:pPr>
        <w:spacing w:before="40"/>
      </w:pPr>
      <w:r>
        <w:rPr>
          <w:b/>
          <w:i w:val="0"/>
          <w:color w:val="1E7D4D"/>
          <w:sz w:val="20"/>
        </w:rPr>
        <w:t>Раньше координата стояла первой, и в макетах с совпадающими верхними позициями элементы уезжали в чужие полосы. Теперь объявленный тип имеет приоритет.</w:t>
      </w:r>
    </w:p>
    <w:p>
      <w:pPr>
        <w:pStyle w:val="Heading2"/>
      </w:pPr>
      <w:r>
        <w:t>Шаг 4. Построение карты «полоса → элементы»</w:t>
      </w:r>
    </w:p>
    <w:p>
      <w:pPr>
        <w:pStyle w:val="ListBullet"/>
      </w:pPr>
      <w:r>
        <w:t>Каждый элемент относится ровно к одной полосе.</w:t>
      </w:r>
    </w:p>
    <w:p>
      <w:pPr>
        <w:pStyle w:val="ListBullet"/>
      </w:pPr>
      <w:r>
        <w:t>Полосы без элементов исключаются из вывода.</w:t>
      </w:r>
    </w:p>
    <w:p>
      <w:pPr>
        <w:pStyle w:val="ListBullet"/>
      </w:pPr>
      <w:r>
        <w:t>Внутри полосы элементы сортируются по вертикали, затем по горизонтали, затем по порядку.</w:t>
      </w:r>
    </w:p>
    <w:p>
      <w:pPr>
        <w:pStyle w:val="Heading2"/>
      </w:pPr>
      <w:r>
        <w:t>Шаг 5. Выбор способа упаковки</w:t>
      </w:r>
    </w:p>
    <w:p>
      <w:r>
        <w:t>Способ выбирается по типу отчёта и данным: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100"/>
            <w:shd w:val="clear" w:fill="EAF4FB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Способ</w:t>
            </w:r>
          </w:p>
        </w:tc>
        <w:tc>
          <w:tcPr>
            <w:tcW w:type="dxa" w:w="2700"/>
            <w:shd w:val="clear" w:fill="EAF4FB"/>
          </w:tcPr>
          <w:p>
            <w:r/>
            <w:r>
              <w:rPr>
                <w:b/>
                <w:sz w:val="18"/>
              </w:rPr>
              <w:t>Кто попадает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Отчёт — акт сверки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BuildPackedReconciliationFrxTemplate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19 вариантов акта сверки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Табличный отчёт известного вида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BuildPackedTabularFrxTemplate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Кассовая книга, реестр приходов и расходов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Все остальные FRX-отчёты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BuildPackedStaticFrxTemplate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Оборотные ведомости, основные средства, счёт-фактура, платёжка</w:t>
            </w:r>
          </w:p>
        </w:tc>
      </w:tr>
    </w:tbl>
    <w:p/>
    <w:p>
      <w:pPr>
        <w:pStyle w:val="Heading2"/>
      </w:pPr>
      <w:r>
        <w:t>Шаг 6. Вывод полос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Способ</w:t>
            </w:r>
          </w:p>
        </w:tc>
        <w:tc>
          <w:tcPr>
            <w:tcW w:type="dxa" w:w="7000"/>
            <w:shd w:val="clear" w:fill="EAF4FB"/>
          </w:tcPr>
          <w:p>
            <w:r/>
            <w:r>
              <w:rPr>
                <w:b/>
                <w:sz w:val="18"/>
              </w:rPr>
              <w:t>Правило вывода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Акт сверки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Шапка и шапка таблицы — один раз; обрамление начала блока — один раз; строка операций — на каждую проводку; обрамление конца и подписи — в конце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Табличный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Полоса данных повторяется на каждую строку; остальные полосы — по одной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Обычный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Каждая полоса выводится один раз, в порядке объявления</w:t>
            </w:r>
          </w:p>
        </w:tc>
      </w:tr>
    </w:tbl>
    <w:p/>
    <w:p>
      <w:pPr>
        <w:pStyle w:val="Heading2"/>
      </w:pPr>
      <w:r>
        <w:t>Шаг 7. Разбиение на страницы</w:t>
      </w:r>
    </w:p>
    <w:p>
      <w:pPr>
        <w:pStyle w:val="ListBullet"/>
      </w:pPr>
      <w:r>
        <w:t>Высота листа вычисляется из пропорций самого макета, а не берётся как 2970 единиц A4.</w:t>
      </w:r>
    </w:p>
    <w:p>
      <w:pPr>
        <w:pStyle w:val="ListBullet"/>
      </w:pPr>
      <w:r>
        <w:t>Если содержимое помещается на лист — вывод идёт непрерывным полотном.</w:t>
      </w:r>
    </w:p>
    <w:p>
      <w:pPr>
        <w:pStyle w:val="ListBullet"/>
      </w:pPr>
      <w:r>
        <w:t>Если длиннее — режется на страницы, элементы на границе обрезаются по краю листа.</w:t>
      </w:r>
    </w:p>
    <w:p>
      <w:pPr>
        <w:pStyle w:val="Heading1"/>
      </w:pPr>
      <w:r>
        <w:t>4. Какие правила общие, а какие частные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Область действия</w:t>
            </w:r>
          </w:p>
        </w:tc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Затронуто макетов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Поиск полосы по BandType с откатом на координату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Все FRX-отчёты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Пропуск полос без элементов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Все FRX-отчёты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Размер листа из пропорций макета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Все FRX-отчёты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Пропуск пустых значений при подстановке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Все FRX-отчёты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Сопоставление русских имён колонок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Все отчёты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все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Разделение строк и обрамления в полосе данных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Только акт сверки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Сбор обрамления один раз, строки подряд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Только акт сверки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Отдельный вывод полос итогов в конце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Только акт сверки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19</w:t>
            </w:r>
          </w:p>
        </w:tc>
      </w:tr>
    </w:tbl>
    <w:p/>
    <w:p>
      <w:pPr>
        <w:spacing w:before="40"/>
      </w:pPr>
      <w:r>
        <w:rPr>
          <w:b/>
          <w:i w:val="0"/>
          <w:color w:val="1E7D4D"/>
          <w:sz w:val="20"/>
        </w:rPr>
        <w:t>Итог: общие правила улучшают все 37 макетов, частные касаются только актов сверки. Оборотные ведомости и остальные отчёты идут по способу «обычный вывод».</w:t>
      </w:r>
    </w:p>
    <w:p>
      <w:pPr>
        <w:pStyle w:val="Heading1"/>
      </w:pPr>
      <w:r>
        <w:t>5. Что стоит проверить в других отчётах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100"/>
            <w:shd w:val="clear" w:fill="EAF4FB"/>
          </w:tcPr>
          <w:p>
            <w:r/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Что проверить</w:t>
            </w:r>
          </w:p>
        </w:tc>
        <w:tc>
          <w:tcPr>
            <w:tcW w:type="dxa" w:w="3300"/>
            <w:shd w:val="clear" w:fill="EAF4FB"/>
          </w:tcPr>
          <w:p>
            <w:r/>
            <w:r>
              <w:rPr>
                <w:b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Оборотные ведомости (4 варианта)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Порядок полос и повтор строк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Матрица похожа на акт: возможны GroupHeader и GroupFooter без элементов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Кассовая книга, реестр приходов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Полоса данных повторяется построчно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Идут по табличному способу, он не менялся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Основные средства (8 макетов)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Единственная полоса на весь макет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Полосы объявлены без типа, работает запасной путь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Счёт-фактура, платёжное поручение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Печать одной формы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Одиночные документы, повтор строк не нужен</w:t>
            </w:r>
          </w:p>
        </w:tc>
      </w:tr>
    </w:tbl>
    <w:p/>
    <w:p>
      <w:pPr>
        <w:pStyle w:val="Heading2"/>
      </w:pPr>
      <w:r>
        <w:t>Ограничения текущей реализации</w:t>
      </w:r>
    </w:p>
    <w:p>
      <w:pPr>
        <w:pStyle w:val="ListBullet"/>
      </w:pPr>
      <w:r>
        <w:t>Группировка по нескольким уровням не реализована: полосы GroupHeader и GroupFooter повторяются не по числу групп, а один раз.</w:t>
      </w:r>
    </w:p>
    <w:p>
      <w:pPr>
        <w:pStyle w:val="ListBullet"/>
      </w:pPr>
      <w:r>
        <w:t>Составные выражения макета не вычисляются: работает только ссылка на одно поле. Например sha + ' ' + SHA3 вернёт текст выражения.</w:t>
      </w:r>
    </w:p>
    <w:p>
      <w:pPr>
        <w:pStyle w:val="ListBullet"/>
      </w:pPr>
      <w:r>
        <w:t>Если у элемента не задан BandType, работает поиск по координате — он ненадёжен в макетах с совпадающими верхними позициями полос.</w:t>
      </w:r>
    </w:p>
    <w:p>
      <w:pPr>
        <w:pStyle w:val="Heading1"/>
      </w:pPr>
      <w:r>
        <w:t>Резюме</w:t>
      </w:r>
    </w:p>
    <w:p>
      <w:r>
        <w:t>Макет FRX хранит полосы дважды: список объявленных полос и тип полосы у каждого элемента. Списки не совпадают: объявлено восемь типов, а у элементов встречаются только четыре. Полосы GroupHeader, GroupFooter и PageFooter не содержат элементов ни в одном из 37 макетов, поэтому в вывод не попадают — всё их содержимое лежит в полосе Detail.</w:t>
      </w:r>
    </w:p>
    <w:p>
      <w:r>
        <w:t>Общими для всех FRX-отчётов стали четыре правила: поиск полосы по объявленному типу с откатом на координату, пропуск пустых полос, вычисление размера листа из пропорций макета и отказ от публикации пустых значений. Эти правила улучшают все 37 макетов. Разделение строк и обрамления внутри полосы данных и сбор обрамления один раз — правила, относящиеся только к акту сверки: в остальных отчётах полоса данных действительно содержит одну строку.</w:t>
      </w:r>
    </w:p>
    <w:p>
      <w:r>
        <w:t>Практический вывод: остальные FRX-отчёты должны продолжать работать, включая оборотные ведомости. Но их стоит проверить отдельно: в ведомостях полоса данных может, как и в акте, содержать целый блок, и тогда потребуется применить такой же подход.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