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Jonny Hughes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Automata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3/27/20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H#14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(1-3) Show that each language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not</w:t>
      </w:r>
      <w:r w:rsidDel="00000000" w:rsidR="00000000" w:rsidRPr="00000000">
        <w:rPr>
          <w:sz w:val="24"/>
          <w:szCs w:val="24"/>
          <w:rtl w:val="0"/>
        </w:rPr>
        <w:t xml:space="preserve"> context-free. To show that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context-free, provide a CFG or PDA; to show that it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context-free, utilize the pumping lemma.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L1 = { xy ∊ {0,1}* | #0(x)+1 = #1(y) </w:t>
      </w:r>
      <w:r w:rsidDel="00000000" w:rsidR="00000000" w:rsidRPr="00000000">
        <w:rPr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|x| = |y|}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that pumping lemma are required to at most pump 2 strings in parallel, and this grammar by nature of its relationship between 4 counts of 0(x), 1(y), abs(x) and abs(y), would require there to be NO pumping lemma which will succeed for this grammar, Hence, this is not a Context-free language.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L2 = {0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1b2c | 0 ≤ a ≤ b ≤ a+c }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 → AC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→ 0AB |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 → 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 → C2 | BC2 |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L3 = {0a1b2c | 0 ≤ a ≤ b ≤ a+a }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context-free language, as it has this CFG.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 → AC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→ 0AB |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 → 1 | 11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 → 2C |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