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34610" cy="2675255"/>
            <wp:effectExtent l="0" t="0" r="1270" b="698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人员背景：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345430" cy="2542540"/>
            <wp:effectExtent l="0" t="0" r="381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1807210" cy="2075815"/>
            <wp:effectExtent l="0" t="0" r="635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2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1055" cy="1859915"/>
            <wp:effectExtent l="0" t="0" r="698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r="689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jc w:val="center"/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产品情况：</w:t>
      </w:r>
    </w:p>
    <w:p>
      <w:pPr>
        <w:jc w:val="both"/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产品1：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2670810"/>
            <wp:effectExtent l="0" t="0" r="381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7574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b/>
          <w:bCs/>
          <w:color w:val="auto"/>
          <w:lang w:val="en-US" w:eastAsia="zh-CN"/>
        </w:rPr>
        <w:t>产品2：</w:t>
      </w:r>
    </w:p>
    <w:p>
      <w:pPr>
        <w:rPr>
          <w:rFonts w:hint="eastAsia"/>
          <w:b/>
          <w:bCs/>
          <w:color w:val="0000FF"/>
          <w:lang w:val="en-US" w:eastAsia="zh-CN"/>
        </w:rPr>
      </w:pPr>
    </w:p>
    <w:p>
      <w:pPr>
        <w:rPr>
          <w:rFonts w:hint="default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5228590" cy="2553970"/>
            <wp:effectExtent l="0" t="0" r="1397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/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策略层面：</w:t>
      </w:r>
      <w:r>
        <w:drawing>
          <wp:inline distT="0" distB="0" distL="114300" distR="114300">
            <wp:extent cx="5268595" cy="2598420"/>
            <wp:effectExtent l="0" t="0" r="444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类CPPI策略</w:t>
      </w:r>
      <w:r>
        <w:rPr>
          <w:rFonts w:hint="eastAsia"/>
          <w:b w:val="0"/>
          <w:bCs w:val="0"/>
          <w:lang w:val="en-US" w:eastAsia="zh-CN"/>
        </w:rPr>
        <w:t>，用债券的票息去做增厚，整个的大头仓位在债券上（80%以上），通过购买无风险或低风险资产，在积累一定安全垫</w:t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>后逐渐增加风险资产的比例，加强组合的进攻性。目前固定收益类专户要求80%以上，混合类产品的债券和权益占比都不能超过80%。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策略层面上的话黄金和纯债、国债期货是多头为主</w:t>
      </w:r>
      <w:r>
        <w:rPr>
          <w:rFonts w:hint="eastAsia"/>
          <w:b w:val="0"/>
          <w:bCs w:val="0"/>
          <w:lang w:val="en-US" w:eastAsia="zh-CN"/>
        </w:rPr>
        <w:t>，策略中也会涉及到部分套利，但仅是股指期货，股指期货的套利还是以对冲为主，单边较少，主要是50和500股指，都是跨品种的套利，以短期为主。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整个格林的投资框架上还是以人为主观判断为主</w:t>
      </w:r>
      <w:r>
        <w:rPr>
          <w:rFonts w:hint="eastAsia"/>
          <w:b w:val="0"/>
          <w:bCs w:val="0"/>
          <w:lang w:val="en-US" w:eastAsia="zh-CN"/>
        </w:rPr>
        <w:t>，目前格林有一套宏观择时模型，通过叠加模型、数据、市场信息来进行人工投资，资产配置的占比也均是主观来做，仅仅是在股指上会涉及量化，债券方向都还是主观为主。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回撤上来看，近一年最大回撤为3.29%，</w:t>
      </w:r>
      <w:r>
        <w:rPr>
          <w:rFonts w:hint="eastAsia"/>
          <w:b w:val="0"/>
          <w:bCs w:val="0"/>
          <w:lang w:val="en-US" w:eastAsia="zh-CN"/>
        </w:rPr>
        <w:t>是出现在2023年年4季度的时候，下投的债券久期偏长，那一轮债市存在一定调整，因此造成了一些回撤。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另外去年增配了30年的利率债，鲲鹏1号中是通过使用国债期货来配置的该部分。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黄金这一块的话整体还是靠加减仓位来做。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</w:pPr>
      <w:r>
        <w:rPr>
          <w:rFonts w:hint="eastAsia"/>
          <w:b/>
          <w:bCs/>
          <w:color w:val="auto"/>
          <w:sz w:val="28"/>
          <w:szCs w:val="36"/>
          <w:highlight w:val="none"/>
          <w:lang w:val="en-US" w:eastAsia="zh-CN"/>
        </w:rPr>
        <w:t>风控上：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每一个产品在合规上有风险比率的控制，内部的话，因为产品运作时间已经比较久，产品多算作固定收益类产品，持仓上也由于基本上利率债和高等级的信用债，而且信用债占比也不高，因此</w:t>
      </w:r>
      <w:r>
        <w:rPr>
          <w:rFonts w:hint="eastAsia"/>
          <w:b/>
          <w:bCs/>
          <w:lang w:val="en-US" w:eastAsia="zh-CN"/>
        </w:rPr>
        <w:t>格林的风控体现在主观把握上，通过自设预警和止损线来进行风控</w:t>
      </w:r>
      <w:r>
        <w:rPr>
          <w:rFonts w:hint="eastAsia"/>
          <w:b w:val="0"/>
          <w:bCs w:val="0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多数产品的最大回撤均在2020年4月份，当时是疫情的初期</w:t>
      </w:r>
      <w:r>
        <w:rPr>
          <w:rFonts w:hint="eastAsia"/>
          <w:b w:val="0"/>
          <w:bCs w:val="0"/>
          <w:lang w:val="en-US" w:eastAsia="zh-CN"/>
        </w:rPr>
        <w:t>，货币政策硬性的调整，极速降息，导致资金宽松，资金空转，而其实这轮操作下宏观基本面并没有改善，导致对整个的生产影响是非常大的。格林当时维持了比较长的久期和高占比的持仓，导致了部分回撤，但当时1号和7号（为同策略）的投资人都没有赎回，对格林在操作稳定性都有帮助，这件事情之后格林在回撤控制上，都加大了精力的投入，以防再次发生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</w:p>
    <w:p>
      <w:p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部分核心点：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1）Q:是否与银行有合作？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A:有落地的案例，但均为新成立的产品，</w:t>
      </w:r>
      <w:r>
        <w:rPr>
          <w:rFonts w:hint="eastAsia"/>
          <w:b/>
          <w:bCs/>
          <w:lang w:val="en-US" w:eastAsia="zh-CN"/>
        </w:rPr>
        <w:t>平安银行理财子，渤海银行理财子和金市</w:t>
      </w:r>
      <w:r>
        <w:rPr>
          <w:rFonts w:hint="eastAsia"/>
          <w:b w:val="0"/>
          <w:bCs w:val="0"/>
          <w:lang w:val="en-US" w:eastAsia="zh-CN"/>
        </w:rPr>
        <w:t>（摊余成本法），公募和专户方式都有。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Q：费率怎么订？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A：根据策略选择，区间在千2-千6管理费，carry是在绝对收益5%以上的20%（为之前的标准，未来会有变化），不同投资人计提方式均一样。</w:t>
      </w:r>
    </w:p>
    <w:p>
      <w:p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77383F"/>
    <w:multiLevelType w:val="singleLevel"/>
    <w:tmpl w:val="0577383F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ZmYWM2ZTQ4MWNkZDM3N2ZkNGU3NmEwYWZkOWQ2YTQifQ=="/>
    <w:docVar w:name="KSO_WPS_MARK_KEY" w:val="20d81d4c-fc9a-4b36-8aa9-2e696b9840e2"/>
  </w:docVars>
  <w:rsids>
    <w:rsidRoot w:val="75F51A06"/>
    <w:rsid w:val="0B25339B"/>
    <w:rsid w:val="0B3B0B3E"/>
    <w:rsid w:val="0D954201"/>
    <w:rsid w:val="10DB57FB"/>
    <w:rsid w:val="14EB0D65"/>
    <w:rsid w:val="14F66A17"/>
    <w:rsid w:val="17227867"/>
    <w:rsid w:val="17606892"/>
    <w:rsid w:val="1BC46C05"/>
    <w:rsid w:val="201D0992"/>
    <w:rsid w:val="23D81BB2"/>
    <w:rsid w:val="251F1388"/>
    <w:rsid w:val="30634BD9"/>
    <w:rsid w:val="38B82EB4"/>
    <w:rsid w:val="3D7C11D3"/>
    <w:rsid w:val="413865D9"/>
    <w:rsid w:val="4234390B"/>
    <w:rsid w:val="44043A71"/>
    <w:rsid w:val="44A47F95"/>
    <w:rsid w:val="45B40464"/>
    <w:rsid w:val="4A302BF3"/>
    <w:rsid w:val="4E9C613C"/>
    <w:rsid w:val="519645A4"/>
    <w:rsid w:val="57B32B46"/>
    <w:rsid w:val="57D067F5"/>
    <w:rsid w:val="5B9A45E1"/>
    <w:rsid w:val="5DCE4C6E"/>
    <w:rsid w:val="6451222D"/>
    <w:rsid w:val="75F5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884</Words>
  <Characters>917</Characters>
  <Lines>0</Lines>
  <Paragraphs>0</Paragraphs>
  <TotalTime>3</TotalTime>
  <ScaleCrop>false</ScaleCrop>
  <LinksUpToDate>false</LinksUpToDate>
  <CharactersWithSpaces>917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2024-04-11T06:04:00Z</dcterms:created>
  <dc:creator>zhc12</dc:creator>
  <cp:lastModifiedBy>zhc12</cp:lastModifiedBy>
  <dcterms:modified xsi:type="dcterms:W3CDTF">2024-04-13T04:59:07Z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D4006D44711347ADA22EE8ADD776731A</vt:lpwstr>
  </property>
</Properties>
</file>