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lang w:val="en-US" w:eastAsia="zh-CN"/>
        </w:rPr>
        <w:t>2013年 5 月 - 2014 年 7 月在杭州宇迪投资管理有限公司担任投资经理。2014 年 8 月创建浙江量道投资管理有限公司。2018 年后由于量道团队重</w:t>
      </w:r>
      <w:r>
        <w:rPr>
          <w:rFonts w:hint="eastAsia"/>
          <w:lang w:val="en-US" w:eastAsia="zh-CN"/>
        </w:rPr>
        <w:t xml:space="preserve">组，转向自营，放弃资管赛道，遂后离开量道。2022 年 5 月重启资管业务，成立哈希私募。 </w:t>
      </w:r>
    </w:p>
    <w:p>
      <w:pPr>
        <w:rPr>
          <w:rFonts w:hint="eastAsia"/>
          <w:lang w:val="en-US" w:eastAsia="zh-CN"/>
        </w:rPr>
      </w:pPr>
    </w:p>
    <w:p>
      <w:pPr>
        <w:rPr>
          <w:rFonts w:hint="eastAsia"/>
          <w:lang w:val="en-US" w:eastAsia="zh-CN"/>
        </w:rPr>
      </w:pPr>
      <w:r>
        <w:rPr>
          <w:rFonts w:hint="eastAsia"/>
          <w:lang w:val="en-US" w:eastAsia="zh-CN"/>
        </w:rPr>
        <w:t>其中一亿为量化转债策略，5000 万为量化 CTA 策略</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-彭璐（基金经理）：中国地质大学地球物理硕士，2012-2018 任职中国石化石油物探技术研究院，2018-2021 年在某私募担任量化研究员，具体私募名称未透露。2021 年加入浙江量道投资管理有限公司，后加入哈希私募。 </w:t>
      </w:r>
    </w:p>
    <w:p>
      <w:pPr>
        <w:rPr>
          <w:rFonts w:hint="eastAsia"/>
          <w:lang w:val="en-US" w:eastAsia="zh-CN"/>
        </w:rPr>
      </w:pPr>
    </w:p>
    <w:p>
      <w:r>
        <w:rPr>
          <w:rFonts w:hint="eastAsia"/>
          <w:lang w:val="en-US" w:eastAsia="zh-CN"/>
        </w:rPr>
        <w:t>李俊英（基金经理）：浙江大学计算机硕士，2019 - 2021 年就职于阿里达摩院担任人工智能算法工程师，负责城市大脑项目与城市交通数据挖掘分析。2021 年-2022 年就职于浙江量道投资管理有限公司，负责量化 CTA 策略，后加入哈希担任基金经理。</w:t>
      </w:r>
    </w:p>
    <w:p/>
    <w:p>
      <w:pPr>
        <w:keepNext w:val="0"/>
        <w:keepLines w:val="0"/>
        <w:widowControl/>
        <w:suppressLineNumbers w:val="0"/>
        <w:jc w:val="left"/>
      </w:pPr>
    </w:p>
    <w:p>
      <w:pPr>
        <w:keepNext w:val="0"/>
        <w:keepLines w:val="0"/>
        <w:widowControl/>
        <w:suppressLineNumbers w:val="0"/>
        <w:jc w:val="left"/>
        <w:rPr>
          <w:rFonts w:hint="eastAsia"/>
          <w:lang w:val="en-US" w:eastAsia="zh-CN"/>
        </w:rPr>
      </w:pPr>
      <w:r>
        <w:rPr>
          <w:rFonts w:hint="eastAsia"/>
          <w:lang w:val="en-US" w:eastAsia="zh-CN"/>
        </w:rPr>
        <w:t>余晓锋早期是在做以系统和算法交易为主，从2011年在股指期货诞生好，从外企离职开始做股指期货日内高频方向。2014年时创办了量道资产，资金结构也较为单一，多为银行委外资金，2016年就拿到了3+3投顾资质，因此当时也快速进入了十几家银行的委外名单，前期表现一直不错。</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在2017年的时候，股票量化及CTA并不是特别好做，银行委外逐步推出，18年的时候便由资管转向自营，从18-21年一直专注于自营赛道，那知道22年的时候，由于自营规模有限，22年就重启了资管。</w:t>
      </w:r>
    </w:p>
    <w:p/>
    <w:p>
      <w:pPr>
        <w:rPr>
          <w:rFonts w:hint="eastAsia"/>
          <w:lang w:val="en-US" w:eastAsia="zh-CN"/>
        </w:rPr>
      </w:pPr>
    </w:p>
    <w:p>
      <w:pPr>
        <w:rPr>
          <w:rFonts w:hint="eastAsia"/>
          <w:lang w:val="en-US" w:eastAsia="zh-CN"/>
        </w:rPr>
      </w:pPr>
      <w:r>
        <w:rPr>
          <w:rFonts w:hint="eastAsia"/>
          <w:lang w:val="en-US" w:eastAsia="zh-CN"/>
        </w:rPr>
        <w:t>可转债量化：量化市场中股票量化是最主流的，但小的私募要想在股票量到股股票量化这个赛道里面冲出来。跟百亿以上的私募去PK，觉得机会不太大。所以在21年开始就专注于转债领域，目前有500多个转债标的。</w:t>
      </w:r>
    </w:p>
    <w:p>
      <w:pPr>
        <w:rPr>
          <w:rFonts w:hint="eastAsia"/>
          <w:lang w:val="en-US" w:eastAsia="zh-CN"/>
        </w:rPr>
      </w:pPr>
    </w:p>
    <w:p>
      <w:pPr>
        <w:rPr>
          <w:rFonts w:hint="eastAsia"/>
          <w:lang w:val="en-US" w:eastAsia="zh-CN"/>
        </w:rPr>
      </w:pPr>
      <w:r>
        <w:rPr>
          <w:rFonts w:hint="eastAsia"/>
          <w:lang w:val="en-US" w:eastAsia="zh-CN"/>
        </w:rPr>
        <w:t>那其实转债市场上能够发可转债的上市公司基本上也是在中小盘的股票里面都算是基本面各方面比较好的上市公司。才可以发可转债，相当于是证监会本身已经帮助审了一道了。</w:t>
      </w:r>
    </w:p>
    <w:p>
      <w:pPr>
        <w:rPr>
          <w:rFonts w:hint="eastAsia"/>
          <w:lang w:val="en-US" w:eastAsia="zh-CN"/>
        </w:rPr>
      </w:pPr>
      <w:r>
        <w:rPr>
          <w:rFonts w:hint="eastAsia"/>
          <w:lang w:val="en-US" w:eastAsia="zh-CN"/>
        </w:rPr>
        <w:t>我们有一个数据，大概统计了一下，全市场能够符合发转债资质的也就30%。所以说转债它的一个上市公司的质地还是比较好。</w:t>
      </w:r>
    </w:p>
    <w:p>
      <w:pPr>
        <w:rPr>
          <w:rFonts w:hint="eastAsia"/>
          <w:lang w:val="en-US" w:eastAsia="zh-CN"/>
        </w:rPr>
      </w:pPr>
    </w:p>
    <w:p>
      <w:pPr>
        <w:rPr>
          <w:rFonts w:hint="default"/>
          <w:lang w:val="en-US" w:eastAsia="zh-CN"/>
        </w:rPr>
      </w:pPr>
      <w:r>
        <w:rPr>
          <w:rFonts w:hint="eastAsia"/>
          <w:lang w:val="en-US" w:eastAsia="zh-CN"/>
        </w:rPr>
        <w:t>同样我们以指数的对比，这里有一个比较明显的指数的一个对比那。把转债指数跟几个股票指数去做对比，过去每一年可以看到2020年其实是一个股票大年。那其实从21年开始，尤其是22年23年股票的小年，其实这两年转债指数也是跑赢中小盘指数的。所以这个数据还是一定程度上还是验证我们最开始早期选择这个方向的一个基本逻辑</w:t>
      </w:r>
    </w:p>
    <w:p>
      <w:pPr>
        <w:rPr>
          <w:rFonts w:hint="default"/>
          <w:lang w:val="en-US" w:eastAsia="zh-CN"/>
        </w:rPr>
      </w:pPr>
    </w:p>
    <w:p>
      <w:pPr>
        <w:rPr>
          <w:rFonts w:hint="default"/>
          <w:lang w:val="en-US" w:eastAsia="zh-CN"/>
        </w:rPr>
      </w:pPr>
      <w:r>
        <w:rPr>
          <w:rFonts w:hint="default"/>
          <w:lang w:val="en-US" w:eastAsia="zh-CN"/>
        </w:rPr>
        <w:t>可转债指增策略，代表产品可转债指数增强 1 号，管理人首先会建立黑名单机制，选出正股 ST 的转债，以及评级较差的20-30只转债进行剔除，避免退市和信用风险。第二步，管理人会使用多因子模型，对转债进行排序打分，等权持有一篮子转债，约150-160 只，</w:t>
      </w:r>
      <w:r>
        <w:rPr>
          <w:rFonts w:hint="eastAsia"/>
          <w:lang w:val="en-US" w:eastAsia="zh-CN"/>
        </w:rPr>
        <w:t>单标的不超1.5%，</w:t>
      </w:r>
      <w:r>
        <w:rPr>
          <w:rFonts w:hint="default"/>
          <w:lang w:val="en-US" w:eastAsia="zh-CN"/>
        </w:rPr>
        <w:t>不控制转债对应正股的行业。因子大约分为四类：转债定价因子，转债量价因子，正股基本面因子，正股量价因子。因子总数大约有300个，所有因子均为等权处理；因子收益贡献相对来说比较动态，但近两年定价因子对绝对收益的贡献相对来说高一些。在等权持有转债后，会在日内根据分钟级的信号做日内T0进行收益增厚。</w:t>
      </w:r>
    </w:p>
    <w:p>
      <w:pPr>
        <w:rPr>
          <w:rFonts w:hint="default"/>
          <w:lang w:val="en-US" w:eastAsia="zh-CN"/>
        </w:rPr>
      </w:pPr>
    </w:p>
    <w:p>
      <w:pPr>
        <w:rPr>
          <w:rFonts w:hint="default"/>
          <w:color w:val="000000" w:themeColor="text1"/>
          <w:highlight w:val="yellow"/>
          <w:lang w:val="en-US" w:eastAsia="zh-CN"/>
          <w14:textFill>
            <w14:solidFill>
              <w14:schemeClr w14:val="tx1"/>
            </w14:solidFill>
          </w14:textFill>
        </w:rPr>
      </w:pPr>
      <w:r>
        <w:rPr>
          <w:rFonts w:hint="default"/>
          <w:color w:val="000000" w:themeColor="text1"/>
          <w:highlight w:val="yellow"/>
          <w:lang w:val="en-US" w:eastAsia="zh-CN"/>
          <w14:textFill>
            <w14:solidFill>
              <w14:schemeClr w14:val="tx1"/>
            </w14:solidFill>
          </w14:textFill>
        </w:rPr>
        <w:t>T0 模型约有 8 个量价类因子，触发信号开仓，使用讯投 qmt 系统进行交易。 因子更新与迭代上，会每周对因子表现进行复盘，由于因子数量已经够多，因此较少添加新因子进入因子库，新因子入库主要参考相关性，夏普和因子 IC 值。另一方面，复盘主要是去找那些产生了较大回撤的因子，并予以剔除。 对于转债对冲策略，</w:t>
      </w:r>
    </w:p>
    <w:p>
      <w:pPr>
        <w:rPr>
          <w:rFonts w:hint="default"/>
          <w:lang w:val="en-US" w:eastAsia="zh-CN"/>
        </w:rPr>
      </w:pPr>
    </w:p>
    <w:p>
      <w:pPr>
        <w:rPr>
          <w:rFonts w:hint="default"/>
          <w:lang w:val="en-US" w:eastAsia="zh-CN"/>
        </w:rPr>
      </w:pPr>
      <w:r>
        <w:rPr>
          <w:rFonts w:hint="default"/>
          <w:lang w:val="en-US" w:eastAsia="zh-CN"/>
        </w:rPr>
        <w:t>转债策略单日换手 25%，</w:t>
      </w:r>
      <w:r>
        <w:rPr>
          <w:rFonts w:hint="default"/>
          <w:b/>
          <w:bCs/>
          <w:lang w:val="en-US" w:eastAsia="zh-CN"/>
        </w:rPr>
        <w:t>其中多因子贡献 10%，T0 贡献 15%；</w:t>
      </w: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对冲产品：</w:t>
      </w:r>
      <w:r>
        <w:rPr>
          <w:rFonts w:hint="default"/>
          <w:lang w:val="en-US" w:eastAsia="zh-CN"/>
        </w:rPr>
        <w:t xml:space="preserve">可转债量化对冲 1 号，多头端与转债指增策略为同一套模型，对冲端为 IM/IC，不同产品使用不同股指进行对冲：可转债量化对冲1号A类使用 IC 对冲，可转债量化对冲1号D类使用 IM 对冲。多头端会保留 30% </w:t>
      </w:r>
      <w:r>
        <w:rPr>
          <w:rFonts w:hint="eastAsia"/>
          <w:lang w:val="en-US" w:eastAsia="zh-CN"/>
        </w:rPr>
        <w:t>-40%</w:t>
      </w:r>
      <w:bookmarkStart w:id="0" w:name="_GoBack"/>
      <w:bookmarkEnd w:id="0"/>
      <w:r>
        <w:rPr>
          <w:rFonts w:hint="default"/>
          <w:lang w:val="en-US" w:eastAsia="zh-CN"/>
        </w:rPr>
        <w:t>的风险敞口</w:t>
      </w:r>
      <w:r>
        <w:rPr>
          <w:rFonts w:hint="eastAsia"/>
          <w:lang w:val="en-US" w:eastAsia="zh-CN"/>
        </w:rPr>
        <w:t>，因为转债的波动率总体比股指期货要小，所以会根据波动率去做动态调整</w:t>
      </w:r>
      <w:r>
        <w:rPr>
          <w:rFonts w:hint="default"/>
          <w:lang w:val="en-US" w:eastAsia="zh-CN"/>
        </w:rPr>
        <w:t>。</w:t>
      </w:r>
    </w:p>
    <w:p>
      <w:pPr>
        <w:rPr>
          <w:rFonts w:hint="default"/>
          <w:lang w:val="en-US" w:eastAsia="zh-CN"/>
        </w:rPr>
      </w:pPr>
    </w:p>
    <w:p>
      <w:pPr>
        <w:rPr>
          <w:rFonts w:hint="eastAsia"/>
          <w:lang w:val="en-US" w:eastAsia="zh-CN"/>
        </w:rPr>
      </w:pPr>
    </w:p>
    <w:p>
      <w:pPr>
        <w:rPr>
          <w:rFonts w:hint="default"/>
          <w:lang w:val="en-US" w:eastAsia="zh-CN"/>
        </w:rPr>
      </w:pPr>
      <w:r>
        <w:rPr>
          <w:rFonts w:hint="eastAsia"/>
          <w:lang w:val="en-US" w:eastAsia="zh-CN"/>
        </w:rPr>
        <w:t>量化CTA策略：</w:t>
      </w:r>
    </w:p>
    <w:p>
      <w:pPr>
        <w:rPr>
          <w:rFonts w:hint="default"/>
          <w:lang w:val="en-US" w:eastAsia="zh-CN"/>
        </w:rPr>
      </w:pPr>
      <w:r>
        <w:rPr>
          <w:rFonts w:hint="default"/>
          <w:lang w:val="en-US" w:eastAsia="zh-CN"/>
        </w:rPr>
        <w:t>量化 CTA 策略，代表产品哈希短周期策略专享，为2 倍杠杆股指日内策略，IM，IC，IH，</w:t>
      </w:r>
    </w:p>
    <w:p>
      <w:pPr>
        <w:rPr>
          <w:rFonts w:hint="default"/>
          <w:lang w:val="en-US" w:eastAsia="zh-CN"/>
        </w:rPr>
      </w:pPr>
      <w:r>
        <w:rPr>
          <w:rFonts w:hint="default"/>
          <w:lang w:val="en-US" w:eastAsia="zh-CN"/>
        </w:rPr>
        <w:t>IF四个品种都做，但目前是以 IM 为主。使用的 8 个因子全部为量价类因子，投研流程上复制转债的 T0 模型和开发流程，但会针对股指做一定的调整，持仓周期大约 1-2 小时。该策略目前还在完善，改进阶段，目前规模不到 500 万。</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ZmYWM2ZTQ4MWNkZDM3N2ZkNGU3NmEwYWZkOWQ2YTQifQ=="/>
    <w:docVar w:name="KSO_WPS_MARK_KEY" w:val="615fa4ba-b8a4-4ebb-82e4-f5f9df761beb"/>
  </w:docVars>
  <w:rsids>
    <w:rsidRoot w:val="00000000"/>
    <w:rsid w:val="00542A63"/>
    <w:rsid w:val="1FFF6E72"/>
    <w:rsid w:val="248A5117"/>
    <w:rsid w:val="29F574D6"/>
    <w:rsid w:val="2B2A4A32"/>
    <w:rsid w:val="34EE5D3B"/>
    <w:rsid w:val="43501033"/>
    <w:rsid w:val="44C47D79"/>
    <w:rsid w:val="47DC5987"/>
    <w:rsid w:val="547C4C67"/>
    <w:rsid w:val="55A8234F"/>
    <w:rsid w:val="5D1B6954"/>
    <w:rsid w:val="5FCE7A8D"/>
    <w:rsid w:val="669E4E79"/>
    <w:rsid w:val="69AF1DBC"/>
    <w:rsid w:val="6D824A06"/>
    <w:rsid w:val="71C619B2"/>
    <w:rsid w:val="74FD02DE"/>
    <w:rsid w:val="7C20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1589</Words>
  <Characters>1728</Characters>
  <Lines>0</Lines>
  <Paragraphs>0</Paragraphs>
  <TotalTime>24</TotalTime>
  <ScaleCrop>false</ScaleCrop>
  <LinksUpToDate>false</LinksUpToDate>
  <CharactersWithSpaces>1797</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2024-04-16T01:23:00Z</dcterms:created>
  <dc:creator>zhc12</dc:creator>
  <cp:lastModifiedBy>John</cp:lastModifiedBy>
  <dcterms:modified xsi:type="dcterms:W3CDTF">2024-04-16T10:42:20Z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7E8A8BF56F854E659906401B8D549D3E</vt:lpwstr>
  </property>
</Properties>
</file>