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东财期货，信托客户为主（中信信托为主）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19年就开始合作了。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南华期货合作过，中性期货合作（偏通道，做投顾）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国君期货的mom形式 or 通过信托做结构化（银行理财子的钱）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跟国君期货去做采购的形式，管理人我推荐（定量及定性），对方采购管理人的研究报告，通过采购管理系统做MOM。（软件服务及研究服务费）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看AUM确定服务价格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采购系统年费 25W 5个账号 年费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公募：聚源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私募：朝阳永续（14W）私有数据会显示未灰色的，一样能做数据分析。单独一家资管人，各类策略的产品至少会有一个。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自己也有数据团队，会去除重复数据。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宏观和中观外，就是基金评价：定量+定性，基于净值穿透和风险管理，净值剥离后呈现出6个净值打分。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资产配置能力 风格配置能力 行业配置能力 选股能力 超额收益质量 场景应对能力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滚动三个月去做评价，对池子内的产品综合能力评分，在做排位及归因。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能力评分，资产配置比例仓位情况是根据净值去做的回归（准确率80%）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风险配置能力：自研的6大分风格和行业。可以看到风格收紧。行业是：周期上 中 下，金融、消费、TMT。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场景适应性分析：场景更具体，比如波动率，大小盘的场景、基差。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投后管理：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投顾客户用的比较多，截面的分赛道持仓，做了预警、净值波动、风格。包括组合表现、资产配置、风险配置、持仓分析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私人银行需求：因此在开发诊断功能（客户买了很多公募、私募）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投顾客户是全开放，系统客户全开放，只是投后没有产品。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半委模式 多为个人没有机构。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大型信托对资金管理要求极高，整体还是以投顾为主。小信托，则是给到投资建议，执行。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产品成立门槛5000w，无论什么形式。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不会看池子，除非有投顾协议。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报告形式：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宏观报告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投前子基金分析报告（系统出的标准化报告）对单一基金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策略收益周报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公司目前共有14位研究员。投资经理+总经理 共5位 每双周投研会。包括像21年之前，董总认为一些重点的指标监控，20年做了抱团股指标，当时在高位建议减仓。23年小票也减了一波。投资经理按策略方向，虽然是全策略覆盖，但单一策略均有基金经理负责。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系统层面主要还是和信托合作，工行和光行私行在白嫖。国信、光大证券机构部直接用报告。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公募23年合作，转融通做多空收益，但今年开始做不来了，未来考虑做ETF轮动合作。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公司目前仅有FOF，也有孵化私募的项目。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规模上5.5-6.5亿。大部分来源于信托和直销。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咱们这边3位销售同事。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34F4F"/>
    <w:multiLevelType w:val="singleLevel"/>
    <w:tmpl w:val="C7534F4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mYWM2ZTQ4MWNkZDM3N2ZkNGU3NmEwYWZkOWQ2YTQifQ=="/>
    <w:docVar w:name="KSO_WPS_MARK_KEY" w:val="90415ee6-83ec-4992-8d1b-d2bbbaa3ac0e"/>
  </w:docVars>
  <w:rsids>
    <w:rsidRoot w:val="00000000"/>
    <w:rsid w:val="1C9A01D3"/>
    <w:rsid w:val="1FED5933"/>
    <w:rsid w:val="2E5B5179"/>
    <w:rsid w:val="38CC12D3"/>
    <w:rsid w:val="534960D7"/>
    <w:rsid w:val="53DE32A7"/>
    <w:rsid w:val="57832A94"/>
    <w:rsid w:val="5ECB4D35"/>
    <w:rsid w:val="624A3CBD"/>
    <w:rsid w:val="6E5B02B4"/>
    <w:rsid w:val="70B14DA6"/>
    <w:rsid w:val="719565C3"/>
    <w:rsid w:val="733817AF"/>
    <w:rsid w:val="7D3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927</Words>
  <Characters>962</Characters>
  <Lines>0</Lines>
  <Paragraphs>0</Paragraphs>
  <TotalTime>47</TotalTime>
  <ScaleCrop>false</ScaleCrop>
  <LinksUpToDate>false</LinksUpToDate>
  <CharactersWithSpaces>977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2024-04-15T07:31:45Z</dcterms:created>
  <dc:creator>zhc12</dc:creator>
  <cp:lastModifiedBy>John</cp:lastModifiedBy>
  <dcterms:modified xsi:type="dcterms:W3CDTF">2024-04-15T08:19:39Z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2AC0AB16075C4A328E7DCAF74B3D8492</vt:lpwstr>
  </property>
</Properties>
</file>