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3"/>
        <w:gridCol w:w="7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bookmarkStart w:id="2" w:name="_GoBack"/>
            <w:bookmarkEnd w:id="2"/>
            <w:r>
              <w:rPr>
                <w:rFonts w:hint="eastAsia"/>
              </w:rPr>
              <w:t>时间</w:t>
            </w:r>
          </w:p>
        </w:tc>
        <w:tc>
          <w:tcPr>
            <w:tcW w:w="6096" w:type="dxa"/>
          </w:tcPr>
          <w:p>
            <w:r>
              <w:rPr>
                <w:rFonts w:hint="eastAsia"/>
              </w:rPr>
              <w:t>2024.03.22 17:00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管理人全称</w:t>
            </w:r>
          </w:p>
        </w:tc>
        <w:tc>
          <w:tcPr>
            <w:tcW w:w="6096" w:type="dxa"/>
          </w:tcPr>
          <w:p>
            <w:r>
              <w:rPr>
                <w:rFonts w:hint="eastAsia" w:ascii="仿宋" w:hAnsi="仿宋"/>
              </w:rPr>
              <w:t>上海磐松私募基金管理有限公司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代表策略(可多个</w:t>
            </w:r>
            <w:r>
              <w:t>)</w:t>
            </w:r>
          </w:p>
        </w:tc>
        <w:tc>
          <w:tcPr>
            <w:tcW w:w="6096" w:type="dxa"/>
          </w:tcPr>
          <w:p>
            <w:r>
              <w:rPr>
                <w:rFonts w:hint="eastAsia"/>
              </w:rPr>
              <w:t>指数增强、多空对冲、市场中性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主讲人及职位</w:t>
            </w:r>
          </w:p>
        </w:tc>
        <w:tc>
          <w:tcPr>
            <w:tcW w:w="6096" w:type="dxa"/>
          </w:tcPr>
          <w:p>
            <w:r>
              <w:rPr>
                <w:rFonts w:hint="eastAsia"/>
              </w:rPr>
              <w:t>李新宇 市场总监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管理人简介</w:t>
            </w:r>
          </w:p>
        </w:tc>
        <w:tc>
          <w:tcPr>
            <w:tcW w:w="6096" w:type="dxa"/>
          </w:tcPr>
          <w:p>
            <w:pPr>
              <w:ind w:firstLine="420" w:firstLineChars="200"/>
              <w:rPr>
                <w:rFonts w:cstheme="minorHAnsi"/>
              </w:rPr>
            </w:pPr>
            <w:r>
              <w:rPr>
                <w:rFonts w:hint="eastAsia" w:cstheme="minorHAnsi"/>
              </w:rPr>
              <w:t>上海磐松私募基金管理有限公司成立于</w:t>
            </w:r>
            <w:r>
              <w:rPr>
                <w:rFonts w:cstheme="minorHAnsi"/>
              </w:rPr>
              <w:t>2022年，专注于权益类资产的主动管理。凭借着可持续的优秀业绩，我们为全球的机构客户提供主动资产管理服务和解决方案。公司由员工100%持股，稳定的团队让我们更注重客户的长期利益，更有效地落实受托责任。 虽然我们认为长期战胜市场是非常困难的，但是我们相信，如果一套完整的投资过程有效结合了富有洞见的投资逻辑和科学严谨的实证研究，就能创造出更优秀的收益风险比。市场是在不断变化的，再成功的投资模型也会随着竞争加剧、信息扩散逐渐失效。为了保证业绩的可持续性和维持投资过程的竞争优势，我</w:t>
            </w:r>
            <w:r>
              <w:rPr>
                <w:rFonts w:hint="eastAsia" w:cstheme="minorHAnsi"/>
              </w:rPr>
              <w:t>们不断地在人员、数据、基础设施等方面再投资，持续地研究创新。</w:t>
            </w:r>
          </w:p>
          <w:p>
            <w:pPr>
              <w:ind w:firstLine="420" w:firstLineChars="200"/>
              <w:rPr>
                <w:rFonts w:cstheme="minorHAnsi"/>
              </w:rPr>
            </w:pPr>
            <w:r>
              <w:rPr>
                <w:rFonts w:hint="eastAsia" w:cstheme="minorHAnsi"/>
              </w:rPr>
              <w:t>我们只有一个投研团队，团队成员来自于不同背景，高度分工却又紧密合作；我们只有一套预测模型，对所有可投资的标的资产及时更新逻辑一致的预测；我们只有一种投资过程，灵活的投资组合优化器同时为客户提供不同类型的权益产品，并可以通过专户定制来满足机构客户的特定需求。</w:t>
            </w:r>
          </w:p>
          <w:p>
            <w:r>
              <w:rPr>
                <w:rFonts w:hint="eastAsia" w:cstheme="minorHAnsi"/>
              </w:rPr>
              <w:t>基金业协会备案时间：</w:t>
            </w:r>
            <w:r>
              <w:rPr>
                <w:rFonts w:cstheme="minorHAnsi"/>
              </w:rPr>
              <w:t>20</w:t>
            </w:r>
            <w:r>
              <w:rPr>
                <w:rFonts w:hint="eastAsia" w:cstheme="minorHAnsi"/>
              </w:rPr>
              <w:t>23</w:t>
            </w:r>
            <w:r>
              <w:rPr>
                <w:rFonts w:cstheme="minorHAnsi"/>
              </w:rPr>
              <w:t>年</w:t>
            </w:r>
            <w:r>
              <w:rPr>
                <w:rFonts w:hint="eastAsia" w:cstheme="minorHAnsi"/>
              </w:rPr>
              <w:t>12</w:t>
            </w:r>
            <w:r>
              <w:rPr>
                <w:rFonts w:cstheme="minorHAnsi"/>
              </w:rPr>
              <w:t>月</w:t>
            </w:r>
            <w:r>
              <w:rPr>
                <w:rFonts w:hint="eastAsia" w:cstheme="minorHAnsi"/>
              </w:rPr>
              <w:t>9</w:t>
            </w:r>
            <w:r>
              <w:rPr>
                <w:rFonts w:cstheme="minorHAnsi"/>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代表性产品业绩</w:t>
            </w:r>
          </w:p>
        </w:tc>
        <w:tc>
          <w:tcPr>
            <w:tcW w:w="6096" w:type="dxa"/>
          </w:tcPr>
          <w:p>
            <w:r>
              <w:rPr>
                <w:rFonts w:hint="eastAsia"/>
              </w:rPr>
              <w:t>截至2024/3/</w:t>
            </w:r>
            <w:r>
              <w:t>2</w:t>
            </w:r>
            <w:r>
              <w:rPr>
                <w:rFonts w:hint="eastAsia"/>
              </w:rPr>
              <w:t>1，</w:t>
            </w:r>
          </w:p>
          <w:p>
            <w:r>
              <w:rPr>
                <w:rFonts w:hint="eastAsia"/>
              </w:rPr>
              <w:t>磐松中证</w:t>
            </w:r>
            <w:r>
              <w:t>500指数增强1号私募证券投资基金</w:t>
            </w:r>
            <w:r>
              <w:rPr>
                <w:rFonts w:hint="eastAsia"/>
              </w:rPr>
              <w:t>，交易日期</w:t>
            </w:r>
            <w:r>
              <w:t>2022</w:t>
            </w:r>
            <w:r>
              <w:rPr>
                <w:rFonts w:hint="eastAsia"/>
              </w:rPr>
              <w:t>/</w:t>
            </w:r>
            <w:r>
              <w:t>12</w:t>
            </w:r>
            <w:r>
              <w:rPr>
                <w:rFonts w:hint="eastAsia"/>
              </w:rPr>
              <w:t>/</w:t>
            </w:r>
            <w:r>
              <w:t>20</w:t>
            </w:r>
            <w:r>
              <w:rPr>
                <w:rFonts w:hint="eastAsia"/>
              </w:rPr>
              <w:t>，超额年化收益</w:t>
            </w:r>
            <w:r>
              <w:t>17.</w:t>
            </w:r>
            <w:r>
              <w:rPr>
                <w:rFonts w:hint="eastAsia"/>
              </w:rPr>
              <w:t>05%，超额最大回撤</w:t>
            </w:r>
            <w:r>
              <w:t>-</w:t>
            </w:r>
            <w:r>
              <w:rPr>
                <w:rFonts w:hint="eastAsia"/>
              </w:rPr>
              <w:t>10.15%，超额夏普1.97；</w:t>
            </w:r>
          </w:p>
          <w:p>
            <w:r>
              <w:rPr>
                <w:rFonts w:hint="eastAsia"/>
              </w:rPr>
              <w:t>磐松多空对冲</w:t>
            </w:r>
            <w:r>
              <w:t>1号私募证券投资基金</w:t>
            </w:r>
            <w:r>
              <w:rPr>
                <w:rFonts w:hint="eastAsia"/>
              </w:rPr>
              <w:t>，交易日期</w:t>
            </w:r>
            <w:r>
              <w:t>2023</w:t>
            </w:r>
            <w:r>
              <w:rPr>
                <w:rFonts w:hint="eastAsia"/>
              </w:rPr>
              <w:t>/</w:t>
            </w:r>
            <w:r>
              <w:t>01</w:t>
            </w:r>
            <w:r>
              <w:rPr>
                <w:rFonts w:hint="eastAsia"/>
              </w:rPr>
              <w:t>/</w:t>
            </w:r>
            <w:r>
              <w:t>09</w:t>
            </w:r>
            <w:r>
              <w:rPr>
                <w:rFonts w:hint="eastAsia"/>
              </w:rPr>
              <w:t>，超额年化收益20.0%，超额最大回撤</w:t>
            </w:r>
            <w:r>
              <w:t>-</w:t>
            </w:r>
            <w:r>
              <w:rPr>
                <w:rFonts w:hint="eastAsia"/>
              </w:rPr>
              <w:t>3.83%，超额夏普2.98；</w:t>
            </w:r>
          </w:p>
          <w:p>
            <w:r>
              <w:rPr>
                <w:rFonts w:hint="eastAsia"/>
              </w:rPr>
              <w:t>磐松市场中性</w:t>
            </w:r>
            <w:r>
              <w:t>1号私募证券投资基金</w:t>
            </w:r>
            <w:r>
              <w:rPr>
                <w:rFonts w:hint="eastAsia"/>
              </w:rPr>
              <w:t>，交易日期</w:t>
            </w:r>
            <w:r>
              <w:t>2023</w:t>
            </w:r>
            <w:r>
              <w:rPr>
                <w:rFonts w:hint="eastAsia"/>
              </w:rPr>
              <w:t>/</w:t>
            </w:r>
            <w:r>
              <w:t>08</w:t>
            </w:r>
            <w:r>
              <w:rPr>
                <w:rFonts w:hint="eastAsia"/>
              </w:rPr>
              <w:t>/</w:t>
            </w:r>
            <w:r>
              <w:t>23</w:t>
            </w:r>
            <w:r>
              <w:rPr>
                <w:rFonts w:hint="eastAsia"/>
              </w:rPr>
              <w:t>，超额年化收益14.8%，超额最大回撤</w:t>
            </w:r>
            <w:r>
              <w:t>-</w:t>
            </w:r>
            <w:r>
              <w:rPr>
                <w:rFonts w:hint="eastAsia"/>
              </w:rPr>
              <w:t>5.19%，超额夏普1.55；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是否拥有投顾资格/预计何时取得（若无）</w:t>
            </w:r>
          </w:p>
        </w:tc>
        <w:tc>
          <w:tcPr>
            <w:tcW w:w="6096" w:type="dxa"/>
          </w:tcPr>
          <w:p>
            <w:pPr>
              <w:jc w:val="left"/>
            </w:pPr>
            <w:r>
              <w:rPr>
                <w:rFonts w:hint="eastAsia"/>
              </w:rPr>
              <w:t>暂无，有待公司拿到牌照满三年后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推荐理由</w:t>
            </w:r>
          </w:p>
        </w:tc>
        <w:tc>
          <w:tcPr>
            <w:tcW w:w="6096" w:type="dxa"/>
          </w:tcPr>
          <w:p>
            <w:pPr>
              <w:ind w:firstLine="420" w:firstLineChars="200"/>
              <w:jc w:val="left"/>
            </w:pPr>
            <w:r>
              <w:rPr>
                <w:rFonts w:hint="eastAsia"/>
              </w:rPr>
              <w:t>目前公司规模约50亿，指增策略23亿，多空对冲23亿，市场中性4亿，指增策略和市场中性策略容量在百亿以上，多空对冲容量大约为30亿。</w:t>
            </w:r>
            <w:bookmarkStart w:id="0" w:name="_Hlk129077589"/>
            <w:r>
              <w:rPr>
                <w:rFonts w:hint="eastAsia" w:ascii="仿宋" w:hAnsi="仿宋"/>
              </w:rPr>
              <w:t>我们的核心投研团队深耕低频量化投资领域多年,且拥有丰富的期货投资经验。</w:t>
            </w:r>
            <w:bookmarkStart w:id="1" w:name="_Hlk127432847"/>
            <w:r>
              <w:rPr>
                <w:rFonts w:hint="eastAsia" w:ascii="仿宋" w:hAnsi="仿宋"/>
              </w:rPr>
              <w:t>通过结合低频量化股票投资和股指期货趋势跟踪，投研团队将为广大投资者提供多样化、高收益风险比的投资产品。</w:t>
            </w:r>
            <w:bookmarkEnd w:id="1"/>
            <w:r>
              <w:rPr>
                <w:rFonts w:hint="eastAsia" w:ascii="仿宋" w:hAnsi="仿宋"/>
              </w:rPr>
              <w:t>在当前错综复杂的股市行情下，这样的结合能够有效地降低投资组合的风险，控制市场层面的风险，从而使投资收益更加稳定。我们的低频策略与现有的高频量化策略业绩相关性普遍较低，而且容量远大于高频量化策略，对客户有较强的配置价值。</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备注：</w:t>
            </w:r>
          </w:p>
        </w:tc>
        <w:tc>
          <w:tcPr>
            <w:tcW w:w="6096" w:type="dxa"/>
          </w:tcPr>
          <w:p>
            <w:pPr>
              <w:jc w:val="left"/>
            </w:pPr>
            <w:r>
              <w:rPr>
                <w:rFonts w:hint="eastAsia"/>
              </w:rPr>
              <w:t>代表产品实盘净值：</w:t>
            </w:r>
            <w:r>
              <w:t xml:space="preserve"> </w:t>
            </w:r>
          </w:p>
          <w:p>
            <w:pPr>
              <w:jc w:val="left"/>
            </w:pPr>
            <w:r>
              <w:drawing>
                <wp:inline distT="0" distB="0" distL="0" distR="0">
                  <wp:extent cx="4286250" cy="2159635"/>
                  <wp:effectExtent l="0" t="0" r="0" b="0"/>
                  <wp:docPr id="1373704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4132" name="图片 1"/>
                          <pic:cNvPicPr>
                            <a:picLocks noChangeAspect="1"/>
                          </pic:cNvPicPr>
                        </pic:nvPicPr>
                        <pic:blipFill>
                          <a:blip r:embed="rId4"/>
                          <a:stretch>
                            <a:fillRect/>
                          </a:stretch>
                        </pic:blipFill>
                        <pic:spPr>
                          <a:xfrm>
                            <a:off x="0" y="0"/>
                            <a:ext cx="4286974" cy="2160000"/>
                          </a:xfrm>
                          <a:prstGeom prst="rect">
                            <a:avLst/>
                          </a:prstGeom>
                        </pic:spPr>
                      </pic:pic>
                    </a:graphicData>
                  </a:graphic>
                </wp:inline>
              </w:drawing>
            </w:r>
          </w:p>
          <w:p>
            <w:pPr>
              <w:jc w:val="left"/>
            </w:pPr>
            <w:r>
              <w:drawing>
                <wp:inline distT="0" distB="0" distL="0" distR="0">
                  <wp:extent cx="4339590" cy="2159635"/>
                  <wp:effectExtent l="0" t="0" r="3810" b="0"/>
                  <wp:docPr id="970131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31794" name="图片 1"/>
                          <pic:cNvPicPr>
                            <a:picLocks noChangeAspect="1"/>
                          </pic:cNvPicPr>
                        </pic:nvPicPr>
                        <pic:blipFill>
                          <a:blip r:embed="rId5"/>
                          <a:stretch>
                            <a:fillRect/>
                          </a:stretch>
                        </pic:blipFill>
                        <pic:spPr>
                          <a:xfrm>
                            <a:off x="0" y="0"/>
                            <a:ext cx="4339968" cy="2160000"/>
                          </a:xfrm>
                          <a:prstGeom prst="rect">
                            <a:avLst/>
                          </a:prstGeom>
                        </pic:spPr>
                      </pic:pic>
                    </a:graphicData>
                  </a:graphic>
                </wp:inline>
              </w:drawing>
            </w:r>
            <w:r>
              <w:t xml:space="preserve"> </w:t>
            </w:r>
            <w:r>
              <w:drawing>
                <wp:inline distT="0" distB="0" distL="0" distR="0">
                  <wp:extent cx="4319905" cy="2169795"/>
                  <wp:effectExtent l="0" t="0" r="4445" b="1905"/>
                  <wp:docPr id="1672637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37548" name="图片 1"/>
                          <pic:cNvPicPr>
                            <a:picLocks noChangeAspect="1"/>
                          </pic:cNvPicPr>
                        </pic:nvPicPr>
                        <pic:blipFill>
                          <a:blip r:embed="rId6"/>
                          <a:stretch>
                            <a:fillRect/>
                          </a:stretch>
                        </pic:blipFill>
                        <pic:spPr>
                          <a:xfrm>
                            <a:off x="0" y="0"/>
                            <a:ext cx="4320000" cy="2169882"/>
                          </a:xfrm>
                          <a:prstGeom prst="rect">
                            <a:avLst/>
                          </a:prstGeom>
                        </pic:spPr>
                      </pic:pic>
                    </a:graphicData>
                  </a:graphic>
                </wp:inline>
              </w:drawing>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IxODM5YmNlNTk2NjczMDhiZDI0MTIxNmM4ZTM2MmMifQ=="/>
    <w:docVar w:name="KSO_WPS_MARK_KEY" w:val="fc09552b-e7e3-4401-aa88-0d00f613d069"/>
  </w:docVars>
  <w:rsids>
    <w:rsidRoot w:val="00172A27"/>
    <w:rsid w:val="000663C7"/>
    <w:rsid w:val="000D26E0"/>
    <w:rsid w:val="00172A27"/>
    <w:rsid w:val="00190458"/>
    <w:rsid w:val="0019769B"/>
    <w:rsid w:val="001B77DF"/>
    <w:rsid w:val="001C6A28"/>
    <w:rsid w:val="002F6DFC"/>
    <w:rsid w:val="00301F0E"/>
    <w:rsid w:val="003261DA"/>
    <w:rsid w:val="00370214"/>
    <w:rsid w:val="003D728E"/>
    <w:rsid w:val="0040429F"/>
    <w:rsid w:val="0045622F"/>
    <w:rsid w:val="00492F59"/>
    <w:rsid w:val="005139C8"/>
    <w:rsid w:val="00524971"/>
    <w:rsid w:val="00560F3C"/>
    <w:rsid w:val="00567B23"/>
    <w:rsid w:val="005B1FC0"/>
    <w:rsid w:val="005C2163"/>
    <w:rsid w:val="005C5ECC"/>
    <w:rsid w:val="00641531"/>
    <w:rsid w:val="00647873"/>
    <w:rsid w:val="00732003"/>
    <w:rsid w:val="007815AB"/>
    <w:rsid w:val="00851FBB"/>
    <w:rsid w:val="009262F5"/>
    <w:rsid w:val="00965EC1"/>
    <w:rsid w:val="009928B8"/>
    <w:rsid w:val="00A35747"/>
    <w:rsid w:val="00AE3DCB"/>
    <w:rsid w:val="00B24235"/>
    <w:rsid w:val="00B3614C"/>
    <w:rsid w:val="00B56142"/>
    <w:rsid w:val="00C903E9"/>
    <w:rsid w:val="00CB79ED"/>
    <w:rsid w:val="00CD37EA"/>
    <w:rsid w:val="00CE4C70"/>
    <w:rsid w:val="00D12FED"/>
    <w:rsid w:val="00D24753"/>
    <w:rsid w:val="00D83A45"/>
    <w:rsid w:val="00DC27EE"/>
    <w:rsid w:val="00E56F0B"/>
    <w:rsid w:val="00E745D4"/>
    <w:rsid w:val="00ED37A6"/>
    <w:rsid w:val="00F21A07"/>
    <w:rsid w:val="00F51D3E"/>
    <w:rsid w:val="00F83364"/>
    <w:rsid w:val="00F906A9"/>
    <w:rsid w:val="022B0E5C"/>
    <w:rsid w:val="08891FDF"/>
    <w:rsid w:val="0CE83016"/>
    <w:rsid w:val="0F5237D2"/>
    <w:rsid w:val="11F2137A"/>
    <w:rsid w:val="13C44C6D"/>
    <w:rsid w:val="1BF718C8"/>
    <w:rsid w:val="252D109A"/>
    <w:rsid w:val="27475541"/>
    <w:rsid w:val="28810F26"/>
    <w:rsid w:val="28B5472C"/>
    <w:rsid w:val="2B083239"/>
    <w:rsid w:val="2E2242BE"/>
    <w:rsid w:val="31DB16A7"/>
    <w:rsid w:val="4D106251"/>
    <w:rsid w:val="5051105B"/>
    <w:rsid w:val="579D1888"/>
    <w:rsid w:val="5A4237C2"/>
    <w:rsid w:val="5B081542"/>
    <w:rsid w:val="5BDA2041"/>
    <w:rsid w:val="5CDC7EFE"/>
    <w:rsid w:val="69601EB7"/>
    <w:rsid w:val="6E230AB2"/>
    <w:rsid w:val="6FC43175"/>
    <w:rsid w:val="753440F5"/>
    <w:rsid w:val="75CF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unhideWhenUsed/>
    <w:uiPriority w:val="99"/>
    <w:pPr>
      <w:jc w:val="left"/>
    </w:pPr>
  </w:style>
  <w:style w:type="paragraph" w:styleId="3">
    <w:name w:val="Balloon Text"/>
    <w:basedOn w:val="1"/>
    <w:link w:val="11"/>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uiPriority w:val="99"/>
    <w:rPr>
      <w:sz w:val="21"/>
      <w:szCs w:val="21"/>
    </w:rPr>
  </w:style>
  <w:style w:type="character" w:customStyle="1" w:styleId="11">
    <w:name w:val="批注框文本 字符"/>
    <w:basedOn w:val="9"/>
    <w:link w:val="3"/>
    <w:semiHidden/>
    <w:qFormat/>
    <w:uiPriority w:val="99"/>
    <w:rPr>
      <w:sz w:val="18"/>
      <w:szCs w:val="18"/>
    </w:rPr>
  </w:style>
  <w:style w:type="character" w:customStyle="1" w:styleId="12">
    <w:name w:val="页眉 字符"/>
    <w:basedOn w:val="9"/>
    <w:link w:val="5"/>
    <w:qFormat/>
    <w:uiPriority w:val="99"/>
    <w:rPr>
      <w:sz w:val="18"/>
      <w:szCs w:val="18"/>
    </w:rPr>
  </w:style>
  <w:style w:type="character" w:customStyle="1" w:styleId="13">
    <w:name w:val="页脚 字符"/>
    <w:basedOn w:val="9"/>
    <w:link w:val="4"/>
    <w:qFormat/>
    <w:uiPriority w:val="99"/>
    <w:rPr>
      <w:sz w:val="18"/>
      <w:szCs w:val="18"/>
    </w:rPr>
  </w:style>
  <w:style w:type="character" w:customStyle="1" w:styleId="14">
    <w:name w:val="批注文字 字符"/>
    <w:basedOn w:val="9"/>
    <w:link w:val="2"/>
    <w:qFormat/>
    <w:uiPriority w:val="99"/>
    <w:rPr>
      <w:rFonts w:asciiTheme="minorHAnsi" w:hAnsiTheme="minorHAnsi" w:eastAsiaTheme="minorEastAsia" w:cstheme="minorBidi"/>
      <w:kern w:val="2"/>
      <w:sz w:val="21"/>
      <w:szCs w:val="22"/>
    </w:rPr>
  </w:style>
  <w:style w:type="character" w:customStyle="1" w:styleId="15">
    <w:name w:val="批注主题 字符"/>
    <w:basedOn w:val="14"/>
    <w:link w:val="6"/>
    <w:semiHidden/>
    <w:uiPriority w:val="99"/>
    <w:rPr>
      <w:rFonts w:asciiTheme="minorHAnsi" w:hAnsiTheme="minorHAnsi" w:eastAsiaTheme="minorEastAsia" w:cstheme="minorBidi"/>
      <w:b/>
      <w:bCs/>
      <w:kern w:val="2"/>
      <w:sz w:val="21"/>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943</Words>
  <Characters>1045</Characters>
  <Lines>7</Lines>
  <Paragraphs>2</Paragraphs>
  <TotalTime>3</TotalTime>
  <ScaleCrop>false</ScaleCrop>
  <LinksUpToDate>false</LinksUpToDate>
  <CharactersWithSpaces>1050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2024-03-22T07:03:00Z</dcterms:created>
  <dc:creator>Frank Ma</dc:creator>
  <cp:lastModifiedBy>zhc12</cp:lastModifiedBy>
  <dcterms:modified xsi:type="dcterms:W3CDTF">2024-04-08T04:17:36Z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1067D770E67A4433B4DF06CA961B9F06</vt:lpwstr>
  </property>
</Properties>
</file>