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咱</w:t>
      </w:r>
      <w:r>
        <w:rPr>
          <w:rFonts w:hint="eastAsia"/>
          <w:highlight w:val="red"/>
          <w:lang w:val="en-US" w:eastAsia="zh-CN"/>
        </w:rPr>
        <w:t>们控股的这家云财富期货公司是有出售的规划，就是想问下已经放在自己家期货公司的业务放在哪里了</w:t>
      </w: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后面会迁出来，后续的话还是会看跟资方的合作的。</w:t>
      </w:r>
      <w:bookmarkStart w:id="0" w:name="_GoBack"/>
      <w:bookmarkEnd w:id="0"/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目前CTA的投资者主要有哪些？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公司目前多少管理规模？FOF 主观 量化CTA分别在多少？资金来源是哪些？</w:t>
      </w:r>
      <w:r>
        <w:rPr>
          <w:rFonts w:hint="eastAsia"/>
          <w:color w:val="auto"/>
          <w:highlight w:val="yellow"/>
          <w:lang w:val="en-US" w:eastAsia="zh-CN"/>
        </w:rPr>
        <w:t>目前公司总规模10亿，量化CTA共6亿。CTA以机构直投资金为主，其余策略以李旭东个人资金为主。</w:t>
      </w:r>
    </w:p>
    <w:p>
      <w:pPr>
        <w:rPr>
          <w:rFonts w:hint="eastAsia"/>
          <w:color w:val="auto"/>
          <w:highlight w:val="yellow"/>
          <w:lang w:val="en-US" w:eastAsia="zh-CN"/>
        </w:rPr>
      </w:pPr>
      <w:r>
        <w:drawing>
          <wp:inline distT="0" distB="0" distL="114300" distR="114300">
            <wp:extent cx="5274310" cy="3034030"/>
            <wp:effectExtent l="0" t="0" r="1397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本次尽调罗晨管理的量化CTA策略。以成立时间最久的</w:t>
      </w:r>
      <w:r>
        <w:rPr>
          <w:rFonts w:hint="default"/>
          <w:b/>
          <w:bCs/>
          <w:lang w:val="en-US" w:eastAsia="zh-CN"/>
        </w:rPr>
        <w:t>旭诺CTA一号</w:t>
      </w:r>
      <w:r>
        <w:rPr>
          <w:rFonts w:hint="default"/>
          <w:lang w:val="en-US" w:eastAsia="zh-CN"/>
        </w:rPr>
        <w:t>为例，策略构成为40%股指策略叠加60%商品趋势策略。股指和商品两套体系独立运行。股指策略一半为日内的趋势及反转策略，一半为日间趋势策略，日内策略持仓周期在30分钟-3小时，日间策略短则持仓1-2天，长则持仓5- 10天。将股指策略按照逻辑分为九大类，每一类下面有三个子策略，所以共计20多个子策略，</w:t>
      </w:r>
      <w:r>
        <w:rPr>
          <w:rFonts w:hint="default"/>
          <w:highlight w:val="yellow"/>
          <w:lang w:val="en-US" w:eastAsia="zh-CN"/>
        </w:rPr>
        <w:t>子策略间相关性最高30%多。</w:t>
      </w:r>
      <w:r>
        <w:rPr>
          <w:rFonts w:hint="default"/>
          <w:lang w:val="en-US" w:eastAsia="zh-CN"/>
        </w:rPr>
        <w:t>九大类策略中有五类是</w:t>
      </w:r>
      <w:r>
        <w:rPr>
          <w:rFonts w:hint="default"/>
          <w:highlight w:val="yellow"/>
          <w:lang w:val="en-US" w:eastAsia="zh-CN"/>
        </w:rPr>
        <w:t xml:space="preserve"> 规则型策略</w:t>
      </w:r>
      <w:r>
        <w:rPr>
          <w:rFonts w:hint="default"/>
          <w:lang w:val="en-US" w:eastAsia="zh-CN"/>
        </w:rPr>
        <w:t>，有四类是</w:t>
      </w:r>
      <w:r>
        <w:rPr>
          <w:rFonts w:hint="default"/>
          <w:highlight w:val="yellow"/>
          <w:lang w:val="en-US" w:eastAsia="zh-CN"/>
        </w:rPr>
        <w:t>预测型策略</w:t>
      </w:r>
      <w:r>
        <w:rPr>
          <w:rFonts w:hint="default"/>
          <w:lang w:val="en-US" w:eastAsia="zh-CN"/>
        </w:rPr>
        <w:t>。四个股指均参与，量化趋势策略，其中IH波动较低占比较少。Tick、盘口、分钟及日级别数据均有用到。日间策略会用到高频数据低频化处理。2023年日内波动率较低，股指日内策略表现不佳，2024年年初市场波动率上升，日内策略表现较好，日间中长期策略反而在亏钱。商品期货策略全品种参与，持有大约35个流动性较好的品种，单品种不超5%，持仓周期方面，</w:t>
      </w:r>
      <w:r>
        <w:rPr>
          <w:rFonts w:hint="default"/>
          <w:highlight w:val="none"/>
          <w:lang w:val="en-US" w:eastAsia="zh-CN"/>
        </w:rPr>
        <w:t>1-5天，5-10天及10天以上各占三分 之一，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highlight w:val="none"/>
          <w:lang w:val="en-US" w:eastAsia="zh-CN"/>
        </w:rPr>
        <w:t>旭诺CTA一号</w:t>
      </w:r>
      <w:r>
        <w:rPr>
          <w:rFonts w:hint="default"/>
          <w:highlight w:val="none"/>
          <w:lang w:val="en-US" w:eastAsia="zh-CN"/>
        </w:rPr>
        <w:t>平均保证金占用为15%。</w:t>
      </w:r>
      <w:r>
        <w:rPr>
          <w:rFonts w:hint="default"/>
          <w:lang w:val="en-US" w:eastAsia="zh-CN"/>
        </w:rPr>
        <w:t>商品部分也是规则型和预测型策略均有。底层数据</w:t>
      </w:r>
      <w:r>
        <w:rPr>
          <w:rFonts w:hint="default"/>
          <w:highlight w:val="yellow"/>
          <w:lang w:val="en-US" w:eastAsia="zh-CN"/>
        </w:rPr>
        <w:t>全部为量价</w:t>
      </w:r>
      <w:r>
        <w:rPr>
          <w:rFonts w:hint="default"/>
          <w:lang w:val="en-US" w:eastAsia="zh-CN"/>
        </w:rPr>
        <w:t>，因子数量100多个，对因子的分类更多 是按照内部的一些评价维度。</w:t>
      </w:r>
      <w:r>
        <w:rPr>
          <w:rFonts w:hint="default"/>
          <w:highlight w:val="yellow"/>
          <w:lang w:val="en-US" w:eastAsia="zh-CN"/>
        </w:rPr>
        <w:t>目前为纯时序策略，无截面策略</w:t>
      </w:r>
      <w:r>
        <w:rPr>
          <w:rFonts w:hint="default"/>
          <w:lang w:val="en-US" w:eastAsia="zh-CN"/>
        </w:rPr>
        <w:t>。组合层面线性和非线性模型均有。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>此外，公司还有纯股指策略条线，代表产品</w:t>
      </w:r>
      <w:r>
        <w:rPr>
          <w:rFonts w:hint="default"/>
          <w:b/>
          <w:bCs/>
          <w:lang w:val="en-US" w:eastAsia="zh-CN"/>
        </w:rPr>
        <w:t>旭诺笃行致远1号</w:t>
      </w:r>
      <w:r>
        <w:rPr>
          <w:rFonts w:hint="default"/>
          <w:lang w:val="en-US" w:eastAsia="zh-CN"/>
        </w:rPr>
        <w:t>。配置一半日内策略一半日间策略。</w:t>
      </w:r>
      <w:r>
        <w:rPr>
          <w:rFonts w:hint="default"/>
          <w:b/>
          <w:bCs/>
          <w:lang w:val="en-US" w:eastAsia="zh-CN"/>
        </w:rPr>
        <w:t>旭诺行稳致远1号</w:t>
      </w:r>
      <w:r>
        <w:rPr>
          <w:rFonts w:hint="default"/>
          <w:lang w:val="en-US" w:eastAsia="zh-CN"/>
        </w:rPr>
        <w:t>则为80%股指+20%商品，</w:t>
      </w:r>
      <w:r>
        <w:rPr>
          <w:rFonts w:hint="default"/>
          <w:highlight w:val="yellow"/>
          <w:lang w:val="en-US" w:eastAsia="zh-CN"/>
        </w:rPr>
        <w:t>其中股指策略主要为日内及少量隔夜仓策略，隔夜策略一般在开盘一小时之内平仓，商品策略主要为黑色系日内策略，信号频率较低交易较少。</w:t>
      </w: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持仓的特征：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商品部分持有30-40个</w:t>
      </w:r>
      <w:r>
        <w:rPr>
          <w:rFonts w:hint="default"/>
          <w:highlight w:val="none"/>
          <w:lang w:val="en-US" w:eastAsia="zh-CN"/>
        </w:rPr>
        <w:t>品种，单品种不超5%，商品期货</w:t>
      </w:r>
      <w:r>
        <w:rPr>
          <w:rFonts w:hint="default"/>
          <w:lang w:val="en-US" w:eastAsia="zh-CN"/>
        </w:rPr>
        <w:t>持仓时间1-5天，5-10天，10天以上各三分之一；股指期货四个品种均参与，IH相对较少，股 指持仓时间方差较大，日内一般30分-3小时，日间短则1-2天，长则5-10天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产品的收益贡献上细分来看的话，股指里面哪个贡献比较高？商品里面哪个贡献较高？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目前多少换手率？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lang w:val="en-US" w:eastAsia="zh-CN"/>
        </w:rPr>
        <w:t>自建交易系统程序化交易，股指策略年化双边</w:t>
      </w:r>
      <w:r>
        <w:rPr>
          <w:rFonts w:hint="default"/>
          <w:highlight w:val="yellow"/>
          <w:lang w:val="en-US" w:eastAsia="zh-CN"/>
        </w:rPr>
        <w:t>换手70-100倍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策略容量有多少？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量化CTA策略容量15亿，纯股指策略容量1亿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风控上是怎么做的？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分散持仓，</w:t>
      </w:r>
      <w:r>
        <w:rPr>
          <w:rFonts w:hint="default"/>
          <w:highlight w:val="none"/>
          <w:lang w:val="en-US" w:eastAsia="zh-CN"/>
        </w:rPr>
        <w:t>商品单品种不超5%，</w:t>
      </w:r>
      <w:r>
        <w:rPr>
          <w:rFonts w:hint="default"/>
          <w:highlight w:val="yellow"/>
          <w:lang w:val="en-US" w:eastAsia="zh-CN"/>
        </w:rPr>
        <w:t>股指单品种不超1</w:t>
      </w:r>
      <w:r>
        <w:rPr>
          <w:rFonts w:hint="eastAsia"/>
          <w:highlight w:val="yellow"/>
          <w:lang w:val="en-US" w:eastAsia="zh-CN"/>
        </w:rPr>
        <w:t>3</w:t>
      </w:r>
      <w:r>
        <w:rPr>
          <w:rFonts w:hint="default"/>
          <w:highlight w:val="yellow"/>
          <w:lang w:val="en-US" w:eastAsia="zh-CN"/>
        </w:rPr>
        <w:t>%；</w:t>
      </w:r>
      <w:r>
        <w:rPr>
          <w:rFonts w:hint="default"/>
          <w:lang w:val="en-US" w:eastAsia="zh-CN"/>
        </w:rPr>
        <w:t>自建交易系统嵌入风控模块，对指标设置风控阈值，另外也会从经验层面判断子策略是否失 效以及需要如何调整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保证金占比：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在运行产品30只，其中旭诺CTA一号保证金占比15%，旭诺CTA三号保证金占比25%，旭诺元涞进取CTA保证金占比35%，旭诺聚星CTA1号保证金 占比45%。旭诺笃行致远1号为纯股指策略，旭诺行稳致远1号为80%股指+20%商品策略。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982720" cy="207899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72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最大回撤的原因？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旭诺CTA一号，自2017年8月成立以来，最大回撤12.33%，发生在2020年8-9月，另外一次较大回撤发生在2022年7-10月，最大回撤修复时间133 天。其他大部分时间最大回撤在10%以内。最近一年、两年、三年、五年夏普比率排名同策略13.8%、18.3%、22.6%、7.4%。整体风控效果尚可。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代表产品：旭诺CTA一号 风险收益表现： 自2017年8月成立以来，累计收益152.7%，年化收益15.11%，今年以来收益5.6%，最大回撤12.33%，发 生在2020年8-9月，另外一次较大回撤发生在2022年7-10月，最大回撤修复时间133天。最近一年、两年、三年、五年夏普比率排名同策略13.8%、 18.3%、22.6%、7.4%。 复盘及归因： 该产品规模6000万。为40%股指量化趋势策略+60%商品趋势策略。产品成立以来，除2022年全年微亏两三 个点之外，历年均取得正收益。2023年全年收益13.52%，由于2023年全年股指波动率处于低位，股指日内策略基本没有收益，股指日间以及商品策 略为主要收益来源。2024年股指波动率抬升，股指的日内策略贡献了产品主要收益，商品部份微亏持平。产品在当前时点净值创出新高。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ZmYWM2ZTQ4MWNkZDM3N2ZkNGU3NmEwYWZkOWQ2YTQifQ=="/>
    <w:docVar w:name="KSO_WPS_MARK_KEY" w:val="cf441d04-b114-4560-b950-fc8a43d90e3d"/>
  </w:docVars>
  <w:rsids>
    <w:rsidRoot w:val="00000000"/>
    <w:rsid w:val="07F046C2"/>
    <w:rsid w:val="0C6A5BE2"/>
    <w:rsid w:val="0C8B314B"/>
    <w:rsid w:val="0DE63D34"/>
    <w:rsid w:val="0EE951FC"/>
    <w:rsid w:val="12307E22"/>
    <w:rsid w:val="16FA6429"/>
    <w:rsid w:val="1FFC12EA"/>
    <w:rsid w:val="20B1773E"/>
    <w:rsid w:val="22E84C96"/>
    <w:rsid w:val="306C5F53"/>
    <w:rsid w:val="4BF24081"/>
    <w:rsid w:val="5B274B7C"/>
    <w:rsid w:val="5E9E2432"/>
    <w:rsid w:val="61BA3B42"/>
    <w:rsid w:val="682E5ACE"/>
    <w:rsid w:val="6A470AE2"/>
    <w:rsid w:val="740B06A5"/>
    <w:rsid w:val="786022E2"/>
    <w:rsid w:val="7B0B7597"/>
    <w:rsid w:val="7F80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1518</Words>
  <Characters>1744</Characters>
  <Lines>0</Lines>
  <Paragraphs>0</Paragraphs>
  <TotalTime>59</TotalTime>
  <ScaleCrop>false</ScaleCrop>
  <LinksUpToDate>false</LinksUpToDate>
  <CharactersWithSpaces>1762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2024-04-12T01:23:00Z</dcterms:created>
  <dc:creator>zhc12</dc:creator>
  <cp:lastModifiedBy>zhc12</cp:lastModifiedBy>
  <dcterms:modified xsi:type="dcterms:W3CDTF">2024-04-12T07:29:27Z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0A5D0FA7430B474E888F24AA34DC286D</vt:lpwstr>
  </property>
</Properties>
</file>