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6"/>
        </w:rPr>
        <w:t>1.5 Hipótesis y variables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En la presente investigación, de tipo descriptivo, transversal y correlacional, se puede suponer que:</w:t>
      </w:r>
    </w:p>
    <w:p>
      <w:pPr>
        <w:spacing w:line="360" w:lineRule="auto"/>
        <w:jc w:val="both"/>
      </w:pPr>
      <w:r>
        <w:rPr>
          <w:rFonts w:ascii="Arial" w:hAnsi="Arial"/>
          <w:b/>
          <w:sz w:val="22"/>
        </w:rPr>
        <w:t xml:space="preserve">Hipótesis de investigación (Hi): </w:t>
      </w:r>
      <w:r>
        <w:rPr>
          <w:rFonts w:ascii="Arial" w:hAnsi="Arial"/>
          <w:sz w:val="22"/>
        </w:rPr>
        <w:t>La implementación de una aplicación móvil Android para la administración automática de turnos mejora significativamente el orden y la transparencia en la distribución del agua de los pozos comunitarios San Isidro, Zapata y Cárdenas.</w:t>
      </w:r>
    </w:p>
    <w:p>
      <w:pPr>
        <w:spacing w:line="360" w:lineRule="auto"/>
        <w:jc w:val="both"/>
      </w:pPr>
      <w:r>
        <w:rPr>
          <w:rFonts w:ascii="Arial" w:hAnsi="Arial"/>
          <w:b/>
          <w:sz w:val="22"/>
        </w:rPr>
        <w:t xml:space="preserve">Hipótesis nula (H0): </w:t>
      </w:r>
      <w:r>
        <w:rPr>
          <w:rFonts w:ascii="Arial" w:hAnsi="Arial"/>
          <w:sz w:val="22"/>
        </w:rPr>
        <w:t>La implementación de una aplicación móvil Android para la administración automática de turnos no influye significativamente en el orden y la transparencia en la distribución del agua de los pozos comunitarios San Isidro, Zapata y Cárdenas.</w:t>
      </w:r>
    </w:p>
    <w:p>
      <w:r>
        <w:rPr>
          <w:rFonts w:ascii="Arial" w:hAnsi="Arial"/>
          <w:b/>
          <w:sz w:val="22"/>
        </w:rPr>
        <w:t>Tabla de operacionalización de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 independiente</w:t>
            </w:r>
          </w:p>
        </w:tc>
        <w:tc>
          <w:tcPr>
            <w:tcW w:type="dxa" w:w="1728"/>
            <w:vMerge w:val="restart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Definición conceptual</w:t>
            </w:r>
          </w:p>
        </w:tc>
        <w:tc>
          <w:tcPr>
            <w:tcW w:type="dxa" w:w="3456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Definición Operacional</w:t>
            </w:r>
          </w:p>
        </w:tc>
        <w:tc>
          <w:tcPr>
            <w:tcW w:type="dxa" w:w="1728"/>
            <w:vMerge w:val="restart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Escala de Medición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Dimensiones</w:t>
            </w:r>
          </w:p>
        </w:tc>
        <w:tc>
          <w:tcPr>
            <w:tcW w:type="dxa" w:w="1728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 w:val="restart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Aplicación móvil para la administración de turnos de agua</w:t>
            </w:r>
          </w:p>
        </w:tc>
        <w:tc>
          <w:tcPr>
            <w:tcW w:type="dxa" w:w="1728"/>
            <w:vMerge w:val="restart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Sistema de software para dispositivos Android que automatiza el cálculo y control de los turnos, multas y avisos de los pozos comunitarios.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Automatización del cálculo de turnos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Porcentaje de turnos calculados automáticamente sin intervención manual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Razón (%)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Disponibilidad del sistema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Número de días con el sistema operativo y accesible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Razón (días)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 multas y avisos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Número de multas y avisos registrados en el sistema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Razón (frecuencia)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Adopción por los usuarios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Número de socios y contadores activos que utilizan la aplicación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Razón (frecuencia)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 dependiente</w:t>
            </w:r>
          </w:p>
        </w:tc>
        <w:tc>
          <w:tcPr>
            <w:tcW w:type="dxa" w:w="1728"/>
            <w:vMerge w:val="restart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Definición conceptual</w:t>
            </w:r>
          </w:p>
        </w:tc>
        <w:tc>
          <w:tcPr>
            <w:tcW w:type="dxa" w:w="3456"/>
            <w:gridSpan w:val="2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Definición Operacional</w:t>
            </w:r>
          </w:p>
        </w:tc>
        <w:tc>
          <w:tcPr>
            <w:tcW w:type="dxa" w:w="1728"/>
            <w:vMerge w:val="restart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Escala de Medición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Dimensiones</w:t>
            </w:r>
          </w:p>
        </w:tc>
        <w:tc>
          <w:tcPr>
            <w:tcW w:type="dxa" w:w="1728"/>
            <w:shd w:val="clear" w:color="auto" w:fill="D9D9D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  <w:vMerge w:val="restart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Orden y transparencia en la distribución del agua</w:t>
            </w:r>
          </w:p>
        </w:tc>
        <w:tc>
          <w:tcPr>
            <w:tcW w:type="dxa" w:w="1728"/>
            <w:vMerge w:val="restart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Grado de claridad, equidad y ausencia de conflictos en la asignación y cumplimiento de los turnos de agua dentro de las comunidades.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Reducción de conflictos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Número de conflictos o reclamos por errores en los turnos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Razón (frecuencia)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Claridad de la información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Nivel de satisfacción de los usuarios con la información de turnos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Ordinal (1 a 5)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Exactitud de la rotación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Porcentaje de turnos correctos respecto al orden acordado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Razón (%)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Transparencia en multas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Porcentaje de multas con estado y motivo claramente registrado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Razón (%)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