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Arial" w:hAnsi="Arial"/>
          <w:b/>
          <w:color w:val="1F4E79"/>
          <w:sz w:val="28"/>
        </w:rPr>
        <w:t>CAPÍTULO III. MARCO METODOLÓGICO</w:t>
      </w:r>
    </w:p>
    <w:p>
      <w:pPr>
        <w:spacing w:line="360" w:lineRule="auto" w:after="120"/>
        <w:jc w:val="both"/>
      </w:pPr>
      <w:r>
        <w:rPr>
          <w:rFonts w:ascii="Arial" w:hAnsi="Arial"/>
          <w:sz w:val="22"/>
        </w:rPr>
        <w:t>En el presente capítulo se describe la metodología empleada para el desarrollo del proyecto, detallando el tipo y diseño de la investigación, la población y muestra consideradas, los instrumentos y técnicas de recolección de datos, las herramientas utilizadas para su procesamiento y, finalmente, los recursos materiales y humanos que hicieron posible su realización.</w:t>
      </w:r>
    </w:p>
    <w:p>
      <w:pPr>
        <w:spacing w:before="280" w:after="120"/>
      </w:pPr>
      <w:r>
        <w:rPr>
          <w:rFonts w:ascii="Arial" w:hAnsi="Arial"/>
          <w:b/>
          <w:color w:val="1F4E79"/>
          <w:sz w:val="24"/>
        </w:rPr>
        <w:t>3.1 Tipo de diseño de investigación</w:t>
      </w:r>
    </w:p>
    <w:p>
      <w:pPr>
        <w:spacing w:line="360" w:lineRule="auto" w:after="120"/>
        <w:jc w:val="both"/>
      </w:pPr>
      <w:r>
        <w:rPr>
          <w:rFonts w:ascii="Arial" w:hAnsi="Arial"/>
          <w:sz w:val="22"/>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pPr>
        <w:spacing w:line="360" w:lineRule="auto" w:after="120"/>
        <w:jc w:val="both"/>
      </w:pPr>
      <w:r>
        <w:rPr>
          <w:rFonts w:ascii="Arial" w:hAnsi="Arial"/>
          <w:sz w:val="22"/>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pPr>
        <w:spacing w:line="360" w:lineRule="auto" w:after="120"/>
        <w:jc w:val="both"/>
      </w:pPr>
      <w:r>
        <w:rPr>
          <w:rFonts w:ascii="Arial" w:hAnsi="Arial"/>
          <w:sz w:val="22"/>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pPr>
        <w:spacing w:before="280" w:after="120"/>
      </w:pPr>
      <w:r>
        <w:rPr>
          <w:rFonts w:ascii="Arial" w:hAnsi="Arial"/>
          <w:b/>
          <w:color w:val="1F4E79"/>
          <w:sz w:val="24"/>
        </w:rPr>
        <w:t>3.2 Población y muestra</w:t>
      </w:r>
    </w:p>
    <w:p>
      <w:pPr>
        <w:spacing w:line="360" w:lineRule="auto" w:after="120"/>
        <w:jc w:val="both"/>
      </w:pPr>
      <w:r>
        <w:rPr>
          <w:rFonts w:ascii="Arial" w:hAnsi="Arial"/>
          <w:sz w:val="22"/>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pPr>
        <w:spacing w:line="360" w:lineRule="auto" w:after="120"/>
        <w:jc w:val="both"/>
      </w:pPr>
      <w:r>
        <w:rPr>
          <w:rFonts w:ascii="Arial" w:hAnsi="Arial"/>
          <w:sz w:val="22"/>
        </w:rPr>
        <w:t>Debido a que el universo de estudio es reducido, finito y plenamente accesible, se optó por un muestreo no probabilístico por conveniencia. Bajo este criterio, la muestra quedó integrada por aquellos socios y contadores que aceptaron participar de manera voluntaria en la fase de pruebas de la aplicación, instalándola en sus dispositivos y utilizándola en 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E79"/>
          </w:tcPr>
          <w:p>
            <w:pPr>
              <w:jc w:val="center"/>
            </w:pPr>
            <w:r/>
            <w:r>
              <w:rPr>
                <w:rFonts w:ascii="Arial" w:hAnsi="Arial"/>
                <w:b/>
                <w:color w:val="FFFFFF"/>
                <w:sz w:val="20"/>
              </w:rPr>
              <w:t>Pozo comunitario</w:t>
            </w:r>
          </w:p>
        </w:tc>
        <w:tc>
          <w:tcPr>
            <w:tcW w:type="dxa" w:w="3041"/>
            <w:shd w:val="clear" w:color="auto" w:fill="1F4E79"/>
          </w:tcPr>
          <w:p>
            <w:pPr>
              <w:jc w:val="center"/>
            </w:pPr>
            <w:r/>
            <w:r>
              <w:rPr>
                <w:rFonts w:ascii="Arial" w:hAnsi="Arial"/>
                <w:b/>
                <w:color w:val="FFFFFF"/>
                <w:sz w:val="20"/>
              </w:rPr>
              <w:t>Socios (aprox.)</w:t>
            </w:r>
          </w:p>
        </w:tc>
        <w:tc>
          <w:tcPr>
            <w:tcW w:type="dxa" w:w="3041"/>
            <w:shd w:val="clear" w:color="auto" w:fill="1F4E79"/>
          </w:tcPr>
          <w:p>
            <w:pPr>
              <w:jc w:val="center"/>
            </w:pPr>
            <w:r/>
            <w:r>
              <w:rPr>
                <w:rFonts w:ascii="Arial" w:hAnsi="Arial"/>
                <w:b/>
                <w:color w:val="FFFFFF"/>
                <w:sz w:val="20"/>
              </w:rPr>
              <w:t>Contadores</w:t>
            </w:r>
          </w:p>
        </w:tc>
      </w:tr>
      <w:tr>
        <w:tc>
          <w:tcPr>
            <w:tcW w:type="dxa" w:w="3041"/>
          </w:tcPr>
          <w:p>
            <w:pPr>
              <w:jc w:val="left"/>
            </w:pPr>
            <w:r/>
            <w:r>
              <w:rPr>
                <w:rFonts w:ascii="Arial" w:hAnsi="Arial"/>
                <w:b w:val="0"/>
                <w:sz w:val="20"/>
              </w:rPr>
              <w:t>San Isidro</w:t>
            </w:r>
          </w:p>
        </w:tc>
        <w:tc>
          <w:tcPr>
            <w:tcW w:type="dxa" w:w="3041"/>
          </w:tcPr>
          <w:p>
            <w:pPr>
              <w:jc w:val="center"/>
            </w:pPr>
            <w:r/>
            <w:r>
              <w:rPr>
                <w:rFonts w:ascii="Arial" w:hAnsi="Arial"/>
                <w:b w:val="0"/>
                <w:sz w:val="20"/>
              </w:rPr>
              <w:t>25</w:t>
            </w:r>
          </w:p>
        </w:tc>
        <w:tc>
          <w:tcPr>
            <w:tcW w:type="dxa" w:w="3041"/>
          </w:tcPr>
          <w:p>
            <w:pPr>
              <w:jc w:val="center"/>
            </w:pPr>
            <w:r/>
            <w:r>
              <w:rPr>
                <w:rFonts w:ascii="Arial" w:hAnsi="Arial"/>
                <w:b w:val="0"/>
                <w:sz w:val="20"/>
              </w:rPr>
              <w:t>1</w:t>
            </w:r>
          </w:p>
        </w:tc>
      </w:tr>
      <w:tr>
        <w:tc>
          <w:tcPr>
            <w:tcW w:type="dxa" w:w="3041"/>
          </w:tcPr>
          <w:p>
            <w:pPr>
              <w:jc w:val="left"/>
            </w:pPr>
            <w:r/>
            <w:r>
              <w:rPr>
                <w:rFonts w:ascii="Arial" w:hAnsi="Arial"/>
                <w:b w:val="0"/>
                <w:sz w:val="20"/>
              </w:rPr>
              <w:t>Zapata</w:t>
            </w:r>
          </w:p>
        </w:tc>
        <w:tc>
          <w:tcPr>
            <w:tcW w:type="dxa" w:w="3041"/>
          </w:tcPr>
          <w:p>
            <w:pPr>
              <w:jc w:val="center"/>
            </w:pPr>
            <w:r/>
            <w:r>
              <w:rPr>
                <w:rFonts w:ascii="Arial" w:hAnsi="Arial"/>
                <w:b w:val="0"/>
                <w:sz w:val="20"/>
              </w:rPr>
              <w:t>20</w:t>
            </w:r>
          </w:p>
        </w:tc>
        <w:tc>
          <w:tcPr>
            <w:tcW w:type="dxa" w:w="3041"/>
          </w:tcPr>
          <w:p>
            <w:pPr>
              <w:jc w:val="center"/>
            </w:pPr>
            <w:r/>
            <w:r>
              <w:rPr>
                <w:rFonts w:ascii="Arial" w:hAnsi="Arial"/>
                <w:b w:val="0"/>
                <w:sz w:val="20"/>
              </w:rPr>
              <w:t>1</w:t>
            </w:r>
          </w:p>
        </w:tc>
      </w:tr>
      <w:tr>
        <w:tc>
          <w:tcPr>
            <w:tcW w:type="dxa" w:w="3041"/>
          </w:tcPr>
          <w:p>
            <w:pPr>
              <w:jc w:val="left"/>
            </w:pPr>
            <w:r/>
            <w:r>
              <w:rPr>
                <w:rFonts w:ascii="Arial" w:hAnsi="Arial"/>
                <w:b w:val="0"/>
                <w:sz w:val="20"/>
              </w:rPr>
              <w:t>Cárdenas</w:t>
            </w:r>
          </w:p>
        </w:tc>
        <w:tc>
          <w:tcPr>
            <w:tcW w:type="dxa" w:w="3041"/>
          </w:tcPr>
          <w:p>
            <w:pPr>
              <w:jc w:val="center"/>
            </w:pPr>
            <w:r/>
            <w:r>
              <w:rPr>
                <w:rFonts w:ascii="Arial" w:hAnsi="Arial"/>
                <w:b w:val="0"/>
                <w:sz w:val="20"/>
              </w:rPr>
              <w:t>15</w:t>
            </w:r>
          </w:p>
        </w:tc>
        <w:tc>
          <w:tcPr>
            <w:tcW w:type="dxa" w:w="3041"/>
          </w:tcPr>
          <w:p>
            <w:pPr>
              <w:jc w:val="center"/>
            </w:pPr>
            <w:r/>
            <w:r>
              <w:rPr>
                <w:rFonts w:ascii="Arial" w:hAnsi="Arial"/>
                <w:b w:val="0"/>
                <w:sz w:val="20"/>
              </w:rPr>
              <w:t>1</w:t>
            </w:r>
          </w:p>
        </w:tc>
      </w:tr>
      <w:tr>
        <w:tc>
          <w:tcPr>
            <w:tcW w:type="dxa" w:w="3041"/>
          </w:tcPr>
          <w:p>
            <w:pPr>
              <w:jc w:val="left"/>
            </w:pPr>
            <w:r/>
            <w:r>
              <w:rPr>
                <w:rFonts w:ascii="Arial" w:hAnsi="Arial"/>
                <w:b/>
                <w:sz w:val="20"/>
              </w:rPr>
              <w:t>Total</w:t>
            </w:r>
          </w:p>
        </w:tc>
        <w:tc>
          <w:tcPr>
            <w:tcW w:type="dxa" w:w="3041"/>
          </w:tcPr>
          <w:p>
            <w:pPr>
              <w:jc w:val="center"/>
            </w:pPr>
            <w:r/>
            <w:r>
              <w:rPr>
                <w:rFonts w:ascii="Arial" w:hAnsi="Arial"/>
                <w:b/>
                <w:sz w:val="20"/>
              </w:rPr>
              <w:t>60</w:t>
            </w:r>
          </w:p>
        </w:tc>
        <w:tc>
          <w:tcPr>
            <w:tcW w:type="dxa" w:w="3041"/>
          </w:tcPr>
          <w:p>
            <w:pPr>
              <w:jc w:val="center"/>
            </w:pPr>
            <w:r/>
            <w:r>
              <w:rPr>
                <w:rFonts w:ascii="Arial" w:hAnsi="Arial"/>
                <w:b/>
                <w:sz w:val="20"/>
              </w:rPr>
              <w:t>3</w:t>
            </w:r>
          </w:p>
        </w:tc>
      </w:tr>
    </w:tbl>
    <w:p>
      <w:pPr>
        <w:spacing w:after="200"/>
        <w:jc w:val="center"/>
      </w:pPr>
      <w:r>
        <w:rPr>
          <w:rFonts w:ascii="Arial" w:hAnsi="Arial"/>
          <w:i/>
          <w:sz w:val="18"/>
        </w:rPr>
        <w:t>Tabla 3.1 Distribución de la población por pozo comunitario.</w:t>
      </w:r>
    </w:p>
    <w:p>
      <w:pPr>
        <w:spacing w:before="280" w:after="120"/>
      </w:pPr>
      <w:r>
        <w:rPr>
          <w:rFonts w:ascii="Arial" w:hAnsi="Arial"/>
          <w:b/>
          <w:color w:val="1F4E79"/>
          <w:sz w:val="24"/>
        </w:rPr>
        <w:t>3.3 Instrumentos, técnicas y métodos</w:t>
      </w:r>
    </w:p>
    <w:p>
      <w:pPr>
        <w:spacing w:line="360" w:lineRule="auto" w:after="120"/>
        <w:jc w:val="both"/>
      </w:pPr>
      <w:r>
        <w:rPr>
          <w:rFonts w:ascii="Arial" w:hAnsi="Arial"/>
          <w:sz w:val="22"/>
        </w:rPr>
        <w:t>Con la finalidad de obtener la información necesaria para el análisis y la validación del sistema, se emplearon diversas técnicas e instrumentos de recolección de datos, descritos a continuación:</w:t>
      </w:r>
    </w:p>
    <w:p>
      <w:pPr>
        <w:pStyle w:val="ListBullet"/>
        <w:spacing w:line="360" w:lineRule="auto" w:after="80"/>
      </w:pPr>
      <w:r>
        <w:rPr>
          <w:rFonts w:ascii="Arial" w:hAnsi="Arial"/>
          <w:b/>
          <w:sz w:val="22"/>
        </w:rPr>
        <w:t xml:space="preserve">Entrevista: </w:t>
      </w:r>
      <w:r>
        <w:rPr>
          <w:rFonts w:ascii="Arial" w:hAnsi="Arial"/>
          <w:sz w:val="22"/>
        </w:rPr>
        <w:t>se aplicaron entrevistas semiestructuradas a los tres contadores de los pozos, con el propósito de conocer a detalle las reglas de rotación de turnos, los horarios de corte, el manejo de días festivos y sin servicio, así como el procedimiento para la asignación y cobro de multas.</w:t>
      </w:r>
    </w:p>
    <w:p>
      <w:pPr>
        <w:pStyle w:val="ListBullet"/>
        <w:spacing w:line="360" w:lineRule="auto" w:after="80"/>
      </w:pPr>
      <w:r>
        <w:rPr>
          <w:rFonts w:ascii="Arial" w:hAnsi="Arial"/>
          <w:b/>
          <w:sz w:val="22"/>
        </w:rPr>
        <w:t xml:space="preserve">Observación directa: </w:t>
      </w:r>
      <w:r>
        <w:rPr>
          <w:rFonts w:ascii="Arial" w:hAnsi="Arial"/>
          <w:sz w:val="22"/>
        </w:rPr>
        <w:t>se observó en campo la manera en que se llevaba a cabo la administración manual de los turnos, lo que permitió identificar las principales fuentes de error, duplicidad de información y conflictos entre socios.</w:t>
      </w:r>
    </w:p>
    <w:p>
      <w:pPr>
        <w:pStyle w:val="ListBullet"/>
        <w:spacing w:line="360" w:lineRule="auto" w:after="80"/>
      </w:pPr>
      <w:r>
        <w:rPr>
          <w:rFonts w:ascii="Arial" w:hAnsi="Arial"/>
          <w:b/>
          <w:sz w:val="22"/>
        </w:rPr>
        <w:t xml:space="preserve">Análisis documental: </w:t>
      </w:r>
      <w:r>
        <w:rPr>
          <w:rFonts w:ascii="Arial" w:hAnsi="Arial"/>
          <w:sz w:val="22"/>
        </w:rPr>
        <w:t>se revisaron las libretas, listas y registros físicos utilizados por los contadores, con el fin de comprender la lógica de la rotación y trasladarla correctamente al algoritmo del sistema.</w:t>
      </w:r>
    </w:p>
    <w:p>
      <w:pPr>
        <w:pStyle w:val="ListBullet"/>
        <w:spacing w:line="360" w:lineRule="auto" w:after="80"/>
      </w:pPr>
      <w:r>
        <w:rPr>
          <w:rFonts w:ascii="Arial" w:hAnsi="Arial"/>
          <w:b/>
          <w:sz w:val="22"/>
        </w:rPr>
        <w:t xml:space="preserve">Cuestionario: </w:t>
      </w:r>
      <w:r>
        <w:rPr>
          <w:rFonts w:ascii="Arial" w:hAnsi="Arial"/>
          <w:sz w:val="22"/>
        </w:rPr>
        <w:t>se diseñó y aplicó un cuestionario basado en una escala de Likert a los usuarios participantes, para medir el nivel de aceptación, usabilidad y satisfacción respecto a la aplicación.</w:t>
      </w:r>
    </w:p>
    <w:p>
      <w:pPr>
        <w:spacing w:line="360" w:lineRule="auto" w:after="120"/>
        <w:jc w:val="both"/>
      </w:pPr>
      <w:r>
        <w:rPr>
          <w:rFonts w:ascii="Arial" w:hAnsi="Arial"/>
          <w:sz w:val="22"/>
        </w:rPr>
        <w:t>En cuanto a los métodos, se recurrió al método analítico para descomponer el problema general en requerimientos específicos del sistema, y al método de desarrollo incremental de software, que estructuró el trabajo técnico en fases claramente definidas de análisis, diseño, programación, pruebas y despliegue. La combinación de ambos métodos permitió abordar tanto la dimensión investigativa como la dimensión de ingeniería del proyecto.</w:t>
      </w:r>
    </w:p>
    <w:p>
      <w:pPr>
        <w:spacing w:before="280" w:after="120"/>
      </w:pPr>
      <w:r>
        <w:rPr>
          <w:rFonts w:ascii="Arial" w:hAnsi="Arial"/>
          <w:b/>
          <w:color w:val="1F4E79"/>
          <w:sz w:val="24"/>
        </w:rPr>
        <w:t>3.4 Procesamiento de datos</w:t>
      </w:r>
    </w:p>
    <w:p>
      <w:pPr>
        <w:spacing w:line="360" w:lineRule="auto" w:after="120"/>
        <w:jc w:val="both"/>
      </w:pPr>
      <w:r>
        <w:rPr>
          <w:rFonts w:ascii="Arial" w:hAnsi="Arial"/>
          <w:sz w:val="22"/>
        </w:rPr>
        <w:t>El procesamiento de la información se apoyó en un conjunto de herramientas y tecnologías de software, cada una con una función específica dentro de la arquitectura y el flujo de datos del sistema:</w:t>
      </w:r>
    </w:p>
    <w:p>
      <w:pPr>
        <w:pStyle w:val="ListBullet"/>
        <w:spacing w:line="360" w:lineRule="auto" w:after="80"/>
      </w:pPr>
      <w:r>
        <w:rPr>
          <w:rFonts w:ascii="Arial" w:hAnsi="Arial"/>
          <w:b/>
          <w:sz w:val="22"/>
        </w:rPr>
        <w:t xml:space="preserve">MongoDB Atlas: </w:t>
      </w:r>
      <w:r>
        <w:rPr>
          <w:rFonts w:ascii="Arial" w:hAnsi="Arial"/>
          <w:sz w:val="22"/>
        </w:rPr>
        <w:t>base de datos no relacional alojada en la nube, encargada de almacenar y organizar la información de pozos, usuarios, turnos, días sin servicio, emergencias y multas.</w:t>
      </w:r>
    </w:p>
    <w:p>
      <w:pPr>
        <w:pStyle w:val="ListBullet"/>
        <w:spacing w:line="360" w:lineRule="auto" w:after="80"/>
      </w:pPr>
      <w:r>
        <w:rPr>
          <w:rFonts w:ascii="Arial" w:hAnsi="Arial"/>
          <w:b/>
          <w:sz w:val="22"/>
        </w:rPr>
        <w:t xml:space="preserve">FastAPI (Python): </w:t>
      </w:r>
      <w:r>
        <w:rPr>
          <w:rFonts w:ascii="Arial" w:hAnsi="Arial"/>
          <w:sz w:val="22"/>
        </w:rPr>
        <w:t>framework del lado del servidor que recibe las solicitudes, ejecuta la lógica de negocio —incluido el cálculo automático de turnos— y expone los servicios mediante una API REST segura con autenticación por tokens JWT.</w:t>
      </w:r>
    </w:p>
    <w:p>
      <w:pPr>
        <w:pStyle w:val="ListBullet"/>
        <w:spacing w:line="360" w:lineRule="auto" w:after="80"/>
      </w:pPr>
      <w:r>
        <w:rPr>
          <w:rFonts w:ascii="Arial" w:hAnsi="Arial"/>
          <w:b/>
          <w:sz w:val="22"/>
        </w:rPr>
        <w:t xml:space="preserve">React Native y Expo: </w:t>
      </w:r>
      <w:r>
        <w:rPr>
          <w:rFonts w:ascii="Arial" w:hAnsi="Arial"/>
          <w:sz w:val="22"/>
        </w:rPr>
        <w:t>tecnologías del cliente móvil responsables de presentar la información procesada y de capturar las acciones del usuario de forma intuitiva.</w:t>
      </w:r>
    </w:p>
    <w:p>
      <w:pPr>
        <w:pStyle w:val="ListBullet"/>
        <w:spacing w:line="360" w:lineRule="auto" w:after="80"/>
      </w:pPr>
      <w:r>
        <w:rPr>
          <w:rFonts w:ascii="Arial" w:hAnsi="Arial"/>
          <w:b/>
          <w:sz w:val="22"/>
        </w:rPr>
        <w:t xml:space="preserve">Postman: </w:t>
      </w:r>
      <w:r>
        <w:rPr>
          <w:rFonts w:ascii="Arial" w:hAnsi="Arial"/>
          <w:sz w:val="22"/>
        </w:rPr>
        <w:t>herramienta utilizada para probar, depurar y validar el correcto funcionamiento de cada uno de los servicios de la API REST.</w:t>
      </w:r>
    </w:p>
    <w:p>
      <w:pPr>
        <w:pStyle w:val="ListBullet"/>
        <w:spacing w:line="360" w:lineRule="auto" w:after="80"/>
      </w:pPr>
      <w:r>
        <w:rPr>
          <w:rFonts w:ascii="Arial" w:hAnsi="Arial"/>
          <w:b/>
          <w:sz w:val="22"/>
        </w:rPr>
        <w:t xml:space="preserve">Microsoft Excel: </w:t>
      </w:r>
      <w:r>
        <w:rPr>
          <w:rFonts w:ascii="Arial" w:hAnsi="Arial"/>
          <w:sz w:val="22"/>
        </w:rPr>
        <w:t>empleado para tabular, calcular frecuencias y porcentajes, y graficar los resultados obtenidos de los cuestionarios de satisfacción.</w:t>
      </w:r>
    </w:p>
    <w:p>
      <w:pPr>
        <w:pStyle w:val="ListBullet"/>
        <w:spacing w:line="360" w:lineRule="auto" w:after="80"/>
      </w:pPr>
      <w:r>
        <w:rPr>
          <w:rFonts w:ascii="Arial" w:hAnsi="Arial"/>
          <w:b/>
          <w:sz w:val="22"/>
        </w:rPr>
        <w:t xml:space="preserve">Git y GitHub: </w:t>
      </w:r>
      <w:r>
        <w:rPr>
          <w:rFonts w:ascii="Arial" w:hAnsi="Arial"/>
          <w:sz w:val="22"/>
        </w:rPr>
        <w:t>sistema de control de versiones utilizado para el respaldo, seguimiento de cambios y gestión del código fuente a lo largo del desarrollo.</w:t>
      </w:r>
    </w:p>
    <w:p>
      <w:pPr>
        <w:spacing w:line="360" w:lineRule="auto" w:after="120"/>
        <w:jc w:val="both"/>
      </w:pPr>
      <w:r>
        <w:rPr>
          <w:rFonts w:ascii="Arial" w:hAnsi="Arial"/>
          <w:sz w:val="22"/>
        </w:rPr>
        <w:t>El procesamiento de los datos operativos generados por los usuarios (turnos, multas y agua de sobra) se realiza de manera automática dentro del propio sistema, garantizando la integridad y disponibilidad de la información. Por su parte, los datos provenientes de los cuestionarios se analizaron mediante estadística descriptiva, obteniendo frecuencias y porcentajes que permitieron interpretar el nivel de aceptación de la solución.</w:t>
      </w:r>
    </w:p>
    <w:p>
      <w:pPr>
        <w:spacing w:before="280" w:after="120"/>
      </w:pPr>
      <w:r>
        <w:rPr>
          <w:rFonts w:ascii="Arial" w:hAnsi="Arial"/>
          <w:b/>
          <w:color w:val="1F4E79"/>
          <w:sz w:val="24"/>
        </w:rPr>
        <w:t>3.5 Recursos materiales y de capital humano</w:t>
      </w:r>
    </w:p>
    <w:p>
      <w:pPr>
        <w:spacing w:line="360" w:lineRule="auto" w:after="120"/>
        <w:jc w:val="both"/>
      </w:pPr>
      <w:r>
        <w:rPr>
          <w:rFonts w:ascii="Arial" w:hAnsi="Arial"/>
          <w:sz w:val="22"/>
        </w:rPr>
        <w:t>Para la ejecución del proyecto se requirieron recursos materiales —hardware, software y servicios— así como recursos humanos, los cuales se detallan en las siguientes tablas.</w:t>
      </w:r>
    </w:p>
    <w:p>
      <w:pPr>
        <w:spacing w:before="120" w:after="80"/>
      </w:pPr>
      <w:r>
        <w:rPr>
          <w:rFonts w:ascii="Arial" w:hAnsi="Arial"/>
          <w:b/>
          <w:sz w:val="22"/>
        </w:rPr>
        <w:t>Recursos materiales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4E79"/>
          </w:tcPr>
          <w:p>
            <w:pPr>
              <w:jc w:val="center"/>
            </w:pPr>
            <w:r/>
            <w:r>
              <w:rPr>
                <w:rFonts w:ascii="Arial" w:hAnsi="Arial"/>
                <w:b/>
                <w:color w:val="FFFFFF"/>
                <w:sz w:val="20"/>
              </w:rPr>
              <w:t>Recurso</w:t>
            </w:r>
          </w:p>
        </w:tc>
        <w:tc>
          <w:tcPr>
            <w:tcW w:type="dxa" w:w="4561"/>
            <w:shd w:val="clear" w:color="auto" w:fill="1F4E79"/>
          </w:tcPr>
          <w:p>
            <w:pPr>
              <w:jc w:val="center"/>
            </w:pPr>
            <w:r/>
            <w:r>
              <w:rPr>
                <w:rFonts w:ascii="Arial" w:hAnsi="Arial"/>
                <w:b/>
                <w:color w:val="FFFFFF"/>
                <w:sz w:val="20"/>
              </w:rPr>
              <w:t>Descripción / Uso</w:t>
            </w:r>
          </w:p>
        </w:tc>
      </w:tr>
      <w:tr>
        <w:tc>
          <w:tcPr>
            <w:tcW w:type="dxa" w:w="4561"/>
          </w:tcPr>
          <w:p>
            <w:pPr>
              <w:jc w:val="left"/>
            </w:pPr>
            <w:r/>
            <w:r>
              <w:rPr>
                <w:rFonts w:ascii="Arial" w:hAnsi="Arial"/>
                <w:b/>
                <w:sz w:val="20"/>
              </w:rPr>
              <w:t>Computadora portátil</w:t>
            </w:r>
          </w:p>
        </w:tc>
        <w:tc>
          <w:tcPr>
            <w:tcW w:type="dxa" w:w="4561"/>
          </w:tcPr>
          <w:p>
            <w:pPr>
              <w:jc w:val="left"/>
            </w:pPr>
            <w:r/>
            <w:r>
              <w:rPr>
                <w:rFonts w:ascii="Arial" w:hAnsi="Arial"/>
                <w:b w:val="0"/>
                <w:sz w:val="20"/>
              </w:rPr>
              <w:t>Equipo de desarrollo, programación y pruebas del sistema.</w:t>
            </w:r>
          </w:p>
        </w:tc>
      </w:tr>
      <w:tr>
        <w:tc>
          <w:tcPr>
            <w:tcW w:type="dxa" w:w="4561"/>
          </w:tcPr>
          <w:p>
            <w:pPr>
              <w:jc w:val="left"/>
            </w:pPr>
            <w:r/>
            <w:r>
              <w:rPr>
                <w:rFonts w:ascii="Arial" w:hAnsi="Arial"/>
                <w:b/>
                <w:sz w:val="20"/>
              </w:rPr>
              <w:t>Teléfonos Android</w:t>
            </w:r>
          </w:p>
        </w:tc>
        <w:tc>
          <w:tcPr>
            <w:tcW w:type="dxa" w:w="4561"/>
          </w:tcPr>
          <w:p>
            <w:pPr>
              <w:jc w:val="left"/>
            </w:pPr>
            <w:r/>
            <w:r>
              <w:rPr>
                <w:rFonts w:ascii="Arial" w:hAnsi="Arial"/>
                <w:b w:val="0"/>
                <w:sz w:val="20"/>
              </w:rPr>
              <w:t>Dispositivos para la instalación y prueba de la aplicación en campo.</w:t>
            </w:r>
          </w:p>
        </w:tc>
      </w:tr>
      <w:tr>
        <w:tc>
          <w:tcPr>
            <w:tcW w:type="dxa" w:w="4561"/>
          </w:tcPr>
          <w:p>
            <w:pPr>
              <w:jc w:val="left"/>
            </w:pPr>
            <w:r/>
            <w:r>
              <w:rPr>
                <w:rFonts w:ascii="Arial" w:hAnsi="Arial"/>
                <w:b/>
                <w:sz w:val="20"/>
              </w:rPr>
              <w:t>Conexión a internet</w:t>
            </w:r>
          </w:p>
        </w:tc>
        <w:tc>
          <w:tcPr>
            <w:tcW w:type="dxa" w:w="4561"/>
          </w:tcPr>
          <w:p>
            <w:pPr>
              <w:jc w:val="left"/>
            </w:pPr>
            <w:r/>
            <w:r>
              <w:rPr>
                <w:rFonts w:ascii="Arial" w:hAnsi="Arial"/>
                <w:b w:val="0"/>
                <w:sz w:val="20"/>
              </w:rPr>
              <w:t>Enlace permanente para el desarrollo, despliegue y uso del sistema.</w:t>
            </w:r>
          </w:p>
        </w:tc>
      </w:tr>
      <w:tr>
        <w:tc>
          <w:tcPr>
            <w:tcW w:type="dxa" w:w="4561"/>
          </w:tcPr>
          <w:p>
            <w:pPr>
              <w:jc w:val="left"/>
            </w:pPr>
            <w:r/>
            <w:r>
              <w:rPr>
                <w:rFonts w:ascii="Arial" w:hAnsi="Arial"/>
                <w:b/>
                <w:sz w:val="20"/>
              </w:rPr>
              <w:t>Visual Studio Code</w:t>
            </w:r>
          </w:p>
        </w:tc>
        <w:tc>
          <w:tcPr>
            <w:tcW w:type="dxa" w:w="4561"/>
          </w:tcPr>
          <w:p>
            <w:pPr>
              <w:jc w:val="left"/>
            </w:pPr>
            <w:r/>
            <w:r>
              <w:rPr>
                <w:rFonts w:ascii="Arial" w:hAnsi="Arial"/>
                <w:b w:val="0"/>
                <w:sz w:val="20"/>
              </w:rPr>
              <w:t>Entorno de desarrollo integrado para la escritura del código.</w:t>
            </w:r>
          </w:p>
        </w:tc>
      </w:tr>
      <w:tr>
        <w:tc>
          <w:tcPr>
            <w:tcW w:type="dxa" w:w="4561"/>
          </w:tcPr>
          <w:p>
            <w:pPr>
              <w:jc w:val="left"/>
            </w:pPr>
            <w:r/>
            <w:r>
              <w:rPr>
                <w:rFonts w:ascii="Arial" w:hAnsi="Arial"/>
                <w:b/>
                <w:sz w:val="20"/>
              </w:rPr>
              <w:t>Node.js / Python</w:t>
            </w:r>
          </w:p>
        </w:tc>
        <w:tc>
          <w:tcPr>
            <w:tcW w:type="dxa" w:w="4561"/>
          </w:tcPr>
          <w:p>
            <w:pPr>
              <w:jc w:val="left"/>
            </w:pPr>
            <w:r/>
            <w:r>
              <w:rPr>
                <w:rFonts w:ascii="Arial" w:hAnsi="Arial"/>
                <w:b w:val="0"/>
                <w:sz w:val="20"/>
              </w:rPr>
              <w:t>Entornos de ejecución del cliente (Expo) y del servidor (FastAPI).</w:t>
            </w:r>
          </w:p>
        </w:tc>
      </w:tr>
      <w:tr>
        <w:tc>
          <w:tcPr>
            <w:tcW w:type="dxa" w:w="4561"/>
          </w:tcPr>
          <w:p>
            <w:pPr>
              <w:jc w:val="left"/>
            </w:pPr>
            <w:r/>
            <w:r>
              <w:rPr>
                <w:rFonts w:ascii="Arial" w:hAnsi="Arial"/>
                <w:b/>
                <w:sz w:val="20"/>
              </w:rPr>
              <w:t>Expo y EAS CLI</w:t>
            </w:r>
          </w:p>
        </w:tc>
        <w:tc>
          <w:tcPr>
            <w:tcW w:type="dxa" w:w="4561"/>
          </w:tcPr>
          <w:p>
            <w:pPr>
              <w:jc w:val="left"/>
            </w:pPr>
            <w:r/>
            <w:r>
              <w:rPr>
                <w:rFonts w:ascii="Arial" w:hAnsi="Arial"/>
                <w:b w:val="0"/>
                <w:sz w:val="20"/>
              </w:rPr>
              <w:t>Herramientas para la compilación y generación de la aplicación Android.</w:t>
            </w:r>
          </w:p>
        </w:tc>
      </w:tr>
      <w:tr>
        <w:tc>
          <w:tcPr>
            <w:tcW w:type="dxa" w:w="4561"/>
          </w:tcPr>
          <w:p>
            <w:pPr>
              <w:jc w:val="left"/>
            </w:pPr>
            <w:r/>
            <w:r>
              <w:rPr>
                <w:rFonts w:ascii="Arial" w:hAnsi="Arial"/>
                <w:b/>
                <w:sz w:val="20"/>
              </w:rPr>
              <w:t>MongoDB Atlas</w:t>
            </w:r>
          </w:p>
        </w:tc>
        <w:tc>
          <w:tcPr>
            <w:tcW w:type="dxa" w:w="4561"/>
          </w:tcPr>
          <w:p>
            <w:pPr>
              <w:jc w:val="left"/>
            </w:pPr>
            <w:r/>
            <w:r>
              <w:rPr>
                <w:rFonts w:ascii="Arial" w:hAnsi="Arial"/>
                <w:b w:val="0"/>
                <w:sz w:val="20"/>
              </w:rPr>
              <w:t>Servicio de base de datos en la nube (plan gratuito).</w:t>
            </w:r>
          </w:p>
        </w:tc>
      </w:tr>
      <w:tr>
        <w:tc>
          <w:tcPr>
            <w:tcW w:type="dxa" w:w="4561"/>
          </w:tcPr>
          <w:p>
            <w:pPr>
              <w:jc w:val="left"/>
            </w:pPr>
            <w:r/>
            <w:r>
              <w:rPr>
                <w:rFonts w:ascii="Arial" w:hAnsi="Arial"/>
                <w:b/>
                <w:sz w:val="20"/>
              </w:rPr>
              <w:t>Render</w:t>
            </w:r>
          </w:p>
        </w:tc>
        <w:tc>
          <w:tcPr>
            <w:tcW w:type="dxa" w:w="4561"/>
          </w:tcPr>
          <w:p>
            <w:pPr>
              <w:jc w:val="left"/>
            </w:pPr>
            <w:r/>
            <w:r>
              <w:rPr>
                <w:rFonts w:ascii="Arial" w:hAnsi="Arial"/>
                <w:b w:val="0"/>
                <w:sz w:val="20"/>
              </w:rPr>
              <w:t>Servicio de hospedaje en la nube para el servidor backend.</w:t>
            </w:r>
          </w:p>
        </w:tc>
      </w:tr>
      <w:tr>
        <w:tc>
          <w:tcPr>
            <w:tcW w:type="dxa" w:w="4561"/>
          </w:tcPr>
          <w:p>
            <w:pPr>
              <w:jc w:val="left"/>
            </w:pPr>
            <w:r/>
            <w:r>
              <w:rPr>
                <w:rFonts w:ascii="Arial" w:hAnsi="Arial"/>
                <w:b/>
                <w:sz w:val="20"/>
              </w:rPr>
              <w:t>Google Play Console</w:t>
            </w:r>
          </w:p>
        </w:tc>
        <w:tc>
          <w:tcPr>
            <w:tcW w:type="dxa" w:w="4561"/>
          </w:tcPr>
          <w:p>
            <w:pPr>
              <w:jc w:val="left"/>
            </w:pPr>
            <w:r/>
            <w:r>
              <w:rPr>
                <w:rFonts w:ascii="Arial" w:hAnsi="Arial"/>
                <w:b w:val="0"/>
                <w:sz w:val="20"/>
              </w:rPr>
              <w:t>Plataforma para la publicación y distribución de la aplicación.</w:t>
            </w:r>
          </w:p>
        </w:tc>
      </w:tr>
    </w:tbl>
    <w:p>
      <w:pPr>
        <w:spacing w:after="40"/>
      </w:pPr>
    </w:p>
    <w:p>
      <w:pPr>
        <w:spacing w:before="120" w:after="80"/>
      </w:pPr>
      <w:r>
        <w:rPr>
          <w:rFonts w:ascii="Arial" w:hAnsi="Arial"/>
          <w:b/>
          <w:sz w:val="22"/>
        </w:rPr>
        <w:t>Recursos de capital humano</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4E79"/>
          </w:tcPr>
          <w:p>
            <w:pPr>
              <w:jc w:val="center"/>
            </w:pPr>
            <w:r/>
            <w:r>
              <w:rPr>
                <w:rFonts w:ascii="Arial" w:hAnsi="Arial"/>
                <w:b/>
                <w:color w:val="FFFFFF"/>
                <w:sz w:val="20"/>
              </w:rPr>
              <w:t>Participante</w:t>
            </w:r>
          </w:p>
        </w:tc>
        <w:tc>
          <w:tcPr>
            <w:tcW w:type="dxa" w:w="4561"/>
            <w:shd w:val="clear" w:color="auto" w:fill="1F4E79"/>
          </w:tcPr>
          <w:p>
            <w:pPr>
              <w:jc w:val="center"/>
            </w:pPr>
            <w:r/>
            <w:r>
              <w:rPr>
                <w:rFonts w:ascii="Arial" w:hAnsi="Arial"/>
                <w:b/>
                <w:color w:val="FFFFFF"/>
                <w:sz w:val="20"/>
              </w:rPr>
              <w:t>Función en el proyecto</w:t>
            </w:r>
          </w:p>
        </w:tc>
      </w:tr>
      <w:tr>
        <w:tc>
          <w:tcPr>
            <w:tcW w:type="dxa" w:w="4561"/>
          </w:tcPr>
          <w:p>
            <w:pPr>
              <w:jc w:val="left"/>
            </w:pPr>
            <w:r/>
            <w:r>
              <w:rPr>
                <w:rFonts w:ascii="Arial" w:hAnsi="Arial"/>
                <w:b/>
                <w:sz w:val="20"/>
              </w:rPr>
              <w:t>Residente (desarrollador)</w:t>
            </w:r>
          </w:p>
        </w:tc>
        <w:tc>
          <w:tcPr>
            <w:tcW w:type="dxa" w:w="4561"/>
          </w:tcPr>
          <w:p>
            <w:pPr>
              <w:jc w:val="left"/>
            </w:pPr>
            <w:r/>
            <w:r>
              <w:rPr>
                <w:rFonts w:ascii="Arial" w:hAnsi="Arial"/>
                <w:b w:val="0"/>
                <w:sz w:val="20"/>
              </w:rPr>
              <w:t>Análisis, diseño, programación, pruebas y publicación de la aplicación.</w:t>
            </w:r>
          </w:p>
        </w:tc>
      </w:tr>
      <w:tr>
        <w:tc>
          <w:tcPr>
            <w:tcW w:type="dxa" w:w="4561"/>
          </w:tcPr>
          <w:p>
            <w:pPr>
              <w:jc w:val="left"/>
            </w:pPr>
            <w:r/>
            <w:r>
              <w:rPr>
                <w:rFonts w:ascii="Arial" w:hAnsi="Arial"/>
                <w:b/>
                <w:sz w:val="20"/>
              </w:rPr>
              <w:t>Asesor interno (docente)</w:t>
            </w:r>
          </w:p>
        </w:tc>
        <w:tc>
          <w:tcPr>
            <w:tcW w:type="dxa" w:w="4561"/>
          </w:tcPr>
          <w:p>
            <w:pPr>
              <w:jc w:val="left"/>
            </w:pPr>
            <w:r/>
            <w:r>
              <w:rPr>
                <w:rFonts w:ascii="Arial" w:hAnsi="Arial"/>
                <w:b w:val="0"/>
                <w:sz w:val="20"/>
              </w:rPr>
              <w:t>Supervisión académica y metodológica del proyecto.</w:t>
            </w:r>
          </w:p>
        </w:tc>
      </w:tr>
      <w:tr>
        <w:tc>
          <w:tcPr>
            <w:tcW w:type="dxa" w:w="4561"/>
          </w:tcPr>
          <w:p>
            <w:pPr>
              <w:jc w:val="left"/>
            </w:pPr>
            <w:r/>
            <w:r>
              <w:rPr>
                <w:rFonts w:ascii="Arial" w:hAnsi="Arial"/>
                <w:b/>
                <w:sz w:val="20"/>
              </w:rPr>
              <w:t>Contadores de los pozos</w:t>
            </w:r>
          </w:p>
        </w:tc>
        <w:tc>
          <w:tcPr>
            <w:tcW w:type="dxa" w:w="4561"/>
          </w:tcPr>
          <w:p>
            <w:pPr>
              <w:jc w:val="left"/>
            </w:pPr>
            <w:r/>
            <w:r>
              <w:rPr>
                <w:rFonts w:ascii="Arial" w:hAnsi="Arial"/>
                <w:b w:val="0"/>
                <w:sz w:val="20"/>
              </w:rPr>
              <w:t>Aportación de las reglas de distribución y validación del sistema.</w:t>
            </w:r>
          </w:p>
        </w:tc>
      </w:tr>
      <w:tr>
        <w:tc>
          <w:tcPr>
            <w:tcW w:type="dxa" w:w="4561"/>
          </w:tcPr>
          <w:p>
            <w:pPr>
              <w:jc w:val="left"/>
            </w:pPr>
            <w:r/>
            <w:r>
              <w:rPr>
                <w:rFonts w:ascii="Arial" w:hAnsi="Arial"/>
                <w:b/>
                <w:sz w:val="20"/>
              </w:rPr>
              <w:t>Socios de las comunidades</w:t>
            </w:r>
          </w:p>
        </w:tc>
        <w:tc>
          <w:tcPr>
            <w:tcW w:type="dxa" w:w="4561"/>
          </w:tcPr>
          <w:p>
            <w:pPr>
              <w:jc w:val="left"/>
            </w:pPr>
            <w:r/>
            <w:r>
              <w:rPr>
                <w:rFonts w:ascii="Arial" w:hAnsi="Arial"/>
                <w:b w:val="0"/>
                <w:sz w:val="20"/>
              </w:rPr>
              <w:t>Participación en las pruebas de usabilidad y funcionamiento.</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