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Georgia" w:cs="Georgia" w:eastAsia="Georgia" w:hAnsi="Georgia"/>
          <w:b/>
          <w:bCs/>
          <w:color w:val="1F3B57"/>
          <w:sz w:val="56"/>
          <w:szCs w:val="56"/>
        </w:rPr>
        <w:t xml:space="preserve">Banking the Flood</w:t>
      </w:r>
    </w:p>
    <w:p>
      <w:pPr>
        <w:spacing w:after="480"/>
        <w:jc w:val="center"/>
      </w:pPr>
      <w:r>
        <w:rPr>
          <w:rFonts w:ascii="Georgia" w:cs="Georgia" w:eastAsia="Georgia" w:hAnsi="Georgia"/>
          <w:i/>
          <w:iCs/>
          <w:color w:val="2E5E8C"/>
          <w:sz w:val="30"/>
          <w:szCs w:val="30"/>
        </w:rPr>
        <w:t xml:space="preserve">Continental-Scale Managed Aquifer Recharge as Seasonal Storage for Europe's Rivers</w:t>
      </w:r>
    </w:p>
    <w:p>
      <w:pPr>
        <w:spacing w:after="120"/>
        <w:jc w:val="center"/>
      </w:pPr>
      <w:r>
        <w:rPr>
          <w:rFonts w:ascii="Georgia" w:cs="Georgia" w:eastAsia="Georgia" w:hAnsi="Georgia"/>
          <w:sz w:val="24"/>
          <w:szCs w:val="24"/>
        </w:rPr>
        <w:t xml:space="preserve">A Concept White Paper</w:t>
      </w:r>
    </w:p>
    <w:p>
      <w:pPr>
        <w:jc w:val="center"/>
      </w:pPr>
      <w:r>
        <w:rPr>
          <w:rFonts w:ascii="Georgia" w:cs="Georgia" w:eastAsia="Georgia" w:hAnsi="Georgia"/>
          <w:color w:val="666666"/>
          <w:sz w:val="22"/>
          <w:szCs w:val="22"/>
        </w:rPr>
        <w:t xml:space="preserve">Working draft — August 2026</w:t>
      </w:r>
    </w:p>
    <w:p>
      <w:r>
        <w:br w:type="page"/>
      </w:r>
    </w:p>
    <w:p>
      <w:pPr>
        <w:pStyle w:val="Heading1"/>
        <w:spacing w:after="200" w:before="360"/>
      </w:pPr>
      <w:r>
        <w:rPr>
          <w:rFonts w:ascii="Georgia" w:cs="Georgia" w:eastAsia="Georgia" w:hAnsi="Georgia"/>
          <w:b/>
          <w:bCs/>
          <w:color w:val="1F3B57"/>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Georgia" w:cs="Georgia" w:eastAsia="Georgia" w:hAnsi="Georgia"/>
          <w:b/>
          <w:bCs/>
          <w:color w:val="1F3B57"/>
          <w:sz w:val="30"/>
          <w:szCs w:val="30"/>
        </w:rPr>
        <w:t xml:space="preserve">Executive Summary</w:t>
      </w:r>
    </w:p>
    <w:p>
      <w:pPr>
        <w:spacing w:after="160" w:line="300"/>
        <w:jc w:val="both"/>
      </w:pPr>
      <w:r>
        <w:rPr>
          <w:rFonts w:ascii="Georgia" w:cs="Georgia" w:eastAsia="Georgia" w:hAnsi="Georgia"/>
          <w:sz w:val="22"/>
          <w:szCs w:val="22"/>
        </w:rPr>
        <w:t xml:space="preserve">Europe's great rivers are losing the natural storage that made them reliable. Alpine snowpack and glaciers historically banked winter precipitation and released it through the summer, sustaining navigation depths on the Rhine and Danube, cooling water for thermal and nuclear power plants, and baseflow for ecosystems. That reservoir is draining as the climate warms, and the droughts of 2018, 2022, and the current 2026 event have shown what its absence costs: freight stoppages, curtailed power generation, industrial shutdowns, and losses estimated at tens of billions of euros in a single season.</w:t>
      </w:r>
    </w:p>
    <w:p>
      <w:pPr>
        <w:spacing w:after="160" w:line="300"/>
        <w:jc w:val="both"/>
      </w:pPr>
      <w:r>
        <w:rPr>
          <w:rFonts w:ascii="Georgia" w:cs="Georgia" w:eastAsia="Georgia" w:hAnsi="Georgia"/>
          <w:sz w:val="22"/>
          <w:szCs w:val="22"/>
        </w:rPr>
        <w:t xml:space="preserve">Conventional surface storage cannot replace this buffer. The good Alpine dam sites are already developed and committed to winter power generation; the middle and lower river corridors are too densely settled to flood. This paper assesses a different instrument: continuous, distributed managed aquifer recharge (MAR) operated at basin scale — diverting a modest fraction of winter and flood flows into infiltration systems across tributary valleys and major sedimentary basins, and letting the resulting groundwater mound return to the rivers as elevated, near-constant baseflow.</w:t>
      </w:r>
    </w:p>
    <w:p>
      <w:pPr>
        <w:spacing w:after="160" w:line="300"/>
        <w:jc w:val="both"/>
      </w:pPr>
      <w:r>
        <w:rPr>
          <w:rFonts w:ascii="Georgia" w:cs="Georgia" w:eastAsia="Georgia" w:hAnsi="Georgia"/>
          <w:sz w:val="22"/>
          <w:szCs w:val="22"/>
        </w:rPr>
        <w:t xml:space="preserve">The central insight is that continuous operation converts a slow, passive storage medium into a hydrograph-smoothing machine. At steady state, water diverted at any time of year returns as year-round baseflow; the summer fraction of that return is the prize, and multi-year residence times provide something no European surface reservoir can offer — a wet year propping up a dry one. Because the diverted water is returned to the same river system rather than consumed, the correct framing is banking, not abstraction: each cubic meter is delayed several months to several years and performs additional work in transit — flood peaks shaved, failing groundwater bodies replenished, wetlands re-wetted, summer river temperatures moderated, and saline intrusion resisted in the deltas.</w:t>
      </w:r>
    </w:p>
    <w:p>
      <w:pPr>
        <w:spacing w:after="160" w:line="300"/>
        <w:jc w:val="both"/>
      </w:pPr>
      <w:r>
        <w:rPr>
          <w:rFonts w:ascii="Georgia" w:cs="Georgia" w:eastAsia="Georgia" w:hAnsi="Georgia"/>
          <w:sz w:val="22"/>
          <w:szCs w:val="22"/>
        </w:rPr>
        <w:t xml:space="preserve">Our screening-level assessment finds a plausible continental program of roughly 20–34 km³ per year of continuous recharge across the Rhine, Danube, Po, Rhône, Loire/Seine, Elbe/Oder, and Iberian basins. After realistic recovery losses (50–70 percent efficiency), this yields on the order of 400–700 m³/s of added baseflow distributed across Europe's rivers — for the Rhine, plausibly 25–40 cm of stage at the Kaub navigation bottleneck in a drought year, closing a substantial fraction of the gap in a 2022-type event. Published levelized costs for well-sited infiltration schemes run US$0.04–0.36 per cubic meter (median near $0.10; Vanderzalm et al., 2022), implying a continental operating scale of low single-digit billions of euros per year. Against this stand the 2022 compound drought and heat event, assessed by the European Environment Agency at roughly €40 billion, the 2015–2018 multi-year drought, recently estimated at €439 billion in cumulative losses, and baseline drought losses of around €9 billion per year in the EU and UK.</w:t>
      </w:r>
    </w:p>
    <w:p>
      <w:pPr>
        <w:spacing w:after="160" w:line="300"/>
        <w:jc w:val="both"/>
      </w:pPr>
      <w:r>
        <w:rPr>
          <w:rFonts w:ascii="Georgia" w:cs="Georgia" w:eastAsia="Georgia" w:hAnsi="Georgia"/>
          <w:sz w:val="22"/>
          <w:szCs w:val="22"/>
        </w:rPr>
        <w:t xml:space="preserve">Critically, no component of this proposal is unproven. Europe operates more than 220 active MAR sites across 23 countries, several of them at large scale and over a century old. Treated Rhine water has been infiltrated into the Hessisches Ried aquifer since 1989 under a formal groundwater management plan; Amsterdam has run Rhine-fed dune infiltration since the 1950s; and the United Kingdom's Shropshire Groundwater Scheme is, at this writing, pumping roughly 200 million liters per day of stored groundwater into the River Severn for the express purpose of supporting river flow through drought. What has never been attempted is the assembly of these proven parts at basin scale for the express purpose of reshaping river hydrographs.</w:t>
      </w:r>
    </w:p>
    <w:p>
      <w:pPr>
        <w:spacing w:after="160" w:line="300"/>
        <w:jc w:val="both"/>
      </w:pPr>
      <w:r>
        <w:rPr>
          <w:rFonts w:ascii="Georgia" w:cs="Georgia" w:eastAsia="Georgia" w:hAnsi="Georgia"/>
          <w:sz w:val="22"/>
          <w:szCs w:val="22"/>
        </w:rPr>
        <w:t xml:space="preserve">The binding constraints are not hydrological. They are operational (clogging management is the dominant O&amp;M cost, comparable in character to navigation dredging), institutional (banked groundwater requires legal protection through water-banking credit registries, for which Arizona provides a working precedent), and political (the Danube alone touches ten countries). This paper proposes a phased path from instrumented pilots to basin-scale programs that treats these constraints as the design problem they are.</w:t>
      </w:r>
    </w:p>
    <w:p>
      <w:pPr>
        <w:pStyle w:val="Heading1"/>
        <w:spacing w:after="200" w:before="360"/>
      </w:pPr>
      <w:r>
        <w:rPr>
          <w:rFonts w:ascii="Georgia" w:cs="Georgia" w:eastAsia="Georgia" w:hAnsi="Georgia"/>
          <w:b/>
          <w:bCs/>
          <w:color w:val="1F3B57"/>
          <w:sz w:val="30"/>
          <w:szCs w:val="30"/>
        </w:rPr>
        <w:t xml:space="preserve">1. The Problem: Europe's Rivers Are Losing Their Buffer</w:t>
      </w:r>
    </w:p>
    <w:p>
      <w:pPr>
        <w:spacing w:after="160" w:line="300"/>
        <w:jc w:val="both"/>
      </w:pPr>
      <w:r>
        <w:rPr>
          <w:rFonts w:ascii="Georgia" w:cs="Georgia" w:eastAsia="Georgia" w:hAnsi="Georgia"/>
          <w:sz w:val="22"/>
          <w:szCs w:val="22"/>
        </w:rPr>
        <w:t xml:space="preserve">The Rhine and Danube are not merely rivers; they are the load-bearing infrastructure of European industry. German industrial power concentrated historically around the Rhine–Ruhr confluence; Rotterdam, at the Rhine's mouth, became Europe's busiest port; the Danube carries Ukrainian grain and supplies ten riparian states. Both rivers also cool nuclear and thermal plants and host run-of-river hydropower along their lengths.</w:t>
      </w:r>
    </w:p>
    <w:p>
      <w:pPr>
        <w:spacing w:after="160" w:line="300"/>
        <w:jc w:val="both"/>
      </w:pPr>
      <w:r>
        <w:rPr>
          <w:rFonts w:ascii="Georgia" w:cs="Georgia" w:eastAsia="Georgia" w:hAnsi="Georgia"/>
          <w:sz w:val="22"/>
          <w:szCs w:val="22"/>
        </w:rPr>
        <w:t xml:space="preserve">Their summer reliability has always rested on cryospheric storage. Winter precipitation accumulated as Alpine snow and glacier ice and was metered out through the melt season, augmented by delayed groundwater discharge from valley aquifers. This natural system stored volumes that no European dam program ever attempted to match. Climate change is dismantling it on two fronts simultaneously: glaciers are in terminal retreat, and a rising snowline converts winter snowfall into winter rainfall that runs off immediately — fattening the winter hydrograph and starving the summer one. Summer precipitation is itself projected to decline across much of central and southern Europe.</w:t>
      </w:r>
    </w:p>
    <w:p>
      <w:pPr>
        <w:spacing w:after="160" w:line="300"/>
        <w:jc w:val="both"/>
      </w:pPr>
      <w:r>
        <w:rPr>
          <w:rFonts w:ascii="Georgia" w:cs="Georgia" w:eastAsia="Georgia" w:hAnsi="Georgia"/>
          <w:sz w:val="22"/>
          <w:szCs w:val="22"/>
        </w:rPr>
        <w:t xml:space="preserve">The consequences are no longer hypothetical, and the reference events are stacking up. In 2018, the Kaub gauge — the Rhine's critical navigation bottleneck — spent more than 130 consecutive days below the 78 cm reference level and bottomed at a then-record 25 cm; BASF alone attributed roughly €250 million in production losses to the disruption. In August 2022 Kaub fell to about 32 cm during Europe's energy crisis, with low-water surcharges pushing barge freight rates to five or six times normal. In August 2026, as this paper is drafted, Kaub has fallen to roughly 16–17 cm — the lowest reading since records began in 1880 — with brokers describing the river as effectively impassable at the bottleneck and industry warning of southern Germany being cut off from North Sea ports. In parallel drought years, a Romanian nuclear plant cooled by the Danube was shut down, automakers idled production for lack of power, and record-low stages exposed scuttled wartime ships on the riverbeds. Navigation economics are brutally nonlinear near the draft cutoff — a loaded barge either passes Kaub or it does not — so modest changes in stage at the margin carry disproportionate economic weight. The strategic question is whether Europe can rebuild, by design, a portion of the seasonal buffer that the mountains are surrendering.</w:t>
      </w:r>
    </w:p>
    <w:p>
      <w:pPr>
        <w:pStyle w:val="Heading1"/>
        <w:spacing w:after="200" w:before="360"/>
      </w:pPr>
      <w:r>
        <w:rPr>
          <w:rFonts w:ascii="Georgia" w:cs="Georgia" w:eastAsia="Georgia" w:hAnsi="Georgia"/>
          <w:b/>
          <w:bCs/>
          <w:color w:val="1F3B57"/>
          <w:sz w:val="30"/>
          <w:szCs w:val="30"/>
        </w:rPr>
        <w:t xml:space="preserve">2. Why Surface Storage Cannot Close the Gap</w:t>
      </w:r>
    </w:p>
    <w:p>
      <w:pPr>
        <w:spacing w:after="160" w:line="300"/>
        <w:jc w:val="both"/>
      </w:pPr>
      <w:r>
        <w:rPr>
          <w:rFonts w:ascii="Georgia" w:cs="Georgia" w:eastAsia="Georgia" w:hAnsi="Georgia"/>
          <w:sz w:val="22"/>
          <w:szCs w:val="22"/>
        </w:rPr>
        <w:t xml:space="preserve">Europe is not short of dams. Spain ranks among the most dammed countries on Earth per capita, and the Alps hold one of the world's densest concentrations of hydropower reservoirs. But this storage was built for a different job. Alpine reservoirs in Switzerland and Austria bank summer melt to generate electricity in winter, when demand peaks — approximately the opposite release schedule from what summer navigation and cooling require. The Rhine and Danube mainstems are otherwise largely free-flowing or run-of-river, with nothing resembling the carry-over storage of the American West, where Lakes Mead and Powell together hold roughly four years of the Colorado's entire flow.</w:t>
      </w:r>
    </w:p>
    <w:p>
      <w:pPr>
        <w:spacing w:after="160" w:line="300"/>
        <w:jc w:val="both"/>
      </w:pPr>
      <w:r>
        <w:rPr>
          <w:rFonts w:ascii="Georgia" w:cs="Georgia" w:eastAsia="Georgia" w:hAnsi="Georgia"/>
          <w:sz w:val="22"/>
          <w:szCs w:val="22"/>
        </w:rPr>
        <w:t xml:space="preserve">Building Colorado-style storage in Europe fails on siting arithmetic. Buffering even a 500 m³/s summer deficit on the Rhine for three months requires on the order of 4 km³ of dedicated storage — comparable to Switzerland's entire existing reservoir fleet, all of which is committed. The steep Alpine valleys suitable for large dams are already developed; the middle and lower reaches cross some of the most densely settled and capital-intensive land on the planet. There is no European Glen Canyon left to flood, and policy runs the other way in any case: the Water Framework Directive and EU restoration targets have member states removing river barriers, not adding them. Any new mainstem storage on the Danube would additionally require agreement among ten sovereign states.</w:t>
      </w:r>
    </w:p>
    <w:p>
      <w:pPr>
        <w:spacing w:after="160" w:line="300"/>
        <w:jc w:val="both"/>
      </w:pPr>
      <w:r>
        <w:rPr>
          <w:rFonts w:ascii="Georgia" w:cs="Georgia" w:eastAsia="Georgia" w:hAnsi="Georgia"/>
          <w:sz w:val="22"/>
          <w:szCs w:val="22"/>
        </w:rPr>
        <w:t xml:space="preserve">The highest-leverage surface-water measure available is not construction but renegotiation: re-optimizing release contracts on existing Alpine storage to shift a portion of releases into the summer months. That lever is real, fast, and should be pulled — but it is bounded by winter power demand and cannot alone replace a shrinking cryosphere. The remaining storage capacity in Europe is underground.</w:t>
      </w:r>
    </w:p>
    <w:p>
      <w:pPr>
        <w:pStyle w:val="Heading1"/>
        <w:spacing w:after="200" w:before="360"/>
      </w:pPr>
      <w:r>
        <w:rPr>
          <w:rFonts w:ascii="Georgia" w:cs="Georgia" w:eastAsia="Georgia" w:hAnsi="Georgia"/>
          <w:b/>
          <w:bCs/>
          <w:color w:val="1F3B57"/>
          <w:sz w:val="30"/>
          <w:szCs w:val="30"/>
        </w:rPr>
        <w:t xml:space="preserve">3. The Proposal: Continuous, Distributed Managed Aquifer Recharge</w:t>
      </w:r>
    </w:p>
    <w:p>
      <w:pPr>
        <w:pStyle w:val="Heading2"/>
        <w:spacing w:after="160" w:before="280"/>
      </w:pPr>
      <w:r>
        <w:rPr>
          <w:rFonts w:ascii="Georgia" w:cs="Georgia" w:eastAsia="Georgia" w:hAnsi="Georgia"/>
          <w:b/>
          <w:bCs/>
          <w:color w:val="2E5E8C"/>
          <w:sz w:val="25"/>
          <w:szCs w:val="25"/>
        </w:rPr>
        <w:t xml:space="preserve">3.1 Concept</w:t>
      </w:r>
    </w:p>
    <w:p>
      <w:pPr>
        <w:spacing w:after="160" w:line="300"/>
        <w:jc w:val="both"/>
      </w:pPr>
      <w:r>
        <w:rPr>
          <w:rFonts w:ascii="Georgia" w:cs="Georgia" w:eastAsia="Georgia" w:hAnsi="Georgia"/>
          <w:sz w:val="22"/>
          <w:szCs w:val="22"/>
        </w:rPr>
        <w:t xml:space="preserve">Managed aquifer recharge is a mature technique: divert surface water into infiltration basins, spreading grounds, injection wells, seasonally flooded farmland, or leaky check structures, and store it in the pore space of an aquifer. Europe already practices it — Amsterdam has run dune infiltration for over a century, Bavaria and the Netherlands operate and are expanding programs, and the rice paddies of Lombardy function as accidental MAR at meaningful scale today. What this paper proposes is a change of purpose and of scale: operating MAR continuously, across entire basins, with the explicit objective of hydrograph smoothing — redistributing winter and flood flows into summer baseflow for the rivers themselves.</w:t>
      </w:r>
    </w:p>
    <w:p>
      <w:pPr>
        <w:spacing w:after="160" w:line="300"/>
        <w:jc w:val="both"/>
      </w:pPr>
      <w:r>
        <w:rPr>
          <w:rFonts w:ascii="Georgia" w:cs="Georgia" w:eastAsia="Georgia" w:hAnsi="Georgia"/>
          <w:sz w:val="22"/>
          <w:szCs w:val="22"/>
        </w:rPr>
        <w:t xml:space="preserve">The essential reframing is that an aquifer's apparent weakness as storage — it cannot be dispatched on demand, only seeps back slowly — becomes its defining virtue when the goal is converting peak flows into average flows. Delayed groundwater discharge is already the mechanism that sustains the Rhine in late summer; the proposal amplifies an existing natural process rather than inventing a new one. Recharge water raises the water table in valley aquifers hydraulically connected to the river network; the elevated gradient drives increased discharge back to the streams, distributed smoothly across the year.</w:t>
      </w:r>
    </w:p>
    <w:p>
      <w:pPr>
        <w:pStyle w:val="Heading2"/>
        <w:spacing w:after="160" w:before="280"/>
      </w:pPr>
      <w:r>
        <w:rPr>
          <w:rFonts w:ascii="Georgia" w:cs="Georgia" w:eastAsia="Georgia" w:hAnsi="Georgia"/>
          <w:b/>
          <w:bCs/>
          <w:color w:val="2E5E8C"/>
          <w:sz w:val="25"/>
          <w:szCs w:val="25"/>
        </w:rPr>
        <w:t xml:space="preserve">3.2 The steady-state logic of continuous operation</w:t>
      </w:r>
    </w:p>
    <w:p>
      <w:pPr>
        <w:spacing w:after="160" w:line="300"/>
        <w:jc w:val="both"/>
      </w:pPr>
      <w:r>
        <w:rPr>
          <w:rFonts w:ascii="Georgia" w:cs="Georgia" w:eastAsia="Georgia" w:hAnsi="Georgia"/>
          <w:sz w:val="22"/>
          <w:szCs w:val="22"/>
        </w:rPr>
        <w:t xml:space="preserve">A single recharge event returns to the river over a residence-time distribution — some water in months, some in years. Under continuous operation this distinction stops mattering. Once the groundwater mound equilibrates, annual outflow equals annual inflow: divert 1 km³ per year, and the system returns approximately 32 m³/s of near-constant additional baseflow, indefinitely. The winter portion of that return is irrelevant noise against high winter flows; the summer portion is pure gain precisely when the river needs it. Residence times of three to nine months are therefore a floor for siting, not a target: sites with multi-year travel times contribute equally at steady state and add the further benefit of inter-annual carry-over — a wet 2024 propping up a dry 2026 — which no existing European reservoir provides.</w:t>
      </w:r>
    </w:p>
    <w:p>
      <w:pPr>
        <w:spacing w:after="160" w:line="300"/>
        <w:jc w:val="both"/>
      </w:pPr>
      <w:r>
        <w:rPr>
          <w:rFonts w:ascii="Georgia" w:cs="Georgia" w:eastAsia="Georgia" w:hAnsi="Georgia"/>
          <w:sz w:val="22"/>
          <w:szCs w:val="22"/>
        </w:rPr>
        <w:t xml:space="preserve">Residence time remains the principal siting variable. Groundwater travel time to the receiving stream is a mappable hydrogeological property, a function of distance from the channel and sediment transmissivity, allowing recharge districts to be deliberately located along a spectrum from seasonal responders (months) to drought bankers (years). Recharge placed too close to the channel builds an expensive puddle that drains back within weeks; the design discipline is to spend the recharge budget above that threshold.</w:t>
      </w:r>
    </w:p>
    <w:p>
      <w:pPr>
        <w:pStyle w:val="Heading2"/>
        <w:spacing w:after="160" w:before="280"/>
      </w:pPr>
      <w:r>
        <w:rPr>
          <w:rFonts w:ascii="Georgia" w:cs="Georgia" w:eastAsia="Georgia" w:hAnsi="Georgia"/>
          <w:b/>
          <w:bCs/>
          <w:color w:val="2E5E8C"/>
          <w:sz w:val="25"/>
          <w:szCs w:val="25"/>
        </w:rPr>
        <w:t xml:space="preserve">3.3 Where the water comes from</w:t>
      </w:r>
    </w:p>
    <w:p>
      <w:pPr>
        <w:spacing w:after="160" w:line="300"/>
        <w:jc w:val="both"/>
      </w:pPr>
      <w:r>
        <w:rPr>
          <w:rFonts w:ascii="Georgia" w:cs="Georgia" w:eastAsia="Georgia" w:hAnsi="Georgia"/>
          <w:sz w:val="22"/>
          <w:szCs w:val="22"/>
        </w:rPr>
        <w:t xml:space="preserve">The divertible resource is winter and flood water, and it is larger than a first analysis suggests. The Rhine carries roughly 44 km³ in the winter half-year alone, and flood events routinely push more than 5,000 m³/s past Kaub when the navigation channel requires perhaps 1,500–2,000. The practical constraint is intake capacity rather than water availability: flood crests are brief, so capturing them alone demands large diversion works that sit idle most of the year. A continuous winter skim of 300–500 m³/s — barely visible against winter flows — captures 5–8 km³ per season on a Rhine-scale river without any flood infrastructure at all. Opportunistic flood-crest capture layers on top wherever intakes already exist: former gravel pits, disused navigation works, and the gate-controlled Rhine distributaries the Netherlands already manages.</w:t>
      </w:r>
    </w:p>
    <w:p>
      <w:pPr>
        <w:spacing w:after="160" w:line="300"/>
        <w:jc w:val="both"/>
      </w:pPr>
      <w:r>
        <w:rPr>
          <w:rFonts w:ascii="Georgia" w:cs="Georgia" w:eastAsia="Georgia" w:hAnsi="Georgia"/>
          <w:sz w:val="22"/>
          <w:szCs w:val="22"/>
        </w:rPr>
        <w:t xml:space="preserve">One design rule carries the environmental case: skim above bankfull, not below it. Rivers need their ordinary high flows for sediment transport, channel maintenance, and floodplain connection; it is the damaging crests above that threshold that are ecologically cheap to divert. Set correctly basin by basin, the diversion threshold ensures no beneficial use is diminished anywhere in the system — while the same diverted crests are the ones that destroy property and take lives, as the 2021 Ahr valley flood, with more than 180 dead, made brutally clear. Flood-MAR is an established, named strategy; California is piloting it on farmland for exactly this dual purpose. Every cubic meter counted as flood damage avoided is counted a second time as summer baseflow gained.</w:t>
      </w:r>
    </w:p>
    <w:p>
      <w:pPr>
        <w:pStyle w:val="Heading2"/>
        <w:spacing w:after="160" w:before="280"/>
      </w:pPr>
      <w:r>
        <w:rPr>
          <w:rFonts w:ascii="Georgia" w:cs="Georgia" w:eastAsia="Georgia" w:hAnsi="Georgia"/>
          <w:b/>
          <w:bCs/>
          <w:color w:val="2E5E8C"/>
          <w:sz w:val="25"/>
          <w:szCs w:val="25"/>
        </w:rPr>
        <w:t xml:space="preserve">3.4 Where the water goes</w:t>
      </w:r>
    </w:p>
    <w:p>
      <w:pPr>
        <w:spacing w:after="160" w:line="300"/>
        <w:jc w:val="both"/>
      </w:pPr>
      <w:r>
        <w:rPr>
          <w:rFonts w:ascii="Georgia" w:cs="Georgia" w:eastAsia="Georgia" w:hAnsi="Georgia"/>
          <w:sz w:val="22"/>
          <w:szCs w:val="22"/>
        </w:rPr>
        <w:t xml:space="preserve">Europe's large sedimentary basins provide storage headroom that costs nothing to build. The Upper Rhine Graben aquifer holds on the order of 45 km³. The Pannonian Basin beneath the Danube is vast and, critically, depleted — the Danube–Tisza interfluve has lost meters of water table over decades, meaning recharge there is not merely storage but restoration of a failing groundwater body. Parts of the Po Plain are similarly drawn down. In densely developed corridors the usable headroom is capped from above: water tables can be raised only until basements, tunnels, and agricultural drainage begin to flood, and in the dense Rhine corridor that ceiling arrives early. The continental portfolio therefore weights recharge toward depleted basins and rural valley fill, with urban reaches taking only what their headroom allows.</w:t>
      </w:r>
    </w:p>
    <w:p>
      <w:pPr>
        <w:spacing w:after="160" w:line="300"/>
        <w:jc w:val="both"/>
      </w:pPr>
      <w:r>
        <w:rPr>
          <w:rFonts w:ascii="Georgia" w:cs="Georgia" w:eastAsia="Georgia" w:hAnsi="Georgia"/>
          <w:sz w:val="22"/>
          <w:szCs w:val="22"/>
        </w:rPr>
        <w:t xml:space="preserve">Infiltration land is a manageable constraint at continental scale. At typical long-term basin infiltration rates of order 30 m/yr — already discounted for clogging downtime — 5 km³/yr requires roughly 170 km² of active infiltration surface per large basin. Dual-use land supplies most of it: winter flooding of farmland on the California Ag-MAR model, existing rice paddies, restored floodplains, former gravel workings, and thousands of leaky check structures across tributary reaches. Distributed over basins exceeding 100,000 km², this is a land-management program, not a land grab.</w:t>
      </w:r>
    </w:p>
    <w:p>
      <w:pPr>
        <w:pStyle w:val="Heading1"/>
        <w:spacing w:after="200" w:before="360"/>
      </w:pPr>
      <w:r>
        <w:rPr>
          <w:rFonts w:ascii="Georgia" w:cs="Georgia" w:eastAsia="Georgia" w:hAnsi="Georgia"/>
          <w:b/>
          <w:bCs/>
          <w:color w:val="1F3B57"/>
          <w:sz w:val="30"/>
          <w:szCs w:val="30"/>
        </w:rPr>
        <w:t xml:space="preserve">4. Precedents: Every Component Already Operates in Europe</w:t>
      </w:r>
    </w:p>
    <w:p>
      <w:pPr>
        <w:spacing w:after="160" w:line="300"/>
        <w:jc w:val="both"/>
      </w:pPr>
      <w:r>
        <w:rPr>
          <w:rFonts w:ascii="Georgia" w:cs="Georgia" w:eastAsia="Georgia" w:hAnsi="Georgia"/>
          <w:sz w:val="22"/>
          <w:szCs w:val="22"/>
        </w:rPr>
        <w:t xml:space="preserve">The 2017 European MAR inventory catalogued 224 active managed aquifer recharge sites across 23 countries, with large drinking-water volumes produced in Hungary, Slovakia, the Netherlands, Germany, Finland, Poland, Switzerland and France, and a documented operating history exceeding a century (Sprenger et al., 2017). The technique is not exotic anywhere along the target rivers; what follows are the precedents most directly on point for this proposal, ordered by how much of the concept each one already demonstrates.</w:t>
      </w:r>
    </w:p>
    <w:p>
      <w:pPr>
        <w:pStyle w:val="Heading2"/>
        <w:spacing w:after="160" w:before="280"/>
      </w:pPr>
      <w:r>
        <w:rPr>
          <w:rFonts w:ascii="Georgia" w:cs="Georgia" w:eastAsia="Georgia" w:hAnsi="Georgia"/>
          <w:b/>
          <w:bCs/>
          <w:color w:val="2E5E8C"/>
          <w:sz w:val="25"/>
          <w:szCs w:val="25"/>
        </w:rPr>
        <w:t xml:space="preserve">4.1 Rhine and Rhône water is already being infiltrated at scale</w:t>
      </w:r>
    </w:p>
    <w:p>
      <w:pPr>
        <w:spacing w:after="160" w:line="300"/>
        <w:jc w:val="both"/>
      </w:pPr>
      <w:r>
        <w:rPr>
          <w:rFonts w:ascii="Georgia" w:cs="Georgia" w:eastAsia="Georgia" w:hAnsi="Georgia"/>
          <w:sz w:val="22"/>
          <w:szCs w:val="22"/>
        </w:rPr>
        <w:t xml:space="preserve">The closest existing analog to this paper's proposal is the Hessisches Ried scheme southwest of Frankfurt. Since 1989, Rhine water withdrawn at Biebesheim has been treated (ozonation and activated carbon in a multi-barrier train) and infiltrated into the Ried aquifer under a formal state groundwater management plan that legally defines minimum and maximum groundwater levels, steered monthly against roughly 850 monitoring wells. Treatment capacity is 43 million m³ per year, of which 38 is allocated to infiltration; in the drought year 2022 the scheme infiltrated 35 million m³. Its stated purposes — stabilizing groundwater levels independent of natural winter recharge, protecting drinking-water supply and groundwater-dependent forests — are this paper's purposes in miniature, achieved with the same source water in the same corridor. Amsterdam's dune system tells the same story at similar scale and greater age: pre-treated Rhine water has been piped roughly 65 km to infiltration basins in the coastal dunes since the 1950s, supporting production of about 90 million m³ per year, roughly two-thirds of the city's supply, while pushing back saline intrusion. Lyon's Crépieux-Charmy wellfield — at 375 hectares the largest drinking-water catchment in Europe, supplying 1.3 million people from the Rhône's accompanying alluvial aquifer — uses twelve infiltration basins to manage levels and protect the field, and has operated a formal basin-maintenance protocol against clogging for decades. Berlin, meanwhile, draws the majority of its drinking water through induced bank filtration, groundwater and river exchanged through the aquifer at city scale.</w:t>
      </w:r>
    </w:p>
    <w:p>
      <w:pPr>
        <w:pStyle w:val="Heading2"/>
        <w:spacing w:after="160" w:before="280"/>
      </w:pPr>
      <w:r>
        <w:rPr>
          <w:rFonts w:ascii="Georgia" w:cs="Georgia" w:eastAsia="Georgia" w:hAnsi="Georgia"/>
          <w:b/>
          <w:bCs/>
          <w:color w:val="2E5E8C"/>
          <w:sz w:val="25"/>
          <w:szCs w:val="25"/>
        </w:rPr>
        <w:t xml:space="preserve">4.2 Distributed and agricultural recharge is running in the target basins</w:t>
      </w:r>
    </w:p>
    <w:p>
      <w:pPr>
        <w:spacing w:after="160" w:line="300"/>
        <w:jc w:val="both"/>
      </w:pPr>
      <w:r>
        <w:rPr>
          <w:rFonts w:ascii="Georgia" w:cs="Georgia" w:eastAsia="Georgia" w:hAnsi="Georgia"/>
          <w:sz w:val="22"/>
          <w:szCs w:val="22"/>
        </w:rPr>
        <w:t xml:space="preserve">In the Veneto, Forested Infiltration Areas — plantation woodlots flooded through the non-irrigation months via the existing canal network — have been developed since the late 2000s precisely to replenish the declining aquifers of the high Venetian plain; measured performance reaches roughly one million m³ per hectare per year, and Veneto Agricoltura has promoted a regional FIA system as strategic groundwater policy (Mezzalira et al., 2014). In the Lombardy–Piedmont rice belt, winter flooding of paddies has been studied as deliberate Ag-MAR under the RISTEC project, confirming that the practice raises groundwater levels into the spring irrigation season, and the ongoing MAURICE Interreg project is testing the region's ancient irrigation-canal network as ready-made recharge infrastructure for drought mitigation. In Central Europe, the DEEPWATER-CE project (2019–2022) built a full transnational implementation framework for MAR with pilot feasibility studies in Hungary, Poland, Slovakia and Croatia — including suitability mapping of the Danube–Tisza interfluve, where groundwater has declined for decades and where earlier large-scale replenishment plans were repeatedly drawn up but never executed. Near Toulouse, a current project proposes routing spring snowmelt surplus from the Saint-Martory irrigation canal into aquifer recharge — seasonal redistribution of Pyrenean melt, which is the Alpine logic of this paper applied to a smaller mountain range.</w:t>
      </w:r>
    </w:p>
    <w:p>
      <w:pPr>
        <w:pStyle w:val="Heading2"/>
        <w:spacing w:after="160" w:before="280"/>
      </w:pPr>
      <w:r>
        <w:rPr>
          <w:rFonts w:ascii="Georgia" w:cs="Georgia" w:eastAsia="Georgia" w:hAnsi="Georgia"/>
          <w:b/>
          <w:bCs/>
          <w:color w:val="2E5E8C"/>
          <w:sz w:val="25"/>
          <w:szCs w:val="25"/>
        </w:rPr>
        <w:t xml:space="preserve">4.3 The river-support purpose has an operating proof</w:t>
      </w:r>
    </w:p>
    <w:p>
      <w:pPr>
        <w:spacing w:after="160" w:line="300"/>
        <w:jc w:val="both"/>
      </w:pPr>
      <w:r>
        <w:rPr>
          <w:rFonts w:ascii="Georgia" w:cs="Georgia" w:eastAsia="Georgia" w:hAnsi="Georgia"/>
          <w:sz w:val="22"/>
          <w:szCs w:val="22"/>
        </w:rPr>
        <w:t xml:space="preserve">The missing purpose — using an aquifer deliberately to hold a river up through drought — turns out not to be missing either. The United Kingdom's Shropshire Groundwater Scheme, built in phases since 1981, exists solely to augment low flows in the River Severn: forty boreholes in the Permo-Triassic sandstone feed a 53 km pipeline network discharging to the river and its tributaries, licensed for up to 330,000 m³ per day and designed for intermittent campaigns of two to fifteen weeks in roughly two years of every five. In the current 2026 drought it is delivering about 200 million liters per day — on the order of 2.3 m³/s — and the Environment Agency states plainly that the Severn's apparently healthy summer flow is artificial, sustaining drinking water for six million people downstream. The scheme mines natural aquifer storage rather than banked recharge, which limits its sustainable frequency; pair Shropshire's delivery concept with Hessisches Ried's replenishment concept and the result is precisely this paper's proposal. The same pairing has begun appearing in the hydrology literature: recent modeling work in snowmelt basins of the western United States evaluates MAR explicitly as a strategy to redistribute excess early-season streamflow into summer baseflow — a deliberate departure, as those authors note, from traditional MAR's goal of minimizing loss to surface water (Frontiers in Water, 2024).</w:t>
      </w:r>
    </w:p>
    <w:p>
      <w:pPr>
        <w:spacing w:after="160" w:line="300"/>
        <w:jc w:val="both"/>
      </w:pPr>
      <w:r>
        <w:rPr>
          <w:rFonts w:ascii="Georgia" w:cs="Georgia" w:eastAsia="Georgia" w:hAnsi="Georgia"/>
          <w:sz w:val="22"/>
          <w:szCs w:val="22"/>
        </w:rPr>
        <w:t xml:space="preserve">The synthesis is encouraging in one direction and sobering in another. Nothing in this proposal requires an invention: river-water pretreatment and infiltration at tens of millions of cubic meters per year, clogging management sustained over decades, distributed canal-fed recharge, legal groundwater-level management plans, and purpose-built river-flow support all operate today in the target basins or their close analogs. But the largest single-site schemes in Europe move tens of millions of cubic meters per year, and this paper contemplates tens of billions. The gap between precedent and proposal is therefore not feasibility but replication — roughly a hundredfold scale-up assembled from thousand-fold repetition of demonstrated units — and coordination across jurisdictions that have so far built each scheme for local purposes.</w:t>
      </w:r>
    </w:p>
    <w:p>
      <w:pPr>
        <w:pStyle w:val="Heading1"/>
        <w:spacing w:after="200" w:before="360"/>
      </w:pPr>
      <w:r>
        <w:rPr>
          <w:rFonts w:ascii="Georgia" w:cs="Georgia" w:eastAsia="Georgia" w:hAnsi="Georgia"/>
          <w:b/>
          <w:bCs/>
          <w:color w:val="1F3B57"/>
          <w:sz w:val="30"/>
          <w:szCs w:val="30"/>
        </w:rPr>
        <w:t xml:space="preserve">5. Screening-Level Resource Assessment</w:t>
      </w:r>
    </w:p>
    <w:p>
      <w:pPr>
        <w:spacing w:after="160" w:line="300"/>
        <w:jc w:val="both"/>
      </w:pPr>
      <w:r>
        <w:rPr>
          <w:rFonts w:ascii="Georgia" w:cs="Georgia" w:eastAsia="Georgia" w:hAnsi="Georgia"/>
          <w:sz w:val="22"/>
          <w:szCs w:val="22"/>
        </w:rPr>
        <w:t xml:space="preserve">The table below summarizes an order-of-magnitude assessment by basin. Divertible volumes assume continuous winter skimming plus opportunistic above-bankfull flood capture, bounded at roughly 5–15 percent of annual flow. Baseflow gains are gross steady-state figures; net figures apply a 50–70 percent recovery efficiency (see Section 8). The Iberian entry differs in kind: those basins face absolute scarcity rather than seasonality, and MAR there serves multi-year drought banking rather than summer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700"/>
        <w:gridCol w:w="1900"/>
        <w:gridCol w:w="2000"/>
        <w:gridCol w:w="2010"/>
      </w:tblGrid>
      <w:tr>
        <w:trPr>
          <w:cantSplit/>
          <w:tblHeader/>
        </w:trPr>
        <w:tc>
          <w:tcPr>
            <w:tcW w:type="dxa" w:w="1750"/>
            <w:shd w:fill="DCE6F1" w:val="clear"/>
            <w:tcMar>
              <w:top w:type="dxa" w:w="80"/>
              <w:left w:type="dxa" w:w="110"/>
              <w:bottom w:type="dxa" w:w="80"/>
              <w:right w:type="dxa" w:w="110"/>
            </w:tcMar>
          </w:tcPr>
          <w:p>
            <w:pPr>
              <w:jc w:val="left"/>
            </w:pPr>
            <w:r>
              <w:rPr>
                <w:rFonts w:ascii="Georgia" w:cs="Georgia" w:eastAsia="Georgia" w:hAnsi="Georgia"/>
                <w:b/>
                <w:bCs/>
                <w:sz w:val="20"/>
                <w:szCs w:val="20"/>
              </w:rPr>
              <w:t xml:space="preserve">Basin</w:t>
            </w:r>
          </w:p>
        </w:tc>
        <w:tc>
          <w:tcPr>
            <w:tcW w:type="dxa" w:w="1700"/>
            <w:shd w:fill="DCE6F1" w:val="clear"/>
            <w:tcMar>
              <w:top w:type="dxa" w:w="80"/>
              <w:left w:type="dxa" w:w="110"/>
              <w:bottom w:type="dxa" w:w="80"/>
              <w:right w:type="dxa" w:w="110"/>
            </w:tcMar>
          </w:tcPr>
          <w:p>
            <w:pPr>
              <w:jc w:val="left"/>
            </w:pPr>
            <w:r>
              <w:rPr>
                <w:rFonts w:ascii="Georgia" w:cs="Georgia" w:eastAsia="Georgia" w:hAnsi="Georgia"/>
                <w:b/>
                <w:bCs/>
                <w:sz w:val="20"/>
                <w:szCs w:val="20"/>
              </w:rPr>
              <w:t xml:space="preserve">Mean annual flow (km³/yr)</w:t>
            </w:r>
          </w:p>
        </w:tc>
        <w:tc>
          <w:tcPr>
            <w:tcW w:type="dxa" w:w="1900"/>
            <w:shd w:fill="DCE6F1" w:val="clear"/>
            <w:tcMar>
              <w:top w:type="dxa" w:w="80"/>
              <w:left w:type="dxa" w:w="110"/>
              <w:bottom w:type="dxa" w:w="80"/>
              <w:right w:type="dxa" w:w="110"/>
            </w:tcMar>
          </w:tcPr>
          <w:p>
            <w:pPr>
              <w:jc w:val="left"/>
            </w:pPr>
            <w:r>
              <w:rPr>
                <w:rFonts w:ascii="Georgia" w:cs="Georgia" w:eastAsia="Georgia" w:hAnsi="Georgia"/>
                <w:b/>
                <w:bCs/>
                <w:sz w:val="20"/>
                <w:szCs w:val="20"/>
              </w:rPr>
              <w:t xml:space="preserve">Plausible continuous recharge (km³/yr)</w:t>
            </w:r>
          </w:p>
        </w:tc>
        <w:tc>
          <w:tcPr>
            <w:tcW w:type="dxa" w:w="2000"/>
            <w:shd w:fill="DCE6F1" w:val="clear"/>
            <w:tcMar>
              <w:top w:type="dxa" w:w="80"/>
              <w:left w:type="dxa" w:w="110"/>
              <w:bottom w:type="dxa" w:w="80"/>
              <w:right w:type="dxa" w:w="110"/>
            </w:tcMar>
          </w:tcPr>
          <w:p>
            <w:pPr>
              <w:jc w:val="left"/>
            </w:pPr>
            <w:r>
              <w:rPr>
                <w:rFonts w:ascii="Georgia" w:cs="Georgia" w:eastAsia="Georgia" w:hAnsi="Georgia"/>
                <w:b/>
                <w:bCs/>
                <w:sz w:val="20"/>
                <w:szCs w:val="20"/>
              </w:rPr>
              <w:t xml:space="preserve">Steady-state baseflow gain, gross (m³/s)</w:t>
            </w:r>
          </w:p>
        </w:tc>
        <w:tc>
          <w:tcPr>
            <w:tcW w:type="dxa" w:w="2010"/>
            <w:shd w:fill="DCE6F1" w:val="clear"/>
            <w:tcMar>
              <w:top w:type="dxa" w:w="80"/>
              <w:left w:type="dxa" w:w="110"/>
              <w:bottom w:type="dxa" w:w="80"/>
              <w:right w:type="dxa" w:w="110"/>
            </w:tcMar>
          </w:tcPr>
          <w:p>
            <w:pPr>
              <w:jc w:val="left"/>
            </w:pPr>
            <w:r>
              <w:rPr>
                <w:rFonts w:ascii="Georgia" w:cs="Georgia" w:eastAsia="Georgia" w:hAnsi="Georgia"/>
                <w:b/>
                <w:bCs/>
                <w:sz w:val="20"/>
                <w:szCs w:val="20"/>
              </w:rPr>
              <w:t xml:space="preserve">Primary storage target</w:t>
            </w:r>
          </w:p>
        </w:tc>
      </w:tr>
      <w:tr>
        <w:trPr>
          <w:cantSplit/>
        </w:trPr>
        <w:tc>
          <w:tcPr>
            <w:tcW w:type="dxa" w:w="175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Rhine</w:t>
            </w:r>
          </w:p>
        </w:tc>
        <w:tc>
          <w:tcPr>
            <w:tcW w:type="dxa" w:w="170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~73</w:t>
            </w:r>
          </w:p>
        </w:tc>
        <w:tc>
          <w:tcPr>
            <w:tcW w:type="dxa" w:w="190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6–10</w:t>
            </w:r>
          </w:p>
        </w:tc>
        <w:tc>
          <w:tcPr>
            <w:tcW w:type="dxa" w:w="200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190–320</w:t>
            </w:r>
          </w:p>
        </w:tc>
        <w:tc>
          <w:tcPr>
            <w:tcW w:type="dxa" w:w="201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Upper Rhine Graben; tributary valley gravels (Aare, Neckar, Main, Mosel)</w:t>
            </w:r>
          </w:p>
        </w:tc>
      </w:tr>
      <w:tr>
        <w:trPr>
          <w:cantSplit/>
        </w:trPr>
        <w:tc>
          <w:tcPr>
            <w:tcW w:type="dxa" w:w="175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Danube</w:t>
            </w:r>
          </w:p>
        </w:tc>
        <w:tc>
          <w:tcPr>
            <w:tcW w:type="dxa" w:w="170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~200</w:t>
            </w:r>
          </w:p>
        </w:tc>
        <w:tc>
          <w:tcPr>
            <w:tcW w:type="dxa" w:w="190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8–12</w:t>
            </w:r>
          </w:p>
        </w:tc>
        <w:tc>
          <w:tcPr>
            <w:tcW w:type="dxa" w:w="200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250–380</w:t>
            </w:r>
          </w:p>
        </w:tc>
        <w:tc>
          <w:tcPr>
            <w:tcW w:type="dxa" w:w="201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Pannonian Basin (depleted; large free headroom), Vienna Basin, alluvial terraces</w:t>
            </w:r>
          </w:p>
        </w:tc>
      </w:tr>
      <w:tr>
        <w:trPr>
          <w:cantSplit/>
        </w:trPr>
        <w:tc>
          <w:tcPr>
            <w:tcW w:type="dxa" w:w="175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Po</w:t>
            </w:r>
          </w:p>
        </w:tc>
        <w:tc>
          <w:tcPr>
            <w:tcW w:type="dxa" w:w="170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~45</w:t>
            </w:r>
          </w:p>
        </w:tc>
        <w:tc>
          <w:tcPr>
            <w:tcW w:type="dxa" w:w="190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2–3</w:t>
            </w:r>
          </w:p>
        </w:tc>
        <w:tc>
          <w:tcPr>
            <w:tcW w:type="dxa" w:w="200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60–95</w:t>
            </w:r>
          </w:p>
        </w:tc>
        <w:tc>
          <w:tcPr>
            <w:tcW w:type="dxa" w:w="201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Po Plain alluvium (depleted in places); rice-paddy Ag-MAR</w:t>
            </w:r>
          </w:p>
        </w:tc>
      </w:tr>
      <w:tr>
        <w:trPr>
          <w:cantSplit/>
        </w:trPr>
        <w:tc>
          <w:tcPr>
            <w:tcW w:type="dxa" w:w="175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Rhône</w:t>
            </w:r>
          </w:p>
        </w:tc>
        <w:tc>
          <w:tcPr>
            <w:tcW w:type="dxa" w:w="170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~54</w:t>
            </w:r>
          </w:p>
        </w:tc>
        <w:tc>
          <w:tcPr>
            <w:tcW w:type="dxa" w:w="190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2–3</w:t>
            </w:r>
          </w:p>
        </w:tc>
        <w:tc>
          <w:tcPr>
            <w:tcW w:type="dxa" w:w="200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60–95</w:t>
            </w:r>
          </w:p>
        </w:tc>
        <w:tc>
          <w:tcPr>
            <w:tcW w:type="dxa" w:w="201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Valley-fill gravels; Crau plain (existing MAR tradition)</w:t>
            </w:r>
          </w:p>
        </w:tc>
      </w:tr>
      <w:tr>
        <w:trPr>
          <w:cantSplit/>
        </w:trPr>
        <w:tc>
          <w:tcPr>
            <w:tcW w:type="dxa" w:w="175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Loire / Seine</w:t>
            </w:r>
          </w:p>
        </w:tc>
        <w:tc>
          <w:tcPr>
            <w:tcW w:type="dxa" w:w="170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~40 comb.</w:t>
            </w:r>
          </w:p>
        </w:tc>
        <w:tc>
          <w:tcPr>
            <w:tcW w:type="dxa" w:w="190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1–2</w:t>
            </w:r>
          </w:p>
        </w:tc>
        <w:tc>
          <w:tcPr>
            <w:tcW w:type="dxa" w:w="200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30–60</w:t>
            </w:r>
          </w:p>
        </w:tc>
        <w:tc>
          <w:tcPr>
            <w:tcW w:type="dxa" w:w="201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Beauce and chalk aquifers; alluvial corridors</w:t>
            </w:r>
          </w:p>
        </w:tc>
      </w:tr>
      <w:tr>
        <w:trPr>
          <w:cantSplit/>
        </w:trPr>
        <w:tc>
          <w:tcPr>
            <w:tcW w:type="dxa" w:w="175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Elbe / Oder</w:t>
            </w:r>
          </w:p>
        </w:tc>
        <w:tc>
          <w:tcPr>
            <w:tcW w:type="dxa" w:w="170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~40 comb.</w:t>
            </w:r>
          </w:p>
        </w:tc>
        <w:tc>
          <w:tcPr>
            <w:tcW w:type="dxa" w:w="190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1–2</w:t>
            </w:r>
          </w:p>
        </w:tc>
        <w:tc>
          <w:tcPr>
            <w:tcW w:type="dxa" w:w="200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30–60</w:t>
            </w:r>
          </w:p>
        </w:tc>
        <w:tc>
          <w:tcPr>
            <w:tcW w:type="dxa" w:w="201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North German Plain sands; post-mining voids</w:t>
            </w:r>
          </w:p>
        </w:tc>
      </w:tr>
      <w:tr>
        <w:trPr>
          <w:cantSplit/>
        </w:trPr>
        <w:tc>
          <w:tcPr>
            <w:tcW w:type="dxa" w:w="175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Iberian basins</w:t>
            </w:r>
          </w:p>
        </w:tc>
        <w:tc>
          <w:tcPr>
            <w:tcW w:type="dxa" w:w="170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var.</w:t>
            </w:r>
          </w:p>
        </w:tc>
        <w:tc>
          <w:tcPr>
            <w:tcW w:type="dxa" w:w="190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~2</w:t>
            </w:r>
          </w:p>
        </w:tc>
        <w:tc>
          <w:tcPr>
            <w:tcW w:type="dxa" w:w="200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~60</w:t>
            </w:r>
          </w:p>
        </w:tc>
        <w:tc>
          <w:tcPr>
            <w:tcW w:type="dxa" w:w="201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Multi-year drought banking (scarcity, not seasonality)</w:t>
            </w:r>
          </w:p>
        </w:tc>
      </w:tr>
      <w:tr>
        <w:trPr>
          <w:cantSplit/>
        </w:trPr>
        <w:tc>
          <w:tcPr>
            <w:tcW w:type="dxa" w:w="1750"/>
            <w:shd w:fill="EEF3F8" w:val="clear"/>
            <w:tcMar>
              <w:top w:type="dxa" w:w="80"/>
              <w:left w:type="dxa" w:w="110"/>
              <w:bottom w:type="dxa" w:w="80"/>
              <w:right w:type="dxa" w:w="110"/>
            </w:tcMar>
          </w:tcPr>
          <w:p>
            <w:pPr>
              <w:jc w:val="left"/>
            </w:pPr>
            <w:r>
              <w:rPr>
                <w:rFonts w:ascii="Georgia" w:cs="Georgia" w:eastAsia="Georgia" w:hAnsi="Georgia"/>
                <w:b/>
                <w:bCs/>
                <w:sz w:val="20"/>
                <w:szCs w:val="20"/>
              </w:rPr>
              <w:t xml:space="preserve">Continental total</w:t>
            </w:r>
          </w:p>
        </w:tc>
        <w:tc>
          <w:tcPr>
            <w:tcW w:type="dxa" w:w="1700"/>
            <w:shd w:fill="EEF3F8" w:val="clear"/>
            <w:tcMar>
              <w:top w:type="dxa" w:w="80"/>
              <w:left w:type="dxa" w:w="110"/>
              <w:bottom w:type="dxa" w:w="80"/>
              <w:right w:type="dxa" w:w="110"/>
            </w:tcMar>
          </w:tcPr>
          <w:p>
            <w:pPr>
              <w:jc w:val="left"/>
            </w:pPr>
            <w:r>
              <w:rPr>
                <w:rFonts w:ascii="Georgia" w:cs="Georgia" w:eastAsia="Georgia" w:hAnsi="Georgia"/>
                <w:b/>
                <w:bCs/>
                <w:sz w:val="20"/>
                <w:szCs w:val="20"/>
              </w:rPr>
              <w:t xml:space="preserve">—</w:t>
            </w:r>
          </w:p>
        </w:tc>
        <w:tc>
          <w:tcPr>
            <w:tcW w:type="dxa" w:w="1900"/>
            <w:shd w:fill="EEF3F8" w:val="clear"/>
            <w:tcMar>
              <w:top w:type="dxa" w:w="80"/>
              <w:left w:type="dxa" w:w="110"/>
              <w:bottom w:type="dxa" w:w="80"/>
              <w:right w:type="dxa" w:w="110"/>
            </w:tcMar>
          </w:tcPr>
          <w:p>
            <w:pPr>
              <w:jc w:val="left"/>
            </w:pPr>
            <w:r>
              <w:rPr>
                <w:rFonts w:ascii="Georgia" w:cs="Georgia" w:eastAsia="Georgia" w:hAnsi="Georgia"/>
                <w:b/>
                <w:bCs/>
                <w:sz w:val="20"/>
                <w:szCs w:val="20"/>
              </w:rPr>
              <w:t xml:space="preserve">~22–34</w:t>
            </w:r>
          </w:p>
        </w:tc>
        <w:tc>
          <w:tcPr>
            <w:tcW w:type="dxa" w:w="2000"/>
            <w:shd w:fill="EEF3F8" w:val="clear"/>
            <w:tcMar>
              <w:top w:type="dxa" w:w="80"/>
              <w:left w:type="dxa" w:w="110"/>
              <w:bottom w:type="dxa" w:w="80"/>
              <w:right w:type="dxa" w:w="110"/>
            </w:tcMar>
          </w:tcPr>
          <w:p>
            <w:pPr>
              <w:jc w:val="left"/>
            </w:pPr>
            <w:r>
              <w:rPr>
                <w:rFonts w:ascii="Georgia" w:cs="Georgia" w:eastAsia="Georgia" w:hAnsi="Georgia"/>
                <w:b/>
                <w:bCs/>
                <w:sz w:val="20"/>
                <w:szCs w:val="20"/>
              </w:rPr>
              <w:t xml:space="preserve">~700–1,070 gross; ~420–700 net of losses</w:t>
            </w:r>
          </w:p>
        </w:tc>
        <w:tc>
          <w:tcPr>
            <w:tcW w:type="dxa" w:w="2010"/>
            <w:shd w:fill="EEF3F8" w:val="clear"/>
            <w:tcMar>
              <w:top w:type="dxa" w:w="80"/>
              <w:left w:type="dxa" w:w="110"/>
              <w:bottom w:type="dxa" w:w="80"/>
              <w:right w:type="dxa" w:w="110"/>
            </w:tcMar>
          </w:tcPr>
          <w:p>
            <w:pPr>
              <w:jc w:val="left"/>
            </w:pPr>
            <w:r>
              <w:rPr>
                <w:rFonts w:ascii="Georgia" w:cs="Georgia" w:eastAsia="Georgia" w:hAnsi="Georgia"/>
                <w:b/>
                <w:bCs/>
                <w:sz w:val="20"/>
                <w:szCs w:val="20"/>
              </w:rPr>
              <w:t xml:space="preserve">—</w:t>
            </w:r>
          </w:p>
        </w:tc>
      </w:tr>
    </w:tbl>
    <w:p>
      <w:pPr>
        <w:spacing w:after="60"/>
        <w:jc w:val="both"/>
      </w:pPr>
      <w:r>
        <w:rPr>
          <w:rFonts w:ascii="Georgia" w:cs="Georgia" w:eastAsia="Georgia" w:hAnsi="Georgia"/>
          <w:sz w:val="22"/>
          <w:szCs w:val="22"/>
        </w:rPr>
        <w:t xml:space="preserve"/>
      </w:r>
    </w:p>
    <w:p>
      <w:pPr>
        <w:spacing w:after="160" w:line="300"/>
        <w:jc w:val="both"/>
      </w:pPr>
      <w:r>
        <w:rPr>
          <w:rFonts w:ascii="Georgia" w:cs="Georgia" w:eastAsia="Georgia" w:hAnsi="Georgia"/>
          <w:sz w:val="22"/>
          <w:szCs w:val="22"/>
        </w:rPr>
        <w:t xml:space="preserve">For the Rhine specifically, a mature program of 6–10 km³/yr implies roughly 100–200 m³/s of net summer baseflow gain at the Dutch border, of which a substantial share manifests upstream at Kaub — plausibly 25–40 cm of stage in drought conditions. Against a 2022-type deficit this closes perhaps half the navigation gap; because barge economics are step-functions around draft cutoffs, the economic value of those centimeters at the margin substantially exceeds their share of the hydrograph. Every tributary, wetland, and groundwater-dependent ecosystem along the way runs cooler and wetter in the bargain.</w:t>
      </w:r>
    </w:p>
    <w:p>
      <w:pPr>
        <w:pStyle w:val="Heading1"/>
        <w:spacing w:after="200" w:before="360"/>
      </w:pPr>
      <w:r>
        <w:rPr>
          <w:rFonts w:ascii="Georgia" w:cs="Georgia" w:eastAsia="Georgia" w:hAnsi="Georgia"/>
          <w:b/>
          <w:bCs/>
          <w:color w:val="1F3B57"/>
          <w:sz w:val="30"/>
          <w:szCs w:val="30"/>
        </w:rPr>
        <w:t xml:space="preserve">6. Costs and Operations</w:t>
      </w:r>
    </w:p>
    <w:p>
      <w:pPr>
        <w:spacing w:after="160" w:line="300"/>
        <w:jc w:val="both"/>
      </w:pPr>
      <w:r>
        <w:rPr>
          <w:rFonts w:ascii="Georgia" w:cs="Georgia" w:eastAsia="Georgia" w:hAnsi="Georgia"/>
          <w:sz w:val="22"/>
          <w:szCs w:val="22"/>
        </w:rPr>
        <w:t xml:space="preserve">Basin-scale infiltration is among the cheapest water storage humanity knows how to build, and the cost literature now supports that claim quantitatively. A study of ten potential MAR schemes in northern Australia found levelized costs of US$0.04–0.36 per cubic meter, with infiltration methods cheaper than injection wells (Vanderzalm et al., 2022); an analysis of 21 schemes across 15 countries found that schemes recharging natural water through infiltration basins or bank filtration are the cheap end of the family, with high benefit–cost ratios (Dillon et al., 2022); and cost drivers are well characterized — infiltration rate dominates, with costs roughly doubling as rates halve (Ross &amp; Hasnain, 2018). California's median proposed MAR cost of about $0.33/m³ (Perrone &amp; Rohde, 2016) marks the expensive, land-constrained end. This paper carries €0.05–0.40/m³ as the planning range; at 20–30 km³/yr the continental program implies operating costs of low single-digit billions of euros annually. Against this: the European Environment Agency assesses the 2022 continental compound drought and heat event at roughly €40 billion, baseline drought losses in the EU and UK run about €9 billion per year, and a recent analysis of the 2015–2018 multi-year drought estimates cumulative losses near €439 billion once multi-year GDP effects are counted. The arithmetic is not close, and it improves further when flood-damage avoidance, groundwater-body restoration credits under the WFD, deferred dredging, and power-sector cooling reliability are counted.</w:t>
      </w:r>
    </w:p>
    <w:p>
      <w:pPr>
        <w:spacing w:after="160" w:line="300"/>
        <w:jc w:val="both"/>
      </w:pPr>
      <w:r>
        <w:rPr>
          <w:rFonts w:ascii="Georgia" w:cs="Georgia" w:eastAsia="Georgia" w:hAnsi="Georgia"/>
          <w:sz w:val="22"/>
          <w:szCs w:val="22"/>
        </w:rPr>
        <w:t xml:space="preserve">Clogging is the dominant operating cost and should be treated as exactly that — a priced O&amp;M line, not a feasibility risk. Turbid winter and flood water is the worst water to infiltrate, so every serious MAR operation spends the bulk of its budget on settling pretreatment and periodic basin scraping, with 10–30 percent downtime built into capacity planning and scrape cycles of one to five years. The correct analogy is navigation dredging: a continuous, well-understood maintenance burden that no one considers a reason not to operate ports. Capacity planning in this paper already carries a factor-of-two land allowance and the upper end of unit costs to absorb it.</w:t>
      </w:r>
    </w:p>
    <w:p>
      <w:pPr>
        <w:pStyle w:val="Heading1"/>
        <w:spacing w:after="200" w:before="360"/>
      </w:pPr>
      <w:r>
        <w:rPr>
          <w:rFonts w:ascii="Georgia" w:cs="Georgia" w:eastAsia="Georgia" w:hAnsi="Georgia"/>
          <w:b/>
          <w:bCs/>
          <w:color w:val="1F3B57"/>
          <w:sz w:val="30"/>
          <w:szCs w:val="30"/>
        </w:rPr>
        <w:t xml:space="preserve">7. Environmental and Legal Framing: Banking, Not Abstraction</w:t>
      </w:r>
    </w:p>
    <w:p>
      <w:pPr>
        <w:spacing w:after="160" w:line="300"/>
        <w:jc w:val="both"/>
      </w:pPr>
      <w:r>
        <w:rPr>
          <w:rFonts w:ascii="Georgia" w:cs="Georgia" w:eastAsia="Georgia" w:hAnsi="Georgia"/>
          <w:sz w:val="22"/>
          <w:szCs w:val="22"/>
        </w:rPr>
        <w:t xml:space="preserve">The program's legal character is decisive for its feasibility, and the honest physical description is also the favorable one: the water is never consumed. The same molecules reach the same sea, delayed by months to years, having performed additional work en route — flood crests shaved, depleted aquifers replenished, wetlands and groundwater-dependent terrestrial ecosystems re-wetted, summer river temperatures lowered (which matters equally to fish and to nuclear cooling margins), and saline intrusion pushed back in the Rhine–Meuse and Po deltas.</w:t>
      </w:r>
    </w:p>
    <w:p>
      <w:pPr>
        <w:spacing w:after="160" w:line="300"/>
        <w:jc w:val="both"/>
      </w:pPr>
      <w:r>
        <w:rPr>
          <w:rFonts w:ascii="Georgia" w:cs="Georgia" w:eastAsia="Georgia" w:hAnsi="Georgia"/>
          <w:sz w:val="22"/>
          <w:szCs w:val="22"/>
        </w:rPr>
        <w:t xml:space="preserve">Under the Water Framework Directive this is not an abstraction to be defended; it is a measure that improves the quantitative status of groundwater bodies, a majority of which in the target basins currently fail their objectives. The EU's active enforcement posture against member-state over-abstraction flips from obstacle to tailwind: member states need compliance projects, and this is a compliance project that pays for itself in barge freight and megawatt-hours. Programs should be written directly into WFD programmes of measures and Floods Directive risk-management plans, drawing on both funding and legal machinery.</w:t>
      </w:r>
    </w:p>
    <w:p>
      <w:pPr>
        <w:spacing w:after="160" w:line="300"/>
        <w:jc w:val="both"/>
      </w:pPr>
      <w:r>
        <w:rPr>
          <w:rFonts w:ascii="Georgia" w:cs="Georgia" w:eastAsia="Georgia" w:hAnsi="Georgia"/>
          <w:sz w:val="22"/>
          <w:szCs w:val="22"/>
        </w:rPr>
        <w:t xml:space="preserve">The governance gap is ownership of banked water. Groundwater raised under a farmer's land is, in most European jurisdictions, pumpable by that farmer; without protection, a public recharge program becomes a private irrigation subsidy. Arizona solved this problem decades ago with water-banking credit registries: recharge is metered in, credits are booked to the banking entity, and recovery rights are legally severed from overlying land ownership. Europe has not yet attempted the equivalent, and standing up such registries — basin by basin, under the international river commissions for the Rhine and Danube — is the single most important institutional prerequisite of the program. Incidental benefits to overlying users (shallower pumping lifts, wetter root zones) remain, and are a feature that purchases local consent.</w:t>
      </w:r>
    </w:p>
    <w:p>
      <w:pPr>
        <w:pStyle w:val="Heading1"/>
        <w:spacing w:after="200" w:before="360"/>
      </w:pPr>
      <w:r>
        <w:rPr>
          <w:rFonts w:ascii="Georgia" w:cs="Georgia" w:eastAsia="Georgia" w:hAnsi="Georgia"/>
          <w:b/>
          <w:bCs/>
          <w:color w:val="1F3B57"/>
          <w:sz w:val="30"/>
          <w:szCs w:val="30"/>
        </w:rPr>
        <w:t xml:space="preserve">8. Constraints, Losses, and Honest Uncertainties</w:t>
      </w:r>
    </w:p>
    <w:p>
      <w:pPr>
        <w:spacing w:after="160" w:line="300"/>
        <w:jc w:val="both"/>
      </w:pPr>
      <w:r>
        <w:rPr>
          <w:rFonts w:ascii="Georgia" w:cs="Georgia" w:eastAsia="Georgia" w:hAnsi="Georgia"/>
          <w:sz w:val="22"/>
          <w:szCs w:val="22"/>
        </w:rPr>
        <w:t xml:space="preserve">Recovery efficiency is the largest physical discount. Not every recharged cubic meter returns usefully: some evaporates from basins before infiltrating, some discharges to locations of no economic consequence, some is intercepted by vegetation or captured by pumping that responds to improved well yields. Field experience with recovery efficiency commonly falls in the 50–70 percent range, and all net figures in this paper carry that haircut. Efficiency is partly a design variable — siting away from phreatophyte corridors, protecting banked water legally, and targeting travel paths that discharge to the river network all raise it.</w:t>
      </w:r>
    </w:p>
    <w:p>
      <w:pPr>
        <w:spacing w:after="160" w:line="300"/>
        <w:jc w:val="both"/>
      </w:pPr>
      <w:r>
        <w:rPr>
          <w:rFonts w:ascii="Georgia" w:cs="Georgia" w:eastAsia="Georgia" w:hAnsi="Georgia"/>
          <w:sz w:val="22"/>
          <w:szCs w:val="22"/>
        </w:rPr>
        <w:t xml:space="preserve">The divertible-surplus figures embed a genuine negotiation. Winter flows perform geomorphic and ecological work, and European environmental agencies are presently litigating over-abstraction, not licensing new diversions. The above-bankfull rule answers the substance of the objection, but securing agreement on threshold definitions, basin by basin, is realistically a multi-year regulatory undertaking per basin and should be scheduled as such.</w:t>
      </w:r>
    </w:p>
    <w:p>
      <w:pPr>
        <w:spacing w:after="160" w:line="300"/>
        <w:jc w:val="both"/>
      </w:pPr>
      <w:r>
        <w:rPr>
          <w:rFonts w:ascii="Georgia" w:cs="Georgia" w:eastAsia="Georgia" w:hAnsi="Georgia"/>
          <w:sz w:val="22"/>
          <w:szCs w:val="22"/>
        </w:rPr>
        <w:t xml:space="preserve">Geology confines the program to sedimentary basins and valley fill. High-Alpine crystalline terrain stores almost nothing; karst stores enormous volumes but drains on its own schedule through conduits and cannot be metered. The usable medium is alluvial and basin-fill aquifers — abundant along every target river, but not everywhere, and requiring site-by-site characterization of transmissivity, headroom, and travel time.</w:t>
      </w:r>
    </w:p>
    <w:p>
      <w:pPr>
        <w:spacing w:after="160" w:line="300"/>
        <w:jc w:val="both"/>
      </w:pPr>
      <w:r>
        <w:rPr>
          <w:rFonts w:ascii="Georgia" w:cs="Georgia" w:eastAsia="Georgia" w:hAnsi="Georgia"/>
          <w:sz w:val="22"/>
          <w:szCs w:val="22"/>
        </w:rPr>
        <w:t xml:space="preserve">Finally, the counterfactual is moving. Summer precipitation decline and snowpack loss mean a full-scale program may not raise summer flows above today's levels so much as slow their descent — buying, on current projections, perhaps two to three decades of navigability and cooling reliability that would otherwise be lost sooner. That is a sober framing, and the correct one: this is adaptation infrastructure, not a cure. It is also, per cubic meter of summer water delivered, the cheapest adaptation on offer, and the decades it buys are the decades in which fleets, plants, and logistics chains must in any case be redesigned.</w:t>
      </w:r>
    </w:p>
    <w:p>
      <w:pPr>
        <w:pStyle w:val="Heading1"/>
        <w:spacing w:after="200" w:before="360"/>
      </w:pPr>
      <w:r>
        <w:rPr>
          <w:rFonts w:ascii="Georgia" w:cs="Georgia" w:eastAsia="Georgia" w:hAnsi="Georgia"/>
          <w:b/>
          <w:bCs/>
          <w:color w:val="1F3B57"/>
          <w:sz w:val="30"/>
          <w:szCs w:val="30"/>
        </w:rPr>
        <w:t xml:space="preserve">9.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rPr>
          <w:cantSplit/>
          <w:tblHeader/>
        </w:trPr>
        <w:tc>
          <w:tcPr>
            <w:tcW w:type="dxa" w:w="1500"/>
            <w:shd w:fill="DCE6F1" w:val="clear"/>
            <w:tcMar>
              <w:top w:type="dxa" w:w="80"/>
              <w:left w:type="dxa" w:w="110"/>
              <w:bottom w:type="dxa" w:w="80"/>
              <w:right w:type="dxa" w:w="110"/>
            </w:tcMar>
          </w:tcPr>
          <w:p>
            <w:pPr>
              <w:jc w:val="left"/>
            </w:pPr>
            <w:r>
              <w:rPr>
                <w:rFonts w:ascii="Georgia" w:cs="Georgia" w:eastAsia="Georgia" w:hAnsi="Georgia"/>
                <w:b/>
                <w:bCs/>
                <w:sz w:val="20"/>
                <w:szCs w:val="20"/>
              </w:rPr>
              <w:t xml:space="preserve">Phase</w:t>
            </w:r>
          </w:p>
        </w:tc>
        <w:tc>
          <w:tcPr>
            <w:tcW w:type="dxa" w:w="2600"/>
            <w:shd w:fill="DCE6F1" w:val="clear"/>
            <w:tcMar>
              <w:top w:type="dxa" w:w="80"/>
              <w:left w:type="dxa" w:w="110"/>
              <w:bottom w:type="dxa" w:w="80"/>
              <w:right w:type="dxa" w:w="110"/>
            </w:tcMar>
          </w:tcPr>
          <w:p>
            <w:pPr>
              <w:jc w:val="left"/>
            </w:pPr>
            <w:r>
              <w:rPr>
                <w:rFonts w:ascii="Georgia" w:cs="Georgia" w:eastAsia="Georgia" w:hAnsi="Georgia"/>
                <w:b/>
                <w:bCs/>
                <w:sz w:val="20"/>
                <w:szCs w:val="20"/>
              </w:rPr>
              <w:t xml:space="preserve">Horizon</w:t>
            </w:r>
          </w:p>
        </w:tc>
        <w:tc>
          <w:tcPr>
            <w:tcW w:type="dxa" w:w="5260"/>
            <w:shd w:fill="DCE6F1" w:val="clear"/>
            <w:tcMar>
              <w:top w:type="dxa" w:w="80"/>
              <w:left w:type="dxa" w:w="110"/>
              <w:bottom w:type="dxa" w:w="80"/>
              <w:right w:type="dxa" w:w="110"/>
            </w:tcMar>
          </w:tcPr>
          <w:p>
            <w:pPr>
              <w:jc w:val="left"/>
            </w:pPr>
            <w:r>
              <w:rPr>
                <w:rFonts w:ascii="Georgia" w:cs="Georgia" w:eastAsia="Georgia" w:hAnsi="Georgia"/>
                <w:b/>
                <w:bCs/>
                <w:sz w:val="20"/>
                <w:szCs w:val="20"/>
              </w:rPr>
              <w:t xml:space="preserve">Objective</w:t>
            </w:r>
          </w:p>
        </w:tc>
      </w:tr>
      <w:tr>
        <w:trPr>
          <w:cantSplit/>
        </w:trPr>
        <w:tc>
          <w:tcPr>
            <w:tcW w:type="dxa" w:w="1500"/>
            <w:tcMar>
              <w:top w:type="dxa" w:w="80"/>
              <w:left w:type="dxa" w:w="110"/>
              <w:bottom w:type="dxa" w:w="80"/>
              <w:right w:type="dxa" w:w="110"/>
            </w:tcMar>
          </w:tcPr>
          <w:p>
            <w:pPr>
              <w:jc w:val="left"/>
            </w:pPr>
            <w:r>
              <w:rPr>
                <w:rFonts w:ascii="Georgia" w:cs="Georgia" w:eastAsia="Georgia" w:hAnsi="Georgia"/>
                <w:b/>
                <w:bCs/>
                <w:sz w:val="20"/>
                <w:szCs w:val="20"/>
              </w:rPr>
              <w:t xml:space="preserve">I — Pilot</w:t>
            </w:r>
          </w:p>
        </w:tc>
        <w:tc>
          <w:tcPr>
            <w:tcW w:type="dxa" w:w="260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Years 1–5</w:t>
            </w:r>
          </w:p>
        </w:tc>
        <w:tc>
          <w:tcPr>
            <w:tcW w:type="dxa" w:w="526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Three to five instrumented pilot districts (e.g., Neckar valley, Danube–Tisza interfluve, Po rice belt) at 0.05–0.2 km³/yr each; validate recovery efficiency, clogging cost, and travel-time targeting; establish monitoring baselines.</w:t>
            </w:r>
          </w:p>
        </w:tc>
      </w:tr>
      <w:tr>
        <w:trPr>
          <w:cantSplit/>
        </w:trPr>
        <w:tc>
          <w:tcPr>
            <w:tcW w:type="dxa" w:w="1500"/>
            <w:shd w:fill="F7F9FC" w:val="clear"/>
            <w:tcMar>
              <w:top w:type="dxa" w:w="80"/>
              <w:left w:type="dxa" w:w="110"/>
              <w:bottom w:type="dxa" w:w="80"/>
              <w:right w:type="dxa" w:w="110"/>
            </w:tcMar>
          </w:tcPr>
          <w:p>
            <w:pPr>
              <w:jc w:val="left"/>
            </w:pPr>
            <w:r>
              <w:rPr>
                <w:rFonts w:ascii="Georgia" w:cs="Georgia" w:eastAsia="Georgia" w:hAnsi="Georgia"/>
                <w:b/>
                <w:bCs/>
                <w:sz w:val="20"/>
                <w:szCs w:val="20"/>
              </w:rPr>
              <w:t xml:space="preserve">II — Basin programs</w:t>
            </w:r>
          </w:p>
        </w:tc>
        <w:tc>
          <w:tcPr>
            <w:tcW w:type="dxa" w:w="260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Years 4–12</w:t>
            </w:r>
          </w:p>
        </w:tc>
        <w:tc>
          <w:tcPr>
            <w:tcW w:type="dxa" w:w="5260"/>
            <w:shd w:fill="F7F9FC" w:val="clear"/>
            <w:tcMar>
              <w:top w:type="dxa" w:w="80"/>
              <w:left w:type="dxa" w:w="110"/>
              <w:bottom w:type="dxa" w:w="80"/>
              <w:right w:type="dxa" w:w="110"/>
            </w:tcMar>
          </w:tcPr>
          <w:p>
            <w:pPr>
              <w:jc w:val="left"/>
            </w:pPr>
            <w:r>
              <w:rPr>
                <w:rFonts w:ascii="Georgia" w:cs="Georgia" w:eastAsia="Georgia" w:hAnsi="Georgia"/>
                <w:b w:val="false"/>
                <w:bCs w:val="false"/>
                <w:sz w:val="20"/>
                <w:szCs w:val="20"/>
              </w:rPr>
              <w:t xml:space="preserve">Scale within two lead basins (Rhine, Danube) to 2–4 km³/yr each; stand up water-banking registries; integrate with flood-risk management plans and WFD programmes of measures.</w:t>
            </w:r>
          </w:p>
        </w:tc>
      </w:tr>
      <w:tr>
        <w:trPr>
          <w:cantSplit/>
        </w:trPr>
        <w:tc>
          <w:tcPr>
            <w:tcW w:type="dxa" w:w="1500"/>
            <w:tcMar>
              <w:top w:type="dxa" w:w="80"/>
              <w:left w:type="dxa" w:w="110"/>
              <w:bottom w:type="dxa" w:w="80"/>
              <w:right w:type="dxa" w:w="110"/>
            </w:tcMar>
          </w:tcPr>
          <w:p>
            <w:pPr>
              <w:jc w:val="left"/>
            </w:pPr>
            <w:r>
              <w:rPr>
                <w:rFonts w:ascii="Georgia" w:cs="Georgia" w:eastAsia="Georgia" w:hAnsi="Georgia"/>
                <w:b/>
                <w:bCs/>
                <w:sz w:val="20"/>
                <w:szCs w:val="20"/>
              </w:rPr>
              <w:t xml:space="preserve">III — Continental</w:t>
            </w:r>
          </w:p>
        </w:tc>
        <w:tc>
          <w:tcPr>
            <w:tcW w:type="dxa" w:w="260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Years 10–25</w:t>
            </w:r>
          </w:p>
        </w:tc>
        <w:tc>
          <w:tcPr>
            <w:tcW w:type="dxa" w:w="5260"/>
            <w:tcMar>
              <w:top w:type="dxa" w:w="80"/>
              <w:left w:type="dxa" w:w="110"/>
              <w:bottom w:type="dxa" w:w="80"/>
              <w:right w:type="dxa" w:w="110"/>
            </w:tcMar>
          </w:tcPr>
          <w:p>
            <w:pPr>
              <w:jc w:val="left"/>
            </w:pPr>
            <w:r>
              <w:rPr>
                <w:rFonts w:ascii="Georgia" w:cs="Georgia" w:eastAsia="Georgia" w:hAnsi="Georgia"/>
                <w:b w:val="false"/>
                <w:bCs w:val="false"/>
                <w:sz w:val="20"/>
                <w:szCs w:val="20"/>
              </w:rPr>
              <w:t xml:space="preserve">Extend to remaining basins toward 20+ km³/yr continent-wide; re-optimize Alpine reservoir release contracts against the raised groundwater baseflow floor.</w:t>
            </w:r>
          </w:p>
        </w:tc>
      </w:tr>
    </w:tbl>
    <w:p>
      <w:pPr>
        <w:spacing w:after="60"/>
        <w:jc w:val="both"/>
      </w:pPr>
      <w:r>
        <w:rPr>
          <w:rFonts w:ascii="Georgia" w:cs="Georgia" w:eastAsia="Georgia" w:hAnsi="Georgia"/>
          <w:sz w:val="22"/>
          <w:szCs w:val="22"/>
        </w:rPr>
        <w:t xml:space="preserve"/>
      </w:r>
    </w:p>
    <w:p>
      <w:pPr>
        <w:spacing w:after="160" w:line="300"/>
        <w:jc w:val="both"/>
      </w:pPr>
      <w:r>
        <w:rPr>
          <w:rFonts w:ascii="Georgia" w:cs="Georgia" w:eastAsia="Georgia" w:hAnsi="Georgia"/>
          <w:sz w:val="22"/>
          <w:szCs w:val="22"/>
        </w:rPr>
        <w:t xml:space="preserve">Phase I exists to convert this paper's screening numbers into measured ones, and it should not start from zero. The Hessisches Ried scheme is a running, instrumented, 35-year experiment in Rhine-water infiltration whose operating data — clogging cycles, treatment costs, groundwater response at 850 wells — should be mined before a single new basin is dug; the DEEPWATER-CE framework and Danube–Tisza suitability maps already exist for the Pannonian pilot; and the Veneto FIA program and MAURICE canal-network trials supply the distributed-agricultural template for the Po. Each new pilot district should be instrumented to close the water balance — metered diversion, monitored mound growth, gauged incremental baseflow — and to price clogging O&amp;M under real sediment loads. The pilots should deliberately span the residence-time spectrum, from seasonal-responder sites near tributaries to multi-year banking sites in depleted basin interiors, and at least one should sit in the Danube–Tisza interfluve, where the groundwater-restoration case is strongest, prior plans already exist, and the political demonstration value for the Danube commission is highest. Parallel to the earthworks, Phase I must deliver the first European water-banking registry, because the institutional pilot matters as much as the hydraulic one.</w:t>
      </w:r>
    </w:p>
    <w:p>
      <w:pPr>
        <w:pStyle w:val="Heading1"/>
        <w:spacing w:after="200" w:before="360"/>
      </w:pPr>
      <w:r>
        <w:rPr>
          <w:rFonts w:ascii="Georgia" w:cs="Georgia" w:eastAsia="Georgia" w:hAnsi="Georgia"/>
          <w:b/>
          <w:bCs/>
          <w:color w:val="1F3B57"/>
          <w:sz w:val="30"/>
          <w:szCs w:val="30"/>
        </w:rPr>
        <w:t xml:space="preserve">10. Conclusion</w:t>
      </w:r>
    </w:p>
    <w:p>
      <w:pPr>
        <w:spacing w:after="160" w:line="300"/>
        <w:jc w:val="both"/>
      </w:pPr>
      <w:r>
        <w:rPr>
          <w:rFonts w:ascii="Georgia" w:cs="Georgia" w:eastAsia="Georgia" w:hAnsi="Georgia"/>
          <w:sz w:val="22"/>
          <w:szCs w:val="22"/>
        </w:rPr>
        <w:t xml:space="preserve">Europe's rivers were engineered by geology to run on a storage system the climate is now repossessing. The continent cannot rebuild that buffer in concrete: the sites are gone, the law points the other way, and the volumes were never achievable by dams in the first place. It can rebuild a meaningful fraction of it in gravel. Continuous, distributed aquifer recharge converts the destructive part of the hydrograph into the missing part, at costs an order of magnitude below the damages it offsets, using a technique individual European utilities have operated for a century — merely never at the scale of the problem.</w:t>
      </w:r>
    </w:p>
    <w:p>
      <w:pPr>
        <w:spacing w:after="160" w:line="300"/>
        <w:jc w:val="both"/>
      </w:pPr>
      <w:r>
        <w:rPr>
          <w:rFonts w:ascii="Georgia" w:cs="Georgia" w:eastAsia="Georgia" w:hAnsi="Georgia"/>
          <w:sz w:val="22"/>
          <w:szCs w:val="22"/>
        </w:rPr>
        <w:t xml:space="preserve">The physics is the easy part. What stands between pilot and program is operational discipline on clogging, a legal instrument for banked water, and basin-level agreement on where 'flood' begins. All three have working precedents. The recommendation of this paper is correspondingly plain: pilot at scale, measure honestly, legislate the bank, and let the aquifers do what the glaciers no longer can.</w:t>
      </w:r>
    </w:p>
    <w:p>
      <w:pPr>
        <w:pStyle w:val="Heading1"/>
        <w:spacing w:after="200" w:before="360"/>
      </w:pPr>
      <w:r>
        <w:rPr>
          <w:rFonts w:ascii="Georgia" w:cs="Georgia" w:eastAsia="Georgia" w:hAnsi="Georgia"/>
          <w:b/>
          <w:bCs/>
          <w:color w:val="1F3B57"/>
          <w:sz w:val="30"/>
          <w:szCs w:val="30"/>
        </w:rPr>
        <w:t xml:space="preserve">References and Key Sources</w:t>
      </w:r>
    </w:p>
    <w:p>
      <w:pPr>
        <w:spacing w:after="160" w:line="300"/>
        <w:jc w:val="both"/>
      </w:pPr>
      <w:r>
        <w:rPr>
          <w:rFonts w:ascii="Georgia" w:cs="Georgia" w:eastAsia="Georgia" w:hAnsi="Georgia"/>
          <w:i/>
          <w:iCs/>
          <w:sz w:val="20"/>
          <w:szCs w:val="20"/>
        </w:rPr>
        <w:t xml:space="preserve">Screening-level figures for basin flows, divertible fractions, and steady-state yields are the authors' estimates; the sources below ground the cost figures, precedent descriptions, drought-loss estimates, and event data cited in the text.</w:t>
      </w:r>
    </w:p>
    <w:p>
      <w:pPr>
        <w:spacing w:after="100"/>
        <w:ind w:left="360" w:hanging="360"/>
      </w:pPr>
      <w:r>
        <w:rPr>
          <w:rFonts w:ascii="Georgia" w:cs="Georgia" w:eastAsia="Georgia" w:hAnsi="Georgia"/>
          <w:sz w:val="19"/>
          <w:szCs w:val="19"/>
        </w:rPr>
        <w:t xml:space="preserve">Sprenger, C., Hartog, N., Hernández, M., Vilanova, E., Grützmacher, G., Scheibler, F., Hannappel, S. (2017). Inventory of managed aquifer recharge sites in Europe: historical development, current situation and perspectives. Hydrogeology Journal 25, 1909–1922.</w:t>
      </w:r>
    </w:p>
    <w:p>
      <w:pPr>
        <w:spacing w:after="100"/>
        <w:ind w:left="360" w:hanging="360"/>
      </w:pPr>
      <w:r>
        <w:rPr>
          <w:rFonts w:ascii="Georgia" w:cs="Georgia" w:eastAsia="Georgia" w:hAnsi="Georgia"/>
          <w:sz w:val="19"/>
          <w:szCs w:val="19"/>
        </w:rPr>
        <w:t xml:space="preserve">Vanderzalm, J., Page, D., Dillon, P., Gonzalez, D., Petheram, C. (2022). Assessing the costs of Managed Aquifer Recharge options to support agricultural development. Agricultural Water Management 263, 107437.</w:t>
      </w:r>
    </w:p>
    <w:p>
      <w:pPr>
        <w:spacing w:after="100"/>
        <w:ind w:left="360" w:hanging="360"/>
      </w:pPr>
      <w:r>
        <w:rPr>
          <w:rFonts w:ascii="Georgia" w:cs="Georgia" w:eastAsia="Georgia" w:hAnsi="Georgia"/>
          <w:sz w:val="19"/>
          <w:szCs w:val="19"/>
        </w:rPr>
        <w:t xml:space="preserve">Dillon, P., et al. (2022). Benefits and Costs of Managed Aquifer Recharge: Further Evidence. Water 14(20), 3257.</w:t>
      </w:r>
    </w:p>
    <w:p>
      <w:pPr>
        <w:spacing w:after="100"/>
        <w:ind w:left="360" w:hanging="360"/>
      </w:pPr>
      <w:r>
        <w:rPr>
          <w:rFonts w:ascii="Georgia" w:cs="Georgia" w:eastAsia="Georgia" w:hAnsi="Georgia"/>
          <w:sz w:val="19"/>
          <w:szCs w:val="19"/>
        </w:rPr>
        <w:t xml:space="preserve">Ross, A., Hasnain, S. (2018). Factors affecting the cost of managed aquifer recharge (MAR) schemes. Sustainable Water Resources Management 4, 179–190.</w:t>
      </w:r>
    </w:p>
    <w:p>
      <w:pPr>
        <w:spacing w:after="100"/>
        <w:ind w:left="360" w:hanging="360"/>
      </w:pPr>
      <w:r>
        <w:rPr>
          <w:rFonts w:ascii="Georgia" w:cs="Georgia" w:eastAsia="Georgia" w:hAnsi="Georgia"/>
          <w:sz w:val="19"/>
          <w:szCs w:val="19"/>
        </w:rPr>
        <w:t xml:space="preserve">Perrone, D., Rohde, M. (2016). Benefits and Economic Costs of Managed Aquifer Recharge in California. San Francisco Estuary and Watershed Science 14(2).</w:t>
      </w:r>
    </w:p>
    <w:p>
      <w:pPr>
        <w:spacing w:after="100"/>
        <w:ind w:left="360" w:hanging="360"/>
      </w:pPr>
      <w:r>
        <w:rPr>
          <w:rFonts w:ascii="Georgia" w:cs="Georgia" w:eastAsia="Georgia" w:hAnsi="Georgia"/>
          <w:sz w:val="19"/>
          <w:szCs w:val="19"/>
        </w:rPr>
        <w:t xml:space="preserve">European Environment Agency (2023). Economic losses from weather- and climate-related extremes in Europe. EEA indicator assessment (2022 compound drought and heat event assessed at ~EUR 40 billion; total 2022 weather-related losses EUR 52.3 billion).</w:t>
      </w:r>
    </w:p>
    <w:p>
      <w:pPr>
        <w:spacing w:after="100"/>
        <w:ind w:left="360" w:hanging="360"/>
      </w:pPr>
      <w:r>
        <w:rPr>
          <w:rFonts w:ascii="Georgia" w:cs="Georgia" w:eastAsia="Georgia" w:hAnsi="Georgia"/>
          <w:sz w:val="19"/>
          <w:szCs w:val="19"/>
        </w:rPr>
        <w:t xml:space="preserve">CMCC / PreventionWeb (2026). Droughts: Europe's economy is paying the price — EUR 439 billion already lost (analysis of the 2015–2018 multi-year drought including multi-year GDP effects).</w:t>
      </w:r>
    </w:p>
    <w:p>
      <w:pPr>
        <w:spacing w:after="100"/>
        <w:ind w:left="360" w:hanging="360"/>
      </w:pPr>
      <w:r>
        <w:rPr>
          <w:rFonts w:ascii="Georgia" w:cs="Georgia" w:eastAsia="Georgia" w:hAnsi="Georgia"/>
          <w:sz w:val="19"/>
          <w:szCs w:val="19"/>
        </w:rPr>
        <w:t xml:space="preserve">Wasserverband Hessisches Ried (2024). Grundwasserbewirtschaftung durch Infiltration von aufbereitetem Oberflächenwasser. whr-infiltration.de (treatment capacity 43 Mm³/yr; 35 Mm³ infiltrated in 2022; monthly steering against ~850 monitoring wells).</w:t>
      </w:r>
    </w:p>
    <w:p>
      <w:pPr>
        <w:spacing w:after="100"/>
        <w:ind w:left="360" w:hanging="360"/>
      </w:pPr>
      <w:r>
        <w:rPr>
          <w:rFonts w:ascii="Georgia" w:cs="Georgia" w:eastAsia="Georgia" w:hAnsi="Georgia"/>
          <w:sz w:val="19"/>
          <w:szCs w:val="19"/>
        </w:rPr>
        <w:t xml:space="preserve">Waternet / Resilient Watersheds Toolbox. Natural water filtration through the Amsterdam Water Supply Dunes (artificial recharge since the 1950s; ~90 Mm³/yr production; roughly two-thirds of Amsterdam's supply).</w:t>
      </w:r>
    </w:p>
    <w:p>
      <w:pPr>
        <w:spacing w:after="100"/>
        <w:ind w:left="360" w:hanging="360"/>
      </w:pPr>
      <w:r>
        <w:rPr>
          <w:rFonts w:ascii="Georgia" w:cs="Georgia" w:eastAsia="Georgia" w:hAnsi="Georgia"/>
          <w:sz w:val="19"/>
          <w:szCs w:val="19"/>
        </w:rPr>
        <w:t xml:space="preserve">Métropole de Lyon / OHM Vallée du Rhône (2022). The Crépieux-Charmy wellfield research platform (375 ha, 12 infiltration basins, 1.3 million people supplied from the Rhône alluvial aquifer).</w:t>
      </w:r>
    </w:p>
    <w:p>
      <w:pPr>
        <w:spacing w:after="100"/>
        <w:ind w:left="360" w:hanging="360"/>
      </w:pPr>
      <w:r>
        <w:rPr>
          <w:rFonts w:ascii="Georgia" w:cs="Georgia" w:eastAsia="Georgia" w:hAnsi="Georgia"/>
          <w:sz w:val="19"/>
          <w:szCs w:val="19"/>
        </w:rPr>
        <w:t xml:space="preserve">Mezzalira, G., et al. (2014). Forested infiltration areas (FIA): principles, experiences, perspectives. Acque Sotterranee — Italian Journal of Groundwater (measured infiltration ~1 Mm³ per hectare per year in the high Venetian plain).</w:t>
      </w:r>
    </w:p>
    <w:p>
      <w:pPr>
        <w:spacing w:after="100"/>
        <w:ind w:left="360" w:hanging="360"/>
      </w:pPr>
      <w:r>
        <w:rPr>
          <w:rFonts w:ascii="Georgia" w:cs="Georgia" w:eastAsia="Georgia" w:hAnsi="Georgia"/>
          <w:sz w:val="19"/>
          <w:szCs w:val="19"/>
        </w:rPr>
        <w:t xml:space="preserve">Facchi, A., et al. (2020). On the effects of winter flooding on the hydrological balance of rice areas in northern Italy. Journal of Hydrology 590 (RISTEC project).</w:t>
      </w:r>
    </w:p>
    <w:p>
      <w:pPr>
        <w:spacing w:after="100"/>
        <w:ind w:left="360" w:hanging="360"/>
      </w:pPr>
      <w:r>
        <w:rPr>
          <w:rFonts w:ascii="Georgia" w:cs="Georgia" w:eastAsia="Georgia" w:hAnsi="Georgia"/>
          <w:sz w:val="19"/>
          <w:szCs w:val="19"/>
        </w:rPr>
        <w:t xml:space="preserve">DEEPWATER-CE (2022). Developing an integrated implementation framework for Managed Aquifer Recharge solutions in Central Europe. Interreg Central Europe, final outputs; and Szabó, Z., et al. (2023). Water 15, 1077 (Danube–Tisza interfluve MAR suitability and GDE replenishment).</w:t>
      </w:r>
    </w:p>
    <w:p>
      <w:pPr>
        <w:spacing w:after="100"/>
        <w:ind w:left="360" w:hanging="360"/>
      </w:pPr>
      <w:r>
        <w:rPr>
          <w:rFonts w:ascii="Georgia" w:cs="Georgia" w:eastAsia="Georgia" w:hAnsi="Georgia"/>
          <w:sz w:val="19"/>
          <w:szCs w:val="19"/>
        </w:rPr>
        <w:t xml:space="preserve">Environment Agency (UK) (2026). Environment Agency takes action to maintain River Severn levels. gov.uk (Shropshire Groundwater Scheme delivering ~200 ML/day, capacity 240–330 ML/day); and Groundwater UK: The Shropshire Groundwater Scheme (design basis: 40 boreholes, 53 km pipelines, campaigns of 2–15 weeks in ~2 of every 5 years since 1984).</w:t>
      </w:r>
    </w:p>
    <w:p>
      <w:pPr>
        <w:spacing w:after="100"/>
        <w:ind w:left="360" w:hanging="360"/>
      </w:pPr>
      <w:r>
        <w:rPr>
          <w:rFonts w:ascii="Georgia" w:cs="Georgia" w:eastAsia="Georgia" w:hAnsi="Georgia"/>
          <w:sz w:val="19"/>
          <w:szCs w:val="19"/>
        </w:rPr>
        <w:t xml:space="preserve">Frontiers in Water (2024). Managed aquifer recharge as a strategy to redistribute excess surface flow to baseflow in snowmelt hydrologic regimes (Treasure Valley, Idaho modeling study).</w:t>
      </w:r>
    </w:p>
    <w:p>
      <w:pPr>
        <w:spacing w:after="100"/>
        <w:ind w:left="360" w:hanging="360"/>
      </w:pPr>
      <w:r>
        <w:rPr>
          <w:rFonts w:ascii="Georgia" w:cs="Georgia" w:eastAsia="Georgia" w:hAnsi="Georgia"/>
          <w:sz w:val="19"/>
          <w:szCs w:val="19"/>
        </w:rPr>
        <w:t xml:space="preserve">BfG / CCNR / press reports (2018–2026). Kaub gauge event data: 2018 minimum 25 cm with &gt;130 days below 78 cm and ~EUR 250M losses at BASF; 2022 minimum ~32 cm with freight surcharges 5–6x normal; August 2026 minimum ~16–17 cm, lowest since records began in 1880 (Bloomberg, 11 August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2026-08-15T18:44:20.809Z</dcterms:created>
  <dcterms:modified xsi:type="dcterms:W3CDTF">2026-08-15T18:44:20.825Z</dcterms:modified>
</cp:coreProperties>
</file>

<file path=docProps/custom.xml><?xml version="1.0" encoding="utf-8"?>
<Properties xmlns="http://schemas.openxmlformats.org/officeDocument/2006/custom-properties" xmlns:vt="http://schemas.openxmlformats.org/officeDocument/2006/docPropsVTypes"/>
</file>