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0"/>
          <w:szCs w:val="50"/>
        </w:rPr>
        <w:t xml:space="preserve">TRUCK LOADING SLIP SYSTEM</w:t>
      </w:r>
    </w:p>
    <w:p>
      <w:pPr>
        <w:spacing w:after="100" w:before="200"/>
        <w:jc w:val="center"/>
      </w:pPr>
      <w:r>
        <w:rPr>
          <w:color w:val="2E75B6"/>
          <w:sz w:val="30"/>
          <w:szCs w:val="30"/>
        </w:rPr>
        <w:t xml:space="preserve">Software Test Plan</w:t>
      </w:r>
    </w:p>
    <w:p>
      <w:pPr>
        <w:pBdr>
          <w:top w:val="single" w:color="2E75B6" w:sz="8" w:space="10"/>
        </w:pBdr>
        <w:spacing w:before="100"/>
        <w:jc w:val="center"/>
      </w:pPr>
    </w:p>
    <w:p>
      <w:pPr>
        <w:spacing w:before="1400"/>
      </w:pPr>
    </w:p>
    <w:p>
      <w:pPr>
        <w:jc w:val="center"/>
      </w:pPr>
      <w:r>
        <w:rPr>
          <w:color w:val="404040"/>
          <w:sz w:val="22"/>
          <w:szCs w:val="22"/>
        </w:rPr>
        <w:t xml:space="preserve">Document Type: Software Test Plan (STP)</w:t>
      </w:r>
    </w:p>
    <w:p>
      <w:pPr>
        <w:spacing w:before="100"/>
        <w:jc w:val="center"/>
      </w:pPr>
      <w:r>
        <w:rPr>
          <w:color w:val="404040"/>
          <w:sz w:val="20"/>
          <w:szCs w:val="20"/>
        </w:rPr>
        <w:t xml:space="preserve">Related documents: System Design Document, Technical Design Reference,</w:t>
      </w:r>
    </w:p>
    <w:p>
      <w:pPr>
        <w:spacing w:before="40"/>
        <w:jc w:val="center"/>
      </w:pPr>
      <w:r>
        <w:rPr>
          <w:color w:val="404040"/>
          <w:sz w:val="20"/>
          <w:szCs w:val="20"/>
        </w:rPr>
        <w:t xml:space="preserve">Test Case Matrix (Test_Case_Matrix.xlsx), Defect Log (Defect_Log.xlsx)</w:t>
      </w:r>
    </w:p>
    <w:p>
      <w:pPr>
        <w:spacing w:before="300"/>
        <w:jc w:val="center"/>
      </w:pPr>
      <w:r>
        <w:rPr>
          <w:color w:val="404040"/>
          <w:sz w:val="22"/>
          <w:szCs w:val="22"/>
        </w:rPr>
        <w:t xml:space="preserve">Version: 1.0  |  Date: 30 June 2026</w:t>
      </w:r>
    </w:p>
    <w:p>
      <w:r>
        <w:br w:type="page"/>
      </w:r>
    </w:p>
    <w:p>
      <w:pPr>
        <w:pStyle w:val="Heading1"/>
      </w:pPr>
      <w:r>
        <w:t xml:space="preserve">1. Introduction</w:t>
      </w:r>
    </w:p>
    <w:p>
      <w:pPr>
        <w:pStyle w:val="Heading2"/>
      </w:pPr>
      <w:r>
        <w:t xml:space="preserve">1.1 Purpose</w:t>
      </w:r>
    </w:p>
    <w:p>
      <w:pPr>
        <w:spacing w:after="160"/>
      </w:pPr>
      <w:r>
        <w:t xml:space="preserve">This Test Plan defines the approach used to verify that the Truck Loading Slip Management System behaves correctly, safely, and as specified before it is relied upon for daily operational use. It exists alongside two supporting working documents: the Test Case Matrix (the specific, repeatable test steps) and the Defect Log (the record of issues found and their resolution).</w:t>
      </w:r>
    </w:p>
    <w:p>
      <w:pPr>
        <w:pStyle w:val="Heading2"/>
      </w:pPr>
      <w:r>
        <w:t xml:space="preserve">1.2 Why a Test Plan Matters</w:t>
      </w:r>
    </w:p>
    <w:p>
      <w:pPr>
        <w:spacing w:after="160"/>
      </w:pPr>
      <w:r>
        <w:t xml:space="preserve">A Test Plan is a standard software engineering artifact, distinct from the test cases themselves. Where a test case asks “does this specific input produce this specific output?”, a Test Plan asks the broader questions a project lead or stakeholder actually cares about: what is being tested, what is deliberately not being tested, what tools and techniques are used, who is responsible, and how do we know when testing is sufficient to proceed. Producing this document deliberately, rather than testing ad hoc, is itself the practice being demonstrated here.</w:t>
      </w:r>
    </w:p>
    <w:p>
      <w:pPr>
        <w:pStyle w:val="Heading2"/>
      </w:pPr>
      <w:r>
        <w:t xml:space="preserve">1.3 System Under Test</w:t>
      </w:r>
    </w:p>
    <w:p>
      <w:pPr>
        <w:spacing w:after="160"/>
      </w:pPr>
      <w:r>
        <w:t xml:space="preserve">A single-user WinForms desktop application (C#, .NET Framework, SQLite via Dapper) used to create, print, and permanently record truck loading slips for a quarry/logistics operation. Full functional and architectural detail is documented separately in the System Design Document and Technical Design Reference; this Test Plan assumes that context rather than repeating it.</w:t>
      </w:r>
    </w:p>
    <w:p>
      <w:pPr>
        <w:pStyle w:val="Heading1"/>
      </w:pPr>
      <w:r>
        <w:t xml:space="preserve">2. Scope</w:t>
      </w:r>
    </w:p>
    <w:p>
      <w:pPr>
        <w:pStyle w:val="Heading2"/>
      </w:pPr>
      <w:r>
        <w:t xml:space="preserve">2.1 In Scope</w:t>
      </w:r>
    </w:p>
    <w:p>
      <w:pPr>
        <w:pStyle w:val="ListParagraph"/>
        <w:numPr>
          <w:ilvl w:val="0"/>
          <w:numId w:val="2"/>
        </w:numPr>
        <w:spacing w:after="80"/>
      </w:pPr>
      <w:r>
        <w:t xml:space="preserve">Functional correctness of all core workflows: slip creation, editing, printing, voiding, and reprinting.</w:t>
      </w:r>
    </w:p>
    <w:p>
      <w:pPr>
        <w:pStyle w:val="ListParagraph"/>
        <w:numPr>
          <w:ilvl w:val="0"/>
          <w:numId w:val="2"/>
        </w:numPr>
        <w:spacing w:after="80"/>
      </w:pPr>
      <w:r>
        <w:t xml:space="preserve">Data validation rules: required fields, decimal/comma handling for Tons, label length limits, void reason length limits.</w:t>
      </w:r>
    </w:p>
    <w:p>
      <w:pPr>
        <w:pStyle w:val="ListParagraph"/>
        <w:numPr>
          <w:ilvl w:val="0"/>
          <w:numId w:val="2"/>
        </w:numPr>
        <w:spacing w:after="80"/>
      </w:pPr>
      <w:r>
        <w:t xml:space="preserve">Data integrity guarantees: immutability of SlipID and BillNumber, non-reuse of identifiers, the never-hard-delete rule.</w:t>
      </w:r>
    </w:p>
    <w:p>
      <w:pPr>
        <w:pStyle w:val="ListParagraph"/>
        <w:numPr>
          <w:ilvl w:val="0"/>
          <w:numId w:val="2"/>
        </w:numPr>
        <w:spacing w:after="80"/>
      </w:pPr>
      <w:r>
        <w:t xml:space="preserve">Configuration features: field relabeling/reordering/hiding, printer preset management.</w:t>
      </w:r>
    </w:p>
    <w:p>
      <w:pPr>
        <w:pStyle w:val="ListParagraph"/>
        <w:numPr>
          <w:ilvl w:val="0"/>
          <w:numId w:val="2"/>
        </w:numPr>
        <w:spacing w:after="80"/>
      </w:pPr>
      <w:r>
        <w:t xml:space="preserve">Reporting: Excel export for both Printed and Voided slips.</w:t>
      </w:r>
    </w:p>
    <w:p>
      <w:pPr>
        <w:pStyle w:val="ListParagraph"/>
        <w:numPr>
          <w:ilvl w:val="0"/>
          <w:numId w:val="2"/>
        </w:numPr>
        <w:spacing w:after="80"/>
      </w:pPr>
      <w:r>
        <w:t xml:space="preserve">Usability issues significant enough to cause user confusion or incorrect operation (e.g. a control that appears editable but silently is not).</w:t>
      </w:r>
    </w:p>
    <w:p>
      <w:pPr>
        <w:pStyle w:val="ListParagraph"/>
        <w:numPr>
          <w:ilvl w:val="0"/>
          <w:numId w:val="2"/>
        </w:numPr>
        <w:spacing w:after="80"/>
      </w:pPr>
      <w:r>
        <w:t xml:space="preserve">Regression checking after each round of fixes, to confirm earlier-fixed defects remain fixed.</w:t>
      </w:r>
    </w:p>
    <w:p>
      <w:pPr>
        <w:pStyle w:val="Heading2"/>
      </w:pPr>
      <w:r>
        <w:t xml:space="preserve">2.2 Out of Scope</w:t>
      </w:r>
    </w:p>
    <w:p>
      <w:pPr>
        <w:pStyle w:val="ListParagraph"/>
        <w:numPr>
          <w:ilvl w:val="0"/>
          <w:numId w:val="2"/>
        </w:numPr>
        <w:spacing w:after="80"/>
      </w:pPr>
      <w:r>
        <w:t xml:space="preserve">Automated unit testing of individual methods. WinForms UI logic in this project is tightly coupled to controls and event handlers, and no automated unit test project was set up for this codebase; testing performed is System-level and User Acceptance-level (see Section 4), executed manually.</w:t>
      </w:r>
    </w:p>
    <w:p>
      <w:pPr>
        <w:pStyle w:val="ListParagraph"/>
        <w:numPr>
          <w:ilvl w:val="0"/>
          <w:numId w:val="2"/>
        </w:numPr>
        <w:spacing w:after="80"/>
      </w:pPr>
      <w:r>
        <w:t xml:space="preserve">Load/performance/stress testing. Given the single-user, single-machine deployment context, this was judged a low priority relative to correctness and data integrity.</w:t>
      </w:r>
    </w:p>
    <w:p>
      <w:pPr>
        <w:pStyle w:val="ListParagraph"/>
        <w:numPr>
          <w:ilvl w:val="0"/>
          <w:numId w:val="2"/>
        </w:numPr>
        <w:spacing w:after="80"/>
      </w:pPr>
      <w:r>
        <w:t xml:space="preserve">Security penetration testing. The system's security model is physical access control only (see System Design Document, Section 9), which is a design decision rather than a testable security boundary in the traditional sense.</w:t>
      </w:r>
    </w:p>
    <w:p>
      <w:pPr>
        <w:pStyle w:val="ListParagraph"/>
        <w:numPr>
          <w:ilvl w:val="0"/>
          <w:numId w:val="2"/>
        </w:numPr>
        <w:spacing w:after="80"/>
      </w:pPr>
      <w:r>
        <w:t xml:space="preserve">Thermal printer hardware testing, since no thermal printer has been purchased yet at the time of this Test Plan (see Technical Design Reference, Section 7 / open items).</w:t>
      </w:r>
    </w:p>
    <w:p>
      <w:pPr>
        <w:pStyle w:val="Heading1"/>
      </w:pPr>
      <w:r>
        <w:t xml:space="preserve">3. Test Objectives</w:t>
      </w:r>
    </w:p>
    <w:p>
      <w:pPr>
        <w:pStyle w:val="ListParagraph"/>
        <w:numPr>
          <w:ilvl w:val="0"/>
          <w:numId w:val="2"/>
        </w:numPr>
        <w:spacing w:after="80"/>
      </w:pPr>
      <w:r>
        <w:t xml:space="preserve">Confirm that no slip can ever be printed without a corresponding, permanent database record (the system's core proof-of-record purpose).</w:t>
      </w:r>
    </w:p>
    <w:p>
      <w:pPr>
        <w:pStyle w:val="ListParagraph"/>
        <w:numPr>
          <w:ilvl w:val="0"/>
          <w:numId w:val="2"/>
        </w:numPr>
        <w:spacing w:after="80"/>
      </w:pPr>
      <w:r>
        <w:t xml:space="preserve">Confirm that SlipID and BillNumber can never be altered or reused under any code path, once allocated.</w:t>
      </w:r>
    </w:p>
    <w:p>
      <w:pPr>
        <w:pStyle w:val="ListParagraph"/>
        <w:numPr>
          <w:ilvl w:val="0"/>
          <w:numId w:val="2"/>
        </w:numPr>
        <w:spacing w:after="80"/>
      </w:pPr>
      <w:r>
        <w:t xml:space="preserve">Confirm that all required-field and format validation rules are enforced consistently at every point they apply (on save, and separately, more strictly, on print).</w:t>
      </w:r>
    </w:p>
    <w:p>
      <w:pPr>
        <w:pStyle w:val="ListParagraph"/>
        <w:numPr>
          <w:ilvl w:val="0"/>
          <w:numId w:val="2"/>
        </w:numPr>
        <w:spacing w:after="80"/>
      </w:pPr>
      <w:r>
        <w:t xml:space="preserve">Confirm that configuration changes (field labels, printer presets) behave predictably and do not silently corrupt or duplicate data.</w:t>
      </w:r>
    </w:p>
    <w:p>
      <w:pPr>
        <w:pStyle w:val="ListParagraph"/>
        <w:numPr>
          <w:ilvl w:val="0"/>
          <w:numId w:val="2"/>
        </w:numPr>
        <w:spacing w:after="80"/>
      </w:pPr>
      <w:r>
        <w:t xml:space="preserve">Identify usability defects where correct underlying behaviour is nonetheless presented in a confusing or misleading way to the operator.</w:t>
      </w:r>
    </w:p>
    <w:p>
      <w:pPr>
        <w:pStyle w:val="Heading1"/>
      </w:pPr>
      <w:r>
        <w:t xml:space="preserve">4. Test Levels</w:t>
      </w:r>
    </w:p>
    <w:p>
      <w:pPr>
        <w:spacing w:after="160"/>
      </w:pPr>
      <w:r>
        <w:t xml:space="preserve">Software testing is conventionally organised into levels, each verifying a different scope of the system. It is normal and expected for a small project to apply some levels more formally than others; what matters is being explicit about which were used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Level</w:t>
            </w:r>
          </w:p>
        </w:tc>
        <w:tc>
          <w:tcPr>
            <w:tcW w:type="dxa" w:w="22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Status</w:t>
            </w:r>
          </w:p>
        </w:tc>
        <w:tc>
          <w:tcPr>
            <w:tcW w:type="dxa" w:w="47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Unit Testing</w:t>
            </w:r>
          </w:p>
        </w:tc>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404040"/>
                <w:sz w:val="18"/>
                <w:szCs w:val="18"/>
              </w:rPr>
              <w:t xml:space="preserve">NOT FORMALLY APPLIED</w:t>
            </w:r>
          </w:p>
        </w:tc>
        <w:tc>
          <w:tcPr>
            <w:tcW w:type="dxa" w:w="47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Testing individual methods/classes in isolation, typically with an automated framework (e.g. MSTest, NUnit, xUnit). Not formally applied in this project — noted as a deliberate scoping decision (Section 2.2), not an oversight.</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Integration Testing</w:t>
            </w:r>
          </w:p>
        </w:tc>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548235"/>
                <w:sz w:val="18"/>
                <w:szCs w:val="18"/>
              </w:rPr>
              <w:t xml:space="preserve">APPLIED</w:t>
            </w:r>
          </w:p>
        </w:tc>
        <w:tc>
          <w:tcPr>
            <w:tcW w:type="dxa" w:w="47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Testing how components work together — in this project, primarily the Forms layer against the Data/Repository layer (e.g. confirming a Form's Save action correctly results in the expected row in SQLite). Performed informally during code review by tracing these interactions directly in source.</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System Testing</w:t>
            </w:r>
          </w:p>
        </w:tc>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548235"/>
                <w:sz w:val="18"/>
                <w:szCs w:val="18"/>
              </w:rPr>
              <w:t xml:space="preserve">APPLIED</w:t>
            </w:r>
          </w:p>
        </w:tc>
        <w:tc>
          <w:tcPr>
            <w:tcW w:type="dxa" w:w="47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Testing the complete, integrated application against its full specification. The primary method used here — most entries in the Test Case Matrix are System-level tests covering end-to-end workflows.</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User Acceptance Testing (UAT)</w:t>
            </w:r>
          </w:p>
        </w:tc>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548235"/>
                <w:sz w:val="18"/>
                <w:szCs w:val="18"/>
              </w:rPr>
              <w:t xml:space="preserve">APPLIED</w:t>
            </w:r>
          </w:p>
        </w:tc>
        <w:tc>
          <w:tcPr>
            <w:tcW w:type="dxa" w:w="47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Testing by an end-stage user performing realistic, exploratory tasks rather than following a prescribed script. Used in this project's later rounds (see Defect Log, defects found via 'User Acceptance Testing') and is what surfaced usability issues that systematic test cases alone had not caught.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WHY THIS MIX IS NORMAL, NOT A SHORTCUT</w:t>
            </w:r>
          </w:p>
          <w:p>
            <w:r>
              <w:rPr>
                <w:color w:val="404040"/>
                <w:sz w:val="22"/>
                <w:szCs w:val="22"/>
              </w:rPr>
              <w:t xml:space="preserve">Small teams and solo developers very rarely apply all four levels with equal formality — this is the realistic, defensible answer to give in an interview if asked “did you do unit testing?”: explain what was applied, why, and what the trade-off was, rather than claiming blanket coverage that wasn't actually performed.</w:t>
            </w:r>
          </w:p>
        </w:tc>
      </w:tr>
    </w:tbl>
    <w:p>
      <w:pPr>
        <w:pStyle w:val="Heading1"/>
      </w:pPr>
      <w:r>
        <w:t xml:space="preserve">5. Test Types</w:t>
      </w:r>
    </w:p>
    <w:p>
      <w:pPr>
        <w:pStyle w:val="ListParagraph"/>
        <w:numPr>
          <w:ilvl w:val="0"/>
          <w:numId w:val="2"/>
        </w:numPr>
        <w:spacing w:after="80"/>
      </w:pPr>
      <w:r>
        <w:t xml:space="preserve">Functional Testing — verifying the system does what it is specified to do (e.g. saving a slip creates a database row).</w:t>
      </w:r>
    </w:p>
    <w:p>
      <w:pPr>
        <w:pStyle w:val="ListParagraph"/>
        <w:numPr>
          <w:ilvl w:val="0"/>
          <w:numId w:val="2"/>
        </w:numPr>
        <w:spacing w:after="80"/>
      </w:pPr>
      <w:r>
        <w:t xml:space="preserve">Negative Testing — deliberately providing invalid or disallowed input to confirm it is safely rejected, not silently accepted (e.g. attempting to print with a blank Truck Reg).</w:t>
      </w:r>
    </w:p>
    <w:p>
      <w:pPr>
        <w:pStyle w:val="ListParagraph"/>
        <w:numPr>
          <w:ilvl w:val="0"/>
          <w:numId w:val="2"/>
        </w:numPr>
        <w:spacing w:after="80"/>
      </w:pPr>
      <w:r>
        <w:t xml:space="preserve">Validation Testing — confirming specific business rules and constraints are enforced (e.g. the 14-character field label limit, the 20-character void reason limit).</w:t>
      </w:r>
    </w:p>
    <w:p>
      <w:pPr>
        <w:pStyle w:val="ListParagraph"/>
        <w:numPr>
          <w:ilvl w:val="0"/>
          <w:numId w:val="2"/>
        </w:numPr>
        <w:spacing w:after="80"/>
      </w:pPr>
      <w:r>
        <w:t xml:space="preserve">Regression Testing — re-confirming that a previously fixed defect remains fixed, and that an unrelated change has not reintroduced or broken it (performed after every round of fixes in this project — see the Defect Log's multiple review rounds).</w:t>
      </w:r>
    </w:p>
    <w:p>
      <w:pPr>
        <w:pStyle w:val="ListParagraph"/>
        <w:numPr>
          <w:ilvl w:val="0"/>
          <w:numId w:val="2"/>
        </w:numPr>
        <w:spacing w:after="80"/>
      </w:pPr>
      <w:r>
        <w:t xml:space="preserve">Usability Testing — evaluating whether correct behaviour is also clearly understandable to a real user, not just technically correct (this is precisely what UAT Round 1 in the Defect Log was for).</w:t>
      </w:r>
    </w:p>
    <w:p>
      <w:pPr>
        <w:pStyle w:val="Heading1"/>
      </w:pPr>
      <w:r>
        <w:t xml:space="preserve">6. Test Design Techniques</w:t>
      </w:r>
    </w:p>
    <w:p>
      <w:pPr>
        <w:spacing w:after="160"/>
      </w:pPr>
      <w:r>
        <w:t xml:space="preserve">Two formal black-box test design techniques were deliberately applied when writing the Test Case Matrix, rather than testing inputs arbitrarily:</w:t>
      </w:r>
    </w:p>
    <w:p>
      <w:pPr>
        <w:pStyle w:val="Heading2"/>
      </w:pPr>
      <w:r>
        <w:t xml:space="preserve">6.1 Equivalence Partitioning (EP)</w:t>
      </w:r>
    </w:p>
    <w:p>
      <w:pPr>
        <w:spacing w:after="160"/>
      </w:pPr>
      <w:r>
        <w:t xml:space="preserve">Inputs are grouped into classes expected to behave the same way, and one representative value from each class is tested rather than every possible value. For example, the Tons field has at least three equivalence classes: a valid decimal, a blank value, and an invalid format — testing one representative of each (rather than dozens of valid numbers) is sufficient to demonstrate the validation logic works correctly across the input space.</w:t>
      </w:r>
    </w:p>
    <w:p>
      <w:pPr>
        <w:pStyle w:val="Heading2"/>
      </w:pPr>
      <w:r>
        <w:t xml:space="preserve">6.2 Boundary Value Analysis (BVA)</w:t>
      </w:r>
    </w:p>
    <w:p>
      <w:pPr>
        <w:spacing w:after="160"/>
      </w:pPr>
      <w:r>
        <w:t xml:space="preserve">Defects disproportionately occur at the edges of a valid range, not in the middle of it, so boundaries are tested explicitly. For example, the 14-character field label limit is tested at exactly 14 characters (should be accepted) and the point where a 15th character would be typed (should be physically prevented) — rather than only testing an obviously-short label that wouldn't expose an off-by-one error in the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2"/>
                <w:szCs w:val="22"/>
              </w:rPr>
              <w:t xml:space="preserve">INTERVIEW TIP</w:t>
            </w:r>
          </w:p>
          <w:p>
            <w:r>
              <w:rPr>
                <w:color w:val="404040"/>
                <w:sz w:val="22"/>
                <w:szCs w:val="22"/>
              </w:rPr>
              <w:t xml:space="preserve">Being able to name and explain Equivalence Partitioning and Boundary Value Analysis — and point to a real example of each, like the ones above — is a very common technical interview question for QA-adjacent and junior developer roles. Knowing the term is far less convincing than being able to show a concrete test case built using it, which the Test Case Matrix for this project now does.</w:t>
            </w:r>
          </w:p>
        </w:tc>
      </w:tr>
    </w:tbl>
    <w:p>
      <w:r>
        <w:br w:type="page"/>
      </w:r>
    </w:p>
    <w:p>
      <w:pPr>
        <w:pStyle w:val="Heading1"/>
      </w:pPr>
      <w:r>
        <w:t xml:space="preserve">7. Test Environment</w:t>
      </w:r>
    </w:p>
    <w:p>
      <w:pPr>
        <w:pStyle w:val="ListParagraph"/>
        <w:numPr>
          <w:ilvl w:val="0"/>
          <w:numId w:val="2"/>
        </w:numPr>
        <w:spacing w:after="80"/>
      </w:pPr>
      <w:r>
        <w:t xml:space="preserve">Platform: Windows desktop, .NET Framework (WinForms).</w:t>
      </w:r>
    </w:p>
    <w:p>
      <w:pPr>
        <w:pStyle w:val="ListParagraph"/>
        <w:numPr>
          <w:ilvl w:val="0"/>
          <w:numId w:val="2"/>
        </w:numPr>
        <w:spacing w:after="80"/>
      </w:pPr>
      <w:r>
        <w:t xml:space="preserve">Database: local SQLite file, reset to a clean (no prior data) state before each formal test round, to avoid stale data masking or mimicking defects.</w:t>
      </w:r>
    </w:p>
    <w:p>
      <w:pPr>
        <w:pStyle w:val="ListParagraph"/>
        <w:numPr>
          <w:ilvl w:val="0"/>
          <w:numId w:val="2"/>
        </w:numPr>
        <w:spacing w:after="80"/>
      </w:pPr>
      <w:r>
        <w:t xml:space="preserve">Printer hardware: a physical dot-matrix printer (Epson LX-350) was available and used for print-related test cases. No thermal printer was available at time of testing (see Section 2.2).</w:t>
      </w:r>
    </w:p>
    <w:p>
      <w:pPr>
        <w:pStyle w:val="ListParagraph"/>
        <w:numPr>
          <w:ilvl w:val="0"/>
          <w:numId w:val="2"/>
        </w:numPr>
        <w:spacing w:after="80"/>
      </w:pPr>
      <w:r>
        <w:t xml:space="preserve">Build configuration: testing performed against Debug builds during development rounds; a final Release-configuration smoke test is recommended before any external distribution (see System Design Document, Section 9, on packaging for testers).</w:t>
      </w:r>
    </w:p>
    <w:p>
      <w:pPr>
        <w:pStyle w:val="Heading1"/>
      </w:pPr>
      <w:r>
        <w:t xml:space="preserve">8. Entry and Exit Criteria</w:t>
      </w:r>
    </w:p>
    <w:p>
      <w:pPr>
        <w:pStyle w:val="Heading2"/>
      </w:pPr>
      <w:r>
        <w:t xml:space="preserve">8.1 Entry Criteria (testing may begin when:)</w:t>
      </w:r>
    </w:p>
    <w:p>
      <w:pPr>
        <w:pStyle w:val="ListParagraph"/>
        <w:numPr>
          <w:ilvl w:val="0"/>
          <w:numId w:val="2"/>
        </w:numPr>
        <w:spacing w:after="80"/>
      </w:pPr>
      <w:r>
        <w:t xml:space="preserve">The build compiles with zero errors.</w:t>
      </w:r>
    </w:p>
    <w:p>
      <w:pPr>
        <w:pStyle w:val="ListParagraph"/>
        <w:numPr>
          <w:ilvl w:val="0"/>
          <w:numId w:val="2"/>
        </w:numPr>
        <w:spacing w:after="80"/>
      </w:pPr>
      <w:r>
        <w:t xml:space="preserve">The feature or fix being tested has a corresponding entry in the Test Case Matrix or was the explicit subject of the most recent code change.</w:t>
      </w:r>
    </w:p>
    <w:p>
      <w:pPr>
        <w:pStyle w:val="Heading2"/>
      </w:pPr>
      <w:r>
        <w:t xml:space="preserve">8.2 Exit Criteria (a test round is considered complete when:)</w:t>
      </w:r>
    </w:p>
    <w:p>
      <w:pPr>
        <w:pStyle w:val="ListParagraph"/>
        <w:numPr>
          <w:ilvl w:val="0"/>
          <w:numId w:val="2"/>
        </w:numPr>
        <w:spacing w:after="80"/>
      </w:pPr>
      <w:r>
        <w:t xml:space="preserve">All Critical and High priority test cases applicable to the changed area have been executed.</w:t>
      </w:r>
    </w:p>
    <w:p>
      <w:pPr>
        <w:pStyle w:val="ListParagraph"/>
        <w:numPr>
          <w:ilvl w:val="0"/>
          <w:numId w:val="2"/>
        </w:numPr>
        <w:spacing w:after="80"/>
      </w:pPr>
      <w:r>
        <w:t xml:space="preserve">No open Critical or High severity defects remain against the feature being signed off.</w:t>
      </w:r>
    </w:p>
    <w:p>
      <w:pPr>
        <w:pStyle w:val="ListParagraph"/>
        <w:numPr>
          <w:ilvl w:val="0"/>
          <w:numId w:val="2"/>
        </w:numPr>
        <w:spacing w:after="80"/>
      </w:pPr>
      <w:r>
        <w:t xml:space="preserve">Any newly found defects have been logged in the Defect Log with a severity and priority assigned, even if not yet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WHY EXIT CRITERIA MATTER</w:t>
            </w:r>
          </w:p>
          <w:p>
            <w:r>
              <w:rPr>
                <w:color w:val="404040"/>
                <w:sz w:val="22"/>
                <w:szCs w:val="22"/>
              </w:rPr>
              <w:t xml:space="preserve">Without an explicit exit criteria, testing has no defined end point — it's easy to either stop too early (missing real defects) or never feel “done.” Stating in advance what “good enough to proceed” looks like is what turns testing from a vague activity into a decision-making tool.</w:t>
            </w:r>
          </w:p>
        </w:tc>
      </w:tr>
    </w:tbl>
    <w:p>
      <w:pPr>
        <w:pStyle w:val="Heading1"/>
      </w:pPr>
      <w:r>
        <w:t xml:space="preserve">9. Roles and Responsibilities</w:t>
      </w:r>
    </w:p>
    <w:p>
      <w:pPr>
        <w:spacing w:after="160"/>
      </w:pPr>
      <w:r>
        <w:t xml:space="preserve">This project was developed and tested by a single person, which is common for early-stage solo and indie software work. In a team setting, the responsibilities below would typically be split across a Developer, a QA/Test Engineer, and a Product Owner. Recording who performed each role here, even when it is the same person, is itself a professional practice — it makes the testing process auditable and is exactly the kind of distinction an interviewer may ask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Role</w:t>
            </w:r>
          </w:p>
        </w:tc>
        <w:tc>
          <w:tcPr>
            <w:tcW w:type="dxa" w:w="18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Performed By</w:t>
            </w:r>
          </w:p>
        </w:tc>
        <w:tc>
          <w:tcPr>
            <w:tcW w:type="dxa" w:w="51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Responsibility</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Developer</w:t>
            </w:r>
          </w:p>
        </w:tc>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Project owner</w:t>
            </w:r>
          </w:p>
        </w:tc>
        <w:tc>
          <w:tcPr>
            <w:tcW w:type="dxa" w:w="51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Implements features and fixes; performs initial self-testing during development.</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Code Reviewer</w:t>
            </w:r>
          </w:p>
        </w:tc>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Claude (AI-assisted review)</w:t>
            </w:r>
          </w:p>
        </w:tc>
        <w:tc>
          <w:tcPr>
            <w:tcW w:type="dxa" w:w="51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Performs structured static review of source code against the System Design Document and Technical Design Reference, identifying defects before runtime testing (see Defect Log, 'Found Via: Code Review').</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Tester (UAT)</w:t>
            </w:r>
          </w:p>
        </w:tc>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Project owner</w:t>
            </w:r>
          </w:p>
        </w:tc>
        <w:tc>
          <w:tcPr>
            <w:tcW w:type="dxa" w:w="51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Performs hands-on, exploratory testing of the running application, simulating real operator use.</w:t>
            </w:r>
          </w:p>
        </w:tc>
      </w:tr>
      <w:tr>
        <w:tc>
          <w:tcPr>
            <w:tcW w:type="dxa" w:w="24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Test Designer</w:t>
            </w:r>
          </w:p>
        </w:tc>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Claude (AI-assisted)</w:t>
            </w:r>
          </w:p>
        </w:tc>
        <w:tc>
          <w:tcPr>
            <w:tcW w:type="dxa" w:w="51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Designed the Test Case Matrix structure and individual test cases using formal test design techniques (Section 6).</w:t>
            </w:r>
          </w:p>
        </w:tc>
      </w:tr>
    </w:tbl>
    <w:p>
      <w:pPr>
        <w:spacing w:after="240"/>
      </w:pPr>
    </w:p>
    <w:p>
      <w:pPr>
        <w:pStyle w:val="Heading1"/>
      </w:pPr>
      <w:r>
        <w:t xml:space="preserve">10. Defect Management Process</w:t>
      </w:r>
    </w:p>
    <w:p>
      <w:pPr>
        <w:spacing w:after="160"/>
      </w:pPr>
      <w:r>
        <w:t xml:space="preserve">Every defect found, regardless of how trivial, is logged in the Defect Log with the fields below. Two fields are commonly confused and are worth being precise about:</w:t>
      </w:r>
    </w:p>
    <w:p>
      <w:pPr>
        <w:pStyle w:val="Heading2"/>
      </w:pPr>
      <w:r>
        <w:t xml:space="preserve">10.1 Severity vs. Priority</w:t>
      </w:r>
    </w:p>
    <w:p>
      <w:pPr>
        <w:pStyle w:val="ListParagraph"/>
        <w:numPr>
          <w:ilvl w:val="0"/>
          <w:numId w:val="2"/>
        </w:numPr>
        <w:spacing w:after="80"/>
      </w:pPr>
      <w:r>
        <w:t xml:space="preserve">Severity — a technical judgement of how badly the defect affects the system if left unfixed (e.g. data corruption is severe regardless of how often it occurs).</w:t>
      </w:r>
    </w:p>
    <w:p>
      <w:pPr>
        <w:pStyle w:val="ListParagraph"/>
        <w:numPr>
          <w:ilvl w:val="0"/>
          <w:numId w:val="2"/>
        </w:numPr>
        <w:spacing w:after="80"/>
      </w:pPr>
      <w:r>
        <w:t xml:space="preserve">Priority — a judgement of how urgently it should be fixed relative to other work (a cosmetic issue on a screen used constantly may be higher priority than a rare but low-impact edge case).</w:t>
      </w:r>
    </w:p>
    <w:p>
      <w:pPr>
        <w:spacing w:after="160"/>
      </w:pPr>
      <w:r>
        <w:t xml:space="preserve">These two axes are independent and can disagree — see Defect Log entries DEF-009 through DEF-011, each logged as Low severity (no data integrity or functional impact) but Medium priority (confusing enough to every user to be worth fixing promptly).</w:t>
      </w:r>
    </w:p>
    <w:p>
      <w:pPr>
        <w:pStyle w:val="Heading2"/>
      </w:pPr>
      <w:r>
        <w:t xml:space="preserve">10.2 Severity Definitions Used</w:t>
      </w:r>
    </w:p>
    <w:p>
      <w:pPr>
        <w:pStyle w:val="ListParagraph"/>
        <w:numPr>
          <w:ilvl w:val="0"/>
          <w:numId w:val="2"/>
        </w:numPr>
        <w:spacing w:after="80"/>
      </w:pPr>
      <w:r>
        <w:t xml:space="preserve">Critical — core purpose of the system is violated, data is lost or corrupted, or the application crashes.</w:t>
      </w:r>
    </w:p>
    <w:p>
      <w:pPr>
        <w:pStyle w:val="ListParagraph"/>
        <w:numPr>
          <w:ilvl w:val="0"/>
          <w:numId w:val="2"/>
        </w:numPr>
        <w:spacing w:after="80"/>
      </w:pPr>
      <w:r>
        <w:t xml:space="preserve">High — a significant rule or constraint from the specification is not enforced, though the application remains stable.</w:t>
      </w:r>
    </w:p>
    <w:p>
      <w:pPr>
        <w:pStyle w:val="ListParagraph"/>
        <w:numPr>
          <w:ilvl w:val="0"/>
          <w:numId w:val="2"/>
        </w:numPr>
        <w:spacing w:after="80"/>
      </w:pPr>
      <w:r>
        <w:t xml:space="preserve">Medium — a real defect with a workaround, or a usability issue likely to cause genuine user confusion.</w:t>
      </w:r>
    </w:p>
    <w:p>
      <w:pPr>
        <w:pStyle w:val="ListParagraph"/>
        <w:numPr>
          <w:ilvl w:val="0"/>
          <w:numId w:val="2"/>
        </w:numPr>
        <w:spacing w:after="80"/>
      </w:pPr>
      <w:r>
        <w:t xml:space="preserve">Low — a cosmetic issue or a latent risk with no current visible symptom.</w:t>
      </w:r>
    </w:p>
    <w:p>
      <w:pPr>
        <w:pStyle w:val="Heading2"/>
      </w:pPr>
      <w:r>
        <w:t xml:space="preserve">10.3 Defect Lifecycle</w:t>
      </w:r>
    </w:p>
    <w:p>
      <w:pPr>
        <w:spacing w:after="160"/>
      </w:pPr>
      <w:r>
        <w:t xml:space="preserve">Open → (assigned severity &amp; priority) → Fixed → Verified (re-tested by whoever logged it, or in regression) → Closed. The Defect Log's Status column tracks each defect's current position in this lifecycle; defects marked ‘Fixed (pending re-verification)’ have had a corresponding code change made but have not yet had their fix independently re-confirmed against the original reproduction steps.</w:t>
      </w:r>
    </w:p>
    <w:p>
      <w:pPr>
        <w:pStyle w:val="Heading1"/>
      </w:pPr>
      <w:r>
        <w:t xml:space="preserve">11. Tools Used</w:t>
      </w:r>
    </w:p>
    <w:p>
      <w:pPr>
        <w:pStyle w:val="ListParagraph"/>
        <w:numPr>
          <w:ilvl w:val="0"/>
          <w:numId w:val="2"/>
        </w:numPr>
        <w:spacing w:after="80"/>
      </w:pPr>
      <w:r>
        <w:t xml:space="preserve">Git — version control; defect-fix commits reference the issue being addressed.</w:t>
      </w:r>
    </w:p>
    <w:p>
      <w:pPr>
        <w:pStyle w:val="ListParagraph"/>
        <w:numPr>
          <w:ilvl w:val="0"/>
          <w:numId w:val="2"/>
        </w:numPr>
        <w:spacing w:after="80"/>
      </w:pPr>
      <w:r>
        <w:t xml:space="preserve">Claude Code (CLI) — AI-assisted implementation of fixes, directed against this Test Plan's companion specification document.</w:t>
      </w:r>
    </w:p>
    <w:p>
      <w:pPr>
        <w:pStyle w:val="ListParagraph"/>
        <w:numPr>
          <w:ilvl w:val="0"/>
          <w:numId w:val="2"/>
        </w:numPr>
        <w:spacing w:after="80"/>
      </w:pPr>
      <w:r>
        <w:t xml:space="preserve">Manual exploratory testing — direct use of the built application by the developer, standing in for a dedicated QA tester.</w:t>
      </w:r>
    </w:p>
    <w:p>
      <w:pPr>
        <w:pStyle w:val="ListParagraph"/>
        <w:numPr>
          <w:ilvl w:val="0"/>
          <w:numId w:val="2"/>
        </w:numPr>
        <w:spacing w:after="80"/>
      </w:pPr>
      <w:r>
        <w:t xml:space="preserve">Microsoft Excel / .xlsx format — used for the Test Case Matrix and Defect Log, the standard portable, sortable, filterable format for this kind of tabular QA documentation in industry.</w:t>
      </w:r>
    </w:p>
    <w:p>
      <w:pPr>
        <w:pStyle w:val="Heading1"/>
      </w:pPr>
      <w:r>
        <w:t xml:space="preserve">12. Risks and Assumptions</w:t>
      </w:r>
    </w:p>
    <w:p>
      <w:pPr>
        <w:pStyle w:val="ListParagraph"/>
        <w:numPr>
          <w:ilvl w:val="0"/>
          <w:numId w:val="2"/>
        </w:numPr>
        <w:spacing w:after="80"/>
      </w:pPr>
      <w:r>
        <w:t xml:space="preserve">Risk: no automated regression suite exists, so re-testing after each change currently relies on manual discipline (re-running relevant Test Case Matrix rows by hand). Mitigation: the Test Case Matrix is structured so this is at least systematic rather than ad hoc.</w:t>
      </w:r>
    </w:p>
    <w:p>
      <w:pPr>
        <w:pStyle w:val="ListParagraph"/>
        <w:numPr>
          <w:ilvl w:val="0"/>
          <w:numId w:val="2"/>
        </w:numPr>
        <w:spacing w:after="80"/>
      </w:pPr>
      <w:r>
        <w:t xml:space="preserve">Risk: testing has been performed by the same person who built the system, which can reduce the chance of catching certain classes of assumption-driven defects. Mitigation: the AI-assisted code review step was deliberately used as a second, independent pass against the written specification rather than the developer's own mental model.</w:t>
      </w:r>
    </w:p>
    <w:p>
      <w:pPr>
        <w:pStyle w:val="ListParagraph"/>
        <w:numPr>
          <w:ilvl w:val="0"/>
          <w:numId w:val="2"/>
        </w:numPr>
        <w:spacing w:after="80"/>
      </w:pPr>
      <w:r>
        <w:t xml:space="preserve">Assumption: the test environment's printer (dot-matrix) is representative enough of real deployment conditions for print-related test cases; this assumption does not extend to the not-yet-purchased thermal printer.</w:t>
      </w:r>
    </w:p>
    <w:p>
      <w:pPr>
        <w:pStyle w:val="Heading1"/>
      </w:pPr>
      <w:r>
        <w:t xml:space="preserve">13. Deliverables &amp; Current Status</w:t>
      </w:r>
    </w:p>
    <w:p>
      <w:pPr>
        <w:pStyle w:val="ListParagraph"/>
        <w:numPr>
          <w:ilvl w:val="0"/>
          <w:numId w:val="2"/>
        </w:numPr>
        <w:spacing w:after="80"/>
      </w:pPr>
      <w:r>
        <w:t xml:space="preserve">Test Case Matrix (Test_Case_Matrix.xlsx) — 40 test cases across 10 functional modules, each tagged with the test design technique used and a priority level.</w:t>
      </w:r>
    </w:p>
    <w:p>
      <w:pPr>
        <w:pStyle w:val="ListParagraph"/>
        <w:numPr>
          <w:ilvl w:val="0"/>
          <w:numId w:val="2"/>
        </w:numPr>
        <w:spacing w:after="80"/>
      </w:pPr>
      <w:r>
        <w:t xml:space="preserve">Defect Log (Defect_Log.xlsx) — 12 logged defects spanning three code review rounds and one user acceptance testing round, with severity, priority, root cause, and resolution recorded for each.</w:t>
      </w:r>
    </w:p>
    <w:p>
      <w:pPr>
        <w:pStyle w:val="Heading2"/>
      </w:pPr>
      <w:r>
        <w:t xml:space="preserve">13.1 Summary at Time of Writing</w:t>
      </w:r>
    </w:p>
    <w:p>
      <w:pPr>
        <w:pStyle w:val="ListParagraph"/>
        <w:numPr>
          <w:ilvl w:val="0"/>
          <w:numId w:val="2"/>
        </w:numPr>
        <w:spacing w:after="80"/>
      </w:pPr>
      <w:r>
        <w:t xml:space="preserve">10 of 12 logged defects are Fixed; 2 remain Open (both Low severity / Low priority — see Defect Log DEF-008 and DEF-012 — neither blocks operational use).</w:t>
      </w:r>
    </w:p>
    <w:p>
      <w:pPr>
        <w:pStyle w:val="ListParagraph"/>
        <w:numPr>
          <w:ilvl w:val="0"/>
          <w:numId w:val="2"/>
        </w:numPr>
        <w:spacing w:after="80"/>
      </w:pPr>
      <w:r>
        <w:t xml:space="preserve">All Critical and High severity defects found to date have been fixed and are pending final regression re-verification using the Test Case Matrix.</w:t>
      </w:r>
    </w:p>
    <w:p>
      <w:pPr>
        <w:pStyle w:val="ListParagraph"/>
        <w:numPr>
          <w:ilvl w:val="0"/>
          <w:numId w:val="2"/>
        </w:numPr>
        <w:spacing w:after="80"/>
      </w:pPr>
      <w:r>
        <w:t xml:space="preserve">Test cases covering the most recent UAT-discovered fixes (void dialog layout, Customize Slips instructions, read-only History grid) are written and ready, but have not yet been formally re-executed and marked Pass/Fail — this is the immediate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2"/>
                <w:szCs w:val="22"/>
              </w:rPr>
              <w:t xml:space="preserve">NEXT STEP</w:t>
            </w:r>
          </w:p>
          <w:p>
            <w:r>
              <w:rPr>
                <w:color w:val="404040"/>
                <w:sz w:val="22"/>
                <w:szCs w:val="22"/>
              </w:rPr>
              <w:t xml:space="preserve">Execute the Test Case Matrix end-to-end against the current build, recording Pass/Fail, Actual Result, Tester, and Date for every row. Any case that fails becomes a new Defect Log entry, closing the loop between planning, testing, and defect tracking that this document describes.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Truck Loading Slip System — Software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2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2026-06-30T10:15:53.765Z</dcterms:created>
  <dcterms:modified xsi:type="dcterms:W3CDTF">2026-06-30T10:15:53.776Z</dcterms:modified>
</cp:coreProperties>
</file>

<file path=docProps/custom.xml><?xml version="1.0" encoding="utf-8"?>
<Properties xmlns="http://schemas.openxmlformats.org/officeDocument/2006/custom-properties" xmlns:vt="http://schemas.openxmlformats.org/officeDocument/2006/docPropsVTypes"/>
</file>