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1.1  |  Date: 11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52 test cases across 12 functional modules, each tagged with the test design technique used and a priority level.</w:t>
      </w:r>
    </w:p>
    <w:p>
      <w:pPr>
        <w:pStyle w:val="ListParagraph"/>
        <w:numPr>
          <w:ilvl w:val="0"/>
          <w:numId w:val="2"/>
        </w:numPr>
        <w:spacing w:after="80"/>
      </w:pPr>
      <w:r>
        <w:t xml:space="preserve">Defect Log (Defect_Log.xlsx) — 32 logged defects spanning five code review rounds and three user acceptance testing rounds,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31 of 32 logged defects are Fixed; 1 remains Open — DEF-021, a Low severity note about calibration keys left orphaned in GlobalSettings by an earlier refactor, deferred by the project owner as non-blocking.</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since been executed end-to-end: 48 of the 52 cases are recorded Pass, each with its Actual Result, Tester, and Date. DEF-031 and DEF-032 were surfaced by that run and were fixed and re-verified within it. The remaining four cases, TC-049 to TC-052, cover the reworked suggestion lists that closed DEF-030 and are written but not yet executed against this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Execute TC-049 to TC-052 against the current build, which closes out DEF-030 and completes the loop between planning, testing, and defect tracking that this document describes. Beyond that, what remains is deliberately deferred: DEF-021, and thermal printer testing, which cannot begin until the hardware is purchased. Any change made from here re-runs the affected Test Case Matrix rows, and any failure becomes a new Defect Log entry.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