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1.5  |  Date: 19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70 test cases across 16 functional modules, each tagged with the test design technique used and a priority level.</w:t>
      </w:r>
    </w:p>
    <w:p>
      <w:pPr>
        <w:pStyle w:val="ListParagraph"/>
        <w:numPr>
          <w:ilvl w:val="0"/>
          <w:numId w:val="2"/>
        </w:numPr>
        <w:spacing w:after="80"/>
      </w:pPr>
      <w:r>
        <w:t xml:space="preserve">Defect Log (Defect_Log.xlsx) — 43 logged defects spanning seven code review rounds, five user acceptance testing rounds and one customer review round,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All 43 logged defects are Fixed and none remain Open. By severity: 5 Critical, 12 High, 9 Medium, 17 Low. By discovery method: 24 Code Review, 17 User Acceptance Testing, 2 Customer Acceptance Testing.</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since been executed end-to-end against the current build: all 70 cases are recorded Pass, each with its Actual Result, Tester, and Date. Work carried out after the first full run brought its own cases and its own defects with it. TC-049 to TC-052 cover the reworked suggestion lists that closed DEF-030; TC-053 the in-place upgrade of a database created by an earlier build, which closed DEF-021; TC-054 to TC-059 the multi-copy print arrangements, PDF naming and page orientation raised in the customer review; TC-060 to TC-062 the restore path and the move to change-driven backups; TC-063 to TC-065 the single-machine licence; and TC-066 to TC-070 the printer calibration and the installer, covering a clean install onto a machine holding no data, an installation alongside existing records, and an upgrade over an existing installation - the last two leaving the operator's records untouched. Throughout, results were checked against the stored rows, the files on disk and the printed sheet rather than against the screen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A first round of customer review has since been completed. It is recorded in the Defect Log as Customer Testing Round 1, deliberately distinguished from defects found in live operation, of which there have been none because the system is not yet deployed. That round produced six entries, DEF-033 to DEF-038: a multi-copy arrangement fixed to one orientation, PDF output that arrived unnamed, a company logo that could not travel to another machine, a cancelled save that nonetheless marked a slip printed, an overlapping Printer Settings layout, and a landscape setting that rotated the paper without rotating the content. TC-054 to TC-059 cover them and all six are closed. Every test case is executed and every defect is closed, so the loop between planning, testing, and defect tracking that this document describes is complete. The one item still outstanding is thermal printer testing, which cannot begin until the hardware is purchased and is recorded as out of scope in Section 2.2. Any change made from here re-runs the affected Test Case Matrix rows, and any failure becomes a new Defect Log entry. Two findings from the later rounds are worth carrying forward rather than simply filing. DEF-038 and DEF-041 were High and Critical respectively, both lay in code that had already been written and reviewed, and both were caught only by running the program against real paper and real hardware - one arranged landscape content onto a portrait sheet, the other refused the very computer its own licence had been issued for. Static review remains the cheaper pass and caught the larger share, but neither of those two would have surfaced without execution, which is precisely the argument Section 4 makes for keeping System and User Acceptance testing formal rather than incidental. Two findings from the later rounds are worth carrying forward rather than simply filing. DEF-038 and DEF-041 were High and Critical respectively, both lay in code that had already been written and reviewed, and both were caught only by running the program against real paper and real hardware - one arranged landscape content onto a portrait sheet, the other refused the very computer its own licence had been issued for. Static review remains the cheaper pass and caught the larger share, but neither of those two would have surfaced without execution, which is precisely the argument Section 4 makes for keeping System and User Acceptance testing formal rather than incidental.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