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8AD9B" w14:textId="77777777" w:rsidR="00F521A1" w:rsidRPr="000D1739" w:rsidRDefault="00000000">
      <w:pPr>
        <w:keepNext/>
        <w:spacing w:after="20"/>
        <w:rPr>
          <w:color w:val="000000" w:themeColor="text1"/>
        </w:rPr>
      </w:pPr>
      <w:r w:rsidRPr="000D1739">
        <w:rPr>
          <w:b/>
          <w:color w:val="000000" w:themeColor="text1"/>
          <w:sz w:val="46"/>
        </w:rPr>
        <w:t>Card Portfolio Monitor</w:t>
      </w:r>
    </w:p>
    <w:p w14:paraId="5E98E474" w14:textId="77777777" w:rsidR="00F521A1" w:rsidRPr="000D1739" w:rsidRDefault="00000000">
      <w:pPr>
        <w:keepNext/>
        <w:spacing w:after="20"/>
        <w:rPr>
          <w:b/>
          <w:bCs/>
          <w:color w:val="000000" w:themeColor="text1"/>
        </w:rPr>
      </w:pPr>
      <w:r w:rsidRPr="000D1739">
        <w:rPr>
          <w:b/>
          <w:bCs/>
          <w:color w:val="000000" w:themeColor="text1"/>
          <w:sz w:val="25"/>
        </w:rPr>
        <w:t>Portfolio-Level Credit Review</w:t>
      </w:r>
    </w:p>
    <w:p w14:paraId="2A812B7B" w14:textId="77777777" w:rsidR="00F521A1" w:rsidRPr="000D1739" w:rsidRDefault="00000000">
      <w:pPr>
        <w:keepNext/>
        <w:pBdr>
          <w:bottom w:val="single" w:sz="10" w:space="4" w:color="1A2B4A"/>
        </w:pBdr>
        <w:spacing w:after="200"/>
        <w:rPr>
          <w:iCs/>
          <w:color w:val="000000" w:themeColor="text1"/>
        </w:rPr>
      </w:pPr>
      <w:r w:rsidRPr="000D1739">
        <w:rPr>
          <w:iCs/>
          <w:color w:val="000000" w:themeColor="text1"/>
          <w:sz w:val="20"/>
        </w:rPr>
        <w:t>John C. Hutcheson   ·   August 2026</w:t>
      </w:r>
    </w:p>
    <w:p w14:paraId="386DD265" w14:textId="77777777" w:rsidR="00F521A1" w:rsidRPr="000D1739" w:rsidRDefault="00000000">
      <w:pPr>
        <w:keepLines/>
        <w:rPr>
          <w:color w:val="000000" w:themeColor="text1"/>
        </w:rPr>
      </w:pPr>
      <w:proofErr w:type="gramStart"/>
      <w:r w:rsidRPr="000D1739">
        <w:rPr>
          <w:color w:val="000000" w:themeColor="text1"/>
        </w:rPr>
        <w:t>A portfolio-level credit review of a consumer credit card book,</w:t>
      </w:r>
      <w:proofErr w:type="gramEnd"/>
      <w:r w:rsidRPr="000D1739">
        <w:rPr>
          <w:color w:val="000000" w:themeColor="text1"/>
        </w:rPr>
        <w:t xml:space="preserve"> built the way a bank credit risk team runs a monthly monitoring cycle: delinquency profile, roll-rate transitions, vintage performance, expected loss (PD × LGD × EAD), and an industry benchmark against Federal Reserve data. Each section pairs the analysis with a plain-English read of what it means for the book, ending in a one-page summary written for leadership.</w:t>
      </w:r>
    </w:p>
    <w:p w14:paraId="682D35D2" w14:textId="77777777" w:rsidR="00F521A1" w:rsidRPr="000D1739" w:rsidRDefault="00000000">
      <w:pPr>
        <w:keepLines/>
        <w:rPr>
          <w:color w:val="000000" w:themeColor="text1"/>
        </w:rPr>
      </w:pPr>
      <w:r w:rsidRPr="000D1739">
        <w:rPr>
          <w:i/>
          <w:color w:val="000000" w:themeColor="text1"/>
          <w:sz w:val="19"/>
        </w:rPr>
        <w:t>Data is synthetic and seeded for reproducibility; the structure is designed to run unchanged on real loan-level data.</w:t>
      </w:r>
    </w:p>
    <w:p w14:paraId="29769DEB" w14:textId="77777777" w:rsidR="00F521A1" w:rsidRPr="000D1739" w:rsidRDefault="00000000">
      <w:pPr>
        <w:keepNext/>
        <w:keepLines/>
        <w:pBdr>
          <w:bottom w:val="single" w:sz="6" w:space="4" w:color="4A5D7E"/>
        </w:pBdr>
        <w:spacing w:before="280" w:after="100"/>
        <w:rPr>
          <w:color w:val="000000" w:themeColor="text1"/>
        </w:rPr>
      </w:pPr>
      <w:r w:rsidRPr="000D1739">
        <w:rPr>
          <w:b/>
          <w:color w:val="000000" w:themeColor="text1"/>
          <w:sz w:val="27"/>
        </w:rPr>
        <w:t>Executive Summary</w:t>
      </w:r>
    </w:p>
    <w:p w14:paraId="4695180A" w14:textId="77777777" w:rsidR="00F521A1" w:rsidRPr="000D1739" w:rsidRDefault="00000000">
      <w:pPr>
        <w:keepNext/>
        <w:keepLines/>
        <w:rPr>
          <w:color w:val="000000" w:themeColor="text1"/>
        </w:rPr>
      </w:pPr>
      <w:r w:rsidRPr="000D1739">
        <w:rPr>
          <w:b/>
          <w:color w:val="000000" w:themeColor="text1"/>
        </w:rPr>
        <w:t>Portfolio:  20,000 accounts  ·  $82.7M receivables  ·  average FICO 734  ·  91% prime or better</w:t>
      </w:r>
    </w:p>
    <w:p w14:paraId="60C7FF0A" w14:textId="77777777" w:rsidR="00F521A1" w:rsidRPr="000D1739" w:rsidRDefault="00000000">
      <w:pPr>
        <w:keepNext/>
        <w:keepLines/>
        <w:spacing w:after="80"/>
        <w:rPr>
          <w:color w:val="000000" w:themeColor="text1"/>
        </w:rPr>
      </w:pPr>
      <w:r w:rsidRPr="000D1739">
        <w:rPr>
          <w:b/>
          <w:color w:val="000000" w:themeColor="text1"/>
        </w:rPr>
        <w:t>Key Findings</w:t>
      </w:r>
    </w:p>
    <w:p w14:paraId="73900071" w14:textId="77777777" w:rsidR="00F521A1" w:rsidRPr="000D1739" w:rsidRDefault="00000000">
      <w:pPr>
        <w:keepNext/>
        <w:keepLines/>
        <w:spacing w:after="100"/>
        <w:ind w:left="461" w:hanging="461"/>
        <w:rPr>
          <w:color w:val="000000" w:themeColor="text1"/>
        </w:rPr>
      </w:pPr>
      <w:r w:rsidRPr="000D1739">
        <w:rPr>
          <w:b/>
          <w:color w:val="000000" w:themeColor="text1"/>
        </w:rPr>
        <w:t xml:space="preserve">1.  </w:t>
      </w:r>
      <w:r w:rsidRPr="000D1739">
        <w:rPr>
          <w:color w:val="000000" w:themeColor="text1"/>
        </w:rPr>
        <w:t>Credit risk is concentrated at the margin, not the core — delinquent accounts average a 646 FICO and roughly four in ten sub-660 borrowers are past due, while the prime base remains overwhelmingly current.</w:t>
      </w:r>
    </w:p>
    <w:p w14:paraId="766DD8C6" w14:textId="77777777" w:rsidR="00F521A1" w:rsidRPr="000D1739" w:rsidRDefault="00000000">
      <w:pPr>
        <w:keepNext/>
        <w:keepLines/>
        <w:spacing w:after="100"/>
        <w:ind w:left="461" w:hanging="461"/>
        <w:rPr>
          <w:color w:val="000000" w:themeColor="text1"/>
        </w:rPr>
      </w:pPr>
      <w:r w:rsidRPr="000D1739">
        <w:rPr>
          <w:b/>
          <w:color w:val="000000" w:themeColor="text1"/>
        </w:rPr>
        <w:t xml:space="preserve">2.  </w:t>
      </w:r>
      <w:r w:rsidRPr="000D1739">
        <w:rPr>
          <w:color w:val="000000" w:themeColor="text1"/>
        </w:rPr>
        <w:t>Delinquency runs 3.70% balance-weighted versus 2.14% by account count, because delinquent accounts carry $7,613 in average balance against $4,067 for the rest of the book — account-based reporting understates the dollars at risk by nearly half.</w:t>
      </w:r>
    </w:p>
    <w:p w14:paraId="6F220928" w14:textId="77777777" w:rsidR="00F521A1" w:rsidRPr="000D1739" w:rsidRDefault="00000000">
      <w:pPr>
        <w:keepNext/>
        <w:keepLines/>
        <w:spacing w:after="100"/>
        <w:ind w:left="461" w:hanging="461"/>
        <w:rPr>
          <w:color w:val="000000" w:themeColor="text1"/>
        </w:rPr>
      </w:pPr>
      <w:r w:rsidRPr="000D1739">
        <w:rPr>
          <w:b/>
          <w:color w:val="000000" w:themeColor="text1"/>
        </w:rPr>
        <w:t xml:space="preserve">3.  </w:t>
      </w:r>
      <w:r w:rsidRPr="000D1739">
        <w:rPr>
          <w:color w:val="000000" w:themeColor="text1"/>
        </w:rPr>
        <w:t>Expected loss totals $3.9M, or 4.76% of receivables, and concentrates in the 660–719 segment, which holds 33.8% of balances but drives 44.5% of loss — the largest segment, not the riskiest one.</w:t>
      </w:r>
    </w:p>
    <w:p w14:paraId="07C62CA9" w14:textId="77777777" w:rsidR="00F521A1" w:rsidRPr="000D1739" w:rsidRDefault="00000000">
      <w:pPr>
        <w:keepNext/>
        <w:keepLines/>
        <w:spacing w:after="100"/>
        <w:ind w:left="461" w:hanging="461"/>
        <w:rPr>
          <w:color w:val="000000" w:themeColor="text1"/>
        </w:rPr>
      </w:pPr>
      <w:r w:rsidRPr="000D1739">
        <w:rPr>
          <w:b/>
          <w:color w:val="000000" w:themeColor="text1"/>
        </w:rPr>
        <w:t xml:space="preserve">4.  </w:t>
      </w:r>
      <w:r w:rsidRPr="000D1739">
        <w:rPr>
          <w:color w:val="000000" w:themeColor="text1"/>
        </w:rPr>
        <w:t>Exposure at default is $156.7M against $82.7M of current balances, since stressed borrowers draw down available credit before defaulting — undrawn lines are exposure, and line increases are credit decisions.</w:t>
      </w:r>
    </w:p>
    <w:p w14:paraId="58ABFCE0" w14:textId="77777777" w:rsidR="00F521A1" w:rsidRPr="000D1739" w:rsidRDefault="00000000">
      <w:pPr>
        <w:keepLines/>
        <w:spacing w:after="100"/>
        <w:ind w:left="461" w:hanging="461"/>
        <w:rPr>
          <w:color w:val="000000" w:themeColor="text1"/>
        </w:rPr>
      </w:pPr>
      <w:r w:rsidRPr="000D1739">
        <w:rPr>
          <w:b/>
          <w:color w:val="000000" w:themeColor="text1"/>
        </w:rPr>
        <w:t xml:space="preserve">5.  </w:t>
      </w:r>
      <w:r w:rsidRPr="000D1739">
        <w:rPr>
          <w:color w:val="000000" w:themeColor="text1"/>
        </w:rPr>
        <w:t>The 30–59 to 60–89 roll rate, currently 40%, is the leading indicator to watch: a sustained move toward the high 40s would signal deterioration roughly two quarters before it reaches charge-offs.</w:t>
      </w:r>
    </w:p>
    <w:p w14:paraId="59110107" w14:textId="77777777" w:rsidR="00F521A1" w:rsidRPr="000D1739" w:rsidRDefault="00000000">
      <w:pPr>
        <w:keepNext/>
        <w:keepLines/>
        <w:spacing w:after="80"/>
        <w:rPr>
          <w:color w:val="000000" w:themeColor="text1"/>
        </w:rPr>
      </w:pPr>
      <w:r w:rsidRPr="000D1739">
        <w:rPr>
          <w:b/>
          <w:color w:val="000000" w:themeColor="text1"/>
        </w:rPr>
        <w:t>Requires Reconciliation</w:t>
      </w:r>
    </w:p>
    <w:p w14:paraId="7C6159B5" w14:textId="77777777" w:rsidR="00F521A1" w:rsidRPr="000D1739" w:rsidRDefault="00000000">
      <w:pPr>
        <w:keepLines/>
        <w:rPr>
          <w:color w:val="000000" w:themeColor="text1"/>
        </w:rPr>
      </w:pPr>
      <w:r w:rsidRPr="000D1739">
        <w:rPr>
          <w:color w:val="000000" w:themeColor="text1"/>
        </w:rPr>
        <w:t>The book's 3.70% delinquency sits 78 basis points above the 2.92% industry benchmark, which is inconsistent with a 91%-prime portfolio and should be investigated — definitional comparability first, then the delinquency flag's population — before the figure informs any reserve decision.</w:t>
      </w:r>
    </w:p>
    <w:p w14:paraId="3DBB71BC" w14:textId="77777777" w:rsidR="00F521A1" w:rsidRPr="000D1739" w:rsidRDefault="00000000">
      <w:pPr>
        <w:keepNext/>
        <w:keepLines/>
        <w:spacing w:after="80"/>
        <w:rPr>
          <w:color w:val="000000" w:themeColor="text1"/>
        </w:rPr>
      </w:pPr>
      <w:r w:rsidRPr="000D1739">
        <w:rPr>
          <w:b/>
          <w:color w:val="000000" w:themeColor="text1"/>
        </w:rPr>
        <w:t>Recommendation</w:t>
      </w:r>
    </w:p>
    <w:p w14:paraId="5B07123C" w14:textId="77777777" w:rsidR="00F521A1" w:rsidRPr="000D1739" w:rsidRDefault="00000000">
      <w:pPr>
        <w:keepLines/>
        <w:rPr>
          <w:color w:val="000000" w:themeColor="text1"/>
        </w:rPr>
      </w:pPr>
      <w:r w:rsidRPr="000D1739">
        <w:rPr>
          <w:color w:val="000000" w:themeColor="text1"/>
        </w:rPr>
        <w:t>Maintain current reserve levels pending that reconciliation, prioritize line management for low-FICO high-utilization accounts, and monitor the 30–59 to 60–89 transition monthly as the portfolio's earliest warning signal.</w:t>
      </w:r>
    </w:p>
    <w:p w14:paraId="395378F0" w14:textId="77777777" w:rsidR="00F521A1" w:rsidRPr="000D1739" w:rsidRDefault="00000000">
      <w:pPr>
        <w:keepNext/>
        <w:keepLines/>
        <w:pageBreakBefore/>
        <w:pBdr>
          <w:bottom w:val="single" w:sz="6" w:space="4" w:color="4A5D7E"/>
        </w:pBdr>
        <w:spacing w:after="100"/>
        <w:rPr>
          <w:color w:val="000000" w:themeColor="text1"/>
        </w:rPr>
      </w:pPr>
      <w:r w:rsidRPr="000D1739">
        <w:rPr>
          <w:b/>
          <w:color w:val="000000" w:themeColor="text1"/>
          <w:sz w:val="24"/>
        </w:rPr>
        <w:lastRenderedPageBreak/>
        <w:t>1.  Portfolio Composition</w:t>
      </w:r>
    </w:p>
    <w:p w14:paraId="525373AA" w14:textId="77777777" w:rsidR="00F521A1" w:rsidRPr="000D1739" w:rsidRDefault="00000000">
      <w:pPr>
        <w:keepLines/>
        <w:rPr>
          <w:color w:val="000000" w:themeColor="text1"/>
        </w:rPr>
      </w:pPr>
      <w:r w:rsidRPr="000D1739">
        <w:rPr>
          <w:color w:val="000000" w:themeColor="text1"/>
        </w:rPr>
        <w:t>The book holds 20,000 accounts and $82.7M in receivables, with an average FICO of 734 and 91% of accounts scoring prime or better — a prime-skewed consumer card portfolio. Risk sits at the margin, not the core: delinquent accounts average a 646 FICO and roughly four in ten sub-660 borrowers are past due, while the prime base remains overwhelmingly current. Utilization runs inverse to credit quality — the weakest borrowers run the hottest lines — so monitoring attention belongs with low-FICO, high-utilization accounts, where default risk concentrates.</w:t>
      </w:r>
    </w:p>
    <w:p w14:paraId="668930D9" w14:textId="77777777" w:rsidR="00F521A1" w:rsidRPr="000D1739" w:rsidRDefault="00000000">
      <w:pPr>
        <w:keepNext/>
        <w:keepLines/>
        <w:pBdr>
          <w:bottom w:val="single" w:sz="6" w:space="4" w:color="4A5D7E"/>
        </w:pBdr>
        <w:spacing w:before="260" w:after="100"/>
        <w:rPr>
          <w:color w:val="000000" w:themeColor="text1"/>
        </w:rPr>
      </w:pPr>
      <w:r w:rsidRPr="000D1739">
        <w:rPr>
          <w:b/>
          <w:color w:val="000000" w:themeColor="text1"/>
          <w:sz w:val="24"/>
        </w:rPr>
        <w:t>2.  Borrower Profile</w:t>
      </w:r>
    </w:p>
    <w:p w14:paraId="3823EAD8" w14:textId="77777777" w:rsidR="00F521A1" w:rsidRPr="000D1739" w:rsidRDefault="00000000">
      <w:pPr>
        <w:keepLines/>
        <w:rPr>
          <w:color w:val="000000" w:themeColor="text1"/>
        </w:rPr>
      </w:pPr>
      <w:r w:rsidRPr="000D1739">
        <w:rPr>
          <w:color w:val="000000" w:themeColor="text1"/>
        </w:rPr>
        <w:t>Prime and better borrowers hold 91.2% of accounts, and utilization averages 32.3% across the book. The exposure worth watching is the overlap: low-FICO borrowers run closest to their limits, and rising utilization among weaker credits is one of the earliest observable signals of stress — borrowers draw down available lines before they miss payments. That combination raises expected loss and, in turn, the reserve required against it, which makes low-FICO, high-utilization accounts the natural priority for line management and monitoring.</w:t>
      </w:r>
    </w:p>
    <w:p w14:paraId="54F53D87" w14:textId="77777777" w:rsidR="00F521A1" w:rsidRPr="000D1739" w:rsidRDefault="00000000">
      <w:pPr>
        <w:keepNext/>
        <w:keepLines/>
        <w:pBdr>
          <w:bottom w:val="single" w:sz="6" w:space="4" w:color="4A5D7E"/>
        </w:pBdr>
        <w:spacing w:before="260" w:after="100"/>
        <w:rPr>
          <w:color w:val="000000" w:themeColor="text1"/>
        </w:rPr>
      </w:pPr>
      <w:r w:rsidRPr="000D1739">
        <w:rPr>
          <w:b/>
          <w:color w:val="000000" w:themeColor="text1"/>
          <w:sz w:val="24"/>
        </w:rPr>
        <w:t>3.  Delinquency Profile</w:t>
      </w:r>
    </w:p>
    <w:p w14:paraId="5F4654CF" w14:textId="77777777" w:rsidR="00F521A1" w:rsidRPr="000D1739" w:rsidRDefault="00000000">
      <w:pPr>
        <w:keepLines/>
        <w:rPr>
          <w:color w:val="000000" w:themeColor="text1"/>
        </w:rPr>
      </w:pPr>
      <w:r w:rsidRPr="000D1739">
        <w:rPr>
          <w:color w:val="000000" w:themeColor="text1"/>
        </w:rPr>
        <w:t>The book's 30+ DPD rate is 3.70% on a balance-weighted basis against 2.14% by account count. Delinquent accounts carry an average balance of $7,613 versus $4,067 for the rest of the book — larger balances default more often, so account-based reporting understates the dollars actually at risk. Portfolio reporting should lead with balance-weighted delinquency for that reason.</w:t>
      </w:r>
    </w:p>
    <w:p w14:paraId="28307134" w14:textId="77777777" w:rsidR="00F521A1" w:rsidRPr="000D1739" w:rsidRDefault="00000000">
      <w:pPr>
        <w:keepNext/>
        <w:keepLines/>
        <w:pBdr>
          <w:bottom w:val="single" w:sz="6" w:space="4" w:color="4A5D7E"/>
        </w:pBdr>
        <w:spacing w:before="260" w:after="100"/>
        <w:rPr>
          <w:color w:val="000000" w:themeColor="text1"/>
        </w:rPr>
      </w:pPr>
      <w:r w:rsidRPr="000D1739">
        <w:rPr>
          <w:b/>
          <w:color w:val="000000" w:themeColor="text1"/>
          <w:sz w:val="24"/>
        </w:rPr>
        <w:t>4.  Roll-Rate Transitions</w:t>
      </w:r>
    </w:p>
    <w:p w14:paraId="65738FDC" w14:textId="77777777" w:rsidR="00F521A1" w:rsidRPr="000D1739" w:rsidRDefault="00000000">
      <w:pPr>
        <w:keepLines/>
        <w:rPr>
          <w:color w:val="000000" w:themeColor="text1"/>
        </w:rPr>
      </w:pPr>
      <w:r w:rsidRPr="000D1739">
        <w:rPr>
          <w:color w:val="000000" w:themeColor="text1"/>
        </w:rPr>
        <w:t>Early-stage delinquency largely self-corrects: 55% of accounts 1–29 days past due cure to current within a month, so collections effort is best concentrated where cure probability drops off rather than on first-miss accounts. Late-stage behavior is the opposite — 35% of 90+ balances roll to charge-off and only 5% return to current, meaning losses are effectively determined well before write-off. The 30–59 to 60–89 transition, currently 40%, is the metric to watch: a sustained move toward the high 40s would signal deterioration roughly two quarters before it appears in charge-offs, and would warrant tightening line increases and stepping up collections contact ahead of the loss emerging.</w:t>
      </w:r>
    </w:p>
    <w:p w14:paraId="1D62DF10" w14:textId="77777777" w:rsidR="00F521A1" w:rsidRPr="000D1739" w:rsidRDefault="00000000">
      <w:pPr>
        <w:keepNext/>
        <w:keepLines/>
        <w:pageBreakBefore/>
        <w:pBdr>
          <w:bottom w:val="single" w:sz="6" w:space="4" w:color="4A5D7E"/>
        </w:pBdr>
        <w:spacing w:after="100"/>
        <w:rPr>
          <w:color w:val="000000" w:themeColor="text1"/>
        </w:rPr>
      </w:pPr>
      <w:r w:rsidRPr="000D1739">
        <w:rPr>
          <w:b/>
          <w:color w:val="000000" w:themeColor="text1"/>
          <w:sz w:val="24"/>
        </w:rPr>
        <w:lastRenderedPageBreak/>
        <w:t>5.  Vintage Performance</w:t>
      </w:r>
    </w:p>
    <w:p w14:paraId="7514311E" w14:textId="77777777" w:rsidR="00F521A1" w:rsidRPr="000D1739" w:rsidRDefault="00000000">
      <w:pPr>
        <w:keepLines/>
        <w:rPr>
          <w:color w:val="000000" w:themeColor="text1"/>
        </w:rPr>
      </w:pPr>
      <w:r w:rsidRPr="000D1739">
        <w:rPr>
          <w:color w:val="000000" w:themeColor="text1"/>
        </w:rPr>
        <w:t>This portfolio shows no meaningful relationship between account age and delinquency — 30+ rates range from 2.7% to 4.3% across vintage buckets with no directional pattern, and the correlation between months on book and delinquency status is effectively zero. That is a property of the synthetic data, not a finding: delinquency here is generated from credit quality and utilization alone. On a real book, this section would show the characteristic seasoning curve, with losses peaking roughly 18 to 30 months after origination — and that curve is what makes vintage analysis the standard test for underwriting drift, since cohorts must be compared at equal age rather than at a point in time.</w:t>
      </w:r>
    </w:p>
    <w:p w14:paraId="22AD309B" w14:textId="77777777" w:rsidR="00F521A1" w:rsidRPr="000D1739" w:rsidRDefault="00000000">
      <w:pPr>
        <w:keepLines/>
        <w:rPr>
          <w:color w:val="000000" w:themeColor="text1"/>
        </w:rPr>
      </w:pPr>
      <w:r w:rsidRPr="000D1739">
        <w:rPr>
          <w:color w:val="000000" w:themeColor="text1"/>
        </w:rPr>
        <w:t>The practical implication for a growing book: rapid origination growth mechanically improves observed delinquency rates while young accounts have yet to season, even as CECL requires lifetime reserves on those same accounts from day one. Clean headline metrics and rising provision expense can therefore appear together, and neither should be read in isolation.</w:t>
      </w:r>
    </w:p>
    <w:p w14:paraId="692E6294" w14:textId="77777777" w:rsidR="00F521A1" w:rsidRPr="000D1739" w:rsidRDefault="00000000">
      <w:pPr>
        <w:keepNext/>
        <w:keepLines/>
        <w:pBdr>
          <w:bottom w:val="single" w:sz="6" w:space="4" w:color="4A5D7E"/>
        </w:pBdr>
        <w:spacing w:before="260" w:after="100"/>
        <w:rPr>
          <w:color w:val="000000" w:themeColor="text1"/>
        </w:rPr>
      </w:pPr>
      <w:r w:rsidRPr="000D1739">
        <w:rPr>
          <w:b/>
          <w:color w:val="000000" w:themeColor="text1"/>
          <w:sz w:val="24"/>
        </w:rPr>
        <w:t>6.  Expected Loss</w:t>
      </w:r>
    </w:p>
    <w:p w14:paraId="3388B16A" w14:textId="77777777" w:rsidR="00F521A1" w:rsidRPr="000D1739" w:rsidRDefault="00000000">
      <w:pPr>
        <w:keepLines/>
        <w:rPr>
          <w:color w:val="000000" w:themeColor="text1"/>
        </w:rPr>
      </w:pPr>
      <w:r w:rsidRPr="000D1739">
        <w:rPr>
          <w:color w:val="000000" w:themeColor="text1"/>
        </w:rPr>
        <w:t>Twelve-month expected loss totals $3.9M, or 4.76% of receivables. The 660–719 segment drives it: 33.8% of balances but 44.5% of expected loss — not the riskiest segment (sub-620 borrowers default at roughly 16% versus 4.5% here), but the largest, which is where dollar losses concentrate. Exposure at default runs $156.7M against $82.7M in current balances, because stressed borrowers draw on available credit before they default; the model assumes 40% of the book's $185.1M in undrawn lines converts to balance on the way to default. That is why line increases carry credit risk even when balances look modest today. This calculation frames the reserve conversation but does not settle it — a CECL estimate layers reasonable and supportable forecasts of unemployment, rates, and consumer stress on top of these static assumptions.</w:t>
      </w:r>
    </w:p>
    <w:p w14:paraId="1E0B0DB2" w14:textId="77777777" w:rsidR="00F521A1" w:rsidRPr="000D1739" w:rsidRDefault="00000000">
      <w:pPr>
        <w:keepNext/>
        <w:keepLines/>
        <w:pBdr>
          <w:bottom w:val="single" w:sz="6" w:space="4" w:color="4A5D7E"/>
        </w:pBdr>
        <w:spacing w:before="260" w:after="100"/>
        <w:rPr>
          <w:color w:val="000000" w:themeColor="text1"/>
        </w:rPr>
      </w:pPr>
      <w:r w:rsidRPr="000D1739">
        <w:rPr>
          <w:b/>
          <w:color w:val="000000" w:themeColor="text1"/>
          <w:sz w:val="24"/>
        </w:rPr>
        <w:t>7.  Industry Benchmark</w:t>
      </w:r>
    </w:p>
    <w:p w14:paraId="29192581" w14:textId="77777777" w:rsidR="00F521A1" w:rsidRPr="000D1739" w:rsidRDefault="00000000">
      <w:pPr>
        <w:keepLines/>
        <w:rPr>
          <w:color w:val="000000" w:themeColor="text1"/>
        </w:rPr>
      </w:pPr>
      <w:r w:rsidRPr="000D1739">
        <w:rPr>
          <w:color w:val="000000" w:themeColor="text1"/>
        </w:rPr>
        <w:t>The book's 30+ DPD rate of 3.70% sits 78 basis points above the industry benchmark of 2.92% for credit card loans at all commercial banks (Federal Reserve, Q1 2026). That comparison does not reconcile with the portfolio's composition: a book that is 91% prime with an average FICO of 734 should run below an industry average that includes substantial subprime exposure.</w:t>
      </w:r>
    </w:p>
    <w:p w14:paraId="44C09669" w14:textId="77777777" w:rsidR="00F521A1" w:rsidRPr="000D1739" w:rsidRDefault="00000000">
      <w:pPr>
        <w:keepLines/>
        <w:rPr>
          <w:color w:val="000000" w:themeColor="text1"/>
        </w:rPr>
      </w:pPr>
      <w:r w:rsidRPr="000D1739">
        <w:rPr>
          <w:color w:val="000000" w:themeColor="text1"/>
        </w:rPr>
        <w:t>On a real portfolio this gap would be a finding requiring investigation before any reserve conclusion — first checking definitional comparability, since the Fed series is balance-weighted, seasonally adjusted, and measured across a different account mix, and then checking whether the internal delinquency flag is capturing the intended population. Here the explanation is simpler: the synthetic data's delinquency thresholds were calibrated independently of the FICO distribution, so credit quality and delinquency are less tightly coupled than they would be on a real book. The methodology is the point — a benchmark that disagrees with portfolio composition is a signal to reconcile the two, not to report the gap and move on.</w:t>
      </w:r>
    </w:p>
    <w:p w14:paraId="2B571E1A" w14:textId="77777777" w:rsidR="00F521A1" w:rsidRPr="000D1739" w:rsidRDefault="00000000">
      <w:pPr>
        <w:keepNext/>
        <w:keepLines/>
        <w:pageBreakBefore/>
        <w:pBdr>
          <w:bottom w:val="single" w:sz="6" w:space="4" w:color="4A5D7E"/>
        </w:pBdr>
        <w:spacing w:after="100"/>
        <w:rPr>
          <w:color w:val="000000" w:themeColor="text1"/>
        </w:rPr>
      </w:pPr>
      <w:r w:rsidRPr="000D1739">
        <w:rPr>
          <w:b/>
          <w:color w:val="000000" w:themeColor="text1"/>
          <w:sz w:val="26"/>
        </w:rPr>
        <w:lastRenderedPageBreak/>
        <w:t>Methodology, Assumptions &amp; Limitations</w:t>
      </w:r>
    </w:p>
    <w:p w14:paraId="482A8AC2" w14:textId="77777777" w:rsidR="00F521A1" w:rsidRPr="000D1739" w:rsidRDefault="00000000">
      <w:pPr>
        <w:keepLines/>
        <w:ind w:left="317"/>
        <w:rPr>
          <w:color w:val="000000" w:themeColor="text1"/>
        </w:rPr>
      </w:pPr>
      <w:r w:rsidRPr="000D1739">
        <w:rPr>
          <w:b/>
          <w:color w:val="000000" w:themeColor="text1"/>
          <w:sz w:val="21"/>
        </w:rPr>
        <w:t xml:space="preserve">Data.  </w:t>
      </w:r>
      <w:r w:rsidRPr="000D1739">
        <w:rPr>
          <w:color w:val="000000" w:themeColor="text1"/>
          <w:sz w:val="21"/>
        </w:rPr>
        <w:t>Synthetic portfolio of 20,000 accounts, seeded for reproducibility. FICO, credit limits, utilization, and delinquency status are generated with realistic interdependencies (utilization rises as credit quality falls); account age is assigned independently, which is why no seasoning effect appears in Section 5. Random draws may vary slightly across Python environments.</w:t>
      </w:r>
    </w:p>
    <w:p w14:paraId="231A20FA" w14:textId="77777777" w:rsidR="00F521A1" w:rsidRPr="000D1739" w:rsidRDefault="00000000">
      <w:pPr>
        <w:keepLines/>
        <w:ind w:left="317"/>
        <w:rPr>
          <w:color w:val="000000" w:themeColor="text1"/>
        </w:rPr>
      </w:pPr>
      <w:r w:rsidRPr="000D1739">
        <w:rPr>
          <w:b/>
          <w:color w:val="000000" w:themeColor="text1"/>
          <w:sz w:val="21"/>
        </w:rPr>
        <w:t xml:space="preserve">Delinquency.  </w:t>
      </w:r>
      <w:r w:rsidRPr="000D1739">
        <w:rPr>
          <w:color w:val="000000" w:themeColor="text1"/>
          <w:sz w:val="21"/>
        </w:rPr>
        <w:t>Measured on a balance-weighted basis (industry convention) using 30/60/90+ day-past-due buckets; account-weighted figures are reported alongside for contrast.</w:t>
      </w:r>
    </w:p>
    <w:p w14:paraId="3C6FCAE5" w14:textId="77777777" w:rsidR="00F521A1" w:rsidRPr="000D1739" w:rsidRDefault="00000000">
      <w:pPr>
        <w:keepLines/>
        <w:ind w:left="317"/>
        <w:rPr>
          <w:color w:val="000000" w:themeColor="text1"/>
        </w:rPr>
      </w:pPr>
      <w:r w:rsidRPr="000D1739">
        <w:rPr>
          <w:b/>
          <w:color w:val="000000" w:themeColor="text1"/>
          <w:sz w:val="21"/>
        </w:rPr>
        <w:t xml:space="preserve">Expected loss.  </w:t>
      </w:r>
      <w:r w:rsidRPr="000D1739">
        <w:rPr>
          <w:color w:val="000000" w:themeColor="text1"/>
          <w:sz w:val="21"/>
        </w:rPr>
        <w:t>EL = PD × LGD × EAD, computed by FICO segment. PD assumptions are illustrative and directionally consistent with published card performance; LGD is set at 85% reflecting thin unsecured recoveries; EAD applies a 40% credit conversion factor to undrawn lines.</w:t>
      </w:r>
    </w:p>
    <w:p w14:paraId="27C79640" w14:textId="77777777" w:rsidR="00F521A1" w:rsidRPr="000D1739" w:rsidRDefault="00000000">
      <w:pPr>
        <w:keepLines/>
        <w:ind w:left="317"/>
        <w:rPr>
          <w:color w:val="000000" w:themeColor="text1"/>
        </w:rPr>
      </w:pPr>
      <w:r w:rsidRPr="000D1739">
        <w:rPr>
          <w:b/>
          <w:color w:val="000000" w:themeColor="text1"/>
          <w:sz w:val="21"/>
        </w:rPr>
        <w:t xml:space="preserve">Roll rates.  </w:t>
      </w:r>
      <w:r w:rsidRPr="000D1739">
        <w:rPr>
          <w:color w:val="000000" w:themeColor="text1"/>
          <w:sz w:val="21"/>
        </w:rPr>
        <w:t>Transition probabilities are specified rather than estimated, since a single-period snapshot cannot support empirical transition estimation. On real data these would be derived from month-over-month account-level movements.</w:t>
      </w:r>
    </w:p>
    <w:p w14:paraId="2EDBCDAC" w14:textId="77777777" w:rsidR="00F521A1" w:rsidRPr="000D1739" w:rsidRDefault="00000000">
      <w:pPr>
        <w:keepLines/>
        <w:ind w:left="317"/>
        <w:rPr>
          <w:color w:val="000000" w:themeColor="text1"/>
        </w:rPr>
      </w:pPr>
      <w:r w:rsidRPr="000D1739">
        <w:rPr>
          <w:b/>
          <w:color w:val="000000" w:themeColor="text1"/>
          <w:sz w:val="21"/>
        </w:rPr>
        <w:t xml:space="preserve">Benchmark.  </w:t>
      </w:r>
      <w:r w:rsidRPr="000D1739">
        <w:rPr>
          <w:color w:val="000000" w:themeColor="text1"/>
          <w:sz w:val="21"/>
        </w:rPr>
        <w:t>Federal Reserve series on credit card delinquency and charge-off rates at all commercial banks (FRED: DRCCLACBS, CORCCACBS), Q1 2026.</w:t>
      </w:r>
    </w:p>
    <w:p w14:paraId="416E10B5" w14:textId="77777777" w:rsidR="00F521A1" w:rsidRPr="000D1739" w:rsidRDefault="00000000">
      <w:pPr>
        <w:keepLines/>
        <w:ind w:left="317"/>
        <w:rPr>
          <w:color w:val="000000" w:themeColor="text1"/>
        </w:rPr>
      </w:pPr>
      <w:r w:rsidRPr="000D1739">
        <w:rPr>
          <w:b/>
          <w:color w:val="000000" w:themeColor="text1"/>
          <w:sz w:val="21"/>
        </w:rPr>
        <w:t xml:space="preserve">Before use on real balances.  </w:t>
      </w:r>
      <w:r w:rsidRPr="000D1739">
        <w:rPr>
          <w:color w:val="000000" w:themeColor="text1"/>
          <w:sz w:val="21"/>
        </w:rPr>
        <w:t>Model inputs would require validation against internal loss experience, definitional alignment between internal delinquency flags and the benchmark series, empirical estimation of roll rates and credit conversion factors, and documented governance review consistent with model risk management expectations.</w:t>
      </w:r>
    </w:p>
    <w:p w14:paraId="3683C5B3" w14:textId="77777777" w:rsidR="00F521A1" w:rsidRPr="000D1739" w:rsidRDefault="00000000">
      <w:pPr>
        <w:keepLines/>
        <w:pBdr>
          <w:bottom w:val="single" w:sz="4" w:space="4" w:color="BBBBBB"/>
        </w:pBdr>
        <w:spacing w:before="240"/>
        <w:rPr>
          <w:color w:val="000000" w:themeColor="text1"/>
        </w:rPr>
      </w:pPr>
      <w:r w:rsidRPr="000D1739">
        <w:rPr>
          <w:i/>
          <w:color w:val="000000" w:themeColor="text1"/>
          <w:sz w:val="18"/>
        </w:rPr>
        <w:t>Prepared by John C. Hutcheson   ·   Minneapolis, MN   ·   CFA Level I candidate (February 2027)</w:t>
      </w:r>
    </w:p>
    <w:sectPr w:rsidR="00F521A1" w:rsidRPr="000D1739"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488060">
    <w:abstractNumId w:val="8"/>
  </w:num>
  <w:num w:numId="2" w16cid:durableId="767654287">
    <w:abstractNumId w:val="6"/>
  </w:num>
  <w:num w:numId="3" w16cid:durableId="606815122">
    <w:abstractNumId w:val="5"/>
  </w:num>
  <w:num w:numId="4" w16cid:durableId="2139175406">
    <w:abstractNumId w:val="4"/>
  </w:num>
  <w:num w:numId="5" w16cid:durableId="1832671389">
    <w:abstractNumId w:val="7"/>
  </w:num>
  <w:num w:numId="6" w16cid:durableId="1920865217">
    <w:abstractNumId w:val="3"/>
  </w:num>
  <w:num w:numId="7" w16cid:durableId="680746119">
    <w:abstractNumId w:val="2"/>
  </w:num>
  <w:num w:numId="8" w16cid:durableId="1785079703">
    <w:abstractNumId w:val="1"/>
  </w:num>
  <w:num w:numId="9" w16cid:durableId="47841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739"/>
    <w:rsid w:val="0015074B"/>
    <w:rsid w:val="002055D7"/>
    <w:rsid w:val="0029639D"/>
    <w:rsid w:val="00326F90"/>
    <w:rsid w:val="003D527A"/>
    <w:rsid w:val="00470A64"/>
    <w:rsid w:val="008E6767"/>
    <w:rsid w:val="00AA1D8D"/>
    <w:rsid w:val="00B47730"/>
    <w:rsid w:val="00CB0664"/>
    <w:rsid w:val="00F521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F2C7A"/>
  <w14:defaultImageDpi w14:val="300"/>
  <w15:docId w15:val="{4B660B8C-4E05-E945-B986-B580B873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Garamond" w:eastAsia="Garamond" w:hAnsi="Garamond" w:cs="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1395</Words>
  <Characters>7986</Characters>
  <Application>Microsoft Office Word</Application>
  <DocSecurity>0</DocSecurity>
  <Lines>112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Hutcheson</cp:lastModifiedBy>
  <cp:revision>4</cp:revision>
  <dcterms:created xsi:type="dcterms:W3CDTF">2013-12-23T23:15:00Z</dcterms:created>
  <dcterms:modified xsi:type="dcterms:W3CDTF">2026-08-04T00:22:00Z</dcterms:modified>
  <cp:category/>
</cp:coreProperties>
</file>