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60" w:line="240" w:lineRule="auto"/>
        <w:ind w:left="360" w:firstLine="0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938213" cy="9382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8213" cy="938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  <w:sz w:val="32"/>
          <w:szCs w:val="32"/>
        </w:rPr>
      </w:pPr>
      <w:bookmarkStart w:colFirst="0" w:colLast="0" w:name="_x1jjlxgif5z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Current Events Response Table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3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Prepare Taproom for the opening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Taproom managers and employees come in early to set up beer gardens, games, and set up chalk-boards with daily specials or events of the day.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Serving Customers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Biertenders choose what the customer requests via the POS system and charges the customer. Then hand the customers their paid items which could be Beer, wine, soda, or merchandise.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inquires about 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Biertenders direct customers to Food Trucks available on the premises.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 night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Biertenders and Taproom managers set up events. Then gives customers a countdown timer so they settle in and participate if they want.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Keg 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kegs become defective, Kegs are switched out via the Bartenders or Taproom Manager.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Laundry, dishes, and cleaning is done periodically by Biertenders during business hours and at closing time.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Prepare Taproom for Close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Taproom Managers and Biertenders follow closing protocol to close down operations for the night.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Inventory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Mary-Lou takes inventory by checking on merchandise that she feels is subjectively low and needs to be ordered.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Deep Clean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Follow Sunday deep cleaning checklist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Manager Meetings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managers and owners meet to discuss how Klaus Brewing will move forward on events and making profit.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 Meetings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Sales team members, managers, along with the owners, come to discuss how to improve sales.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 Meetings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owners and managers go over expectations for the week.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Stein Night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customers bring their own stein, it is filled up by employees.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Quarterly Reports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Reports to show what Klaus Brewery has done in the previous months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Oktoberfest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up for the festival by preparing inventory, events, and food trucks. Make sure adequate advertisement is utilized.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Maifest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up for the festival by preparing inventory, events, and food trucks. Make sure adequate advertisement is utilized.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Inspections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Prepare the Taproom and Brewery for safety inspections and </w:t>
            </w:r>
            <w:r w:rsidDel="00000000" w:rsidR="00000000" w:rsidRPr="00000000">
              <w:rPr>
                <w:rtl w:val="0"/>
              </w:rPr>
              <w:t xml:space="preserve">TABC compliance audits. Conduct Mold Inspections and Equipment Inspections to make sure productivity is not slowed down due to equipment failure or temporary taproom closing.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