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BeerList(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Beer_Name varchar(60),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ABV decimal(5,1),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constraint ck_BeerList_ABV check (ABV &gt;0 and ABV&lt;=100),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IBU 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primary key(Beer_Name)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BeerType(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BeerType_ID int primary key identity(20,1),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Beer_Type varchar(60)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Beer_Container_Size(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BeerContainerSize_ID int primary key identity(1,1),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Container_Name varchar(30),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Size varchar(30),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Beer(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Beer_ID int primary key identity(1,1),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Product_ID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Beer_Name varchar(60),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BeerType_ID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BeerContainerSize_ID 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Merchandise(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Merch_ID int primary key identity(2000,1),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Product_ID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MerchandiseType_ID 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MerchandiseType(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MerchandiseType_ID int primary key identity(1,1),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Merchandise_Type varchar(50)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Glassware(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Glassware_ID int primary key identity(1,1),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MerchandiseType_ID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GlasswareSize_ID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Glassware_Description varchar(60),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Glassware_Price decimal(5,2)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GlasswareSize(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GlasswareSize_ID int primary key identity(1,1),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Size varchar(50)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