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E3A8A"/>
          <w:sz w:val="32"/>
          <w:szCs w:val="32"/>
        </w:rPr>
        <w:t xml:space="preserve">AICS SYSTEM - BENEFICIARY ACCOUNT FLOW CHART</w:t>
      </w:r>
    </w:p>
    <w:p>
      <w:pPr>
        <w:spacing w:after="120" w:before="0"/>
        <w:jc w:val="center"/>
      </w:pPr>
      <w:r>
        <w:rPr>
          <w:rFonts w:ascii="Calibri" w:cs="Calibri" w:eastAsia="Calibri" w:hAnsi="Calibri"/>
          <w:i/>
          <w:iCs/>
          <w:color w:val="2563EB"/>
          <w:sz w:val="20"/>
          <w:szCs w:val="20"/>
        </w:rPr>
        <w:t xml:space="preserve">Municipality of Daanbantayan, Cebu • Department of Social Welfare and Development (MSWD)</w:t>
      </w:r>
    </w:p>
    <w:p>
      <w:pPr>
        <w:spacing w:after="360" w:before="0"/>
        <w:jc w:val="center"/>
      </w:pPr>
      <w:r>
        <w:rPr>
          <w:rFonts w:ascii="Calibri" w:cs="Calibri" w:eastAsia="Calibri" w:hAnsi="Calibri"/>
          <w:i/>
          <w:iCs/>
          <w:color w:val="475569"/>
          <w:sz w:val="18"/>
          <w:szCs w:val="18"/>
        </w:rPr>
        <w:t xml:space="preserve">Official Role-Exclusive Beneficiary Process Specifications, Gating Architecture, and Assistance Lifecycle</w:t>
      </w:r>
    </w:p>
    <w:p>
      <w:pPr>
        <w:spacing w:after="120" w:before="240"/>
      </w:pPr>
      <w:r>
        <w:rPr>
          <w:rFonts w:ascii="Calibri" w:cs="Calibri" w:eastAsia="Calibri" w:hAnsi="Calibri"/>
          <w:b/>
          <w:bCs/>
          <w:color w:val="1E3A8A"/>
          <w:sz w:val="26"/>
          <w:szCs w:val="26"/>
        </w:rPr>
        <w:t xml:space="preserve">1. Overview &amp; Beneficiary Account Scope</w:t>
      </w:r>
    </w:p>
    <w:p>
      <w:pPr>
        <w:spacing w:after="180"/>
      </w:pPr>
      <w:r>
        <w:t xml:space="preserve">The Beneficiary (Resident Account) represents the citizen-facing stakeholder of the Assistance to Individuals in Crisis Situation (AICS) Management System of Daanbantayan, Cebu. The Beneficiary workflow governs citizen self-registration, mandatory demographic profiling, anti-duplication enforcement, crisis assistance request preparation (Medical and Burial), secure government identity verification, real-time application tracking, and in-person cash claiming at the Municipal Treasury.</w:t>
      </w:r>
    </w:p>
    <w:p>
      <w:pPr>
        <w:spacing w:after="120" w:before="240"/>
      </w:pPr>
      <w:r>
        <w:rPr>
          <w:rFonts w:ascii="Calibri" w:cs="Calibri" w:eastAsia="Calibri" w:hAnsi="Calibri"/>
          <w:b/>
          <w:bCs/>
          <w:color w:val="1E3A8A"/>
          <w:sz w:val="26"/>
          <w:szCs w:val="26"/>
        </w:rPr>
        <w:t xml:space="preserve">2. Master Beneficiary Operational Lifecycle</w:t>
      </w:r>
    </w:p>
    <w:p>
      <w:pPr>
        <w:spacing w:after="160"/>
      </w:pPr>
      <w:r>
        <w:t xml:space="preserve">The beneficiary account workflow executes through nine strictly enforced stages:</w:t>
      </w:r>
    </w:p>
    <w:p>
      <w:pPr>
        <w:spacing w:after="60" w:before="140"/>
      </w:pPr>
      <w:r>
        <w:rPr>
          <w:b/>
          <w:bCs/>
          <w:color w:val="2563EB"/>
        </w:rPr>
        <w:t xml:space="preserve">STEP 1: Resident Account Registration &amp; OTP Verification (/register)</w:t>
      </w:r>
    </w:p>
    <w:p>
      <w:pPr>
        <w:spacing w:after="120"/>
      </w:pPr>
      <w:r>
        <w:t xml:space="preserve">Resident initiates onboarding via the mobile app or web portal. Required fields include Full Name, valid Email Address, Password meeting enterprise security standards (8+ characters, uppercase, lowercase, numeric digit, and special symbol), and mandatory acceptance of Terms and Conditions. A 6-digit One-Time Password (OTP) is dispatched for email verification. Upon validation, the profile is saved with is_active = false.</w:t>
      </w:r>
    </w:p>
    <w:p>
      <w:pPr>
        <w:spacing w:after="60" w:before="140"/>
      </w:pPr>
      <w:r>
        <w:rPr>
          <w:b/>
          <w:bCs/>
          <w:color w:val="2563EB"/>
        </w:rPr>
        <w:t xml:space="preserve">STEP 2: Administrator Residency Gating (/pending)</w:t>
      </w:r>
    </w:p>
    <w:p>
      <w:pPr>
        <w:spacing w:after="120"/>
      </w:pPr>
      <w:r>
        <w:t xml:space="preserve">The MSWDO Administrator reviews newly registered resident accounts. While is_active is false, the resident is held at the /pending screen. Once the administrator verifies local residency within Barangay Pajo, activation is granted (is_active = true) and the resident receives real-time clearance to access the Resident Dashboard.</w:t>
      </w:r>
    </w:p>
    <w:p>
      <w:pPr>
        <w:spacing w:after="60" w:before="140"/>
      </w:pPr>
      <w:r>
        <w:rPr>
          <w:b/>
          <w:bCs/>
          <w:color w:val="2563EB"/>
        </w:rPr>
        <w:t xml:space="preserve">STEP 3: Beneficiary Demographic Registration Gating (/beneficiaries/new)</w:t>
      </w:r>
    </w:p>
    <w:p>
      <w:pPr>
        <w:spacing w:after="120"/>
      </w:pPr>
      <w:r>
        <w:t xml:space="preserve">Upon first login, the resident dashboard inspects whether an official beneficiary profile exists in the database linked to the authenticated user ID. If missing, the New Request button is locked and a prominent registration callout directs the resident to /beneficiaries/new. The resident inputs Date of Birth, Sex, Civil Status, Purok within Barangay Pajo, complete address, 11-digit Contact Number (09XXXXXXXXX), Monthly Income, Occupation, Family Size, and demographic flags (PWD, Senior Citizen, 4Ps beneficiary). Submitting establishes the master beneficiary record.</w:t>
      </w:r>
    </w:p>
    <w:p>
      <w:pPr>
        <w:spacing w:after="60" w:before="140"/>
      </w:pPr>
      <w:r>
        <w:rPr>
          <w:b/>
          <w:bCs/>
          <w:color w:val="2563EB"/>
        </w:rPr>
        <w:t xml:space="preserve">STEP 4: Anti-Duplication &amp; Active Request Check (/requests/new)</w:t>
      </w:r>
    </w:p>
    <w:p>
      <w:pPr>
        <w:spacing w:after="120"/>
      </w:pPr>
      <w:r>
        <w:t xml:space="preserve">When initiating a new AICS request, the system evaluates anti-fraud constraints: (1) Active Request Lock: If the resident currently has an application in "Pending" or "Approved" status, filing another claim is blocked. (2) 30-Day Duplicate Policy: If the resident received assistance within the past 30 days, duplicate restriction warnings are triggered. BLOCKED_DUPLICATE_REQUEST is logged in system audit logs.</w:t>
      </w:r>
    </w:p>
    <w:p>
      <w:pPr>
        <w:spacing w:after="60" w:before="140"/>
      </w:pPr>
      <w:r>
        <w:rPr>
          <w:b/>
          <w:bCs/>
          <w:color w:val="2563EB"/>
        </w:rPr>
        <w:t xml:space="preserve">STEP 5: Assistance Category Branching &amp; Crisis Specifics</w:t>
      </w:r>
    </w:p>
    <w:p>
      <w:pPr>
        <w:spacing w:after="120"/>
      </w:pPr>
      <w:r>
        <w:t xml:space="preserve">Resident selects between two authorized emergency categories:
• Medical Assistance: Resident inputs Hospital/Clinic Name, Official Medical Diagnosis, Estimated Hospitalization/Prescription Cost, detailed reason for request (minimum 5 characters), and amount range bracket (₱1,000 to ₱10,000).
• Burial Assistance: Resident provides Deceased Full Name (First, Middle, Last, Suffix), Relationship to Beneficiary, Searchable Funeral Home selection (Bogo to Daanbantayan corridor), and amount range bracket (₱5,000 to ₱10,001+).</w:t>
      </w:r>
    </w:p>
    <w:p>
      <w:pPr>
        <w:spacing w:after="60" w:before="140"/>
      </w:pPr>
      <w:r>
        <w:rPr>
          <w:b/>
          <w:bCs/>
          <w:color w:val="2563EB"/>
        </w:rPr>
        <w:t xml:space="preserve">STEP 6: Government ID Capture &amp; Crisis Documents Upload</w:t>
      </w:r>
    </w:p>
    <w:p>
      <w:pPr>
        <w:spacing w:after="120"/>
      </w:pPr>
      <w:r>
        <w:t xml:space="preserve">The resident must upload or live-capture both Front Side and Back Side photos of a valid government-issued ID (file size capped at 10 MB). The resident then confirms possession of mandatory checklist requirements (Medical: Medical Certificate, Hospital Bill, Doctor Prescription, Barangay Indigency; Burial: Death Certificate, Funeral Contract, Barangay Indigency). Photos are encrypted and stored in Supabase Storage bucket "documents". Submitting inserts the request with status "Pending".</w:t>
      </w:r>
    </w:p>
    <w:p>
      <w:pPr>
        <w:spacing w:after="60" w:before="140"/>
      </w:pPr>
      <w:r>
        <w:rPr>
          <w:b/>
          <w:bCs/>
          <w:color w:val="2563EB"/>
        </w:rPr>
        <w:t xml:space="preserve">STEP 7: MSWDO Social Worker Intake Assessment &amp; Decision</w:t>
      </w:r>
    </w:p>
    <w:p>
      <w:pPr>
        <w:spacing w:after="120"/>
      </w:pPr>
      <w:r>
        <w:t xml:space="preserve">The electronic claim packet is reviewed by an MSWDO Social Worker. The caseworker conducts an intake assessment and evaluates economic eligibility. Decision branching:
• Declined: Status transitions to "Declined" with mandatory written caseworker remarks. Resident views the explanation on their tracking screen.
• Approved: Caseworker authorizes the assistance grant and inputs approved amount (PHP). Status becomes "Approved" and release_status becomes "Pending Release".</w:t>
      </w:r>
    </w:p>
    <w:p>
      <w:pPr>
        <w:spacing w:after="60" w:before="140"/>
      </w:pPr>
      <w:r>
        <w:rPr>
          <w:b/>
          <w:bCs/>
          <w:color w:val="2563EB"/>
        </w:rPr>
        <w:t xml:space="preserve">STEP 8: Municipal Treasury Fund Liquidity &amp; Voucher Processing</w:t>
      </w:r>
    </w:p>
    <w:p>
      <w:pPr>
        <w:spacing w:after="120"/>
      </w:pPr>
      <w:r>
        <w:t xml:space="preserve">The Municipal Treasurer inspects the approved request. The system verifies that municipal liquid cash reserves are sufficient (current_balance &gt;= amount_approved). The Treasurer inputs the official Disbursement Voucher Number (DV-YYYY-XXXX) and flags readiness. Release status advances to "Ready for Release". In-app notifications inform the beneficiary that funds are prepared.</w:t>
      </w:r>
    </w:p>
    <w:p>
      <w:pPr>
        <w:spacing w:after="60" w:before="140"/>
      </w:pPr>
      <w:r>
        <w:rPr>
          <w:b/>
          <w:bCs/>
          <w:color w:val="2563EB"/>
        </w:rPr>
        <w:t xml:space="preserve">STEP 9: In-Person Physical Claim &amp; Atomic Disbursement Release</w:t>
      </w:r>
    </w:p>
    <w:p>
      <w:pPr>
        <w:spacing w:after="200"/>
      </w:pPr>
      <w:r>
        <w:t xml:space="preserve">The beneficiary or authorized representative visits the Municipal Treasury Office in Daanbantayan, presents original Government Valid ID, and signs the municipal cash payroll sheet. The Disbursing Officer issues the cash grant and clicks Confirm Release. An atomic database transaction deducts the municipal pool balance, records payout rows, logs TREASURY_CONFIRM_RELEASE, and marks the request status as "Released".</w:t>
      </w:r>
    </w:p>
    <w:p>
      <w:pPr>
        <w:spacing w:after="120" w:before="240"/>
      </w:pPr>
      <w:r>
        <w:rPr>
          <w:rFonts w:ascii="Calibri" w:cs="Calibri" w:eastAsia="Calibri" w:hAnsi="Calibri"/>
          <w:b/>
          <w:bCs/>
          <w:color w:val="1E3A8A"/>
          <w:sz w:val="26"/>
          <w:szCs w:val="26"/>
        </w:rPr>
        <w:t xml:space="preserve">3. Beneficiary Request Lifecycle State Machine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1805"/>
        <w:gridCol w:w="3159"/>
      </w:tblGrid>
      <w:tr>
        <w:tc>
          <w:tcPr>
            <w:tcW w:type="pct" w:w="1000"/>
            <w:shd w:fill="F1F5F9" w:val="clear"/>
          </w:tcPr>
          <w:p>
            <w:r>
              <w:rPr>
                <w:b/>
                <w:bCs/>
                <w:color w:val="1E3A8A"/>
                <w:sz w:val="18"/>
                <w:szCs w:val="18"/>
              </w:rPr>
              <w:t xml:space="preserve">Current Status</w:t>
            </w:r>
          </w:p>
        </w:tc>
        <w:tc>
          <w:tcPr>
            <w:tcW w:type="pct" w:w="1250"/>
            <w:shd w:fill="F1F5F9" w:val="clear"/>
          </w:tcPr>
          <w:p>
            <w:r>
              <w:rPr>
                <w:b/>
                <w:bCs/>
                <w:color w:val="1E3A8A"/>
                <w:sz w:val="18"/>
                <w:szCs w:val="18"/>
              </w:rPr>
              <w:t xml:space="preserve">Trigger / User Action</w:t>
            </w:r>
          </w:p>
        </w:tc>
        <w:tc>
          <w:tcPr>
            <w:tcW w:type="pct" w:w="1000"/>
            <w:shd w:fill="F1F5F9" w:val="clear"/>
          </w:tcPr>
          <w:p>
            <w:r>
              <w:rPr>
                <w:b/>
                <w:bCs/>
                <w:color w:val="1E3A8A"/>
                <w:sz w:val="18"/>
                <w:szCs w:val="18"/>
              </w:rPr>
              <w:t xml:space="preserve">Next Status</w:t>
            </w:r>
          </w:p>
        </w:tc>
        <w:tc>
          <w:tcPr>
            <w:tcW w:type="pct" w:w="1750"/>
            <w:shd w:fill="F1F5F9" w:val="clear"/>
          </w:tcPr>
          <w:p>
            <w:r>
              <w:rPr>
                <w:b/>
                <w:bCs/>
                <w:color w:val="1E3A8A"/>
                <w:sz w:val="18"/>
                <w:szCs w:val="18"/>
              </w:rPr>
              <w:t xml:space="preserve">Beneficiary Visibility &amp; Impact</w:t>
            </w:r>
          </w:p>
        </w:tc>
      </w:tr>
      <w:tr>
        <w:tc>
          <w:p>
            <w:r>
              <w:rPr>
                <w:sz w:val="18"/>
                <w:szCs w:val="18"/>
              </w:rPr>
              <w:t xml:space="preserve">Draft / New</w:t>
            </w:r>
          </w:p>
        </w:tc>
        <w:tc>
          <w:p>
            <w:r>
              <w:rPr>
                <w:sz w:val="18"/>
                <w:szCs w:val="18"/>
              </w:rPr>
              <w:t xml:space="preserve">Resident submits online form</w:t>
            </w:r>
          </w:p>
        </w:tc>
        <w:tc>
          <w:p>
            <w:r>
              <w:rPr>
                <w:b/>
                <w:bCs/>
                <w:sz w:val="18"/>
                <w:szCs w:val="18"/>
              </w:rPr>
              <w:t xml:space="preserve">Pending</w:t>
            </w:r>
          </w:p>
        </w:tc>
        <w:tc>
          <w:p>
            <w:r>
              <w:rPr>
                <w:sz w:val="18"/>
                <w:szCs w:val="18"/>
              </w:rPr>
              <w:t xml:space="preserve">Visible in resident dashboard; tracking badge displays Pending.</w:t>
            </w:r>
          </w:p>
        </w:tc>
      </w:tr>
      <w:tr>
        <w:tc>
          <w:p>
            <w:r>
              <w:rPr>
                <w:sz w:val="18"/>
                <w:szCs w:val="18"/>
              </w:rPr>
              <w:t xml:space="preserve">Pending</w:t>
            </w:r>
          </w:p>
        </w:tc>
        <w:tc>
          <w:p>
            <w:r>
              <w:rPr>
                <w:sz w:val="18"/>
                <w:szCs w:val="18"/>
              </w:rPr>
              <w:t xml:space="preserve">MSWDO Admin approves grant</w:t>
            </w:r>
          </w:p>
        </w:tc>
        <w:tc>
          <w:p>
            <w:r>
              <w:rPr>
                <w:b/>
                <w:bCs/>
                <w:sz w:val="18"/>
                <w:szCs w:val="18"/>
              </w:rPr>
              <w:t xml:space="preserve">Approved (Pending Release)</w:t>
            </w:r>
          </w:p>
        </w:tc>
        <w:tc>
          <w:p>
            <w:r>
              <w:rPr>
                <w:sz w:val="18"/>
                <w:szCs w:val="18"/>
              </w:rPr>
              <w:t xml:space="preserve">Approved amount in PHP is visible; resident notified of grant approval.</w:t>
            </w:r>
          </w:p>
        </w:tc>
      </w:tr>
      <w:tr>
        <w:tc>
          <w:p>
            <w:r>
              <w:rPr>
                <w:sz w:val="18"/>
                <w:szCs w:val="18"/>
              </w:rPr>
              <w:t xml:space="preserve">Pending</w:t>
            </w:r>
          </w:p>
        </w:tc>
        <w:tc>
          <w:p>
            <w:r>
              <w:rPr>
                <w:sz w:val="18"/>
                <w:szCs w:val="18"/>
              </w:rPr>
              <w:t xml:space="preserve">MSWDO Admin declines with reason</w:t>
            </w:r>
          </w:p>
        </w:tc>
        <w:tc>
          <w:p>
            <w:r>
              <w:rPr>
                <w:b/>
                <w:bCs/>
                <w:color w:val="DC2626"/>
                <w:sz w:val="18"/>
                <w:szCs w:val="18"/>
              </w:rPr>
              <w:t xml:space="preserve">Declined</w:t>
            </w:r>
          </w:p>
        </w:tc>
        <w:tc>
          <w:p>
            <w:r>
              <w:rPr>
                <w:sz w:val="18"/>
                <w:szCs w:val="18"/>
              </w:rPr>
              <w:t xml:space="preserve">Application closed; caseworker justification displayed in app.</w:t>
            </w:r>
          </w:p>
        </w:tc>
      </w:tr>
      <w:tr>
        <w:tc>
          <w:p>
            <w:r>
              <w:rPr>
                <w:sz w:val="18"/>
                <w:szCs w:val="18"/>
              </w:rPr>
              <w:t xml:space="preserve">Approved</w:t>
            </w:r>
          </w:p>
        </w:tc>
        <w:tc>
          <w:p>
            <w:r>
              <w:rPr>
                <w:sz w:val="18"/>
                <w:szCs w:val="18"/>
              </w:rPr>
              <w:t xml:space="preserve">Treasurer verifies funds &amp; voucher</w:t>
            </w:r>
          </w:p>
        </w:tc>
        <w:tc>
          <w:p>
            <w:r>
              <w:rPr>
                <w:b/>
                <w:bCs/>
                <w:color w:val="D97706"/>
                <w:sz w:val="18"/>
                <w:szCs w:val="18"/>
              </w:rPr>
              <w:t xml:space="preserve">Approved (Ready for Release)</w:t>
            </w:r>
          </w:p>
        </w:tc>
        <w:tc>
          <w:p>
            <w:r>
              <w:rPr>
                <w:sz w:val="18"/>
                <w:szCs w:val="18"/>
              </w:rPr>
              <w:t xml:space="preserve">Resident alerted that cash grant is ready for pickup at Treasury.</w:t>
            </w:r>
          </w:p>
        </w:tc>
      </w:tr>
      <w:tr>
        <w:tc>
          <w:p>
            <w:r>
              <w:rPr>
                <w:sz w:val="18"/>
                <w:szCs w:val="18"/>
              </w:rPr>
              <w:t xml:space="preserve">Approved</w:t>
            </w:r>
          </w:p>
        </w:tc>
        <w:tc>
          <w:p>
            <w:r>
              <w:rPr>
                <w:sz w:val="18"/>
                <w:szCs w:val="18"/>
              </w:rPr>
              <w:t xml:space="preserve">Treasurer disburses cash at counter</w:t>
            </w:r>
          </w:p>
        </w:tc>
        <w:tc>
          <w:p>
            <w:r>
              <w:rPr>
                <w:b/>
                <w:bCs/>
                <w:color w:val="16A34A"/>
                <w:sz w:val="18"/>
                <w:szCs w:val="18"/>
              </w:rPr>
              <w:t xml:space="preserve">Released</w:t>
            </w:r>
          </w:p>
        </w:tc>
        <w:tc>
          <w:p>
            <w:r>
              <w:rPr>
                <w:sz w:val="18"/>
                <w:szCs w:val="18"/>
              </w:rPr>
              <w:t xml:space="preserve">Payout complete; transaction logged in permanent municipal ledger.</w:t>
            </w:r>
          </w:p>
        </w:tc>
      </w:tr>
    </w:tbl>
    <w:p>
      <w:pPr>
        <w:spacing w:after="120" w:before="240"/>
      </w:pPr>
      <w:r>
        <w:rPr>
          <w:rFonts w:ascii="Calibri" w:cs="Calibri" w:eastAsia="Calibri" w:hAnsi="Calibri"/>
          <w:b/>
          <w:bCs/>
          <w:color w:val="1E3A8A"/>
          <w:sz w:val="26"/>
          <w:szCs w:val="26"/>
        </w:rPr>
        <w:t xml:space="preserve">4. Document Control &amp; Sign-Off</w:t>
      </w:r>
    </w:p>
    <w:p>
      <w:pPr>
        <w:spacing w:after="60"/>
      </w:pPr>
      <w:r>
        <w:rPr>
          <w:b/>
          <w:bCs/>
        </w:rPr>
        <w:t xml:space="preserve">Document Reference: </w:t>
      </w:r>
      <w:r>
        <w:t xml:space="preserve">DOC-AICS-FLOW-BENEFICIARY-001</w:t>
      </w:r>
    </w:p>
    <w:p>
      <w:pPr>
        <w:spacing w:after="60"/>
      </w:pPr>
      <w:r>
        <w:rPr>
          <w:b/>
          <w:bCs/>
        </w:rPr>
        <w:t xml:space="preserve">Version: </w:t>
      </w:r>
      <w:r>
        <w:t xml:space="preserve">1.0.0 (Production Master)</w:t>
      </w:r>
    </w:p>
    <w:p>
      <w:pPr>
        <w:spacing w:after="60"/>
      </w:pPr>
      <w:r>
        <w:rPr>
          <w:b/>
          <w:bCs/>
        </w:rPr>
        <w:t xml:space="preserve">Scope: </w:t>
      </w:r>
      <w:r>
        <w:t xml:space="preserve">Beneficiary &amp; Resident Account Lifecycle Flow</w:t>
      </w:r>
    </w:p>
    <w:p>
      <w:pPr>
        <w:spacing w:after="60"/>
      </w:pPr>
      <w:r>
        <w:rPr>
          <w:b/>
          <w:bCs/>
        </w:rPr>
        <w:t xml:space="preserve">Municipality: </w:t>
      </w:r>
      <w:r>
        <w:t xml:space="preserve">Municipality of Daanbantayan, Province of Cebu</w:t>
      </w:r>
    </w:p>
    <w:p>
      <w:pPr>
        <w:spacing w:after="60"/>
      </w:pPr>
      <w:r>
        <w:rPr>
          <w:b/>
          <w:bCs/>
        </w:rPr>
        <w:t xml:space="preserve">Supervising Office: </w:t>
      </w:r>
      <w:r>
        <w:t xml:space="preserve">Municipal Social Welfare and Development Office (MSWDO)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r>
    <w:r>
      <w:rPr>
        <w:rFonts w:ascii="Calibri" w:cs="Calibri" w:eastAsia="Calibri" w:hAnsi="Calibri"/>
        <w:color w:val="475569"/>
        <w:sz w:val="18"/>
        <w:szCs w:val="18"/>
      </w:rPr>
      <w:instrText xml:space="preserve">PAGE</w:instrText>
    </w:r>
    <w:r>
      <w:rPr>
        <w:rFonts w:ascii="Calibri" w:cs="Calibri" w:eastAsia="Calibri" w:hAnsi="Calibri"/>
        <w:color w:val="475569"/>
        <w:sz w:val="18"/>
        <w:szCs w:val="18"/>
      </w:rPr>
      <w:fldChar w:fldCharType="separate"/>
    </w:r>
    <w:r>
      <w:rPr>
        <w:rFonts w:ascii="Calibri" w:cs="Calibri" w:eastAsia="Calibri" w:hAnsi="Calibri"/>
        <w:color w:val="475569"/>
        <w:sz w:val="18"/>
        <w:szCs w:val="18"/>
      </w:rPr>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r>
    <w:r>
      <w:rPr>
        <w:rFonts w:ascii="Calibri" w:cs="Calibri" w:eastAsia="Calibri" w:hAnsi="Calibri"/>
        <w:color w:val="475569"/>
        <w:sz w:val="18"/>
        <w:szCs w:val="18"/>
      </w:rPr>
      <w:instrText xml:space="preserve">NUMPAGES</w:instrText>
    </w:r>
    <w:r>
      <w:rPr>
        <w:rFonts w:ascii="Calibri" w:cs="Calibri" w:eastAsia="Calibri" w:hAnsi="Calibri"/>
        <w:color w:val="475569"/>
        <w:sz w:val="18"/>
        <w:szCs w:val="18"/>
      </w:rPr>
      <w:fldChar w:fldCharType="separate"/>
    </w:r>
    <w:r>
      <w:rPr>
        <w:rFonts w:ascii="Calibri" w:cs="Calibri" w:eastAsia="Calibri" w:hAnsi="Calibri"/>
        <w:color w:val="47556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AICS SYSTEM • BENEFICIARY FLOW CHART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2026-10-19T10:32:49.449Z</dcterms:created>
  <dcterms:modified xsi:type="dcterms:W3CDTF">2026-10-19T10:32:49.451Z</dcterms:modified>
</cp:coreProperties>
</file>

<file path=docProps/custom.xml><?xml version="1.0" encoding="utf-8"?>
<Properties xmlns="http://schemas.openxmlformats.org/officeDocument/2006/custom-properties" xmlns:vt="http://schemas.openxmlformats.org/officeDocument/2006/docPropsVTypes"/>
</file>