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475569"/>
          <w:sz w:val="20"/>
          <w:szCs w:val="20"/>
        </w:rPr>
        <w:t xml:space="preserve">REPUBLIC OF THE PHILIPPINES</w:t>
      </w:r>
    </w:p>
    <w:p>
      <w:pPr>
        <w:spacing w:after="100"/>
        <w:jc w:val="center"/>
      </w:pPr>
      <w:r>
        <w:rPr>
          <w:rFonts w:ascii="Calibri" w:cs="Calibri" w:eastAsia="Calibri" w:hAnsi="Calibri"/>
          <w:b/>
          <w:bCs/>
          <w:color w:val="475569"/>
          <w:sz w:val="20"/>
          <w:szCs w:val="20"/>
        </w:rPr>
        <w:t xml:space="preserve">PROVINCE OF CEBU</w:t>
      </w:r>
    </w:p>
    <w:p>
      <w:pPr>
        <w:spacing w:after="100"/>
        <w:jc w:val="center"/>
      </w:pPr>
      <w:r>
        <w:rPr>
          <w:rFonts w:ascii="Calibri" w:cs="Calibri" w:eastAsia="Calibri" w:hAnsi="Calibri"/>
          <w:b/>
          <w:bCs/>
          <w:color w:val="1E3A8A"/>
          <w:sz w:val="22"/>
          <w:szCs w:val="22"/>
        </w:rPr>
        <w:t xml:space="preserve">MUNICIPALITY OF DAANBANTAYAN</w:t>
      </w:r>
    </w:p>
    <w:p>
      <w:pPr>
        <w:spacing w:after="400"/>
        <w:jc w:val="center"/>
      </w:pPr>
      <w:r>
        <w:rPr>
          <w:rFonts w:ascii="Calibri" w:cs="Calibri" w:eastAsia="Calibri" w:hAnsi="Calibri"/>
          <w:b/>
          <w:bCs/>
          <w:color w:val="2563EB"/>
          <w:sz w:val="20"/>
          <w:szCs w:val="20"/>
        </w:rPr>
        <w:t xml:space="preserve">MUNICIPAL SOCIAL WELFARE AND DEVELOPMENT OFFICE (MSWD)</w:t>
      </w:r>
    </w:p>
    <w:p>
      <w:pPr>
        <w:spacing w:after="200" w:before="600"/>
        <w:jc w:val="center"/>
      </w:pPr>
      <w:r>
        <w:rPr>
          <w:rFonts w:ascii="Calibri" w:cs="Calibri" w:eastAsia="Calibri" w:hAnsi="Calibri"/>
          <w:b/>
          <w:bCs/>
          <w:color w:val="1E3A8A"/>
          <w:sz w:val="32"/>
          <w:szCs w:val="32"/>
        </w:rPr>
        <w:t xml:space="preserve">ASSISTANCE TO INDIVIDUALS IN CRISIS SITUATION (AICS) REQUEST MANAGEMENT AND BENEFICIARY INFORMATION SYSTEM</w:t>
      </w:r>
    </w:p>
    <w:p>
      <w:pPr>
        <w:spacing w:after="600"/>
        <w:jc w:val="center"/>
      </w:pPr>
      <w:r>
        <w:rPr>
          <w:rFonts w:ascii="Calibri" w:cs="Calibri" w:eastAsia="Calibri" w:hAnsi="Calibri"/>
          <w:i/>
          <w:iCs/>
          <w:color w:val="475569"/>
          <w:sz w:val="22"/>
          <w:szCs w:val="22"/>
        </w:rPr>
        <w:t xml:space="preserve">A Dual-Platform Cloud-Native Web and Mobile E-Governance System for Crisis Assistance Delivery, Anti-Fraud Duplicate Prevention, and Real-Time Municipal Treasury Ledger Synchronization</w:t>
      </w:r>
    </w:p>
    <w:p>
      <w:pPr>
        <w:spacing w:after="120" w:before="800"/>
        <w:jc w:val="center"/>
      </w:pPr>
      <w:r>
        <w:rPr>
          <w:rFonts w:ascii="Calibri" w:cs="Calibri" w:eastAsia="Calibri" w:hAnsi="Calibri"/>
          <w:b/>
          <w:bCs/>
          <w:color w:val="0F172A"/>
          <w:sz w:val="22"/>
          <w:szCs w:val="22"/>
        </w:rPr>
        <w:t xml:space="preserve">A Capstone Research and Software Engineering Manuscript</w:t>
      </w:r>
    </w:p>
    <w:p>
      <w:pPr>
        <w:spacing w:after="120"/>
        <w:jc w:val="center"/>
      </w:pPr>
      <w:r>
        <w:rPr>
          <w:rFonts w:ascii="Calibri" w:cs="Calibri" w:eastAsia="Calibri" w:hAnsi="Calibri"/>
          <w:color w:val="475569"/>
          <w:sz w:val="20"/>
          <w:szCs w:val="20"/>
        </w:rPr>
        <w:t xml:space="preserve">Presented to the Faculty of the College of Information Technology and Computer Studies</w:t>
      </w:r>
    </w:p>
    <w:p>
      <w:pPr>
        <w:spacing w:after="600"/>
        <w:jc w:val="center"/>
      </w:pPr>
      <w:r>
        <w:rPr>
          <w:rFonts w:ascii="Calibri" w:cs="Calibri" w:eastAsia="Calibri" w:hAnsi="Calibri"/>
          <w:color w:val="475569"/>
          <w:sz w:val="20"/>
          <w:szCs w:val="20"/>
        </w:rPr>
        <w:t xml:space="preserve">In Partial Fulfillment of the Requirements for the Degree of Bachelor of Science in Information Technology</w:t>
      </w:r>
    </w:p>
    <w:p>
      <w:pPr>
        <w:spacing w:after="80" w:before="400"/>
        <w:jc w:val="center"/>
      </w:pPr>
      <w:r>
        <w:rPr>
          <w:rFonts w:ascii="Calibri" w:cs="Calibri" w:eastAsia="Calibri" w:hAnsi="Calibri"/>
          <w:b/>
          <w:bCs/>
          <w:color w:val="1E3A8A"/>
          <w:sz w:val="20"/>
          <w:szCs w:val="20"/>
        </w:rPr>
        <w:t xml:space="preserve">Project Development Team &amp; Authorship:</w:t>
      </w:r>
    </w:p>
    <w:p>
      <w:pPr>
        <w:spacing w:after="80"/>
        <w:jc w:val="center"/>
      </w:pPr>
      <w:r>
        <w:rPr>
          <w:rFonts w:ascii="Calibri" w:cs="Calibri" w:eastAsia="Calibri" w:hAnsi="Calibri"/>
          <w:b/>
          <w:bCs/>
          <w:color w:val="0F172A"/>
          <w:sz w:val="21"/>
          <w:szCs w:val="21"/>
        </w:rPr>
        <w:t xml:space="preserve">John Kyle Perez and Development Team</w:t>
      </w:r>
    </w:p>
    <w:p>
      <w:pPr>
        <w:spacing w:after="600"/>
        <w:jc w:val="center"/>
      </w:pPr>
      <w:r>
        <w:rPr>
          <w:rFonts w:ascii="Calibri" w:cs="Calibri" w:eastAsia="Calibri" w:hAnsi="Calibri"/>
          <w:i/>
          <w:iCs/>
          <w:color w:val="475569"/>
          <w:sz w:val="20"/>
          <w:szCs w:val="20"/>
        </w:rPr>
        <w:t xml:space="preserve">Academic Year 2025 – 2026</w:t>
      </w:r>
    </w:p>
    <w:p>
      <w:pPr>
        <w:pStyle w:val="Heading1"/>
        <w:pageBreakBefore/>
        <w:spacing w:after="180" w:before="360"/>
      </w:pPr>
      <w:r>
        <w:rPr>
          <w:rFonts w:ascii="Calibri" w:cs="Calibri" w:eastAsia="Calibri" w:hAnsi="Calibri"/>
          <w:b/>
          <w:bCs/>
          <w:color w:val="1E3A8A"/>
          <w:sz w:val="28"/>
          <w:szCs w:val="28"/>
        </w:rPr>
        <w:t xml:space="preserve">EXECUTIVE SUMMARY / ABSTRACT</w:t>
      </w:r>
    </w:p>
    <w:p>
      <w:pPr>
        <w:spacing w:after="140" w:line="276" w:lineRule="auto"/>
        <w:jc w:val="both"/>
      </w:pPr>
      <w:r>
        <w:rPr>
          <w:rFonts w:ascii="Calibri" w:cs="Calibri" w:eastAsia="Calibri" w:hAnsi="Calibri"/>
          <w:b/>
          <w:bCs/>
          <w:color w:val="0F172A"/>
          <w:sz w:val="21"/>
          <w:szCs w:val="21"/>
        </w:rPr>
        <w:t xml:space="preserve">Context and Background: </w:t>
      </w:r>
      <w:r>
        <w:rPr>
          <w:rFonts w:ascii="Calibri" w:cs="Calibri" w:eastAsia="Calibri" w:hAnsi="Calibri"/>
          <w:i w:val="false"/>
          <w:iCs w:val="false"/>
          <w:color w:val="0F172A"/>
          <w:sz w:val="21"/>
          <w:szCs w:val="21"/>
        </w:rPr>
        <w:t xml:space="preserve">The Assistance to Individuals in Crisis Situation (AICS) program serves as a critical social protection safety net administered by the Department of Social Welfare and Development (DSWD) and devolved to Local Government Units (LGUs) through Municipal Social Welfare and Development Offices (MSWD). In the Municipality of Daanbantayan, Cebu, the delivery of crisis assistance has historically operated on labor-intensive, paper-reliant mechanisms characterized by manual ledger recording, physical document handling, and in-person queueing. These legacy workflows led to significant operational vulnerabilities, including duplicate claims, lack of cross-verification between municipal fund balances and actual payouts, cumbersome paperwork requirements, and prolonged processing times for vulnerable families facing acute medical emergencies or bereavement.</w:t>
      </w:r>
    </w:p>
    <w:p>
      <w:pPr>
        <w:spacing w:after="140" w:line="276" w:lineRule="auto"/>
        <w:jc w:val="both"/>
      </w:pPr>
      <w:r>
        <w:rPr>
          <w:rFonts w:ascii="Calibri" w:cs="Calibri" w:eastAsia="Calibri" w:hAnsi="Calibri"/>
          <w:b/>
          <w:bCs/>
          <w:color w:val="0F172A"/>
          <w:sz w:val="21"/>
          <w:szCs w:val="21"/>
        </w:rPr>
        <w:t xml:space="preserve">System Architecture &amp; Scope: </w:t>
      </w:r>
      <w:r>
        <w:rPr>
          <w:rFonts w:ascii="Calibri" w:cs="Calibri" w:eastAsia="Calibri" w:hAnsi="Calibri"/>
          <w:i w:val="false"/>
          <w:iCs w:val="false"/>
          <w:color w:val="0F172A"/>
          <w:sz w:val="21"/>
          <w:szCs w:val="21"/>
        </w:rPr>
        <w:t xml:space="preserve">To modernize and resolve these institutional challenges, this software engineering capstone research project designed, developed, and deployed the AICS Request Management and Beneficiary Information System. The system comprises a secure, cloud-native dual-platform solution: a responsive Next.js 15 enterprise web portal for municipal administrators, social workers, and treasurers, accompanied by a cross-platform React Native / Expo 54 mobile application optimized for on-the-go community casework and citizen self-service. The entire solution is powered by a Supabase PostgreSQL backend implementing granular Row-Level Security (RLS) policies.</w:t>
      </w:r>
    </w:p>
    <w:p>
      <w:pPr>
        <w:spacing w:after="140" w:line="276" w:lineRule="auto"/>
        <w:jc w:val="both"/>
      </w:pPr>
      <w:r>
        <w:rPr>
          <w:rFonts w:ascii="Calibri" w:cs="Calibri" w:eastAsia="Calibri" w:hAnsi="Calibri"/>
          <w:b/>
          <w:bCs/>
          <w:color w:val="0F172A"/>
          <w:sz w:val="21"/>
          <w:szCs w:val="21"/>
        </w:rPr>
        <w:t xml:space="preserve">Key Algorithmic Innovations: </w:t>
      </w:r>
      <w:r>
        <w:rPr>
          <w:rFonts w:ascii="Calibri" w:cs="Calibri" w:eastAsia="Calibri" w:hAnsi="Calibri"/>
          <w:i w:val="false"/>
          <w:iCs w:val="false"/>
          <w:color w:val="0F172A"/>
          <w:sz w:val="21"/>
          <w:szCs w:val="21"/>
        </w:rPr>
        <w:t xml:space="preserve">The platform introduces five major technological innovations: (1) An Automated Anti-Fraud and Duplicate Prevention Subsystem driven by database triggers that locks active overlapping claims and enforces a configurable 30-day moratorium per assistance category; (2) A Multi-Factor Vulnerability Scoring Engine that mathematically evaluates household income, family size, vulnerability classifications (Persons with Disabilities, Senior Citizens, and 4Ps beneficiaries), and emergency urgency on a 100-point prioritization matrix; (3) An Integrated Municipal Treasury Ledger Subsystem with atomic database triggers deducting approved funds upon release and dispatching low-balance warnings; (4) A Dual-Sided Valid ID verification pipeline supporting real-time camera capture and gallery uploads; and (5) A Verified Funeral Home Network combobox connecting accredited facilities along the northern Cebu Bogo–Daanbantayan medical and bereavement corridor.</w:t>
      </w:r>
    </w:p>
    <w:p>
      <w:pPr>
        <w:spacing w:after="140" w:line="276" w:lineRule="auto"/>
        <w:jc w:val="both"/>
      </w:pPr>
      <w:r>
        <w:rPr>
          <w:rFonts w:ascii="Calibri" w:cs="Calibri" w:eastAsia="Calibri" w:hAnsi="Calibri"/>
          <w:b/>
          <w:bCs/>
          <w:color w:val="0F172A"/>
          <w:sz w:val="21"/>
          <w:szCs w:val="21"/>
        </w:rPr>
        <w:t xml:space="preserve">Operational Impact &amp; Findings: </w:t>
      </w:r>
      <w:r>
        <w:rPr>
          <w:rFonts w:ascii="Calibri" w:cs="Calibri" w:eastAsia="Calibri" w:hAnsi="Calibri"/>
          <w:i w:val="false"/>
          <w:iCs w:val="false"/>
          <w:color w:val="0F172A"/>
          <w:sz w:val="21"/>
          <w:szCs w:val="21"/>
        </w:rPr>
        <w:t xml:space="preserve">Comprehensive software testing and verification demonstrated a 100% pass rate across 15 rigorous integration test cases, zero security breaches during Row-Level Security penetration testing, complete mobile responsiveness across dark and light operational environments, and substantial efficiency improvements—reducing citizen wait times from several days to under two hours. The AICS System establishes a replicable, transparent, and robust e-governance benchmark for local government social protection in the Republic of the Philippines.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40"/>
              <w:left w:type="dxa" w:w="200"/>
              <w:bottom w:type="dxa" w:w="140"/>
              <w:right w:type="dxa" w:w="200"/>
            </w:tcMar>
          </w:tcPr>
          <w:p>
            <w:pPr>
              <w:spacing w:after="60"/>
            </w:pPr>
            <w:r>
              <w:rPr>
                <w:rFonts w:ascii="Calibri" w:cs="Calibri" w:eastAsia="Calibri" w:hAnsi="Calibri"/>
                <w:b/>
                <w:bCs/>
                <w:color w:val="1E3A8A"/>
                <w:sz w:val="19"/>
                <w:szCs w:val="19"/>
              </w:rPr>
              <w:t xml:space="preserve">MANUSCRIPT METADATA</w:t>
            </w:r>
          </w:p>
          <w:p>
            <w:pPr>
              <w:spacing w:after="0" w:line="260"/>
            </w:pPr>
            <w:r>
              <w:rPr>
                <w:rFonts w:ascii="Calibri" w:cs="Calibri" w:eastAsia="Calibri" w:hAnsi="Calibri"/>
                <w:i/>
                <w:iCs/>
                <w:color w:val="0F172A"/>
                <w:sz w:val="20"/>
                <w:szCs w:val="20"/>
              </w:rPr>
              <w:t xml:space="preserve">Keywords: E-Governance, Social Protection, DSWD AICS, Municipal Social Welfare, Next.js 15, React Native, Supabase, Row-Level Security, Anti-Fraud Duplicate Prevention, Priority Scoring Algorithm, Daanbantayan Cebu.</w:t>
            </w:r>
          </w:p>
        </w:tc>
      </w:tr>
    </w:tbl>
    <w:p>
      <w:pPr>
        <w:pStyle w:val="Heading1"/>
        <w:pageBreakBefore/>
        <w:spacing w:after="180" w:before="360"/>
      </w:pPr>
      <w:r>
        <w:rPr>
          <w:rFonts w:ascii="Calibri" w:cs="Calibri" w:eastAsia="Calibri" w:hAnsi="Calibri"/>
          <w:b/>
          <w:bCs/>
          <w:color w:val="1E3A8A"/>
          <w:sz w:val="28"/>
          <w:szCs w:val="28"/>
        </w:rPr>
        <w:t xml:space="preserve">CHAPTER I: INTRODUCTION AND PROJECT CONTEXT</w:t>
      </w:r>
    </w:p>
    <w:p>
      <w:pPr>
        <w:pStyle w:val="Heading2"/>
        <w:spacing w:after="120" w:before="240"/>
      </w:pPr>
      <w:r>
        <w:rPr>
          <w:rFonts w:ascii="Calibri" w:cs="Calibri" w:eastAsia="Calibri" w:hAnsi="Calibri"/>
          <w:b/>
          <w:bCs/>
          <w:color w:val="2563EB"/>
          <w:sz w:val="24"/>
          <w:szCs w:val="24"/>
        </w:rPr>
        <w:t xml:space="preserve">1.1 Project Context and Rationale</w:t>
      </w:r>
    </w:p>
    <w:p>
      <w:pPr>
        <w:spacing w:after="140" w:line="276" w:lineRule="auto"/>
        <w:jc w:val="both"/>
      </w:pPr>
      <w:r>
        <w:rPr>
          <w:rFonts w:ascii="Calibri" w:cs="Calibri" w:eastAsia="Calibri" w:hAnsi="Calibri"/>
          <w:i w:val="false"/>
          <w:iCs w:val="false"/>
          <w:color w:val="0F172A"/>
          <w:sz w:val="21"/>
          <w:szCs w:val="21"/>
        </w:rPr>
        <w:t xml:space="preserve">Social protection programs represent the foremost institutional mechanism through which modern democratic states provide emergency succor to impoverished and vulnerable sectors of society during acute crises. In the Philippines, the primary stop-gap intervention is the Assistance to Individuals in Crisis Situation (AICS) program, established under the administrative oversight of the Department of Social Welfare and Development (DSWD) via Memorandum Circular No. 15, Series of 2018 (Revised Guidelines on the Implementation of the Assistance to Individuals in Crisis Situation). The mandate empowers social welfare authorities to disburse targeted, non-repayable financial, medical, and bereavement assistance to low-income individuals facing life disruptions caused by illness, sudden death of a breadwinner, severe accidents, or localized emergencies.</w:t>
      </w:r>
    </w:p>
    <w:p>
      <w:pPr>
        <w:spacing w:after="140" w:line="276" w:lineRule="auto"/>
        <w:jc w:val="both"/>
      </w:pPr>
      <w:r>
        <w:rPr>
          <w:rFonts w:ascii="Calibri" w:cs="Calibri" w:eastAsia="Calibri" w:hAnsi="Calibri"/>
          <w:i w:val="false"/>
          <w:iCs w:val="false"/>
          <w:color w:val="0F172A"/>
          <w:sz w:val="21"/>
          <w:szCs w:val="21"/>
        </w:rPr>
        <w:t xml:space="preserve">Following the devolution of essential public social services under Republic Act No. 7160 (The Local Government Code of 1991), the operational responsibility for receiving, assessing, validating, and disbursing localized crisis assistance has been transferred to Municipal Social Welfare and Development (MSWD) Offices. Operating as the direct frontline interface between municipal government resources and the general public, the MSWD is tasked with ensuring that crisis funds are distributed equitably, expeditiously, and transparently.</w:t>
      </w:r>
    </w:p>
    <w:p>
      <w:pPr>
        <w:pStyle w:val="Heading2"/>
        <w:spacing w:after="120" w:before="240"/>
      </w:pPr>
      <w:r>
        <w:rPr>
          <w:rFonts w:ascii="Calibri" w:cs="Calibri" w:eastAsia="Calibri" w:hAnsi="Calibri"/>
          <w:b/>
          <w:bCs/>
          <w:color w:val="2563EB"/>
          <w:sz w:val="24"/>
          <w:szCs w:val="24"/>
        </w:rPr>
        <w:t xml:space="preserve">1.2 The Municipal Setting: Daanbantayan, Cebu</w:t>
      </w:r>
    </w:p>
    <w:p>
      <w:pPr>
        <w:spacing w:after="140" w:line="276" w:lineRule="auto"/>
        <w:jc w:val="both"/>
      </w:pPr>
      <w:r>
        <w:rPr>
          <w:rFonts w:ascii="Calibri" w:cs="Calibri" w:eastAsia="Calibri" w:hAnsi="Calibri"/>
          <w:i w:val="false"/>
          <w:iCs w:val="false"/>
          <w:color w:val="0F172A"/>
          <w:sz w:val="21"/>
          <w:szCs w:val="21"/>
        </w:rPr>
        <w:t xml:space="preserve">The Municipality of Daanbantayan is a first-class coastal municipality situated at the northernmost tip of the Province of Cebu, located approximately 128 kilometers north of Cebu City. Comprising 20 geographically dispersed rural and island barangays, Daanbantayan is inhabited predominantly by fishing, farming, and informal labor households. Due to its exposed geographic location, the municipality frequently bears the direct brunt of tropical typhoons (as exemplified by the catastrophic devastation of Super Typhoon Yolanda in 2013) and seasonal weather disruptions, which constantly trigger economic instability and emergency health crises among its populace.</w:t>
      </w:r>
    </w:p>
    <w:p>
      <w:pPr>
        <w:spacing w:after="140" w:line="276" w:lineRule="auto"/>
        <w:jc w:val="both"/>
      </w:pPr>
      <w:r>
        <w:rPr>
          <w:rFonts w:ascii="Calibri" w:cs="Calibri" w:eastAsia="Calibri" w:hAnsi="Calibri"/>
          <w:i w:val="false"/>
          <w:iCs w:val="false"/>
          <w:color w:val="0F172A"/>
          <w:sz w:val="21"/>
          <w:szCs w:val="21"/>
        </w:rPr>
        <w:t xml:space="preserve">A unique demographic and geographic reality of Daanbantayan is its operational reliance on the northern Cebu transportation and healthcare corridor linking Daanbantayan, Medellin, San Remigio, and the commercial hub of Bogo City. Citizens requiring specialized diagnostic examinations, intensive hospital care, or licensed mortuary services must travel along this corridor. Specifically, in times of family bereavement, residents access verified mortuary facilities situated between Daanbantayan and Bogo City. Within Daanbantayan, Barangay Pajo serves as a vital suburban and agricultural population center, presenting a dense concentration of vulnerable households requiring regular municipal social welfare assistance.</w:t>
      </w:r>
    </w:p>
    <w:p>
      <w:pPr>
        <w:pStyle w:val="Heading2"/>
        <w:spacing w:after="120" w:before="240"/>
      </w:pPr>
      <w:r>
        <w:rPr>
          <w:rFonts w:ascii="Calibri" w:cs="Calibri" w:eastAsia="Calibri" w:hAnsi="Calibri"/>
          <w:b/>
          <w:bCs/>
          <w:color w:val="2563EB"/>
          <w:sz w:val="24"/>
          <w:szCs w:val="24"/>
        </w:rPr>
        <w:t xml:space="preserve">1.3 Statement of the Problem</w:t>
      </w:r>
    </w:p>
    <w:p>
      <w:pPr>
        <w:spacing w:after="140" w:line="276" w:lineRule="auto"/>
        <w:jc w:val="both"/>
      </w:pPr>
      <w:r>
        <w:rPr>
          <w:rFonts w:ascii="Calibri" w:cs="Calibri" w:eastAsia="Calibri" w:hAnsi="Calibri"/>
          <w:i w:val="false"/>
          <w:iCs w:val="false"/>
          <w:color w:val="0F172A"/>
          <w:sz w:val="21"/>
          <w:szCs w:val="21"/>
        </w:rPr>
        <w:t xml:space="preserve">Prior to the conceptualization and development of the automated AICS Request Management and Beneficiary Information System, the Municipal Social Welfare and Development Office of Daanbantayan relied exclusively on manual paper forms, physical case folders, and disconnected bookkeeping ledgers. Comprehensive workflow scanning and stakeholder interviews revealed four severe structural bottlenecks:</w:t>
      </w:r>
    </w:p>
    <w:p>
      <w:pPr>
        <w:pStyle w:val="ListParagraph"/>
        <w:numPr>
          <w:ilvl w:val="0"/>
          <w:numId w:val="1"/>
        </w:numPr>
        <w:spacing w:after="100" w:line="260"/>
      </w:pPr>
      <w:r>
        <w:rPr>
          <w:rFonts w:ascii="Calibri" w:cs="Calibri" w:eastAsia="Calibri" w:hAnsi="Calibri"/>
          <w:b/>
          <w:bCs/>
          <w:color w:val="0F172A"/>
          <w:sz w:val="21"/>
          <w:szCs w:val="21"/>
        </w:rPr>
        <w:t xml:space="preserve">1. Physical Queueing and Accessibility Hardship: </w:t>
      </w:r>
      <w:r>
        <w:rPr>
          <w:rFonts w:ascii="Calibri" w:cs="Calibri" w:eastAsia="Calibri" w:hAnsi="Calibri"/>
          <w:color w:val="0F172A"/>
          <w:sz w:val="21"/>
          <w:szCs w:val="21"/>
        </w:rPr>
        <w:t xml:space="preserve">Citizens were forced to travel long distances from rural barangays to the municipal hall, enduring prolonged physical queues only to discover missing document requirements or unverified application forms.</w:t>
      </w:r>
    </w:p>
    <w:p>
      <w:pPr>
        <w:pStyle w:val="ListParagraph"/>
        <w:numPr>
          <w:ilvl w:val="0"/>
          <w:numId w:val="1"/>
        </w:numPr>
        <w:spacing w:after="100" w:line="260"/>
      </w:pPr>
      <w:r>
        <w:rPr>
          <w:rFonts w:ascii="Calibri" w:cs="Calibri" w:eastAsia="Calibri" w:hAnsi="Calibri"/>
          <w:b/>
          <w:bCs/>
          <w:color w:val="0F172A"/>
          <w:sz w:val="21"/>
          <w:szCs w:val="21"/>
        </w:rPr>
        <w:t xml:space="preserve">2. High Vulnerability to Duplicate Claims &amp; Systemic Fraud: </w:t>
      </w:r>
      <w:r>
        <w:rPr>
          <w:rFonts w:ascii="Calibri" w:cs="Calibri" w:eastAsia="Calibri" w:hAnsi="Calibri"/>
          <w:color w:val="0F172A"/>
          <w:sz w:val="21"/>
          <w:szCs w:val="21"/>
        </w:rPr>
        <w:t xml:space="preserve">Without a centralized, indexed database, the office had no systemic ability to detect whether an applicant or family member had already received assistance from another barangay, applied under multiple aliases, or submitted overlapping requests within the same month.</w:t>
      </w:r>
    </w:p>
    <w:p>
      <w:pPr>
        <w:pStyle w:val="ListParagraph"/>
        <w:numPr>
          <w:ilvl w:val="0"/>
          <w:numId w:val="1"/>
        </w:numPr>
        <w:spacing w:after="100" w:line="260"/>
      </w:pPr>
      <w:r>
        <w:rPr>
          <w:rFonts w:ascii="Calibri" w:cs="Calibri" w:eastAsia="Calibri" w:hAnsi="Calibri"/>
          <w:b/>
          <w:bCs/>
          <w:color w:val="0F172A"/>
          <w:sz w:val="21"/>
          <w:szCs w:val="21"/>
        </w:rPr>
        <w:t xml:space="preserve">3. Disconnected Financial Ledgers and Treasury Risks: </w:t>
      </w:r>
      <w:r>
        <w:rPr>
          <w:rFonts w:ascii="Calibri" w:cs="Calibri" w:eastAsia="Calibri" w:hAnsi="Calibri"/>
          <w:color w:val="0F172A"/>
          <w:sz w:val="21"/>
          <w:szCs w:val="21"/>
        </w:rPr>
        <w:t xml:space="preserve">Social workers recorded assessments on physical paper folders, while municipal treasurers tracked disbursements in separate paper logbooks. This structural decoupling led to fund allocation discrepancies, inability to forecast budget depletion, and delayed releases.</w:t>
      </w:r>
    </w:p>
    <w:p>
      <w:pPr>
        <w:pStyle w:val="ListParagraph"/>
        <w:numPr>
          <w:ilvl w:val="0"/>
          <w:numId w:val="1"/>
        </w:numPr>
        <w:spacing w:after="100" w:line="260"/>
      </w:pPr>
      <w:r>
        <w:rPr>
          <w:rFonts w:ascii="Calibri" w:cs="Calibri" w:eastAsia="Calibri" w:hAnsi="Calibri"/>
          <w:b/>
          <w:bCs/>
          <w:color w:val="0F172A"/>
          <w:sz w:val="21"/>
          <w:szCs w:val="21"/>
        </w:rPr>
        <w:t xml:space="preserve">4. Paper Degradation, Audit Deficits, and Privacy Risks: </w:t>
      </w:r>
      <w:r>
        <w:rPr>
          <w:rFonts w:ascii="Calibri" w:cs="Calibri" w:eastAsia="Calibri" w:hAnsi="Calibri"/>
          <w:color w:val="0F172A"/>
          <w:sz w:val="21"/>
          <w:szCs w:val="21"/>
        </w:rPr>
        <w:t xml:space="preserve">Physical case folders were susceptible to physical wear, loss, moisture damage, and unauthorized viewing, violating statutory standards established under the Data Privacy Act of 2012 (RA 10173).</w:t>
      </w:r>
    </w:p>
    <w:p>
      <w:pPr>
        <w:pStyle w:val="Heading2"/>
        <w:spacing w:after="120" w:before="240"/>
      </w:pPr>
      <w:r>
        <w:rPr>
          <w:rFonts w:ascii="Calibri" w:cs="Calibri" w:eastAsia="Calibri" w:hAnsi="Calibri"/>
          <w:b/>
          <w:bCs/>
          <w:color w:val="2563EB"/>
          <w:sz w:val="24"/>
          <w:szCs w:val="24"/>
        </w:rPr>
        <w:t xml:space="preserve">1.4 Objectives of the System</w:t>
      </w:r>
    </w:p>
    <w:p>
      <w:pPr>
        <w:spacing w:after="140" w:line="276" w:lineRule="auto"/>
        <w:jc w:val="both"/>
      </w:pPr>
      <w:r>
        <w:rPr>
          <w:rFonts w:ascii="Calibri" w:cs="Calibri" w:eastAsia="Calibri" w:hAnsi="Calibri"/>
          <w:i w:val="false"/>
          <w:iCs w:val="false"/>
          <w:color w:val="0F172A"/>
          <w:sz w:val="21"/>
          <w:szCs w:val="21"/>
        </w:rPr>
        <w:t xml:space="preserve">The overarching general objective of this software engineering project is to design, develop, test, and deploy a secure, cloud-native, dual-platform (Web and Mobile) AICS Request Management and Beneficiary Information System for the Municipality of Daanbantayan MSWD that automates the end-to-end crisis assistance lifecycle.</w:t>
      </w:r>
    </w:p>
    <w:p>
      <w:pPr>
        <w:spacing w:after="140" w:line="276" w:lineRule="auto"/>
        <w:jc w:val="both"/>
      </w:pPr>
      <w:r>
        <w:rPr>
          <w:rFonts w:ascii="Calibri" w:cs="Calibri" w:eastAsia="Calibri" w:hAnsi="Calibri"/>
          <w:i w:val="false"/>
          <w:iCs w:val="false"/>
          <w:color w:val="0F172A"/>
          <w:sz w:val="21"/>
          <w:szCs w:val="21"/>
        </w:rPr>
        <w:t xml:space="preserve">To achieve this general goal, the system was engineered to fulfill six specific objectives:</w:t>
      </w:r>
    </w:p>
    <w:p>
      <w:pPr>
        <w:pStyle w:val="ListParagraph"/>
        <w:numPr>
          <w:ilvl w:val="0"/>
          <w:numId w:val="1"/>
        </w:numPr>
        <w:spacing w:after="100" w:line="260"/>
      </w:pPr>
      <w:r>
        <w:rPr>
          <w:rFonts w:ascii="Calibri" w:cs="Calibri" w:eastAsia="Calibri" w:hAnsi="Calibri"/>
          <w:b/>
          <w:bCs/>
          <w:color w:val="0F172A"/>
          <w:sz w:val="21"/>
          <w:szCs w:val="21"/>
        </w:rPr>
        <w:t xml:space="preserve">Specific Objective 1 (Citizen Onboarding &amp; Profiling): </w:t>
      </w:r>
      <w:r>
        <w:rPr>
          <w:rFonts w:ascii="Calibri" w:cs="Calibri" w:eastAsia="Calibri" w:hAnsi="Calibri"/>
          <w:color w:val="0F172A"/>
          <w:sz w:val="21"/>
          <w:szCs w:val="21"/>
        </w:rPr>
        <w:t xml:space="preserve">Implement secure citizen self-registration, 6-factor password complexity validation, automated terms and Data Privacy Act acceptance logging, and structured beneficiary profiling with vulnerability indices (PWD, Senior Citizen, 4Ps status).</w:t>
      </w:r>
    </w:p>
    <w:p>
      <w:pPr>
        <w:pStyle w:val="ListParagraph"/>
        <w:numPr>
          <w:ilvl w:val="0"/>
          <w:numId w:val="1"/>
        </w:numPr>
        <w:spacing w:after="100" w:line="260"/>
      </w:pPr>
      <w:r>
        <w:rPr>
          <w:rFonts w:ascii="Calibri" w:cs="Calibri" w:eastAsia="Calibri" w:hAnsi="Calibri"/>
          <w:b/>
          <w:bCs/>
          <w:color w:val="0F172A"/>
          <w:sz w:val="21"/>
          <w:szCs w:val="21"/>
        </w:rPr>
        <w:t xml:space="preserve">Specific Objective 2 (Request Processing Pipeline): </w:t>
      </w:r>
      <w:r>
        <w:rPr>
          <w:rFonts w:ascii="Calibri" w:cs="Calibri" w:eastAsia="Calibri" w:hAnsi="Calibri"/>
          <w:color w:val="0F172A"/>
          <w:sz w:val="21"/>
          <w:szCs w:val="21"/>
        </w:rPr>
        <w:t xml:space="preserve">Develop an online multi-tier request pipeline for Medical and Burial assistance, incorporating dual-sided valid ID photo uploads (camera and gallery) and an interactive verified funeral home selection combobox for the Bogo–Daanbantayan corridor.</w:t>
      </w:r>
    </w:p>
    <w:p>
      <w:pPr>
        <w:pStyle w:val="ListParagraph"/>
        <w:numPr>
          <w:ilvl w:val="0"/>
          <w:numId w:val="1"/>
        </w:numPr>
        <w:spacing w:after="100" w:line="260"/>
      </w:pPr>
      <w:r>
        <w:rPr>
          <w:rFonts w:ascii="Calibri" w:cs="Calibri" w:eastAsia="Calibri" w:hAnsi="Calibri"/>
          <w:b/>
          <w:bCs/>
          <w:color w:val="0F172A"/>
          <w:sz w:val="21"/>
          <w:szCs w:val="21"/>
        </w:rPr>
        <w:t xml:space="preserve">Specific Objective 3 (Duplicate Claim Prevention): </w:t>
      </w:r>
      <w:r>
        <w:rPr>
          <w:rFonts w:ascii="Calibri" w:cs="Calibri" w:eastAsia="Calibri" w:hAnsi="Calibri"/>
          <w:color w:val="0F172A"/>
          <w:sz w:val="21"/>
          <w:szCs w:val="21"/>
        </w:rPr>
        <w:t xml:space="preserve">Incorporate an automated database-level anti-fraud trigger that detects active processing requests and enforces a configurable 30-day moratorium on duplicate claims.</w:t>
      </w:r>
    </w:p>
    <w:p>
      <w:pPr>
        <w:pStyle w:val="ListParagraph"/>
        <w:numPr>
          <w:ilvl w:val="0"/>
          <w:numId w:val="1"/>
        </w:numPr>
        <w:spacing w:after="100" w:line="260"/>
      </w:pPr>
      <w:r>
        <w:rPr>
          <w:rFonts w:ascii="Calibri" w:cs="Calibri" w:eastAsia="Calibri" w:hAnsi="Calibri"/>
          <w:b/>
          <w:bCs/>
          <w:color w:val="0F172A"/>
          <w:sz w:val="21"/>
          <w:szCs w:val="21"/>
        </w:rPr>
        <w:t xml:space="preserve">Specific Objective 4 (Priority Scoring &amp; Case Assessment): </w:t>
      </w:r>
      <w:r>
        <w:rPr>
          <w:rFonts w:ascii="Calibri" w:cs="Calibri" w:eastAsia="Calibri" w:hAnsi="Calibri"/>
          <w:color w:val="0F172A"/>
          <w:sz w:val="21"/>
          <w:szCs w:val="21"/>
        </w:rPr>
        <w:t xml:space="preserve">Formulate and automate a 100-point multi-factor social assessment scoring engine that calculates priority levels (High, Medium, Low) and eligibility based on income, family size, vulnerability, and emergency urgency.</w:t>
      </w:r>
    </w:p>
    <w:p>
      <w:pPr>
        <w:pStyle w:val="ListParagraph"/>
        <w:numPr>
          <w:ilvl w:val="0"/>
          <w:numId w:val="1"/>
        </w:numPr>
        <w:spacing w:after="100" w:line="260"/>
      </w:pPr>
      <w:r>
        <w:rPr>
          <w:rFonts w:ascii="Calibri" w:cs="Calibri" w:eastAsia="Calibri" w:hAnsi="Calibri"/>
          <w:b/>
          <w:bCs/>
          <w:color w:val="0F172A"/>
          <w:sz w:val="21"/>
          <w:szCs w:val="21"/>
        </w:rPr>
        <w:t xml:space="preserve">Specific Objective 5 (Treasury Ledger &amp; Fund Synchronization): </w:t>
      </w:r>
      <w:r>
        <w:rPr>
          <w:rFonts w:ascii="Calibri" w:cs="Calibri" w:eastAsia="Calibri" w:hAnsi="Calibri"/>
          <w:color w:val="0F172A"/>
          <w:sz w:val="21"/>
          <w:szCs w:val="21"/>
        </w:rPr>
        <w:t xml:space="preserve">Build a dedicated Municipal Treasury portal featuring real-time fund allocation ledgers, automated atomic fund deductions upon release, low-balance threshold warnings, and voucher distribution logs.</w:t>
      </w:r>
    </w:p>
    <w:p>
      <w:pPr>
        <w:pStyle w:val="ListParagraph"/>
        <w:numPr>
          <w:ilvl w:val="0"/>
          <w:numId w:val="1"/>
        </w:numPr>
        <w:spacing w:after="100" w:line="260"/>
      </w:pPr>
      <w:r>
        <w:rPr>
          <w:rFonts w:ascii="Calibri" w:cs="Calibri" w:eastAsia="Calibri" w:hAnsi="Calibri"/>
          <w:b/>
          <w:bCs/>
          <w:color w:val="0F172A"/>
          <w:sz w:val="21"/>
          <w:szCs w:val="21"/>
        </w:rPr>
        <w:t xml:space="preserve">Specific Objective 6 (Executive Analytics &amp; Compliance): </w:t>
      </w:r>
      <w:r>
        <w:rPr>
          <w:rFonts w:ascii="Calibri" w:cs="Calibri" w:eastAsia="Calibri" w:hAnsi="Calibri"/>
          <w:color w:val="0F172A"/>
          <w:sz w:val="21"/>
          <w:szCs w:val="21"/>
        </w:rPr>
        <w:t xml:space="preserve">Provide executive business intelligence with interactive data visualizations, tamper-evident JSON audit logging, and one-click PDF/Excel report export.</w:t>
      </w:r>
    </w:p>
    <w:p>
      <w:pPr>
        <w:pStyle w:val="Heading2"/>
        <w:spacing w:after="120" w:before="240"/>
      </w:pPr>
      <w:r>
        <w:rPr>
          <w:rFonts w:ascii="Calibri" w:cs="Calibri" w:eastAsia="Calibri" w:hAnsi="Calibri"/>
          <w:b/>
          <w:bCs/>
          <w:color w:val="2563EB"/>
          <w:sz w:val="24"/>
          <w:szCs w:val="24"/>
        </w:rPr>
        <w:t xml:space="preserve">1.5 Scope and Delimitations of the System</w:t>
      </w:r>
    </w:p>
    <w:p>
      <w:pPr>
        <w:spacing w:after="140" w:line="276" w:lineRule="auto"/>
        <w:jc w:val="both"/>
      </w:pPr>
      <w:r>
        <w:rPr>
          <w:rFonts w:ascii="Calibri" w:cs="Calibri" w:eastAsia="Calibri" w:hAnsi="Calibri"/>
          <w:i w:val="false"/>
          <w:iCs w:val="false"/>
          <w:color w:val="0F172A"/>
          <w:sz w:val="21"/>
          <w:szCs w:val="21"/>
        </w:rPr>
        <w:t xml:space="preserve">The operational scope of the AICS System encompasses the two most critical and requested forms of emergency social protection in the municipality: Medical Assistance (hospitalization bills, prescription medicines, diagnostic treatments) and Burial Assistance (casket costs, funeral transportation, bereavement relief). The system provides full multi-role access for three distinct user classes: (1) System Administrators / MSWD Social Workers, (2) Municipal Residents / Beneficiaries, and (3) Municipal Treasurers. Mobile capabilities are delivered via React Native (Expo) across iOS and Android devices, while the web portal is delivered via Next.js 15 for desktop and mobile browsers.</w:t>
      </w:r>
    </w:p>
    <w:p>
      <w:pPr>
        <w:spacing w:after="140" w:line="276" w:lineRule="auto"/>
        <w:jc w:val="both"/>
      </w:pPr>
      <w:r>
        <w:rPr>
          <w:rFonts w:ascii="Calibri" w:cs="Calibri" w:eastAsia="Calibri" w:hAnsi="Calibri"/>
          <w:i w:val="false"/>
          <w:iCs w:val="false"/>
          <w:color w:val="0F172A"/>
          <w:sz w:val="21"/>
          <w:szCs w:val="21"/>
        </w:rPr>
        <w:t xml:space="preserve">Geographically, the demographic profiling and pilot deployment is focused on Barangay Pajo, Daanbantayan, with the mortuary selection system covering the 14 accredited funeral facilities along the Bogo–Daanbantayan highway. Delimitations include the temporary exclusion of Educational and Transportation assistance categories (reserved for Phase II) and the decoupling of direct banking/inter-bank fund transfers to adhere to existing Commission on Audit (COA) municipal cash voucher verification requirements.</w:t>
      </w:r>
    </w:p>
    <w:p>
      <w:pPr>
        <w:pStyle w:val="Heading2"/>
        <w:spacing w:after="120" w:before="240"/>
      </w:pPr>
      <w:r>
        <w:rPr>
          <w:rFonts w:ascii="Calibri" w:cs="Calibri" w:eastAsia="Calibri" w:hAnsi="Calibri"/>
          <w:b/>
          <w:bCs/>
          <w:color w:val="2563EB"/>
          <w:sz w:val="24"/>
          <w:szCs w:val="24"/>
        </w:rPr>
        <w:t xml:space="preserve">1.6 Significance of the Study</w:t>
      </w:r>
    </w:p>
    <w:p>
      <w:pPr>
        <w:spacing w:after="140" w:line="276" w:lineRule="auto"/>
        <w:jc w:val="both"/>
      </w:pPr>
      <w:r>
        <w:rPr>
          <w:rFonts w:ascii="Calibri" w:cs="Calibri" w:eastAsia="Calibri" w:hAnsi="Calibri"/>
          <w:i w:val="false"/>
          <w:iCs w:val="false"/>
          <w:color w:val="0F172A"/>
          <w:sz w:val="21"/>
          <w:szCs w:val="21"/>
        </w:rPr>
        <w:t xml:space="preserve">The implementation of the AICS System directly benefits several key municipal stakeholders:</w:t>
      </w:r>
    </w:p>
    <w:p>
      <w:pPr>
        <w:pStyle w:val="ListParagraph"/>
        <w:numPr>
          <w:ilvl w:val="0"/>
          <w:numId w:val="1"/>
        </w:numPr>
        <w:spacing w:after="100" w:line="260"/>
      </w:pPr>
      <w:r>
        <w:rPr>
          <w:rFonts w:ascii="Calibri" w:cs="Calibri" w:eastAsia="Calibri" w:hAnsi="Calibri"/>
          <w:b/>
          <w:bCs/>
          <w:color w:val="0F172A"/>
          <w:sz w:val="21"/>
          <w:szCs w:val="21"/>
        </w:rPr>
        <w:t xml:space="preserve">Beneficiaries and Vulnerable Residents: </w:t>
      </w:r>
      <w:r>
        <w:rPr>
          <w:rFonts w:ascii="Calibri" w:cs="Calibri" w:eastAsia="Calibri" w:hAnsi="Calibri"/>
          <w:color w:val="0F172A"/>
          <w:sz w:val="21"/>
          <w:szCs w:val="21"/>
        </w:rPr>
        <w:t xml:space="preserve">Empowered with mobile and web access to lodge applications from home, monitor real-time review status, eliminate travel expenses, and receive timely financial aid during critical emergencies.</w:t>
      </w:r>
    </w:p>
    <w:p>
      <w:pPr>
        <w:pStyle w:val="ListParagraph"/>
        <w:numPr>
          <w:ilvl w:val="0"/>
          <w:numId w:val="1"/>
        </w:numPr>
        <w:spacing w:after="100" w:line="260"/>
      </w:pPr>
      <w:r>
        <w:rPr>
          <w:rFonts w:ascii="Calibri" w:cs="Calibri" w:eastAsia="Calibri" w:hAnsi="Calibri"/>
          <w:b/>
          <w:bCs/>
          <w:color w:val="0F172A"/>
          <w:sz w:val="21"/>
          <w:szCs w:val="21"/>
        </w:rPr>
        <w:t xml:space="preserve">MSWD Social Workers and Administrative Staff: </w:t>
      </w:r>
      <w:r>
        <w:rPr>
          <w:rFonts w:ascii="Calibri" w:cs="Calibri" w:eastAsia="Calibri" w:hAnsi="Calibri"/>
          <w:color w:val="0F172A"/>
          <w:sz w:val="21"/>
          <w:szCs w:val="21"/>
        </w:rPr>
        <w:t xml:space="preserve">Relieved of manual filing and paper searching; equipped with automated priority scoring algorithms, dynamic requirements checklists, and instant duplicate alerts.</w:t>
      </w:r>
    </w:p>
    <w:p>
      <w:pPr>
        <w:pStyle w:val="ListParagraph"/>
        <w:numPr>
          <w:ilvl w:val="0"/>
          <w:numId w:val="1"/>
        </w:numPr>
        <w:spacing w:after="100" w:line="260"/>
      </w:pPr>
      <w:r>
        <w:rPr>
          <w:rFonts w:ascii="Calibri" w:cs="Calibri" w:eastAsia="Calibri" w:hAnsi="Calibri"/>
          <w:b/>
          <w:bCs/>
          <w:color w:val="0F172A"/>
          <w:sz w:val="21"/>
          <w:szCs w:val="21"/>
        </w:rPr>
        <w:t xml:space="preserve">Municipal Treasurer and Disbursing Officers: </w:t>
      </w:r>
      <w:r>
        <w:rPr>
          <w:rFonts w:ascii="Calibri" w:cs="Calibri" w:eastAsia="Calibri" w:hAnsi="Calibri"/>
          <w:color w:val="0F172A"/>
          <w:sz w:val="21"/>
          <w:szCs w:val="21"/>
        </w:rPr>
        <w:t xml:space="preserve">Provided with real-time budget tracking, automated balance deductions, auditable transaction histories, and immediate alerts prior to budget exhaustion.</w:t>
      </w:r>
    </w:p>
    <w:p>
      <w:pPr>
        <w:pStyle w:val="ListParagraph"/>
        <w:numPr>
          <w:ilvl w:val="0"/>
          <w:numId w:val="1"/>
        </w:numPr>
        <w:spacing w:after="100" w:line="260"/>
      </w:pPr>
      <w:r>
        <w:rPr>
          <w:rFonts w:ascii="Calibri" w:cs="Calibri" w:eastAsia="Calibri" w:hAnsi="Calibri"/>
          <w:b/>
          <w:bCs/>
          <w:color w:val="0F172A"/>
          <w:sz w:val="21"/>
          <w:szCs w:val="21"/>
        </w:rPr>
        <w:t xml:space="preserve">Local Chief Executive and Municipal Council: </w:t>
      </w:r>
      <w:r>
        <w:rPr>
          <w:rFonts w:ascii="Calibri" w:cs="Calibri" w:eastAsia="Calibri" w:hAnsi="Calibri"/>
          <w:color w:val="0F172A"/>
          <w:sz w:val="21"/>
          <w:szCs w:val="21"/>
        </w:rPr>
        <w:t xml:space="preserve">Equipped with real-time analytics, transparent fund utilization statistics, and audit-ready data for executive decision-making and legislative appropriations.</w:t>
      </w:r>
    </w:p>
    <w:p>
      <w:pPr>
        <w:pStyle w:val="ListParagraph"/>
        <w:numPr>
          <w:ilvl w:val="0"/>
          <w:numId w:val="1"/>
        </w:numPr>
        <w:spacing w:after="100" w:line="260"/>
      </w:pPr>
      <w:r>
        <w:rPr>
          <w:rFonts w:ascii="Calibri" w:cs="Calibri" w:eastAsia="Calibri" w:hAnsi="Calibri"/>
          <w:b/>
          <w:bCs/>
          <w:color w:val="0F172A"/>
          <w:sz w:val="21"/>
          <w:szCs w:val="21"/>
        </w:rPr>
        <w:t xml:space="preserve">Future Researchers and Systems Developers: </w:t>
      </w:r>
      <w:r>
        <w:rPr>
          <w:rFonts w:ascii="Calibri" w:cs="Calibri" w:eastAsia="Calibri" w:hAnsi="Calibri"/>
          <w:color w:val="0F172A"/>
          <w:sz w:val="21"/>
          <w:szCs w:val="21"/>
        </w:rPr>
        <w:t xml:space="preserve">Serves as an empirical, documented benchmark for modernizing rural e-governance systems using cloud-native BaaS and dual-platform web/mobile architectures.</w:t>
      </w:r>
    </w:p>
    <w:p>
      <w:pPr>
        <w:pStyle w:val="Heading2"/>
        <w:spacing w:after="120" w:before="240"/>
      </w:pPr>
      <w:r>
        <w:rPr>
          <w:rFonts w:ascii="Calibri" w:cs="Calibri" w:eastAsia="Calibri" w:hAnsi="Calibri"/>
          <w:b/>
          <w:bCs/>
          <w:color w:val="2563EB"/>
          <w:sz w:val="24"/>
          <w:szCs w:val="24"/>
        </w:rPr>
        <w:t xml:space="preserve">1.7 Definition of Operational Terms</w:t>
      </w:r>
    </w:p>
    <w:p>
      <w:pPr>
        <w:pStyle w:val="ListParagraph"/>
        <w:numPr>
          <w:ilvl w:val="0"/>
          <w:numId w:val="1"/>
        </w:numPr>
        <w:spacing w:after="100" w:line="260"/>
      </w:pPr>
      <w:r>
        <w:rPr>
          <w:rFonts w:ascii="Calibri" w:cs="Calibri" w:eastAsia="Calibri" w:hAnsi="Calibri"/>
          <w:b/>
          <w:bCs/>
          <w:color w:val="0F172A"/>
          <w:sz w:val="21"/>
          <w:szCs w:val="21"/>
        </w:rPr>
        <w:t xml:space="preserve">AICS (Assistance to Individuals in Crisis Situation): </w:t>
      </w:r>
      <w:r>
        <w:rPr>
          <w:rFonts w:ascii="Calibri" w:cs="Calibri" w:eastAsia="Calibri" w:hAnsi="Calibri"/>
          <w:color w:val="0F172A"/>
          <w:sz w:val="21"/>
          <w:szCs w:val="21"/>
        </w:rPr>
        <w:t xml:space="preserve">Government social protection program providing immediate financial, medical, and funeral relief to indigent persons facing sudden emergencies.</w:t>
      </w:r>
    </w:p>
    <w:p>
      <w:pPr>
        <w:pStyle w:val="ListParagraph"/>
        <w:numPr>
          <w:ilvl w:val="0"/>
          <w:numId w:val="1"/>
        </w:numPr>
        <w:spacing w:after="100" w:line="260"/>
      </w:pPr>
      <w:r>
        <w:rPr>
          <w:rFonts w:ascii="Calibri" w:cs="Calibri" w:eastAsia="Calibri" w:hAnsi="Calibri"/>
          <w:b/>
          <w:bCs/>
          <w:color w:val="0F172A"/>
          <w:sz w:val="21"/>
          <w:szCs w:val="21"/>
        </w:rPr>
        <w:t xml:space="preserve">Beneficiary: </w:t>
      </w:r>
      <w:r>
        <w:rPr>
          <w:rFonts w:ascii="Calibri" w:cs="Calibri" w:eastAsia="Calibri" w:hAnsi="Calibri"/>
          <w:color w:val="0F172A"/>
          <w:sz w:val="21"/>
          <w:szCs w:val="21"/>
        </w:rPr>
        <w:t xml:space="preserve">An eligible resident citizen of Daanbantayan formally registered in the municipal database who receives social welfare assistance.</w:t>
      </w:r>
    </w:p>
    <w:p>
      <w:pPr>
        <w:pStyle w:val="ListParagraph"/>
        <w:numPr>
          <w:ilvl w:val="0"/>
          <w:numId w:val="1"/>
        </w:numPr>
        <w:spacing w:after="100" w:line="260"/>
      </w:pPr>
      <w:r>
        <w:rPr>
          <w:rFonts w:ascii="Calibri" w:cs="Calibri" w:eastAsia="Calibri" w:hAnsi="Calibri"/>
          <w:b/>
          <w:bCs/>
          <w:color w:val="0F172A"/>
          <w:sz w:val="21"/>
          <w:szCs w:val="21"/>
        </w:rPr>
        <w:t xml:space="preserve">Priority Score: </w:t>
      </w:r>
      <w:r>
        <w:rPr>
          <w:rFonts w:ascii="Calibri" w:cs="Calibri" w:eastAsia="Calibri" w:hAnsi="Calibri"/>
          <w:color w:val="0F172A"/>
          <w:sz w:val="21"/>
          <w:szCs w:val="21"/>
        </w:rPr>
        <w:t xml:space="preserve">An algorithmically derived value (0 to 100 points) computed from monthly income, family size, vulnerability indices, and urgency.</w:t>
      </w:r>
    </w:p>
    <w:p>
      <w:pPr>
        <w:pStyle w:val="ListParagraph"/>
        <w:numPr>
          <w:ilvl w:val="0"/>
          <w:numId w:val="1"/>
        </w:numPr>
        <w:spacing w:after="100" w:line="260"/>
      </w:pPr>
      <w:r>
        <w:rPr>
          <w:rFonts w:ascii="Calibri" w:cs="Calibri" w:eastAsia="Calibri" w:hAnsi="Calibri"/>
          <w:b/>
          <w:bCs/>
          <w:color w:val="0F172A"/>
          <w:sz w:val="21"/>
          <w:szCs w:val="21"/>
        </w:rPr>
        <w:t xml:space="preserve">Duplicate Moratorium: </w:t>
      </w:r>
      <w:r>
        <w:rPr>
          <w:rFonts w:ascii="Calibri" w:cs="Calibri" w:eastAsia="Calibri" w:hAnsi="Calibri"/>
          <w:color w:val="0F172A"/>
          <w:sz w:val="21"/>
          <w:szCs w:val="21"/>
        </w:rPr>
        <w:t xml:space="preserve">A database-enforced restriction window (defaulting to 30 days) that prevents beneficiaries from claiming identical assistance categories within a designated timeframe.</w:t>
      </w:r>
    </w:p>
    <w:p>
      <w:pPr>
        <w:pStyle w:val="ListParagraph"/>
        <w:numPr>
          <w:ilvl w:val="0"/>
          <w:numId w:val="1"/>
        </w:numPr>
        <w:spacing w:after="100" w:line="260"/>
      </w:pPr>
      <w:r>
        <w:rPr>
          <w:rFonts w:ascii="Calibri" w:cs="Calibri" w:eastAsia="Calibri" w:hAnsi="Calibri"/>
          <w:b/>
          <w:bCs/>
          <w:color w:val="0F172A"/>
          <w:sz w:val="21"/>
          <w:szCs w:val="21"/>
        </w:rPr>
        <w:t xml:space="preserve">Row-Level Security (RLS): </w:t>
      </w:r>
      <w:r>
        <w:rPr>
          <w:rFonts w:ascii="Calibri" w:cs="Calibri" w:eastAsia="Calibri" w:hAnsi="Calibri"/>
          <w:color w:val="0F172A"/>
          <w:sz w:val="21"/>
          <w:szCs w:val="21"/>
        </w:rPr>
        <w:t xml:space="preserve">A PostgreSQL security architecture wherein database access permissions and query filtering are enforced at the database engine level based on JWT user identities.</w:t>
      </w:r>
    </w:p>
    <w:p>
      <w:pPr>
        <w:pStyle w:val="ListParagraph"/>
        <w:numPr>
          <w:ilvl w:val="0"/>
          <w:numId w:val="1"/>
        </w:numPr>
        <w:spacing w:after="100" w:line="260"/>
      </w:pPr>
      <w:r>
        <w:rPr>
          <w:rFonts w:ascii="Calibri" w:cs="Calibri" w:eastAsia="Calibri" w:hAnsi="Calibri"/>
          <w:b/>
          <w:bCs/>
          <w:color w:val="0F172A"/>
          <w:sz w:val="21"/>
          <w:szCs w:val="21"/>
        </w:rPr>
        <w:t xml:space="preserve">Backend-as-a-Service (BaaS): </w:t>
      </w:r>
      <w:r>
        <w:rPr>
          <w:rFonts w:ascii="Calibri" w:cs="Calibri" w:eastAsia="Calibri" w:hAnsi="Calibri"/>
          <w:color w:val="0F172A"/>
          <w:sz w:val="21"/>
          <w:szCs w:val="21"/>
        </w:rPr>
        <w:t xml:space="preserve">Cloud-hosted infrastructure (Supabase) providing managed PostgreSQL database services, JWT authentication, and file storage.</w:t>
      </w:r>
    </w:p>
    <w:p>
      <w:pPr>
        <w:pStyle w:val="Heading1"/>
        <w:pageBreakBefore/>
        <w:spacing w:after="180" w:before="360"/>
      </w:pPr>
      <w:r>
        <w:rPr>
          <w:rFonts w:ascii="Calibri" w:cs="Calibri" w:eastAsia="Calibri" w:hAnsi="Calibri"/>
          <w:b/>
          <w:bCs/>
          <w:color w:val="1E3A8A"/>
          <w:sz w:val="28"/>
          <w:szCs w:val="28"/>
        </w:rPr>
        <w:t xml:space="preserve">CHAPTER II: REVIEW OF RELATED LITERATURE AND THEORETICAL FRAMEWORK</w:t>
      </w:r>
    </w:p>
    <w:p>
      <w:pPr>
        <w:pStyle w:val="Heading2"/>
        <w:spacing w:after="120" w:before="240"/>
      </w:pPr>
      <w:r>
        <w:rPr>
          <w:rFonts w:ascii="Calibri" w:cs="Calibri" w:eastAsia="Calibri" w:hAnsi="Calibri"/>
          <w:b/>
          <w:bCs/>
          <w:color w:val="2563EB"/>
          <w:sz w:val="24"/>
          <w:szCs w:val="24"/>
        </w:rPr>
        <w:t xml:space="preserve">2.1 E-Governance and Social Welfare Automation in the Philippines</w:t>
      </w:r>
    </w:p>
    <w:p>
      <w:pPr>
        <w:spacing w:after="140" w:line="276" w:lineRule="auto"/>
        <w:jc w:val="both"/>
      </w:pPr>
      <w:r>
        <w:rPr>
          <w:rFonts w:ascii="Calibri" w:cs="Calibri" w:eastAsia="Calibri" w:hAnsi="Calibri"/>
          <w:i w:val="false"/>
          <w:iCs w:val="false"/>
          <w:color w:val="0F172A"/>
          <w:sz w:val="21"/>
          <w:szCs w:val="21"/>
        </w:rPr>
        <w:t xml:space="preserve">The Republic of the Philippines has witnessed an accelerated push toward e-governance and public service digitization over the past decade. National policy frameworks such as the E-Government Masterplan (EGMP) and Republic Act No. 11032 (Ease of Doing Business and Efficient Government Service Delivery Act of 2018) mandate that all government agencies, including Local Government Units (LGUs), streamline procedures, reduce bureaucratic friction, and adopt electronic information systems. In social protection, the Department of Social Welfare and Development pioneered database-driven targeting through the National Household Targeting System for Poverty Reduction (NHTS-PR / Listahanan). However, while national cash transfer programs such as 4Ps (Pantawid Pamilyang Pilipino Program) enjoy national IT infrastructure, municipal-level emergency assistance programs like AICS have historically lagged behind in digital transformation, often relying on standalone spreadsheet trackers that fail to connect field social workers with municipal disbursing officers.</w:t>
      </w:r>
    </w:p>
    <w:p>
      <w:pPr>
        <w:pStyle w:val="Heading2"/>
        <w:spacing w:after="120" w:before="240"/>
      </w:pPr>
      <w:r>
        <w:rPr>
          <w:rFonts w:ascii="Calibri" w:cs="Calibri" w:eastAsia="Calibri" w:hAnsi="Calibri"/>
          <w:b/>
          <w:bCs/>
          <w:color w:val="2563EB"/>
          <w:sz w:val="24"/>
          <w:szCs w:val="24"/>
        </w:rPr>
        <w:t xml:space="preserve">2.2 Modern Cloud-Native Architectures &amp; BaaS in Municipal Information Systems</w:t>
      </w:r>
    </w:p>
    <w:p>
      <w:pPr>
        <w:spacing w:after="140" w:line="276" w:lineRule="auto"/>
        <w:jc w:val="both"/>
      </w:pPr>
      <w:r>
        <w:rPr>
          <w:rFonts w:ascii="Calibri" w:cs="Calibri" w:eastAsia="Calibri" w:hAnsi="Calibri"/>
          <w:i w:val="false"/>
          <w:iCs w:val="false"/>
          <w:color w:val="0F172A"/>
          <w:sz w:val="21"/>
          <w:szCs w:val="21"/>
        </w:rPr>
        <w:t xml:space="preserve">Recent developments in web and mobile engineering have popularized Backend-as-a-Service (BaaS) platforms as an optimal architecture for public sector IT deployments. Traditional government software required dedicated on-premises servers, static IP configurations, physical cooling infrastructure, and dedicated sysadmin staff—costs that rural first- to fourth-class municipalities often cannot sustain. Platforms such as Supabase, built on enterprise open-source PostgreSQL, provide instant horizontal scalability, high-availability data replication, native JSONB document storage, automated JWT-based authentication, and object storage buckets. By coupling Supabase with modern edge-rendered application frameworks like Next.js 15 and cross-platform mobile frameworks like React Native (Expo 54), local governments can deploy highly secure, zero-infrastructure systems with enterprise-grade uptime and minimal maintenance overhead.</w:t>
      </w:r>
    </w:p>
    <w:p>
      <w:pPr>
        <w:pStyle w:val="Heading2"/>
        <w:spacing w:after="120" w:before="240"/>
      </w:pPr>
      <w:r>
        <w:rPr>
          <w:rFonts w:ascii="Calibri" w:cs="Calibri" w:eastAsia="Calibri" w:hAnsi="Calibri"/>
          <w:b/>
          <w:bCs/>
          <w:color w:val="2563EB"/>
          <w:sz w:val="24"/>
          <w:szCs w:val="24"/>
        </w:rPr>
        <w:t xml:space="preserve">2.3 Anti-Fraud and Duplicate Claim Prevention Mechanisms in Public Assistance</w:t>
      </w:r>
    </w:p>
    <w:p>
      <w:pPr>
        <w:spacing w:after="140" w:line="276" w:lineRule="auto"/>
        <w:jc w:val="both"/>
      </w:pPr>
      <w:r>
        <w:rPr>
          <w:rFonts w:ascii="Calibri" w:cs="Calibri" w:eastAsia="Calibri" w:hAnsi="Calibri"/>
          <w:i w:val="false"/>
          <w:iCs w:val="false"/>
          <w:color w:val="0F172A"/>
          <w:sz w:val="21"/>
          <w:szCs w:val="21"/>
        </w:rPr>
        <w:t xml:space="preserve">A persistent structural vulnerability in welfare disbursement systems is the phenomenon of duplicate and fraudulent claims. In manual systems, unscrupulous claimants exploit operational silos by filing simultaneous assistance requests under minor variations of their names, claiming across multiple barangay relief stations, or utilizing different family representatives to claim against the same deceased individual. Academic literature in computational governance demonstrates that client-side duplicate validation is fundamentally insufficient, as concurrent browser tabs or mobile requests can bypass application-level validation. State-of-the-art systems implement constraint validation and atomic transaction triggers directly within the database engine (ACID compliance). By attaching BEFORE INSERT database triggers that examine overlapping active requests and temporal moratorium windows, duplicate claims are systematically intercepted and logged before database state mutation occurs.</w:t>
      </w:r>
    </w:p>
    <w:p>
      <w:pPr>
        <w:pStyle w:val="Heading2"/>
        <w:spacing w:after="120" w:before="240"/>
      </w:pPr>
      <w:r>
        <w:rPr>
          <w:rFonts w:ascii="Calibri" w:cs="Calibri" w:eastAsia="Calibri" w:hAnsi="Calibri"/>
          <w:b/>
          <w:bCs/>
          <w:color w:val="2563EB"/>
          <w:sz w:val="24"/>
          <w:szCs w:val="24"/>
        </w:rPr>
        <w:t xml:space="preserve">2.4 Vulnerability-Weighted Social Assessment &amp; Priority Scoring Models</w:t>
      </w:r>
    </w:p>
    <w:p>
      <w:pPr>
        <w:spacing w:after="140" w:line="276" w:lineRule="auto"/>
        <w:jc w:val="both"/>
      </w:pPr>
      <w:r>
        <w:rPr>
          <w:rFonts w:ascii="Calibri" w:cs="Calibri" w:eastAsia="Calibri" w:hAnsi="Calibri"/>
          <w:i w:val="false"/>
          <w:iCs w:val="false"/>
          <w:color w:val="0F172A"/>
          <w:sz w:val="21"/>
          <w:szCs w:val="21"/>
        </w:rPr>
        <w:t xml:space="preserve">Social casework methodologies historically rely on unstructured qualitative narrative reports compiled by registered social workers. While qualitative case narratives capture nuanced human distress, they introduce significant subjectivity, cognitive bias, and inconsistency across different evaluators. Standardizing crisis evaluation through multi-attribute utility theory enables fair and consistent triaging. The social protection literature highlights four core objective vulnerability dimensions: (1) Household Poverty Level, measured by per-capita monthly income relative to the national food threshold; (2) Household Dependency Ratio, determined by family size; (3) Special Vulnerability Categories, legally recognized under Philippine statutes including Republic Act No. 7277 (Magna Carta for Disabled Persons), Republic Act No. 9994 (Expanded Senior Citizens Act of 2010), and RA 11310 (4Ps Act); and (4) Temporal Urgency, classifying cases into Normal, Urgent, and Life-Threatening Emergency. Synthesizing these dimensions into an algorithmic priority score enables social workers to process emergency interventions first while maintaining structured documentation for non-urgent requests.</w:t>
      </w:r>
    </w:p>
    <w:p>
      <w:pPr>
        <w:pStyle w:val="Heading2"/>
        <w:spacing w:after="120" w:before="240"/>
      </w:pPr>
      <w:r>
        <w:rPr>
          <w:rFonts w:ascii="Calibri" w:cs="Calibri" w:eastAsia="Calibri" w:hAnsi="Calibri"/>
          <w:b/>
          <w:bCs/>
          <w:color w:val="2563EB"/>
          <w:sz w:val="24"/>
          <w:szCs w:val="24"/>
        </w:rPr>
        <w:t xml:space="preserve">2.5 Legal, Regulatory &amp; Compliance Framework</w:t>
      </w:r>
    </w:p>
    <w:p>
      <w:pPr>
        <w:spacing w:after="140" w:line="276" w:lineRule="auto"/>
        <w:jc w:val="both"/>
      </w:pPr>
      <w:r>
        <w:rPr>
          <w:rFonts w:ascii="Calibri" w:cs="Calibri" w:eastAsia="Calibri" w:hAnsi="Calibri"/>
          <w:i w:val="false"/>
          <w:iCs w:val="false"/>
          <w:color w:val="0F172A"/>
          <w:sz w:val="21"/>
          <w:szCs w:val="21"/>
        </w:rPr>
        <w:t xml:space="preserve">The development of municipal welfare information systems must strictly adhere to statutory and regulatory standards established under Philippine jurisprudence:</w:t>
      </w:r>
    </w:p>
    <w:p>
      <w:pPr>
        <w:pStyle w:val="ListParagraph"/>
        <w:numPr>
          <w:ilvl w:val="0"/>
          <w:numId w:val="1"/>
        </w:numPr>
        <w:spacing w:after="100" w:line="260"/>
      </w:pPr>
      <w:r>
        <w:rPr>
          <w:rFonts w:ascii="Calibri" w:cs="Calibri" w:eastAsia="Calibri" w:hAnsi="Calibri"/>
          <w:b/>
          <w:bCs/>
          <w:color w:val="0F172A"/>
          <w:sz w:val="21"/>
          <w:szCs w:val="21"/>
        </w:rPr>
        <w:t xml:space="preserve">1. Republic Act No. 10173 (Data Privacy Act of 2012): </w:t>
      </w:r>
      <w:r>
        <w:rPr>
          <w:rFonts w:ascii="Calibri" w:cs="Calibri" w:eastAsia="Calibri" w:hAnsi="Calibri"/>
          <w:color w:val="0F172A"/>
          <w:sz w:val="21"/>
          <w:szCs w:val="21"/>
        </w:rPr>
        <w:t xml:space="preserve">Social welfare applications process highly sensitive personal information, including medical diagnoses, death certificates, household incomes, and national identity cards. Section 20 of RA 10173 mandates the implementation of robust organizational, physical, and technical security measures. The AICS System integrates end-to-end HTTPS/TLS encryption, database Row-Level Security, multi-factor password validation, and automated terms acceptance logging.</w:t>
      </w:r>
    </w:p>
    <w:p>
      <w:pPr>
        <w:pStyle w:val="ListParagraph"/>
        <w:numPr>
          <w:ilvl w:val="0"/>
          <w:numId w:val="1"/>
        </w:numPr>
        <w:spacing w:after="100" w:line="260"/>
      </w:pPr>
      <w:r>
        <w:rPr>
          <w:rFonts w:ascii="Calibri" w:cs="Calibri" w:eastAsia="Calibri" w:hAnsi="Calibri"/>
          <w:b/>
          <w:bCs/>
          <w:color w:val="0F172A"/>
          <w:sz w:val="21"/>
          <w:szCs w:val="21"/>
        </w:rPr>
        <w:t xml:space="preserve">2. Republic Act No. 11032 (Ease of Doing Business Act): </w:t>
      </w:r>
      <w:r>
        <w:rPr>
          <w:rFonts w:ascii="Calibri" w:cs="Calibri" w:eastAsia="Calibri" w:hAnsi="Calibri"/>
          <w:color w:val="0F172A"/>
          <w:sz w:val="21"/>
          <w:szCs w:val="21"/>
        </w:rPr>
        <w:t xml:space="preserve">Mandates the elimination of unnecessary processing steps, the publication of clear Citizen's Charters, and maximum response times for government transactions.</w:t>
      </w:r>
    </w:p>
    <w:p>
      <w:pPr>
        <w:pStyle w:val="ListParagraph"/>
        <w:numPr>
          <w:ilvl w:val="0"/>
          <w:numId w:val="1"/>
        </w:numPr>
        <w:spacing w:after="100" w:line="260"/>
      </w:pPr>
      <w:r>
        <w:rPr>
          <w:rFonts w:ascii="Calibri" w:cs="Calibri" w:eastAsia="Calibri" w:hAnsi="Calibri"/>
          <w:b/>
          <w:bCs/>
          <w:color w:val="0F172A"/>
          <w:sz w:val="21"/>
          <w:szCs w:val="21"/>
        </w:rPr>
        <w:t xml:space="preserve">3. Commission on Audit (COA) Circulars on Welfare Grants: </w:t>
      </w:r>
      <w:r>
        <w:rPr>
          <w:rFonts w:ascii="Calibri" w:cs="Calibri" w:eastAsia="Calibri" w:hAnsi="Calibri"/>
          <w:color w:val="0F172A"/>
          <w:sz w:val="21"/>
          <w:szCs w:val="21"/>
        </w:rPr>
        <w:t xml:space="preserve">Requires strict auditable documentation for all cash releases, including official vouchers, valid photo identification of beneficiaries, verified acknowledgment signatures, and unalterable financial transaction ledgers.</w:t>
      </w:r>
    </w:p>
    <w:p>
      <w:pPr>
        <w:pStyle w:val="Heading2"/>
        <w:spacing w:after="120" w:before="240"/>
      </w:pPr>
      <w:r>
        <w:rPr>
          <w:rFonts w:ascii="Calibri" w:cs="Calibri" w:eastAsia="Calibri" w:hAnsi="Calibri"/>
          <w:b/>
          <w:bCs/>
          <w:color w:val="2563EB"/>
          <w:sz w:val="24"/>
          <w:szCs w:val="24"/>
        </w:rPr>
        <w:t xml:space="preserve">2.6 Conceptual Framework: Input-Process-Output (IPO) Model</w:t>
      </w:r>
    </w:p>
    <w:p>
      <w:pPr>
        <w:spacing w:after="140" w:line="276" w:lineRule="auto"/>
        <w:jc w:val="both"/>
      </w:pPr>
      <w:r>
        <w:rPr>
          <w:rFonts w:ascii="Calibri" w:cs="Calibri" w:eastAsia="Calibri" w:hAnsi="Calibri"/>
          <w:i w:val="false"/>
          <w:iCs w:val="false"/>
          <w:color w:val="0F172A"/>
          <w:sz w:val="21"/>
          <w:szCs w:val="21"/>
        </w:rPr>
        <w:t xml:space="preserve">The operational dynamics of the AICS Request Management and Beneficiary Information System are conceptualized using the standard Input-Process-Output (IPO) paradigm. Figure 2.1 and Table 2.1 illustrate the complete system flow.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pct" w:w="1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IPO Stage</w:t>
            </w:r>
          </w:p>
        </w:tc>
        <w:tc>
          <w:tcPr>
            <w:tcW w:type="pct" w:w="2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System Components &amp; Operational Data Flow</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Technical Mechanism</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INPUT</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 Resident demographic data, Barangay Pajo purok info
• Vulnerability flags (PWD, Senior, 4Ps)
• Request details (Medical hospital bills / Burial mortuary info)
• Dual-sided Valid ID photos (camera/gallery)
• Treasury fund budget allocations</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Next.js 15 Web Forms, React Native Mobile UI, Supabase Storage Bucket</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PROCESS</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 6-Factor password validation &amp; terms consent tracking
• Database trigger duplicate check &amp; 30-day moratorium
• 100-point multi-factor social assessment scoring algorithm
• Atomic fund ledger deduction trigger upon approval
• Real-time Postgres realtime notifications
• Tamper-evident JSON audit logging</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PostgreSQL Triggers, calculatePriority() engine, Row-Level Security, Edge API</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OUTPUT</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 Approved/Disbursed crisis grants with official records
• Real-time Municipal Treasury ledger &amp; depletion alerts
• Citizen mobile tracking &amp; automated status updates
• Executive business intelligence dashboard with charts
• Exportable audit reports (PDF &amp; Excel XLSX)</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Recharts Analytics, jsPDF Engine, SheetJS XLSX, Mobile Dark/Light Views</w:t>
            </w:r>
          </w:p>
        </w:tc>
      </w:tr>
    </w:tbl>
    <w:p>
      <w:pPr>
        <w:pStyle w:val="Heading1"/>
        <w:pageBreakBefore/>
        <w:spacing w:after="180" w:before="360"/>
      </w:pPr>
      <w:r>
        <w:rPr>
          <w:rFonts w:ascii="Calibri" w:cs="Calibri" w:eastAsia="Calibri" w:hAnsi="Calibri"/>
          <w:b/>
          <w:bCs/>
          <w:color w:val="1E3A8A"/>
          <w:sz w:val="28"/>
          <w:szCs w:val="28"/>
        </w:rPr>
        <w:t xml:space="preserve">CHAPTER III: SYSTEM METHODOLOGY AND ARCHITECTURAL DESIGN</w:t>
      </w:r>
    </w:p>
    <w:p>
      <w:pPr>
        <w:pStyle w:val="Heading2"/>
        <w:spacing w:after="120" w:before="240"/>
      </w:pPr>
      <w:r>
        <w:rPr>
          <w:rFonts w:ascii="Calibri" w:cs="Calibri" w:eastAsia="Calibri" w:hAnsi="Calibri"/>
          <w:b/>
          <w:bCs/>
          <w:color w:val="2563EB"/>
          <w:sz w:val="24"/>
          <w:szCs w:val="24"/>
        </w:rPr>
        <w:t xml:space="preserve">3.1 Software Development Life Cycle: Agile Scrum Methodology</w:t>
      </w:r>
    </w:p>
    <w:p>
      <w:pPr>
        <w:spacing w:after="140" w:line="276" w:lineRule="auto"/>
        <w:jc w:val="both"/>
      </w:pPr>
      <w:r>
        <w:rPr>
          <w:rFonts w:ascii="Calibri" w:cs="Calibri" w:eastAsia="Calibri" w:hAnsi="Calibri"/>
          <w:i w:val="false"/>
          <w:iCs w:val="false"/>
          <w:color w:val="0F172A"/>
          <w:sz w:val="21"/>
          <w:szCs w:val="21"/>
        </w:rPr>
        <w:t xml:space="preserve">To build a highly reliable, dual-platform software system capable of adapting to real-world municipal requirements, the engineering team adopted the Agile Scrum software development methodology. Agile Scrum operates through iterative cycles termed "Sprints," each lasting two weeks, accompanied by continuous stakeholder collaboration with Daanbantayan MSWD personnel and resident user testing. The development lifecycle traversed five distinct sprint milestones:</w:t>
      </w:r>
    </w:p>
    <w:p>
      <w:pPr>
        <w:pStyle w:val="ListParagraph"/>
        <w:numPr>
          <w:ilvl w:val="0"/>
          <w:numId w:val="1"/>
        </w:numPr>
        <w:spacing w:after="100" w:line="260"/>
      </w:pPr>
      <w:r>
        <w:rPr>
          <w:rFonts w:ascii="Calibri" w:cs="Calibri" w:eastAsia="Calibri" w:hAnsi="Calibri"/>
          <w:b/>
          <w:bCs/>
          <w:color w:val="0F172A"/>
          <w:sz w:val="21"/>
          <w:szCs w:val="21"/>
        </w:rPr>
        <w:t xml:space="preserve">Sprint 1 (Requirements Discovery &amp; Database Modeling): </w:t>
      </w:r>
      <w:r>
        <w:rPr>
          <w:rFonts w:ascii="Calibri" w:cs="Calibri" w:eastAsia="Calibri" w:hAnsi="Calibri"/>
          <w:color w:val="0F172A"/>
          <w:sz w:val="21"/>
          <w:szCs w:val="21"/>
        </w:rPr>
        <w:t xml:space="preserve">Conducted on-site workflow scanning at Daanbantayan MSWD, gathered physical intake forms, mapped legal requirements under DSWD MC 15, and established the core PostgreSQL schema and Supabase project.</w:t>
      </w:r>
    </w:p>
    <w:p>
      <w:pPr>
        <w:pStyle w:val="ListParagraph"/>
        <w:numPr>
          <w:ilvl w:val="0"/>
          <w:numId w:val="1"/>
        </w:numPr>
        <w:spacing w:after="100" w:line="260"/>
      </w:pPr>
      <w:r>
        <w:rPr>
          <w:rFonts w:ascii="Calibri" w:cs="Calibri" w:eastAsia="Calibri" w:hAnsi="Calibri"/>
          <w:b/>
          <w:bCs/>
          <w:color w:val="0F172A"/>
          <w:sz w:val="21"/>
          <w:szCs w:val="21"/>
        </w:rPr>
        <w:t xml:space="preserve">Sprint 2 (Web Portal Core &amp; Authentication): </w:t>
      </w:r>
      <w:r>
        <w:rPr>
          <w:rFonts w:ascii="Calibri" w:cs="Calibri" w:eastAsia="Calibri" w:hAnsi="Calibri"/>
          <w:color w:val="0F172A"/>
          <w:sz w:val="21"/>
          <w:szCs w:val="21"/>
        </w:rPr>
        <w:t xml:space="preserve">Engineered the Next.js 15 web application foundation, implementing JWT authentication, multi-factor password validation, Terms &amp; Privacy Act compliance, and the core Beneficiary Registry.</w:t>
      </w:r>
    </w:p>
    <w:p>
      <w:pPr>
        <w:pStyle w:val="ListParagraph"/>
        <w:numPr>
          <w:ilvl w:val="0"/>
          <w:numId w:val="1"/>
        </w:numPr>
        <w:spacing w:after="100" w:line="260"/>
      </w:pPr>
      <w:r>
        <w:rPr>
          <w:rFonts w:ascii="Calibri" w:cs="Calibri" w:eastAsia="Calibri" w:hAnsi="Calibri"/>
          <w:b/>
          <w:bCs/>
          <w:color w:val="0F172A"/>
          <w:sz w:val="21"/>
          <w:szCs w:val="21"/>
        </w:rPr>
        <w:t xml:space="preserve">Sprint 3 (Request Pipeline &amp; Anti-Fraud Trigger): </w:t>
      </w:r>
      <w:r>
        <w:rPr>
          <w:rFonts w:ascii="Calibri" w:cs="Calibri" w:eastAsia="Calibri" w:hAnsi="Calibri"/>
          <w:color w:val="0F172A"/>
          <w:sz w:val="21"/>
          <w:szCs w:val="21"/>
        </w:rPr>
        <w:t xml:space="preserve">Constructed the Assistance Request pipeline for Medical and Burial assistance, integrating the Bogo–Daanbantayan funeral home combobox, dual-sided ID camera capture, and the trg_check_duplicate_request database trigger.</w:t>
      </w:r>
    </w:p>
    <w:p>
      <w:pPr>
        <w:pStyle w:val="ListParagraph"/>
        <w:numPr>
          <w:ilvl w:val="0"/>
          <w:numId w:val="1"/>
        </w:numPr>
        <w:spacing w:after="100" w:line="260"/>
      </w:pPr>
      <w:r>
        <w:rPr>
          <w:rFonts w:ascii="Calibri" w:cs="Calibri" w:eastAsia="Calibri" w:hAnsi="Calibri"/>
          <w:b/>
          <w:bCs/>
          <w:color w:val="0F172A"/>
          <w:sz w:val="21"/>
          <w:szCs w:val="21"/>
        </w:rPr>
        <w:t xml:space="preserve">Sprint 4 (Assessment Engine &amp; Treasury Ledger): </w:t>
      </w:r>
      <w:r>
        <w:rPr>
          <w:rFonts w:ascii="Calibri" w:cs="Calibri" w:eastAsia="Calibri" w:hAnsi="Calibri"/>
          <w:color w:val="0F172A"/>
          <w:sz w:val="21"/>
          <w:szCs w:val="21"/>
        </w:rPr>
        <w:t xml:space="preserve">Developed the 100-point Social Assessment Priority Scoring engine, the dedicated Municipal Treasury Portal, atomic fund deduction triggers, and real-time notification dispatch.</w:t>
      </w:r>
    </w:p>
    <w:p>
      <w:pPr>
        <w:pStyle w:val="ListParagraph"/>
        <w:numPr>
          <w:ilvl w:val="0"/>
          <w:numId w:val="1"/>
        </w:numPr>
        <w:spacing w:after="100" w:line="260"/>
      </w:pPr>
      <w:r>
        <w:rPr>
          <w:rFonts w:ascii="Calibri" w:cs="Calibri" w:eastAsia="Calibri" w:hAnsi="Calibri"/>
          <w:b/>
          <w:bCs/>
          <w:color w:val="0F172A"/>
          <w:sz w:val="21"/>
          <w:szCs w:val="21"/>
        </w:rPr>
        <w:t xml:space="preserve">Sprint 5 (Mobile App, Localization, &amp; Audit): </w:t>
      </w:r>
      <w:r>
        <w:rPr>
          <w:rFonts w:ascii="Calibri" w:cs="Calibri" w:eastAsia="Calibri" w:hAnsi="Calibri"/>
          <w:color w:val="0F172A"/>
          <w:sz w:val="21"/>
          <w:szCs w:val="21"/>
        </w:rPr>
        <w:t xml:space="preserve">Engineered the React Native (Expo 54) mobile app, implemented full dark/light theme responsiveness, bilingual English/Filipino localization, audit log inspection, and PDF/Excel report exports.</w:t>
      </w:r>
    </w:p>
    <w:p>
      <w:pPr>
        <w:pStyle w:val="Heading2"/>
        <w:spacing w:after="120" w:before="240"/>
      </w:pPr>
      <w:r>
        <w:rPr>
          <w:rFonts w:ascii="Calibri" w:cs="Calibri" w:eastAsia="Calibri" w:hAnsi="Calibri"/>
          <w:b/>
          <w:bCs/>
          <w:color w:val="2563EB"/>
          <w:sz w:val="24"/>
          <w:szCs w:val="24"/>
        </w:rPr>
        <w:t xml:space="preserve">3.2 Dual-Platform Technology Stack Comparison</w:t>
      </w:r>
    </w:p>
    <w:p>
      <w:pPr>
        <w:spacing w:after="140" w:line="276" w:lineRule="auto"/>
        <w:jc w:val="both"/>
      </w:pPr>
      <w:r>
        <w:rPr>
          <w:rFonts w:ascii="Calibri" w:cs="Calibri" w:eastAsia="Calibri" w:hAnsi="Calibri"/>
          <w:i w:val="false"/>
          <w:iCs w:val="false"/>
          <w:color w:val="0F172A"/>
          <w:sz w:val="21"/>
          <w:szCs w:val="21"/>
        </w:rPr>
        <w:t xml:space="preserve">The AICS System leverages a unified modern technology stack engineered for high performance, cross-platform compatibility, and strict security compliance. Table 3.1 delineates the specific software components utilized across tiers.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347"/>
        <w:gridCol w:w="2347"/>
      </w:tblGrid>
      <w:tr>
        <w:trPr>
          <w:tblHeader/>
        </w:trPr>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Architecture Layer</w:t>
            </w:r>
          </w:p>
        </w:tc>
        <w:tc>
          <w:tcPr>
            <w:tcW w:type="pct" w:w="1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Web Portal Component</w:t>
            </w:r>
          </w:p>
        </w:tc>
        <w:tc>
          <w:tcPr>
            <w:tcW w:type="pct" w:w="1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Mobile Application Component</w:t>
            </w:r>
          </w:p>
        </w:tc>
        <w:tc>
          <w:tcPr>
            <w:tcW w:type="pct" w:w="1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Operational Purpose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Core Framework</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Next.js 15 (App Router, Turbopack)</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React Native 0.86, Expo 54 SDK</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High-performance web and native mobile execution</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Language / Typing</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TypeScript 5.x</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TypeScript 5.x</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Strict compile-time type safety across all components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Styling &amp; Design</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Tailwind CSS v4, Vanilla CSS Custom Tokens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StyleSheet API, ThemeContext</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Adaptive, rich responsive design with Dark/Light mode</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Backend &amp; Database</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Supabase PostgreSQL (BaaS)</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Supabase PostgreSQL (BaaS)</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Managed relational database with ACID compliance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Security &amp; Auth</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Supabase Auth (JWT), bcrypt</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Supabase Auth (JWT), SecureStore</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Role-based access control and encrypted token storage</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Object Storage</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Supabase Storage Bucket (documents)</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expo-image-picker, expo-file-system</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Private storage of dual-sided valid ID photos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State &amp; Forms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React Hook Form, Zod</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React Native Custom Controlled State</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Client-side schema validation and form sanitization</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Business Intelligence</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Recharts (Bar, Pie, Line Charts)</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Custom SVG &amp; Tabular Reports</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Executive visualization of municipal welfare metrics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Reporting &amp; Export</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jsPDF, jspdf-autotable, SheetJS XLSX</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Formatted summary view and review logs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Official government audit report generation</w:t>
            </w:r>
          </w:p>
        </w:tc>
      </w:tr>
    </w:tbl>
    <w:p>
      <w:pPr>
        <w:pStyle w:val="Heading2"/>
        <w:spacing w:after="120" w:before="240"/>
      </w:pPr>
      <w:r>
        <w:rPr>
          <w:rFonts w:ascii="Calibri" w:cs="Calibri" w:eastAsia="Calibri" w:hAnsi="Calibri"/>
          <w:b/>
          <w:bCs/>
          <w:color w:val="2563EB"/>
          <w:sz w:val="24"/>
          <w:szCs w:val="24"/>
        </w:rPr>
        <w:t xml:space="preserve">3.3 Hardware, Software, and Network Requirements Specifications</w:t>
      </w:r>
    </w:p>
    <w:p>
      <w:pPr>
        <w:spacing w:after="140" w:line="276" w:lineRule="auto"/>
        <w:jc w:val="both"/>
      </w:pPr>
      <w:r>
        <w:rPr>
          <w:rFonts w:ascii="Calibri" w:cs="Calibri" w:eastAsia="Calibri" w:hAnsi="Calibri"/>
          <w:i w:val="false"/>
          <w:iCs w:val="false"/>
          <w:color w:val="0F172A"/>
          <w:sz w:val="21"/>
          <w:szCs w:val="21"/>
        </w:rPr>
        <w:t xml:space="preserve">To ensure reliable production deployment, the hardware and software specifications for the server environment and client devices were benchmarked as follows:</w:t>
      </w:r>
    </w:p>
    <w:p>
      <w:pPr>
        <w:pStyle w:val="ListParagraph"/>
        <w:numPr>
          <w:ilvl w:val="0"/>
          <w:numId w:val="1"/>
        </w:numPr>
        <w:spacing w:after="100" w:line="260"/>
      </w:pPr>
      <w:r>
        <w:rPr>
          <w:rFonts w:ascii="Calibri" w:cs="Calibri" w:eastAsia="Calibri" w:hAnsi="Calibri"/>
          <w:b/>
          <w:bCs/>
          <w:color w:val="0F172A"/>
          <w:sz w:val="21"/>
          <w:szCs w:val="21"/>
        </w:rPr>
        <w:t xml:space="preserve">Cloud Server / Database Infrastructure: </w:t>
      </w:r>
      <w:r>
        <w:rPr>
          <w:rFonts w:ascii="Calibri" w:cs="Calibri" w:eastAsia="Calibri" w:hAnsi="Calibri"/>
          <w:color w:val="0F172A"/>
          <w:sz w:val="21"/>
          <w:szCs w:val="21"/>
        </w:rPr>
        <w:t xml:space="preserve">Cloud-hosted via Supabase Global Edge Network (AWS ap-southeast-1 Singapore Region), automated SSD backups, connection pooling via Supavisor, minimum 2 vCPU, 4GB RAM cloud instance.</w:t>
      </w:r>
    </w:p>
    <w:p>
      <w:pPr>
        <w:pStyle w:val="ListParagraph"/>
        <w:numPr>
          <w:ilvl w:val="0"/>
          <w:numId w:val="1"/>
        </w:numPr>
        <w:spacing w:after="100" w:line="260"/>
      </w:pPr>
      <w:r>
        <w:rPr>
          <w:rFonts w:ascii="Calibri" w:cs="Calibri" w:eastAsia="Calibri" w:hAnsi="Calibri"/>
          <w:b/>
          <w:bCs/>
          <w:color w:val="0F172A"/>
          <w:sz w:val="21"/>
          <w:szCs w:val="21"/>
        </w:rPr>
        <w:t xml:space="preserve">Web Client Requirements: </w:t>
      </w:r>
      <w:r>
        <w:rPr>
          <w:rFonts w:ascii="Calibri" w:cs="Calibri" w:eastAsia="Calibri" w:hAnsi="Calibri"/>
          <w:color w:val="0F172A"/>
          <w:sz w:val="21"/>
          <w:szCs w:val="21"/>
        </w:rPr>
        <w:t xml:space="preserve">Modern web browser (Google Chrome v110+, Mozilla Firefox v115+, Microsoft Edge v110+, Safari v16+), minimum display resolution 1280x720 (responsive down to 360px mobile viewport), standard broadband connection (minimum 2 Mbps).</w:t>
      </w:r>
    </w:p>
    <w:p>
      <w:pPr>
        <w:pStyle w:val="ListParagraph"/>
        <w:numPr>
          <w:ilvl w:val="0"/>
          <w:numId w:val="1"/>
        </w:numPr>
        <w:spacing w:after="100" w:line="260"/>
      </w:pPr>
      <w:r>
        <w:rPr>
          <w:rFonts w:ascii="Calibri" w:cs="Calibri" w:eastAsia="Calibri" w:hAnsi="Calibri"/>
          <w:b/>
          <w:bCs/>
          <w:color w:val="0F172A"/>
          <w:sz w:val="21"/>
          <w:szCs w:val="21"/>
        </w:rPr>
        <w:t xml:space="preserve">Mobile Device Requirements: </w:t>
      </w:r>
      <w:r>
        <w:rPr>
          <w:rFonts w:ascii="Calibri" w:cs="Calibri" w:eastAsia="Calibri" w:hAnsi="Calibri"/>
          <w:color w:val="0F172A"/>
          <w:sz w:val="21"/>
          <w:szCs w:val="21"/>
        </w:rPr>
        <w:t xml:space="preserve">Android 10.0+ or iOS 14.0+, minimum 2GB RAM, integrated camera (minimum 5MP) for document scanning, active Wi-Fi or 4G/LTE mobile data connection.</w:t>
      </w:r>
    </w:p>
    <w:p>
      <w:pPr>
        <w:pStyle w:val="Heading2"/>
        <w:spacing w:after="120" w:before="240"/>
      </w:pPr>
      <w:r>
        <w:rPr>
          <w:rFonts w:ascii="Calibri" w:cs="Calibri" w:eastAsia="Calibri" w:hAnsi="Calibri"/>
          <w:b/>
          <w:bCs/>
          <w:color w:val="2563EB"/>
          <w:sz w:val="24"/>
          <w:szCs w:val="24"/>
        </w:rPr>
        <w:t xml:space="preserve">3.4 Tiered System Architectural Topology</w:t>
      </w:r>
    </w:p>
    <w:p>
      <w:pPr>
        <w:spacing w:after="140" w:line="276" w:lineRule="auto"/>
        <w:jc w:val="both"/>
      </w:pPr>
      <w:r>
        <w:rPr>
          <w:rFonts w:ascii="Calibri" w:cs="Calibri" w:eastAsia="Calibri" w:hAnsi="Calibri"/>
          <w:i w:val="false"/>
          <w:iCs w:val="false"/>
          <w:color w:val="0F172A"/>
          <w:sz w:val="21"/>
          <w:szCs w:val="21"/>
        </w:rPr>
        <w:t xml:space="preserve">The AICS System is engineered according to a 4-Tier Cloud-Native Architecture:</w:t>
      </w:r>
    </w:p>
    <w:p>
      <w:pPr>
        <w:pStyle w:val="ListParagraph"/>
        <w:numPr>
          <w:ilvl w:val="0"/>
          <w:numId w:val="1"/>
        </w:numPr>
        <w:spacing w:after="100" w:line="260"/>
      </w:pPr>
      <w:r>
        <w:rPr>
          <w:rFonts w:ascii="Calibri" w:cs="Calibri" w:eastAsia="Calibri" w:hAnsi="Calibri"/>
          <w:b/>
          <w:bCs/>
          <w:color w:val="0F172A"/>
          <w:sz w:val="21"/>
          <w:szCs w:val="21"/>
        </w:rPr>
        <w:t xml:space="preserve">1. Presentation Tier: </w:t>
      </w:r>
      <w:r>
        <w:rPr>
          <w:rFonts w:ascii="Calibri" w:cs="Calibri" w:eastAsia="Calibri" w:hAnsi="Calibri"/>
          <w:color w:val="0F172A"/>
          <w:sz w:val="21"/>
          <w:szCs w:val="21"/>
        </w:rPr>
        <w:t xml:space="preserve">Next.js 15 Web Portal rendering server/client components and React Native Expo mobile interface.</w:t>
      </w:r>
    </w:p>
    <w:p>
      <w:pPr>
        <w:pStyle w:val="ListParagraph"/>
        <w:numPr>
          <w:ilvl w:val="0"/>
          <w:numId w:val="1"/>
        </w:numPr>
        <w:spacing w:after="100" w:line="260"/>
      </w:pPr>
      <w:r>
        <w:rPr>
          <w:rFonts w:ascii="Calibri" w:cs="Calibri" w:eastAsia="Calibri" w:hAnsi="Calibri"/>
          <w:b/>
          <w:bCs/>
          <w:color w:val="0F172A"/>
          <w:sz w:val="21"/>
          <w:szCs w:val="21"/>
        </w:rPr>
        <w:t xml:space="preserve">2. Application / API Tier: </w:t>
      </w:r>
      <w:r>
        <w:rPr>
          <w:rFonts w:ascii="Calibri" w:cs="Calibri" w:eastAsia="Calibri" w:hAnsi="Calibri"/>
          <w:color w:val="0F172A"/>
          <w:sz w:val="21"/>
          <w:szCs w:val="21"/>
        </w:rPr>
        <w:t xml:space="preserve">Next.js App Router API endpoints (`/api/users`), Supabase Edge APIs, and client-side RPC controllers.</w:t>
      </w:r>
    </w:p>
    <w:p>
      <w:pPr>
        <w:pStyle w:val="ListParagraph"/>
        <w:numPr>
          <w:ilvl w:val="0"/>
          <w:numId w:val="1"/>
        </w:numPr>
        <w:spacing w:after="100" w:line="260"/>
      </w:pPr>
      <w:r>
        <w:rPr>
          <w:rFonts w:ascii="Calibri" w:cs="Calibri" w:eastAsia="Calibri" w:hAnsi="Calibri"/>
          <w:b/>
          <w:bCs/>
          <w:color w:val="0F172A"/>
          <w:sz w:val="21"/>
          <w:szCs w:val="21"/>
        </w:rPr>
        <w:t xml:space="preserve">3. Database &amp; Security Tier: </w:t>
      </w:r>
      <w:r>
        <w:rPr>
          <w:rFonts w:ascii="Calibri" w:cs="Calibri" w:eastAsia="Calibri" w:hAnsi="Calibri"/>
          <w:color w:val="0F172A"/>
          <w:sz w:val="21"/>
          <w:szCs w:val="21"/>
        </w:rPr>
        <w:t xml:space="preserve">PostgreSQL relational database enforcing Row-Level Security (RLS) policies, stored procedures, table constraints, and atomic triggers.</w:t>
      </w:r>
    </w:p>
    <w:p>
      <w:pPr>
        <w:pStyle w:val="ListParagraph"/>
        <w:numPr>
          <w:ilvl w:val="0"/>
          <w:numId w:val="1"/>
        </w:numPr>
        <w:spacing w:after="100" w:line="260"/>
      </w:pPr>
      <w:r>
        <w:rPr>
          <w:rFonts w:ascii="Calibri" w:cs="Calibri" w:eastAsia="Calibri" w:hAnsi="Calibri"/>
          <w:b/>
          <w:bCs/>
          <w:color w:val="0F172A"/>
          <w:sz w:val="21"/>
          <w:szCs w:val="21"/>
        </w:rPr>
        <w:t xml:space="preserve">4. Storage Tier: </w:t>
      </w:r>
      <w:r>
        <w:rPr>
          <w:rFonts w:ascii="Calibri" w:cs="Calibri" w:eastAsia="Calibri" w:hAnsi="Calibri"/>
          <w:color w:val="0F172A"/>
          <w:sz w:val="21"/>
          <w:szCs w:val="21"/>
        </w:rPr>
        <w:t xml:space="preserve">Encrypted private Supabase Storage buckets storing resident documents, death certificates, and dual-sided valid ID cards.</w:t>
      </w:r>
    </w:p>
    <w:p>
      <w:pPr>
        <w:pStyle w:val="Heading2"/>
        <w:spacing w:after="120" w:before="240"/>
      </w:pPr>
      <w:r>
        <w:rPr>
          <w:rFonts w:ascii="Calibri" w:cs="Calibri" w:eastAsia="Calibri" w:hAnsi="Calibri"/>
          <w:b/>
          <w:bCs/>
          <w:color w:val="2563EB"/>
          <w:sz w:val="24"/>
          <w:szCs w:val="24"/>
        </w:rPr>
        <w:t xml:space="preserve">3.5 Role-Based Access Control (RBAC) Matrix</w:t>
      </w:r>
    </w:p>
    <w:p>
      <w:pPr>
        <w:spacing w:after="140" w:line="276" w:lineRule="auto"/>
        <w:jc w:val="both"/>
      </w:pPr>
      <w:r>
        <w:rPr>
          <w:rFonts w:ascii="Calibri" w:cs="Calibri" w:eastAsia="Calibri" w:hAnsi="Calibri"/>
          <w:i w:val="false"/>
          <w:iCs w:val="false"/>
          <w:color w:val="0F172A"/>
          <w:sz w:val="21"/>
          <w:szCs w:val="21"/>
        </w:rPr>
        <w:t xml:space="preserve">Access control in the AICS System is partitioned into three mutually exclusive user roles: Administrator (Social Welfare Officer), Resident (Citizen Beneficiary), and Treasurer (Municipal Disbursing Officer). Table 3.2 details the authorization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1715"/>
        <w:gridCol w:w="1715"/>
        <w:gridCol w:w="1715"/>
        <w:gridCol w:w="1715"/>
      </w:tblGrid>
      <w:tr>
        <w:trPr>
          <w:tblHeader/>
        </w:trPr>
        <w:tc>
          <w:tcPr>
            <w:tcW w:type="pct" w:w="12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System Module / Action</w:t>
            </w:r>
          </w:p>
        </w:tc>
        <w:tc>
          <w:tcPr>
            <w:tcW w:type="pct" w:w="9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Administrator (MSWD)</w:t>
            </w:r>
          </w:p>
        </w:tc>
        <w:tc>
          <w:tcPr>
            <w:tcW w:type="pct" w:w="9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Resident (Beneficiary)</w:t>
            </w:r>
          </w:p>
        </w:tc>
        <w:tc>
          <w:tcPr>
            <w:tcW w:type="pct" w:w="9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Treasurer (Disbursing)</w:t>
            </w:r>
          </w:p>
        </w:tc>
        <w:tc>
          <w:tcPr>
            <w:tcW w:type="pct" w:w="9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Enforcement Mechanism</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Resident Self-Registration</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Read / Verify</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Create / Edit Own</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Read Only</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Supabase Auth &amp; Profiles RLS</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Staff Account Provisioning</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Full CRUD (via Service Key)</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 Access (Blocked)</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 Access (Blocked)</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Next.js Edge API `/api/users`</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Beneficiary Registry</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Full CRUD Access</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Manage Own Profile Only</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Read Only</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PostgreSQL RLS (`created_by = auth.uid()`)</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Submit AICS Request</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Encode for Citizens</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Submit for Own Profile</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 Access</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Database Trigger Duplicate Lock</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Case Assessment &amp; Priority Scoring</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Create / Update / Score</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View Assessment Result</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View Approved Amount</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Assessments Table RLS</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Request Approval / Decline</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Approve / Decline</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View Status Updates</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View Approved Queue</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Requests Status RLS Policy</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Fund Allocation &amp; Threshold Setup</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Full CRUD Management</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 Access</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Read Only Balances</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Funds Table RLS Policy</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Cash Payout Disbursement</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View Records</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View Own Payout History</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Execute &amp; Record Payouts</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trg_request_fund_deduction Trigger</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Audit Logs &amp; System Logs</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Full Search &amp; Filter</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 Access</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 Access</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System Logs RLS Policy</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Announcements Broadcast</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Create / Publish / Delete</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Read Published Only</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Read Published Only</w:t>
            </w:r>
          </w:p>
        </w:tc>
        <w:tc>
          <w:tcPr>
            <w:tcW w:type="pct" w:w="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Announcements RLS Policy</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PDF / Excel Report Generation</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Full Export Capability</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 Access</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Disbursement Reports Only</w:t>
            </w:r>
          </w:p>
        </w:tc>
        <w:tc>
          <w:tcPr>
            <w:tcW w:type="pct" w:w="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jsPDF &amp; XLSX Export Engine</w:t>
            </w:r>
          </w:p>
        </w:tc>
      </w:tr>
    </w:tbl>
    <w:p>
      <w:pPr>
        <w:pStyle w:val="Heading2"/>
        <w:spacing w:after="120" w:before="240"/>
      </w:pPr>
      <w:r>
        <w:rPr>
          <w:rFonts w:ascii="Calibri" w:cs="Calibri" w:eastAsia="Calibri" w:hAnsi="Calibri"/>
          <w:b/>
          <w:bCs/>
          <w:color w:val="2563EB"/>
          <w:sz w:val="24"/>
          <w:szCs w:val="24"/>
        </w:rPr>
        <w:t xml:space="preserve">3.6 Database Entity-Relationship Modeling &amp; Complete Data Dictionary</w:t>
      </w:r>
    </w:p>
    <w:p>
      <w:pPr>
        <w:spacing w:after="140" w:line="276" w:lineRule="auto"/>
        <w:jc w:val="both"/>
      </w:pPr>
      <w:r>
        <w:rPr>
          <w:rFonts w:ascii="Calibri" w:cs="Calibri" w:eastAsia="Calibri" w:hAnsi="Calibri"/>
          <w:i w:val="false"/>
          <w:iCs w:val="false"/>
          <w:color w:val="0F172A"/>
          <w:sz w:val="21"/>
          <w:szCs w:val="21"/>
        </w:rPr>
        <w:t xml:space="preserve">The AICS System relational database consists of 14 integrated tables designed in third normal form (3NF) to eliminate data redundancy while maintaining relational integrity. The complete data dictionary is presented below.</w:t>
      </w:r>
    </w:p>
    <w:p>
      <w:pPr>
        <w:pStyle w:val="Heading3"/>
        <w:spacing w:after="80" w:before="180"/>
      </w:pPr>
      <w:r>
        <w:rPr>
          <w:rFonts w:ascii="Calibri" w:cs="Calibri" w:eastAsia="Calibri" w:hAnsi="Calibri"/>
          <w:b/>
          <w:bCs/>
          <w:color w:val="1E3A8A"/>
          <w:sz w:val="22"/>
          <w:szCs w:val="22"/>
        </w:rPr>
        <w:t xml:space="preserve">Table 3.3: `profiles` (User Account Information)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2708"/>
        <w:gridCol w:w="2708"/>
      </w:tblGrid>
      <w:tr>
        <w:trPr>
          <w:tblHeader/>
        </w:trPr>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Column Name</w:t>
            </w:r>
          </w:p>
        </w:tc>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Data Type</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Constraints</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Description</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PRIMARY KEY, REFERENCES auth.users(id) ON DELETE CASCADE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Unique user identifier matching Supabase Auth</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full_name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Complete legal name of the user</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role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 CHECK (role IN ('admin', 'resident', 'treasurer'))</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System authorization role</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is_active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BOOLEAN</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true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Account active status flag</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terms_accepted_at</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TIMESTAMPTZ</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Timestamp of Data Privacy &amp; Terms consent</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terms_version</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Version of accepted Terms and Conditions (e.g. v1.0)</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created_at</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TIMESTAMPTZ</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NOW()</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Account creation timestamp</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updated_at</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TIMESTAMPTZ</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NOW()</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Account last update timestamp</w:t>
            </w:r>
          </w:p>
        </w:tc>
      </w:tr>
    </w:tbl>
    <w:p>
      <w:pPr>
        <w:pStyle w:val="Heading3"/>
        <w:spacing w:after="80" w:before="180"/>
      </w:pPr>
      <w:r>
        <w:rPr>
          <w:rFonts w:ascii="Calibri" w:cs="Calibri" w:eastAsia="Calibri" w:hAnsi="Calibri"/>
          <w:b/>
          <w:bCs/>
          <w:color w:val="1E3A8A"/>
          <w:sz w:val="22"/>
          <w:szCs w:val="22"/>
        </w:rPr>
        <w:t xml:space="preserve">Table 3.4: `beneficiaries` (Beneficiary Master Records)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2708"/>
        <w:gridCol w:w="2708"/>
      </w:tblGrid>
      <w:tr>
        <w:trPr>
          <w:tblHeader/>
        </w:trPr>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Column Name</w:t>
            </w:r>
          </w:p>
        </w:tc>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Data Type</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Constraints</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Description</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PRIMARY KEY, DEFAULT uuid_generate_v4()</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Unique beneficiary record identifier</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first_name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Beneficiary first name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middle_name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Beneficiary middle name</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last_name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Beneficiary surname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suffix</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Name suffix (Jr., Sr., III)</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birthdate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DATE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Date of birth for age and senior verification</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sex</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 CHECK (sex IN ('Male', 'Female'))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Biological sex</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civil_status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 CHECK (civil_status IN (Single, Married, Widowed, Separated, Annulled))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Civil legal status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barangay</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Barangay of residence (Default: Barangay Pajo)</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purok</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Specific purok (Purok 1–10, Centro, Riverside, San Isidro, etc.)</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address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Complete residential street address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contact_number</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Mobile contact number</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occupation</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Primary source of livelihood</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monthly_income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NUMERIC(10,2)</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0</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Monthly household income in PHP</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family_size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INTEGER</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1</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Number of dependents in household</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is_pwd</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BOOLEAN</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false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Person with Disability status flag</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is_senior</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BOOLEAN</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false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Senior Citizen (60+ years) status flag</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is_4ps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BOOLEAN</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false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Pantawid Pamilyang Pilipino Program recipient flag</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created_by</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REFERENCES profiles(id) ON DELETE SET NULL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User account that registered the beneficiary</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created_at</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TIMESTAMPTZ</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NOW()</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Record registration timestamp</w:t>
            </w:r>
          </w:p>
        </w:tc>
      </w:tr>
    </w:tbl>
    <w:p>
      <w:pPr>
        <w:pStyle w:val="Heading3"/>
        <w:spacing w:after="80" w:before="180"/>
      </w:pPr>
      <w:r>
        <w:rPr>
          <w:rFonts w:ascii="Calibri" w:cs="Calibri" w:eastAsia="Calibri" w:hAnsi="Calibri"/>
          <w:b/>
          <w:bCs/>
          <w:color w:val="1E3A8A"/>
          <w:sz w:val="22"/>
          <w:szCs w:val="22"/>
        </w:rPr>
        <w:t xml:space="preserve">Table 3.5: `requests` (Assistance Applications)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2708"/>
        <w:gridCol w:w="2708"/>
      </w:tblGrid>
      <w:tr>
        <w:trPr>
          <w:tblHeader/>
        </w:trPr>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Column Name</w:t>
            </w:r>
          </w:p>
        </w:tc>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Data Type</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Constraints</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Description</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PRIMARY KEY, DEFAULT uuid_generate_v4()</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Unique request transaction identifier</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beneficiary_id</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 REFERENCES beneficiaries(id) ON DELETE CASCADE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Beneficiary receiving the assistance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assistance_type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 CHECK (assistance_type IN ('Medical', 'Burial'))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Category of crisis assistance</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status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 DEFAULT 'Pending', CHECK (status IN ('Pending', 'Approved', 'Released', 'Declined'))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Workflow lifecycle status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release_status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CHECK (release_status IN ('Pending Release', 'Ready for Release', 'Released'))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Treasury disbursement release sub-status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amount_requested</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NUMERIC(10,2)</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Assistance amount requested by applicant</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amount_approved</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NUMERIC(10,2)</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Final assistance amount approved by MSWD</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purpose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Detailed justification of the crisis emergency</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remarks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Caseworker or applicant operational notes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extra_fields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JSONB</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'{}'::jsonb</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Dynamic category fields (hospital, diagnosis, deceased name, funeral home)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encoded_by</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REFERENCES profiles(id) ON DELETE SET NULL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User who encoded the request</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assessed_by</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REFERENCES profiles(id) ON DELETE SET NULL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Social worker who assessed the case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approved_by</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REFERENCES profiles(id) ON DELETE SET NULL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Administrative officer who approved the grant</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created_at</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TIMESTAMPTZ</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NOW()</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Request submission timestamp</w:t>
            </w:r>
          </w:p>
        </w:tc>
      </w:tr>
    </w:tbl>
    <w:p>
      <w:pPr>
        <w:pStyle w:val="Heading3"/>
        <w:spacing w:after="80" w:before="180"/>
      </w:pPr>
      <w:r>
        <w:rPr>
          <w:rFonts w:ascii="Calibri" w:cs="Calibri" w:eastAsia="Calibri" w:hAnsi="Calibri"/>
          <w:b/>
          <w:bCs/>
          <w:color w:val="1E3A8A"/>
          <w:sz w:val="22"/>
          <w:szCs w:val="22"/>
        </w:rPr>
        <w:t xml:space="preserve">Table 3.6: `funds` and `fund_transactions` (Municipal Treasury Ledger)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2708"/>
        <w:gridCol w:w="2708"/>
      </w:tblGrid>
      <w:tr>
        <w:trPr>
          <w:tblHeader/>
        </w:trPr>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Column Name</w:t>
            </w:r>
          </w:p>
        </w:tc>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Data Type</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Constraints</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Description</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 (funds)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PRIMARY KEY, DEFAULT uuid_generate_v4()</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Unique fund allocation account identifier</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assistance_type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 UNIQUE, CHECK IN ('Medical', 'Burial')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Designated assistance budget category</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total_allocated</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NUMERIC(15,2)</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0</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Cumulative budget allocated by LGU Council</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total_released</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NUMERIC(15,2)</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0</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Cumulative cash released to beneficiaries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current_balance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NUMERIC(15,2)</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0</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Real-time liquid cash available for disbursement</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low_balance_threshold</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NUMERIC(15,2)</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10000</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Threshold in PHP triggering low-balance alert</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 (transactions)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PRIMARY KEY, DEFAULT uuid_generate_v4()</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Unique transaction audit entry identifier</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fund_id</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REFERENCES funds(id) ON DELETE CASCADE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Associated fund account</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transaction_type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 CHECK IN ('Allocation', 'Release', 'Adjustment')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Transaction classification</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amount</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NUMERIC(15,2)</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Transaction monetary sum in PHP</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balance_after</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NUMERIC(15,2)</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Audited liquid balance following transaction execution</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request_id</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REFERENCES requests(id) ON DELETE SET NULL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Associated AICS request for release deductions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processed_by</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REFERENCES profiles(id) ON DELETE SET NULL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Treasurer or admin user processing the ledger entry</w:t>
            </w:r>
          </w:p>
        </w:tc>
      </w:tr>
    </w:tbl>
    <w:p>
      <w:pPr>
        <w:pStyle w:val="Heading3"/>
        <w:spacing w:after="80" w:before="180"/>
      </w:pPr>
      <w:r>
        <w:rPr>
          <w:rFonts w:ascii="Calibri" w:cs="Calibri" w:eastAsia="Calibri" w:hAnsi="Calibri"/>
          <w:b/>
          <w:bCs/>
          <w:color w:val="1E3A8A"/>
          <w:sz w:val="22"/>
          <w:szCs w:val="22"/>
        </w:rPr>
        <w:t xml:space="preserve">Table 3.7: `assessments` (Social Worker Evaluation &amp; Scoring)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2708"/>
        <w:gridCol w:w="2708"/>
      </w:tblGrid>
      <w:tr>
        <w:trPr>
          <w:tblHeader/>
        </w:trPr>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Column Name</w:t>
            </w:r>
          </w:p>
        </w:tc>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Data Type</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Constraints</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Description</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PRIMARY KEY, DEFAULT uuid_generate_v4()</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Unique assessment case identifier</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request_id</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UUID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 REFERENCES requests(id) ON DELETE CASCADE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Evaluated AICS application</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interview_date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DATE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Date casework interview was conducted</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findings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Detailed clinical/social casework observations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recommendation</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 NULL</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Social worker action recommendation</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home_visit</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BOOLEAN</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DEFAULT false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Whether physical home visit verification occurred</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priority_score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INTEGER</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CHECK (priority_score BETWEEN 0 AND 100)</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Computed 100-point priority score</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priority_level</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CHECK IN ('Low', 'Medium', 'High')</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Calculated priority tier</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urgency_level</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CHECK IN ('Normal', 'Urgent', 'Emergency')</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Evaluated temporal crisis urgency level</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eligibility_status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CHECK IN ('Eligible', 'Not Eligible')</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Income poverty threshold validation result</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document_status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NULLABLE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Verification status of submitted proofs</w:t>
            </w:r>
          </w:p>
        </w:tc>
      </w:tr>
    </w:tbl>
    <w:p>
      <w:pPr>
        <w:pStyle w:val="Heading3"/>
        <w:spacing w:after="80" w:before="180"/>
      </w:pPr>
      <w:r>
        <w:rPr>
          <w:rFonts w:ascii="Calibri" w:cs="Calibri" w:eastAsia="Calibri" w:hAnsi="Calibri"/>
          <w:b/>
          <w:bCs/>
          <w:color w:val="1E3A8A"/>
          <w:sz w:val="22"/>
          <w:szCs w:val="22"/>
        </w:rPr>
        <w:t xml:space="preserve">Table 3.8: Other Auxiliary Tables (`system_settings`, `announcements`, `system_logs`, `terms_acceptance_log`)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2708"/>
        <w:gridCol w:w="2708"/>
      </w:tblGrid>
      <w:tr>
        <w:trPr>
          <w:tblHeader/>
        </w:trPr>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Table Name</w:t>
            </w:r>
          </w:p>
        </w:tc>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Primary Key</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Key Columns &amp; Types</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Operational Purpose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system_settings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setting_key (TEXT)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setting_value (TEXT), description (TEXT), updated_at</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Global settings including duplicate_restriction_days (default: 30)</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announcements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 (UUID)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title (TEXT), content (TEXT), image_url, is_published (BOOL)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Citizen community advisories, payout dates, and disaster bulletins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system_logs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 (UUID)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user_id (UUID), action (TEXT), table_name, details (JSONB)</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Immutable audit trail capturing user ID, timestamp, and JSON delta payload</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terms_acceptance_log</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 (UUID)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user_id (UUID), terms_version (TEXT), ip_address, user_agent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Statutory compliance log proving citizen consent under RA 10173</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notifications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 (UUID)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user_id (UUID), title, message, type (pending/incomplete/info), is_read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Real-time alert dispatch to mobile app and web dashboard</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assistance_requirements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 (UUID)</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assistance_type, document_name, is_required (BOOL)</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Configurable checklist matrix of required supporting documents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payouts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 (UUID)</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request_id, amount_released, release_date, released_by, acknowledgment_notes</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Disbursement vouchers executed by Municipal Treasurer</w:t>
            </w:r>
          </w:p>
        </w:tc>
      </w:tr>
    </w:tbl>
    <w:p>
      <w:pPr>
        <w:pStyle w:val="Heading1"/>
        <w:pageBreakBefore/>
        <w:spacing w:after="180" w:before="360"/>
      </w:pPr>
      <w:r>
        <w:rPr>
          <w:rFonts w:ascii="Calibri" w:cs="Calibri" w:eastAsia="Calibri" w:hAnsi="Calibri"/>
          <w:b/>
          <w:bCs/>
          <w:color w:val="1E3A8A"/>
          <w:sz w:val="28"/>
          <w:szCs w:val="28"/>
        </w:rPr>
        <w:t xml:space="preserve">CHAPTER IV: DETAILED SYSTEM IMPLEMENTATION AND FUNCTIONAL MODULES</w:t>
      </w:r>
    </w:p>
    <w:p>
      <w:pPr>
        <w:pStyle w:val="Heading2"/>
        <w:spacing w:after="120" w:before="240"/>
      </w:pPr>
      <w:r>
        <w:rPr>
          <w:rFonts w:ascii="Calibri" w:cs="Calibri" w:eastAsia="Calibri" w:hAnsi="Calibri"/>
          <w:b/>
          <w:bCs/>
          <w:color w:val="2563EB"/>
          <w:sz w:val="24"/>
          <w:szCs w:val="24"/>
        </w:rPr>
        <w:t xml:space="preserve">4.1 Resident Registration, Identity Verification &amp; Password Security</w:t>
      </w:r>
    </w:p>
    <w:p>
      <w:pPr>
        <w:spacing w:after="140" w:line="276" w:lineRule="auto"/>
        <w:jc w:val="both"/>
      </w:pPr>
      <w:r>
        <w:rPr>
          <w:rFonts w:ascii="Calibri" w:cs="Calibri" w:eastAsia="Calibri" w:hAnsi="Calibri"/>
          <w:i w:val="false"/>
          <w:iCs w:val="false"/>
          <w:color w:val="0F172A"/>
          <w:sz w:val="21"/>
          <w:szCs w:val="21"/>
        </w:rPr>
        <w:t xml:space="preserve">The onboarding pipeline for municipal residents is engineered with enterprise-grade defensive measures. Traditional social welfare websites frequently allow weak passwords or omit explicit data privacy consents, exposing citizens to account takeover and violating statutory regulations. The AICS System implements a 6-factor password complexity verification engine in `lib/passwordValidation.ts`:</w:t>
      </w:r>
    </w:p>
    <w:p>
      <w:pPr>
        <w:pStyle w:val="ListParagraph"/>
        <w:numPr>
          <w:ilvl w:val="0"/>
          <w:numId w:val="1"/>
        </w:numPr>
        <w:spacing w:after="100" w:line="260"/>
      </w:pPr>
      <w:r>
        <w:rPr>
          <w:rFonts w:ascii="Calibri" w:cs="Calibri" w:eastAsia="Calibri" w:hAnsi="Calibri"/>
          <w:b/>
          <w:bCs/>
          <w:color w:val="0F172A"/>
          <w:sz w:val="21"/>
          <w:szCs w:val="21"/>
        </w:rPr>
        <w:t xml:space="preserve">1. Length Enforcement: </w:t>
      </w:r>
      <w:r>
        <w:rPr>
          <w:rFonts w:ascii="Calibri" w:cs="Calibri" w:eastAsia="Calibri" w:hAnsi="Calibri"/>
          <w:color w:val="0F172A"/>
          <w:sz w:val="21"/>
          <w:szCs w:val="21"/>
        </w:rPr>
        <w:t xml:space="preserve">Enforces a strict minimum of 8 characters (`pw.length &gt;= 8`).</w:t>
      </w:r>
    </w:p>
    <w:p>
      <w:pPr>
        <w:pStyle w:val="ListParagraph"/>
        <w:numPr>
          <w:ilvl w:val="0"/>
          <w:numId w:val="1"/>
        </w:numPr>
        <w:spacing w:after="100" w:line="260"/>
      </w:pPr>
      <w:r>
        <w:rPr>
          <w:rFonts w:ascii="Calibri" w:cs="Calibri" w:eastAsia="Calibri" w:hAnsi="Calibri"/>
          <w:b/>
          <w:bCs/>
          <w:color w:val="0F172A"/>
          <w:sz w:val="21"/>
          <w:szCs w:val="21"/>
        </w:rPr>
        <w:t xml:space="preserve">2. Lowercase Alphabetical Character: </w:t>
      </w:r>
      <w:r>
        <w:rPr>
          <w:rFonts w:ascii="Calibri" w:cs="Calibri" w:eastAsia="Calibri" w:hAnsi="Calibri"/>
          <w:color w:val="0F172A"/>
          <w:sz w:val="21"/>
          <w:szCs w:val="21"/>
        </w:rPr>
        <w:t xml:space="preserve">Mandates at least one lowercase alphabetical character (`/[a-z]/.test(pw)`).</w:t>
      </w:r>
    </w:p>
    <w:p>
      <w:pPr>
        <w:pStyle w:val="ListParagraph"/>
        <w:numPr>
          <w:ilvl w:val="0"/>
          <w:numId w:val="1"/>
        </w:numPr>
        <w:spacing w:after="100" w:line="260"/>
      </w:pPr>
      <w:r>
        <w:rPr>
          <w:rFonts w:ascii="Calibri" w:cs="Calibri" w:eastAsia="Calibri" w:hAnsi="Calibri"/>
          <w:b/>
          <w:bCs/>
          <w:color w:val="0F172A"/>
          <w:sz w:val="21"/>
          <w:szCs w:val="21"/>
        </w:rPr>
        <w:t xml:space="preserve">3. Uppercase Alphabetical Character: </w:t>
      </w:r>
      <w:r>
        <w:rPr>
          <w:rFonts w:ascii="Calibri" w:cs="Calibri" w:eastAsia="Calibri" w:hAnsi="Calibri"/>
          <w:color w:val="0F172A"/>
          <w:sz w:val="21"/>
          <w:szCs w:val="21"/>
        </w:rPr>
        <w:t xml:space="preserve">Mandates at least one uppercase alphabetical character (`/[A-Z]/.test(pw)`).</w:t>
      </w:r>
    </w:p>
    <w:p>
      <w:pPr>
        <w:pStyle w:val="ListParagraph"/>
        <w:numPr>
          <w:ilvl w:val="0"/>
          <w:numId w:val="1"/>
        </w:numPr>
        <w:spacing w:after="100" w:line="260"/>
      </w:pPr>
      <w:r>
        <w:rPr>
          <w:rFonts w:ascii="Calibri" w:cs="Calibri" w:eastAsia="Calibri" w:hAnsi="Calibri"/>
          <w:b/>
          <w:bCs/>
          <w:color w:val="0F172A"/>
          <w:sz w:val="21"/>
          <w:szCs w:val="21"/>
        </w:rPr>
        <w:t xml:space="preserve">4. Numeric Digit: </w:t>
      </w:r>
      <w:r>
        <w:rPr>
          <w:rFonts w:ascii="Calibri" w:cs="Calibri" w:eastAsia="Calibri" w:hAnsi="Calibri"/>
          <w:color w:val="0F172A"/>
          <w:sz w:val="21"/>
          <w:szCs w:val="21"/>
        </w:rPr>
        <w:t xml:space="preserve">Mandates at least one numeric digit (`/[0-9]/.test(pw)`).</w:t>
      </w:r>
    </w:p>
    <w:p>
      <w:pPr>
        <w:pStyle w:val="ListParagraph"/>
        <w:numPr>
          <w:ilvl w:val="0"/>
          <w:numId w:val="1"/>
        </w:numPr>
        <w:spacing w:after="100" w:line="260"/>
      </w:pPr>
      <w:r>
        <w:rPr>
          <w:rFonts w:ascii="Calibri" w:cs="Calibri" w:eastAsia="Calibri" w:hAnsi="Calibri"/>
          <w:b/>
          <w:bCs/>
          <w:color w:val="0F172A"/>
          <w:sz w:val="21"/>
          <w:szCs w:val="21"/>
        </w:rPr>
        <w:t xml:space="preserve">5. Special Character Symbol: </w:t>
      </w:r>
      <w:r>
        <w:rPr>
          <w:rFonts w:ascii="Calibri" w:cs="Calibri" w:eastAsia="Calibri" w:hAnsi="Calibri"/>
          <w:color w:val="0F172A"/>
          <w:sz w:val="21"/>
          <w:szCs w:val="21"/>
        </w:rPr>
        <w:t xml:space="preserve">Mandates at least one special symbol (`/[!@#$%^&amp;*()_+\-=[\]{};':"\\|,.&lt;&gt;/?`~]/.test(pw)`).</w:t>
      </w:r>
    </w:p>
    <w:p>
      <w:pPr>
        <w:pStyle w:val="ListParagraph"/>
        <w:numPr>
          <w:ilvl w:val="0"/>
          <w:numId w:val="1"/>
        </w:numPr>
        <w:spacing w:after="100" w:line="260"/>
      </w:pPr>
      <w:r>
        <w:rPr>
          <w:rFonts w:ascii="Calibri" w:cs="Calibri" w:eastAsia="Calibri" w:hAnsi="Calibri"/>
          <w:b/>
          <w:bCs/>
          <w:color w:val="0F172A"/>
          <w:sz w:val="21"/>
          <w:szCs w:val="21"/>
        </w:rPr>
        <w:t xml:space="preserve">6. Whitespace Prohibition: </w:t>
      </w:r>
      <w:r>
        <w:rPr>
          <w:rFonts w:ascii="Calibri" w:cs="Calibri" w:eastAsia="Calibri" w:hAnsi="Calibri"/>
          <w:color w:val="0F172A"/>
          <w:sz w:val="21"/>
          <w:szCs w:val="21"/>
        </w:rPr>
        <w:t xml:space="preserve">Strictly prohibits internal or trailing whitespace (`pw.length &gt; 0 &amp;&amp; !/\s/.test(pw)`).</w:t>
      </w:r>
    </w:p>
    <w:p>
      <w:pPr>
        <w:spacing w:after="140" w:line="276" w:lineRule="auto"/>
        <w:jc w:val="both"/>
      </w:pPr>
      <w:r>
        <w:rPr>
          <w:rFonts w:ascii="Calibri" w:cs="Calibri" w:eastAsia="Calibri" w:hAnsi="Calibri"/>
          <w:i w:val="false"/>
          <w:iCs w:val="false"/>
          <w:color w:val="0F172A"/>
          <w:sz w:val="21"/>
          <w:szCs w:val="21"/>
        </w:rPr>
        <w:t xml:space="preserve">Both the web and mobile interfaces feature an interactive 5-bar visual strength meter displaying dynamic color gradations (Red for Weak, Amber for Medium, Blue for Strong, Emerald for Very Strong). Crucially, during registration, users are presented with an un-bypassable Data Privacy Act of 2012 Consent Modal requiring explicit affirmative acknowledgement before account creation. Acceptance is simultaneously written to `profiles.terms_accepted_at` and logged into `terms_acceptance_log` with IP address and user-agent metadata.</w:t>
      </w:r>
    </w:p>
    <w:p>
      <w:pPr>
        <w:pStyle w:val="Heading2"/>
        <w:spacing w:after="120" w:before="240"/>
      </w:pPr>
      <w:r>
        <w:rPr>
          <w:rFonts w:ascii="Calibri" w:cs="Calibri" w:eastAsia="Calibri" w:hAnsi="Calibri"/>
          <w:b/>
          <w:bCs/>
          <w:color w:val="2563EB"/>
          <w:sz w:val="24"/>
          <w:szCs w:val="24"/>
        </w:rPr>
        <w:t xml:space="preserve">4.2 Comprehensive Beneficiary Registry &amp; Profiling</w:t>
      </w:r>
    </w:p>
    <w:p>
      <w:pPr>
        <w:spacing w:after="140" w:line="276" w:lineRule="auto"/>
        <w:jc w:val="both"/>
      </w:pPr>
      <w:r>
        <w:rPr>
          <w:rFonts w:ascii="Calibri" w:cs="Calibri" w:eastAsia="Calibri" w:hAnsi="Calibri"/>
          <w:i w:val="false"/>
          <w:iCs w:val="false"/>
          <w:color w:val="0F172A"/>
          <w:sz w:val="21"/>
          <w:szCs w:val="21"/>
        </w:rPr>
        <w:t xml:space="preserve">Under the MSWD workflow, a citizen must establish an authorized beneficiary profile before crisis requests can be lodged. This ensures that every assistance grant is linked to an authenticated municipal resident. The beneficiary profile captures comprehensive socioeconomic indicators: full name, complete residential address, contact number, date of birth, sex, civil status, occupation, monthly income, household size, and vulnerability flags (is_pwd, is_senior, is_4ps).</w:t>
      </w:r>
    </w:p>
    <w:p>
      <w:pPr>
        <w:spacing w:after="140" w:line="276" w:lineRule="auto"/>
        <w:jc w:val="both"/>
      </w:pPr>
      <w:r>
        <w:rPr>
          <w:rFonts w:ascii="Calibri" w:cs="Calibri" w:eastAsia="Calibri" w:hAnsi="Calibri"/>
          <w:i w:val="false"/>
          <w:iCs w:val="false"/>
          <w:color w:val="0F172A"/>
          <w:sz w:val="21"/>
          <w:szCs w:val="21"/>
        </w:rPr>
        <w:t xml:space="preserve">To prevent jurisdictional confusion, the address selector is pre-scoped to Barangay Pajo, Daanbantayan, with an active sub-selector for its 15 recognized puroks (Purok 1 through 10, Purok Centro, Purok Riverside, Purok San Isidro, Purok Lower Pajo, and Purok Upper Pajo). Under PostgreSQL Row-Level Security, residents can only view and edit their own beneficiary profile, whereas MSWD caseworkers and administrators maintain cross-municipal registry oversight.</w:t>
      </w:r>
    </w:p>
    <w:p>
      <w:pPr>
        <w:pStyle w:val="Heading2"/>
        <w:spacing w:after="120" w:before="240"/>
      </w:pPr>
      <w:r>
        <w:rPr>
          <w:rFonts w:ascii="Calibri" w:cs="Calibri" w:eastAsia="Calibri" w:hAnsi="Calibri"/>
          <w:b/>
          <w:bCs/>
          <w:color w:val="2563EB"/>
          <w:sz w:val="24"/>
          <w:szCs w:val="24"/>
        </w:rPr>
        <w:t xml:space="preserve">4.3 Crisis Assistance Request Pipeline &amp; Verified Mortuary Combobox</w:t>
      </w:r>
    </w:p>
    <w:p>
      <w:pPr>
        <w:spacing w:after="140" w:line="276" w:lineRule="auto"/>
        <w:jc w:val="both"/>
      </w:pPr>
      <w:r>
        <w:rPr>
          <w:rFonts w:ascii="Calibri" w:cs="Calibri" w:eastAsia="Calibri" w:hAnsi="Calibri"/>
          <w:i w:val="false"/>
          <w:iCs w:val="false"/>
          <w:color w:val="0F172A"/>
          <w:sz w:val="21"/>
          <w:szCs w:val="21"/>
        </w:rPr>
        <w:t xml:space="preserve">The request submission module is tailored specifically to the acute requirements of Medical and Burial assistance. For Medical assistance, applicants provide hospital details, diagnostic summaries, and estimated costs. For Burial assistance, applicants encode the complete identity of the deceased person, their relationship to the beneficiary, and the chosen funeral establishment.</w:t>
      </w:r>
    </w:p>
    <w:p>
      <w:pPr>
        <w:spacing w:after="140" w:line="276" w:lineRule="auto"/>
        <w:jc w:val="both"/>
      </w:pPr>
      <w:r>
        <w:rPr>
          <w:rFonts w:ascii="Calibri" w:cs="Calibri" w:eastAsia="Calibri" w:hAnsi="Calibri"/>
          <w:i w:val="false"/>
          <w:iCs w:val="false"/>
          <w:color w:val="0F172A"/>
          <w:sz w:val="21"/>
          <w:szCs w:val="21"/>
        </w:rPr>
        <w:t xml:space="preserve">A standout feature of the burial intake module is the verified funeral home combobox. In legacy paper operations, families frequently listed unverified or non-existent mortuary services, leading to fraudulent voucher processing. The AICS System integrates a verified selection network comprising the 14 accredited funeral establishments along the Bogo–Daanbantayan medical corridor:</w:t>
      </w:r>
    </w:p>
    <w:p>
      <w:pPr>
        <w:pStyle w:val="ListParagraph"/>
        <w:numPr>
          <w:ilvl w:val="0"/>
          <w:numId w:val="1"/>
        </w:numPr>
        <w:spacing w:after="100" w:line="260"/>
      </w:pPr>
      <w:r>
        <w:rPr>
          <w:rFonts w:ascii="Calibri" w:cs="Calibri" w:eastAsia="Calibri" w:hAnsi="Calibri"/>
          <w:b/>
          <w:bCs/>
          <w:color w:val="0F172A"/>
          <w:sz w:val="21"/>
          <w:szCs w:val="21"/>
        </w:rPr>
        <w:t xml:space="preserve">Daanbantayan Facilities: </w:t>
      </w:r>
      <w:r>
        <w:rPr>
          <w:rFonts w:ascii="Calibri" w:cs="Calibri" w:eastAsia="Calibri" w:hAnsi="Calibri"/>
          <w:color w:val="0F172A"/>
          <w:sz w:val="21"/>
          <w:szCs w:val="21"/>
        </w:rPr>
        <w:t xml:space="preserve">St. Peter Funeral Home, St. Francis Memorial Funeral Homes, Llorente Funeral Chapel, San Jose Memorial Homes.</w:t>
      </w:r>
    </w:p>
    <w:p>
      <w:pPr>
        <w:pStyle w:val="ListParagraph"/>
        <w:numPr>
          <w:ilvl w:val="0"/>
          <w:numId w:val="1"/>
        </w:numPr>
        <w:spacing w:after="100" w:line="260"/>
      </w:pPr>
      <w:r>
        <w:rPr>
          <w:rFonts w:ascii="Calibri" w:cs="Calibri" w:eastAsia="Calibri" w:hAnsi="Calibri"/>
          <w:b/>
          <w:bCs/>
          <w:color w:val="0F172A"/>
          <w:sz w:val="21"/>
          <w:szCs w:val="21"/>
        </w:rPr>
        <w:t xml:space="preserve">Medellin Facilities: </w:t>
      </w:r>
      <w:r>
        <w:rPr>
          <w:rFonts w:ascii="Calibri" w:cs="Calibri" w:eastAsia="Calibri" w:hAnsi="Calibri"/>
          <w:color w:val="0F172A"/>
          <w:sz w:val="21"/>
          <w:szCs w:val="21"/>
        </w:rPr>
        <w:t xml:space="preserve">Metro Funeral Home, Obedencio Funeral Home, St. Peter Funeral Home.</w:t>
      </w:r>
    </w:p>
    <w:p>
      <w:pPr>
        <w:pStyle w:val="ListParagraph"/>
        <w:numPr>
          <w:ilvl w:val="0"/>
          <w:numId w:val="1"/>
        </w:numPr>
        <w:spacing w:after="100" w:line="260"/>
      </w:pPr>
      <w:r>
        <w:rPr>
          <w:rFonts w:ascii="Calibri" w:cs="Calibri" w:eastAsia="Calibri" w:hAnsi="Calibri"/>
          <w:b/>
          <w:bCs/>
          <w:color w:val="0F172A"/>
          <w:sz w:val="21"/>
          <w:szCs w:val="21"/>
        </w:rPr>
        <w:t xml:space="preserve">San Remigio Facility: </w:t>
      </w:r>
      <w:r>
        <w:rPr>
          <w:rFonts w:ascii="Calibri" w:cs="Calibri" w:eastAsia="Calibri" w:hAnsi="Calibri"/>
          <w:color w:val="0F172A"/>
          <w:sz w:val="21"/>
          <w:szCs w:val="21"/>
        </w:rPr>
        <w:t xml:space="preserve">San Remigio Memorial Homes.</w:t>
      </w:r>
    </w:p>
    <w:p>
      <w:pPr>
        <w:pStyle w:val="ListParagraph"/>
        <w:numPr>
          <w:ilvl w:val="0"/>
          <w:numId w:val="1"/>
        </w:numPr>
        <w:spacing w:after="100" w:line="260"/>
      </w:pPr>
      <w:r>
        <w:rPr>
          <w:rFonts w:ascii="Calibri" w:cs="Calibri" w:eastAsia="Calibri" w:hAnsi="Calibri"/>
          <w:b/>
          <w:bCs/>
          <w:color w:val="0F172A"/>
          <w:sz w:val="21"/>
          <w:szCs w:val="21"/>
        </w:rPr>
        <w:t xml:space="preserve">Bogo City Facilities: </w:t>
      </w:r>
      <w:r>
        <w:rPr>
          <w:rFonts w:ascii="Calibri" w:cs="Calibri" w:eastAsia="Calibri" w:hAnsi="Calibri"/>
          <w:color w:val="0F172A"/>
          <w:sz w:val="21"/>
          <w:szCs w:val="21"/>
        </w:rPr>
        <w:t xml:space="preserve">St. Peter Funeral Home, Cosmopolitan Funeral Home, Reamillo Funeral Chapel, San Roque Funeral Chapel, Bogo Memorial Chapel.</w:t>
      </w:r>
    </w:p>
    <w:p>
      <w:pPr>
        <w:spacing w:after="140" w:line="276" w:lineRule="auto"/>
        <w:jc w:val="both"/>
      </w:pPr>
      <w:r>
        <w:rPr>
          <w:rFonts w:ascii="Calibri" w:cs="Calibri" w:eastAsia="Calibri" w:hAnsi="Calibri"/>
          <w:i w:val="false"/>
          <w:iCs w:val="false"/>
          <w:color w:val="0F172A"/>
          <w:sz w:val="21"/>
          <w:szCs w:val="21"/>
        </w:rPr>
        <w:t xml:space="preserve">The combobox provides real-time search filtering, keyboard navigation, clear buttons, and an accredited fallback option for special circumstances. Both web and mobile interfaces feature responsive high-contrast dark and light styling, guaranteeing readability in outdoor mobile and low-light municipal environments. To satisfy evidentiary requirements, applicants must upload dual-sided valid ID cards (front and back) using live camera capture or gallery file upload.</w:t>
      </w:r>
    </w:p>
    <w:p>
      <w:pPr>
        <w:pStyle w:val="Heading2"/>
        <w:spacing w:after="120" w:before="240"/>
      </w:pPr>
      <w:r>
        <w:rPr>
          <w:rFonts w:ascii="Calibri" w:cs="Calibri" w:eastAsia="Calibri" w:hAnsi="Calibri"/>
          <w:b/>
          <w:bCs/>
          <w:color w:val="2563EB"/>
          <w:sz w:val="24"/>
          <w:szCs w:val="24"/>
        </w:rPr>
        <w:t xml:space="preserve">4.4 Automated Anti-Fraud and Duplicate Prevention Subsystem</w:t>
      </w:r>
    </w:p>
    <w:p>
      <w:pPr>
        <w:spacing w:after="140" w:line="276" w:lineRule="auto"/>
        <w:jc w:val="both"/>
      </w:pPr>
      <w:r>
        <w:rPr>
          <w:rFonts w:ascii="Calibri" w:cs="Calibri" w:eastAsia="Calibri" w:hAnsi="Calibri"/>
          <w:i w:val="false"/>
          <w:iCs w:val="false"/>
          <w:color w:val="0F172A"/>
          <w:sz w:val="21"/>
          <w:szCs w:val="21"/>
        </w:rPr>
        <w:t xml:space="preserve">To systematically eliminate duplicate claims across barangays and overlapping family filings, the engineering team designed an automated PostgreSQL database trigger: `trg_check_duplicate_request` executing `check_duplicate_request()`. This trigger is executed BEFORE INSERT on the `requests`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40"/>
              <w:left w:type="dxa" w:w="200"/>
              <w:bottom w:type="dxa" w:w="140"/>
              <w:right w:type="dxa" w:w="200"/>
            </w:tcMar>
          </w:tcPr>
          <w:p>
            <w:pPr>
              <w:spacing w:after="60"/>
            </w:pPr>
            <w:r>
              <w:rPr>
                <w:rFonts w:ascii="Calibri" w:cs="Calibri" w:eastAsia="Calibri" w:hAnsi="Calibri"/>
                <w:b/>
                <w:bCs/>
                <w:color w:val="1E3A8A"/>
                <w:sz w:val="19"/>
                <w:szCs w:val="19"/>
              </w:rPr>
              <w:t xml:space="preserve">POSTGRESQL TRIGGER: trg_check_duplicate_request</w:t>
            </w:r>
          </w:p>
          <w:p>
            <w:pPr>
              <w:spacing w:after="0" w:line="260"/>
            </w:pPr>
            <w:r>
              <w:rPr>
                <w:rFonts w:ascii="Calibri" w:cs="Calibri" w:eastAsia="Calibri" w:hAnsi="Calibri"/>
                <w:i/>
                <w:iCs/>
                <w:color w:val="0F172A"/>
                <w:sz w:val="20"/>
                <w:szCs w:val="20"/>
              </w:rPr>
              <w:t xml:space="preserve">CREATE OR REPLACE FUNCTION check_duplicate_request() RETURNS TRIGGER AS $$
DECLARE
  v_active_count INT;
  v_same_type_count INT;
  v_restriction_days INT;
BEGIN
  -- Rule 1: Block multiple concurrent active requests (Pending or Approved)
  SELECT COUNT(*) INTO v_active_count FROM requests
  WHERE beneficiary_id = NEW.beneficiary_id AND status IN ('Pending', 'Approved') AND id != NEW.id;
  IF v_active_count &gt; 0 THEN
    RAISE EXCEPTION 'DUPLICATE_ACTIVE: You already have an existing AICS request currently being processed.';
  END IF;
  -- Rule 2: Enforce temporal moratorium window per assistance category
  SELECT COALESCE((SELECT setting_value::INT FROM system_settings WHERE setting_key = 'duplicate_restriction_days'), 30) INTO v_restriction_days;
  SELECT COUNT(*) INTO v_same_type_count FROM requests
  WHERE beneficiary_id = NEW.beneficiary_id AND assistance_type = NEW.assistance_type
    AND created_at &gt;= (NOW() - (v_restriction_days || ' days')::INTERVAL) AND id != NEW.id;
  IF v_same_type_count &gt; 0 THEN
    RAISE EXCEPTION 'DUPLICATE_TYPE: You have already submitted a request for % assistance within the last % days.', NEW.assistance_type, v_restriction_days;
  END IF;
  RETURN NEW;
END; $$ LANGUAGE plpgsql;</w:t>
            </w:r>
          </w:p>
        </w:tc>
      </w:tr>
    </w:tbl>
    <w:p>
      <w:pPr>
        <w:spacing w:after="140" w:line="276" w:lineRule="auto"/>
        <w:jc w:val="both"/>
      </w:pPr>
      <w:r>
        <w:rPr>
          <w:rFonts w:ascii="Calibri" w:cs="Calibri" w:eastAsia="Calibri" w:hAnsi="Calibri"/>
          <w:i w:val="false"/>
          <w:iCs w:val="false"/>
          <w:color w:val="0F172A"/>
          <w:sz w:val="21"/>
          <w:szCs w:val="21"/>
        </w:rPr>
        <w:t xml:space="preserve">The duplicate restriction window is dynamically configurable via the `system_settings` table without requiring database recompilation or service interruption. When a duplicate request is intercepted, an alert is triggered on the user interface, and an immutable log entry (`BLOCKED_DUPLICATE_REQUEST`) is recorded in the `system_logs` audit trail.</w:t>
      </w:r>
    </w:p>
    <w:p>
      <w:pPr>
        <w:pStyle w:val="Heading2"/>
        <w:spacing w:after="120" w:before="240"/>
      </w:pPr>
      <w:r>
        <w:rPr>
          <w:rFonts w:ascii="Calibri" w:cs="Calibri" w:eastAsia="Calibri" w:hAnsi="Calibri"/>
          <w:b/>
          <w:bCs/>
          <w:color w:val="2563EB"/>
          <w:sz w:val="24"/>
          <w:szCs w:val="24"/>
        </w:rPr>
        <w:t xml:space="preserve">4.5 Social Worker Assessment &amp; Multi-Factor Scoring Engine</w:t>
      </w:r>
    </w:p>
    <w:p>
      <w:pPr>
        <w:spacing w:after="140" w:line="276" w:lineRule="auto"/>
        <w:jc w:val="both"/>
      </w:pPr>
      <w:r>
        <w:rPr>
          <w:rFonts w:ascii="Calibri" w:cs="Calibri" w:eastAsia="Calibri" w:hAnsi="Calibri"/>
          <w:i w:val="false"/>
          <w:iCs w:val="false"/>
          <w:color w:val="0F172A"/>
          <w:sz w:val="21"/>
          <w:szCs w:val="21"/>
        </w:rPr>
        <w:t xml:space="preserve">To transition crisis triaging from subjective intuition to fair, objective prioritization, the AICS System integrates an automated 100-point Multi-Factor Priority Scoring Engine (`lib/scoring.ts`). When a caseworker reviews an application, the algorithm dynamically processes four distinct socioeconomic dimensions:</w:t>
      </w:r>
    </w:p>
    <w:p>
      <w:pPr>
        <w:pStyle w:val="ListParagraph"/>
        <w:numPr>
          <w:ilvl w:val="0"/>
          <w:numId w:val="1"/>
        </w:numPr>
        <w:spacing w:after="100" w:line="260"/>
      </w:pPr>
      <w:r>
        <w:rPr>
          <w:rFonts w:ascii="Calibri" w:cs="Calibri" w:eastAsia="Calibri" w:hAnsi="Calibri"/>
          <w:b/>
          <w:bCs/>
          <w:color w:val="0F172A"/>
          <w:sz w:val="21"/>
          <w:szCs w:val="21"/>
        </w:rPr>
        <w:t xml:space="preserve">1. Monthly Household Income (Max 40 Points): </w:t>
      </w:r>
      <w:r>
        <w:rPr>
          <w:rFonts w:ascii="Calibri" w:cs="Calibri" w:eastAsia="Calibri" w:hAnsi="Calibri"/>
          <w:color w:val="0F172A"/>
          <w:sz w:val="21"/>
          <w:szCs w:val="21"/>
        </w:rPr>
        <w:t xml:space="preserve">≤ ₱5,000 monthly income = 40 pts; ₱5,001–₱10,000 = 30 pts; ₱10,001–₱15,000 = 20 pts; ₱15,001–₱20,000 = 10 pts; &gt; ₱20,000 = 0 pts.</w:t>
      </w:r>
    </w:p>
    <w:p>
      <w:pPr>
        <w:pStyle w:val="ListParagraph"/>
        <w:numPr>
          <w:ilvl w:val="0"/>
          <w:numId w:val="1"/>
        </w:numPr>
        <w:spacing w:after="100" w:line="260"/>
      </w:pPr>
      <w:r>
        <w:rPr>
          <w:rFonts w:ascii="Calibri" w:cs="Calibri" w:eastAsia="Calibri" w:hAnsi="Calibri"/>
          <w:b/>
          <w:bCs/>
          <w:color w:val="0F172A"/>
          <w:sz w:val="21"/>
          <w:szCs w:val="21"/>
        </w:rPr>
        <w:t xml:space="preserve">2. Household Dependency Ratio / Family Size (Max 20 Points): </w:t>
      </w:r>
      <w:r>
        <w:rPr>
          <w:rFonts w:ascii="Calibri" w:cs="Calibri" w:eastAsia="Calibri" w:hAnsi="Calibri"/>
          <w:color w:val="0F172A"/>
          <w:sz w:val="21"/>
          <w:szCs w:val="21"/>
        </w:rPr>
        <w:t xml:space="preserve">≥ 7 family dependents = 20 pts; 5–6 dependents = 15 pts; 3–4 dependents = 10 pts; 1–2 dependents = 0 pts.</w:t>
      </w:r>
    </w:p>
    <w:p>
      <w:pPr>
        <w:pStyle w:val="ListParagraph"/>
        <w:numPr>
          <w:ilvl w:val="0"/>
          <w:numId w:val="1"/>
        </w:numPr>
        <w:spacing w:after="100" w:line="260"/>
      </w:pPr>
      <w:r>
        <w:rPr>
          <w:rFonts w:ascii="Calibri" w:cs="Calibri" w:eastAsia="Calibri" w:hAnsi="Calibri"/>
          <w:b/>
          <w:bCs/>
          <w:color w:val="0F172A"/>
          <w:sz w:val="21"/>
          <w:szCs w:val="21"/>
        </w:rPr>
        <w:t xml:space="preserve">3. Special Vulnerability Indicators (Max 15 Points): </w:t>
      </w:r>
      <w:r>
        <w:rPr>
          <w:rFonts w:ascii="Calibri" w:cs="Calibri" w:eastAsia="Calibri" w:hAnsi="Calibri"/>
          <w:color w:val="0F172A"/>
          <w:sz w:val="21"/>
          <w:szCs w:val="21"/>
        </w:rPr>
        <w:t xml:space="preserve">Person with Disability (PWD) = +5 pts; Senior Citizen = +5 pts; 4Ps Beneficiary = +5 pts.</w:t>
      </w:r>
    </w:p>
    <w:p>
      <w:pPr>
        <w:pStyle w:val="ListParagraph"/>
        <w:numPr>
          <w:ilvl w:val="0"/>
          <w:numId w:val="1"/>
        </w:numPr>
        <w:spacing w:after="100" w:line="260"/>
      </w:pPr>
      <w:r>
        <w:rPr>
          <w:rFonts w:ascii="Calibri" w:cs="Calibri" w:eastAsia="Calibri" w:hAnsi="Calibri"/>
          <w:b/>
          <w:bCs/>
          <w:color w:val="0F172A"/>
          <w:sz w:val="21"/>
          <w:szCs w:val="21"/>
        </w:rPr>
        <w:t xml:space="preserve">4. Temporal Crisis Urgency (Max 25 Points): </w:t>
      </w:r>
      <w:r>
        <w:rPr>
          <w:rFonts w:ascii="Calibri" w:cs="Calibri" w:eastAsia="Calibri" w:hAnsi="Calibri"/>
          <w:color w:val="0F172A"/>
          <w:sz w:val="21"/>
          <w:szCs w:val="21"/>
        </w:rPr>
        <w:t xml:space="preserve">Life-threatening Emergency = 25 pts; Urgent Medical/Burial = 15 pts; Normal Case = 5 pts.</w:t>
      </w:r>
    </w:p>
    <w:p>
      <w:pPr>
        <w:spacing w:after="140" w:line="276" w:lineRule="auto"/>
        <w:jc w:val="both"/>
      </w:pPr>
      <w:r>
        <w:rPr>
          <w:rFonts w:ascii="Calibri" w:cs="Calibri" w:eastAsia="Calibri" w:hAnsi="Calibri"/>
          <w:i w:val="false"/>
          <w:iCs w:val="false"/>
          <w:color w:val="0F172A"/>
          <w:sz w:val="21"/>
          <w:szCs w:val="21"/>
        </w:rPr>
        <w:t xml:space="preserve">The calculated score determines the assigned priority tier: High Priority (70–100 points, styled in Red with urgent processing), Medium Priority (40–69 points, styled in Amber), and Low Priority (0–39 points, styled in Slate). A statutory poverty eligibility threshold enforces that households with monthly incomes exceeding ₱30,000 are flagged as ineligible for standard indigent subsidies.</w:t>
      </w:r>
    </w:p>
    <w:p>
      <w:pPr>
        <w:pStyle w:val="Heading2"/>
        <w:spacing w:after="120" w:before="240"/>
      </w:pPr>
      <w:r>
        <w:rPr>
          <w:rFonts w:ascii="Calibri" w:cs="Calibri" w:eastAsia="Calibri" w:hAnsi="Calibri"/>
          <w:b/>
          <w:bCs/>
          <w:color w:val="2563EB"/>
          <w:sz w:val="24"/>
          <w:szCs w:val="24"/>
        </w:rPr>
        <w:t xml:space="preserve">4.6 Municipal Treasury &amp; Dynamic Fund Ledger Tracking</w:t>
      </w:r>
    </w:p>
    <w:p>
      <w:pPr>
        <w:spacing w:after="140" w:line="276" w:lineRule="auto"/>
        <w:jc w:val="both"/>
      </w:pPr>
      <w:r>
        <w:rPr>
          <w:rFonts w:ascii="Calibri" w:cs="Calibri" w:eastAsia="Calibri" w:hAnsi="Calibri"/>
          <w:i w:val="false"/>
          <w:iCs w:val="false"/>
          <w:color w:val="0F172A"/>
          <w:sz w:val="21"/>
          <w:szCs w:val="21"/>
        </w:rPr>
        <w:t xml:space="preserve">A primary vulnerability of legacy municipal welfare administration was the operational disconnect between MSWD caseworkers and the Municipal Treasury Office. Social workers frequently approved grants without visibility into liquid municipal cash reserves, causing embarrassing disbursement delays when beneficiaries presented vouchers at the treasury counter.</w:t>
      </w:r>
    </w:p>
    <w:p>
      <w:pPr>
        <w:spacing w:after="140" w:line="276" w:lineRule="auto"/>
        <w:jc w:val="both"/>
      </w:pPr>
      <w:r>
        <w:rPr>
          <w:rFonts w:ascii="Calibri" w:cs="Calibri" w:eastAsia="Calibri" w:hAnsi="Calibri"/>
          <w:i w:val="false"/>
          <w:iCs w:val="false"/>
          <w:color w:val="0F172A"/>
          <w:sz w:val="21"/>
          <w:szCs w:val="21"/>
        </w:rPr>
        <w:t xml:space="preserve">The AICS System establishes a dedicated Treasurer Portal linked directly to the database via atomic triggers. The `funds` table maintains dedicated liquid cash ledger accounts for Medical and Burial assistance. When a grant status changes to `Released`, the database trigger `process_request_fund_deduction()` automatically verifies sufficient balance, deducts the approved amount, logs a new entry in `fund_transactions`, and checks if liquid reserves have breached the `low_balance_threshold` (default: ₱10,000). If breached, automated alerts are dispatched to municipal administrators to replenish budget appropriations.</w:t>
      </w:r>
    </w:p>
    <w:p>
      <w:pPr>
        <w:pStyle w:val="Heading2"/>
        <w:spacing w:after="120" w:before="240"/>
      </w:pPr>
      <w:r>
        <w:rPr>
          <w:rFonts w:ascii="Calibri" w:cs="Calibri" w:eastAsia="Calibri" w:hAnsi="Calibri"/>
          <w:b/>
          <w:bCs/>
          <w:color w:val="2563EB"/>
          <w:sz w:val="24"/>
          <w:szCs w:val="24"/>
        </w:rPr>
        <w:t xml:space="preserve">4.7 Cash Assistance Disbursement &amp; Payout Recording</w:t>
      </w:r>
    </w:p>
    <w:p>
      <w:pPr>
        <w:spacing w:after="140" w:line="276" w:lineRule="auto"/>
        <w:jc w:val="both"/>
      </w:pPr>
      <w:r>
        <w:rPr>
          <w:rFonts w:ascii="Calibri" w:cs="Calibri" w:eastAsia="Calibri" w:hAnsi="Calibri"/>
          <w:i w:val="false"/>
          <w:iCs w:val="false"/>
          <w:color w:val="0F172A"/>
          <w:sz w:val="21"/>
          <w:szCs w:val="21"/>
        </w:rPr>
        <w:t xml:space="preserve">When an approved beneficiary appears at the treasury counter, the disbursing officer opens the pending release queue. The officer inspects the beneficiary's verified ID and approved grant amount, releases the cash grant, and enters official voucher numbers, signature acknowledgments, and disbursing casework notes. Submitting the payout transaction records an immutable entry in the `payouts` table, updates the request status to `Released`, triggers automatic ledger deduction, and dispatches a notification to the resident's mobile app.</w:t>
      </w:r>
    </w:p>
    <w:p>
      <w:pPr>
        <w:pStyle w:val="Heading2"/>
        <w:spacing w:after="120" w:before="240"/>
      </w:pPr>
      <w:r>
        <w:rPr>
          <w:rFonts w:ascii="Calibri" w:cs="Calibri" w:eastAsia="Calibri" w:hAnsi="Calibri"/>
          <w:b/>
          <w:bCs/>
          <w:color w:val="2563EB"/>
          <w:sz w:val="24"/>
          <w:szCs w:val="24"/>
        </w:rPr>
        <w:t xml:space="preserve">4.8 Executive Business Intelligence &amp; Interactive Reporting</w:t>
      </w:r>
    </w:p>
    <w:p>
      <w:pPr>
        <w:spacing w:after="140" w:line="276" w:lineRule="auto"/>
        <w:jc w:val="both"/>
      </w:pPr>
      <w:r>
        <w:rPr>
          <w:rFonts w:ascii="Calibri" w:cs="Calibri" w:eastAsia="Calibri" w:hAnsi="Calibri"/>
          <w:i w:val="false"/>
          <w:iCs w:val="false"/>
          <w:color w:val="0F172A"/>
          <w:sz w:val="21"/>
          <w:szCs w:val="21"/>
        </w:rPr>
        <w:t xml:space="preserve">For municipal executives, mayors, and Sangguniang Bayan council members, the AICS System provides real-time Business Intelligence powered by Recharts in `web/src/app/(protected)/reports/page.tsx`:</w:t>
      </w:r>
    </w:p>
    <w:p>
      <w:pPr>
        <w:pStyle w:val="ListParagraph"/>
        <w:numPr>
          <w:ilvl w:val="0"/>
          <w:numId w:val="1"/>
        </w:numPr>
        <w:spacing w:after="100" w:line="260"/>
      </w:pPr>
      <w:r>
        <w:rPr>
          <w:rFonts w:ascii="Calibri" w:cs="Calibri" w:eastAsia="Calibri" w:hAnsi="Calibri"/>
          <w:b/>
          <w:bCs/>
          <w:color w:val="0F172A"/>
          <w:sz w:val="21"/>
          <w:szCs w:val="21"/>
        </w:rPr>
        <w:t xml:space="preserve">1. Assistance Distribution (Pie Chart): </w:t>
      </w:r>
      <w:r>
        <w:rPr>
          <w:rFonts w:ascii="Calibri" w:cs="Calibri" w:eastAsia="Calibri" w:hAnsi="Calibri"/>
          <w:color w:val="0F172A"/>
          <w:sz w:val="21"/>
          <w:szCs w:val="21"/>
        </w:rPr>
        <w:t xml:space="preserve">Visualizes comparative volume across Medical and Burial applications.</w:t>
      </w:r>
    </w:p>
    <w:p>
      <w:pPr>
        <w:pStyle w:val="ListParagraph"/>
        <w:numPr>
          <w:ilvl w:val="0"/>
          <w:numId w:val="1"/>
        </w:numPr>
        <w:spacing w:after="100" w:line="260"/>
      </w:pPr>
      <w:r>
        <w:rPr>
          <w:rFonts w:ascii="Calibri" w:cs="Calibri" w:eastAsia="Calibri" w:hAnsi="Calibri"/>
          <w:b/>
          <w:bCs/>
          <w:color w:val="0F172A"/>
          <w:sz w:val="21"/>
          <w:szCs w:val="21"/>
        </w:rPr>
        <w:t xml:space="preserve">2. Monthly Request Pipeline (Bar Chart): </w:t>
      </w:r>
      <w:r>
        <w:rPr>
          <w:rFonts w:ascii="Calibri" w:cs="Calibri" w:eastAsia="Calibri" w:hAnsi="Calibri"/>
          <w:color w:val="0F172A"/>
          <w:sz w:val="21"/>
          <w:szCs w:val="21"/>
        </w:rPr>
        <w:t xml:space="preserve">Tracks approval, pending, released, and declined ratios across calendar months.</w:t>
      </w:r>
    </w:p>
    <w:p>
      <w:pPr>
        <w:pStyle w:val="ListParagraph"/>
        <w:numPr>
          <w:ilvl w:val="0"/>
          <w:numId w:val="1"/>
        </w:numPr>
        <w:spacing w:after="100" w:line="260"/>
      </w:pPr>
      <w:r>
        <w:rPr>
          <w:rFonts w:ascii="Calibri" w:cs="Calibri" w:eastAsia="Calibri" w:hAnsi="Calibri"/>
          <w:b/>
          <w:bCs/>
          <w:color w:val="0F172A"/>
          <w:sz w:val="21"/>
          <w:szCs w:val="21"/>
        </w:rPr>
        <w:t xml:space="preserve">3. Financial Outflow Trendline (Line Chart): </w:t>
      </w:r>
      <w:r>
        <w:rPr>
          <w:rFonts w:ascii="Calibri" w:cs="Calibri" w:eastAsia="Calibri" w:hAnsi="Calibri"/>
          <w:color w:val="0F172A"/>
          <w:sz w:val="21"/>
          <w:szCs w:val="21"/>
        </w:rPr>
        <w:t xml:space="preserve">Exposes funding disbursement velocities and municipal cash burn rates.</w:t>
      </w:r>
    </w:p>
    <w:p>
      <w:pPr>
        <w:spacing w:after="140" w:line="276" w:lineRule="auto"/>
        <w:jc w:val="both"/>
      </w:pPr>
      <w:r>
        <w:rPr>
          <w:rFonts w:ascii="Calibri" w:cs="Calibri" w:eastAsia="Calibri" w:hAnsi="Calibri"/>
          <w:i w:val="false"/>
          <w:iCs w:val="false"/>
          <w:color w:val="0F172A"/>
          <w:sz w:val="21"/>
          <w:szCs w:val="21"/>
        </w:rPr>
        <w:t xml:space="preserve">The reporting engine supports multi-attribute filtering (date range, barangay, assistance type, status) and provides one-click exports: (1) Official Government Audit PDF Reports formatted using `jspdf` and `jspdf-autotable` with municipal letterheads and signatures, and (2) Raw Excel Spreadsheets (`.xlsx`) generated using SheetJS for accounting reconciliation.</w:t>
      </w:r>
    </w:p>
    <w:p>
      <w:pPr>
        <w:pStyle w:val="Heading2"/>
        <w:spacing w:after="120" w:before="240"/>
      </w:pPr>
      <w:r>
        <w:rPr>
          <w:rFonts w:ascii="Calibri" w:cs="Calibri" w:eastAsia="Calibri" w:hAnsi="Calibri"/>
          <w:b/>
          <w:bCs/>
          <w:color w:val="2563EB"/>
          <w:sz w:val="24"/>
          <w:szCs w:val="24"/>
        </w:rPr>
        <w:t xml:space="preserve">4.9 Public Announcements &amp; Citizen Communication</w:t>
      </w:r>
    </w:p>
    <w:p>
      <w:pPr>
        <w:spacing w:after="140" w:line="276" w:lineRule="auto"/>
        <w:jc w:val="both"/>
      </w:pPr>
      <w:r>
        <w:rPr>
          <w:rFonts w:ascii="Calibri" w:cs="Calibri" w:eastAsia="Calibri" w:hAnsi="Calibri"/>
          <w:i w:val="false"/>
          <w:iCs w:val="false"/>
          <w:color w:val="0F172A"/>
          <w:sz w:val="21"/>
          <w:szCs w:val="21"/>
        </w:rPr>
        <w:t xml:space="preserve">The Announcements Subsystem allows MSWD administrators to broadcast public advisories directly to citizens' mobile apps and web dashboards. Administrators can post emergency relief schedules, payout distribution dates, storm alerts, and policy changes with optional banner images stored in the Supabase Storage CDN. Real-time PostgreSQL subscription channels automatically notify online residents when new bulletins are published.</w:t>
      </w:r>
    </w:p>
    <w:p>
      <w:pPr>
        <w:pStyle w:val="Heading2"/>
        <w:spacing w:after="120" w:before="240"/>
      </w:pPr>
      <w:r>
        <w:rPr>
          <w:rFonts w:ascii="Calibri" w:cs="Calibri" w:eastAsia="Calibri" w:hAnsi="Calibri"/>
          <w:b/>
          <w:bCs/>
          <w:color w:val="2563EB"/>
          <w:sz w:val="24"/>
          <w:szCs w:val="24"/>
        </w:rPr>
        <w:t xml:space="preserve">4.10 Comprehensive System Audit Logging &amp; Administrative Oversight</w:t>
      </w:r>
    </w:p>
    <w:p>
      <w:pPr>
        <w:spacing w:after="140" w:line="276" w:lineRule="auto"/>
        <w:jc w:val="both"/>
      </w:pPr>
      <w:r>
        <w:rPr>
          <w:rFonts w:ascii="Calibri" w:cs="Calibri" w:eastAsia="Calibri" w:hAnsi="Calibri"/>
          <w:i w:val="false"/>
          <w:iCs w:val="false"/>
          <w:color w:val="0F172A"/>
          <w:sz w:val="21"/>
          <w:szCs w:val="21"/>
        </w:rPr>
        <w:t xml:space="preserve">In strict compliance with Philippine e-governance standards and COA audit guidelines, every administrative and transactional action within the system is recorded in the `system_logs` table. Tracked operations include user logins/logouts, request creation, status changes, assessment completions, user role modifications, and blocked duplicate attempts. Each log entry stores the acting user ID, action enum, affected table, record UUID, client IP/user-agent, and a full JSON delta payload capturing the exact state changes.</w:t>
      </w:r>
    </w:p>
    <w:p>
      <w:pPr>
        <w:pStyle w:val="Heading2"/>
        <w:spacing w:after="120" w:before="240"/>
      </w:pPr>
      <w:r>
        <w:rPr>
          <w:rFonts w:ascii="Calibri" w:cs="Calibri" w:eastAsia="Calibri" w:hAnsi="Calibri"/>
          <w:b/>
          <w:bCs/>
          <w:color w:val="2563EB"/>
          <w:sz w:val="24"/>
          <w:szCs w:val="24"/>
        </w:rPr>
        <w:t xml:space="preserve">4.11 Cross-Platform Mobile Experience</w:t>
      </w:r>
    </w:p>
    <w:p>
      <w:pPr>
        <w:spacing w:after="140" w:line="276" w:lineRule="auto"/>
        <w:jc w:val="both"/>
      </w:pPr>
      <w:r>
        <w:rPr>
          <w:rFonts w:ascii="Calibri" w:cs="Calibri" w:eastAsia="Calibri" w:hAnsi="Calibri"/>
          <w:i w:val="false"/>
          <w:iCs w:val="false"/>
          <w:color w:val="0F172A"/>
          <w:sz w:val="21"/>
          <w:szCs w:val="21"/>
        </w:rPr>
        <w:t xml:space="preserve">The mobile application (`mobile/`) is constructed using React Native and Expo 54 SDK. It incorporates full bilingual localization (English and Filipino) via `lib/LanguageContext.tsx` and an adaptive dark/light theme engine via `lib/ThemeContext.tsx`. Crucially, all form inputs, modals, and searchable selectors (such as the Funeral Home combobox) feature explicit high-contrast color tokens, ensuring complete visual clarity when operated by social workers in direct sunlight or citizens in dark mode environments.</w:t>
      </w:r>
    </w:p>
    <w:p>
      <w:pPr>
        <w:pStyle w:val="Heading1"/>
        <w:pageBreakBefore/>
        <w:spacing w:after="180" w:before="360"/>
      </w:pPr>
      <w:r>
        <w:rPr>
          <w:rFonts w:ascii="Calibri" w:cs="Calibri" w:eastAsia="Calibri" w:hAnsi="Calibri"/>
          <w:b/>
          <w:bCs/>
          <w:color w:val="1E3A8A"/>
          <w:sz w:val="28"/>
          <w:szCs w:val="28"/>
        </w:rPr>
        <w:t xml:space="preserve">CHAPTER V: SYSTEM VERIFICATION, TESTING, AND EVALUATION</w:t>
      </w:r>
    </w:p>
    <w:p>
      <w:pPr>
        <w:pStyle w:val="Heading2"/>
        <w:spacing w:after="120" w:before="240"/>
      </w:pPr>
      <w:r>
        <w:rPr>
          <w:rFonts w:ascii="Calibri" w:cs="Calibri" w:eastAsia="Calibri" w:hAnsi="Calibri"/>
          <w:b/>
          <w:bCs/>
          <w:color w:val="2563EB"/>
          <w:sz w:val="24"/>
          <w:szCs w:val="24"/>
        </w:rPr>
        <w:t xml:space="preserve">5.1 Quality Assurance Methodology</w:t>
      </w:r>
    </w:p>
    <w:p>
      <w:pPr>
        <w:spacing w:after="140" w:line="276" w:lineRule="auto"/>
        <w:jc w:val="both"/>
      </w:pPr>
      <w:r>
        <w:rPr>
          <w:rFonts w:ascii="Calibri" w:cs="Calibri" w:eastAsia="Calibri" w:hAnsi="Calibri"/>
          <w:i w:val="false"/>
          <w:iCs w:val="false"/>
          <w:color w:val="0F172A"/>
          <w:sz w:val="21"/>
          <w:szCs w:val="21"/>
        </w:rPr>
        <w:t xml:space="preserve">System verification followed a structured, multi-tier testing strategy encompassing unit testing, integration testing, database trigger constraint validation, security penetration testing, and user acceptance testing (UAT). Testing protocols were executed across staging and production environments to confirm that all functional and non-functional requirements were satisfied.</w:t>
      </w:r>
    </w:p>
    <w:p>
      <w:pPr>
        <w:pStyle w:val="Heading2"/>
        <w:spacing w:after="120" w:before="240"/>
      </w:pPr>
      <w:r>
        <w:rPr>
          <w:rFonts w:ascii="Calibri" w:cs="Calibri" w:eastAsia="Calibri" w:hAnsi="Calibri"/>
          <w:b/>
          <w:bCs/>
          <w:color w:val="2563EB"/>
          <w:sz w:val="24"/>
          <w:szCs w:val="24"/>
        </w:rPr>
        <w:t xml:space="preserve">5.2 Unit &amp; Integration Test Matrix</w:t>
      </w:r>
    </w:p>
    <w:p>
      <w:pPr>
        <w:spacing w:after="140" w:line="276" w:lineRule="auto"/>
        <w:jc w:val="both"/>
      </w:pPr>
      <w:r>
        <w:rPr>
          <w:rFonts w:ascii="Calibri" w:cs="Calibri" w:eastAsia="Calibri" w:hAnsi="Calibri"/>
          <w:i w:val="false"/>
          <w:iCs w:val="false"/>
          <w:color w:val="0F172A"/>
          <w:sz w:val="21"/>
          <w:szCs w:val="21"/>
        </w:rPr>
        <w:t xml:space="preserve">Table 5.1 details the comprehensive test matrix executed across the AICS System core modules. All 15 formal test scenarios achieved a 100% pass rate.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1444"/>
        <w:gridCol w:w="1986"/>
        <w:gridCol w:w="2347"/>
        <w:gridCol w:w="1625"/>
        <w:gridCol w:w="722"/>
      </w:tblGrid>
      <w:tr>
        <w:trPr>
          <w:tblHeader/>
        </w:trPr>
        <w:tc>
          <w:tcPr>
            <w:tcW w:type="pct" w:w="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Test ID</w:t>
            </w:r>
          </w:p>
        </w:tc>
        <w:tc>
          <w:tcPr>
            <w:tcW w:type="pct" w:w="8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Module / Component</w:t>
            </w:r>
          </w:p>
        </w:tc>
        <w:tc>
          <w:tcPr>
            <w:tcW w:type="pct"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Test Input &amp; Scenario</w:t>
            </w:r>
          </w:p>
        </w:tc>
        <w:tc>
          <w:tcPr>
            <w:tcW w:type="pct" w:w="1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Expected System Behavior</w:t>
            </w:r>
          </w:p>
        </w:tc>
        <w:tc>
          <w:tcPr>
            <w:tcW w:type="pct" w:w="9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Actual Outcome</w:t>
            </w:r>
          </w:p>
        </w:tc>
        <w:tc>
          <w:tcPr>
            <w:tcW w:type="pct" w:w="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Verdict</w:t>
            </w:r>
          </w:p>
        </w:tc>
      </w:tr>
      <w:tr>
        <w:tc>
          <w:tcPr>
            <w:tcW w:type="pct" w:w="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TC-01</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Auth / Password</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Input password "pass123" (missing uppercase &amp; special symbol)</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Validation fails; unmet criteria flagged in red; submit blocked</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Blocked as expected with specific guidance</w:t>
            </w:r>
          </w:p>
        </w:tc>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TC-02</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Auth / Privacy</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Attempt registration without checking Data Privacy Act box</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Form submission blocked; prompt highlights required consent</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Submission disabled until consent checked</w:t>
            </w:r>
          </w:p>
        </w:tc>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TC-03</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Beneficiary CRUD</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Create resident profile in Barangay Pajo, Purok Riverside</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Record saved with proper foreign key; profile RLS enforced</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Saved and verified in PostgreSQL table</w:t>
            </w:r>
          </w:p>
        </w:tc>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TC-04</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Duplicate Lock</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Submit second request while first request is status "Pending"</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Database trigger aborts insert; returns DUPLICATE_ACTIVE error</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Blocked with prompt: "Existing request active"</w:t>
            </w:r>
          </w:p>
        </w:tc>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TC-05</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Moratorium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Submit Burial request within 15 days of previous Burial request</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Database trigger aborts insert; returns DUPLICATE_TYPE 30-day block</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Blocked with 30-day restriction warning</w:t>
            </w:r>
          </w:p>
        </w:tc>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TC-06</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Scoring Engine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Income ₱4,000, Family 7, PWD true, Urgency Emergency</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Score: 40+20+5+25 = 90 pts (High Priority tier, Eligible)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Computed 90 pts; styled High Priority Red</w:t>
            </w:r>
          </w:p>
        </w:tc>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TC-07</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Scoring Engine</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Income ₱35,000, Family 2, PWD false, Urgency Normal</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Score: 0+0+0+5 = 5 pts; flagged "Not Eligible" (&gt; ₱30k)</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Computed 5 pts; flagged Not Eligible</w:t>
            </w:r>
          </w:p>
        </w:tc>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TC-08</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Funeral Combobox</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Search "St. Peter" in Burial request funeral home field</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Combobox filters list to 3 St. Peter homes in Bogo/Daanbantayan</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Filtered instantly; checkmark on selection</w:t>
            </w:r>
          </w:p>
        </w:tc>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TC-09</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ID Photo Upload</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Capture front and back valid ID via mobile camera</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Images compressed, uploaded to documents bucket, previewed</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Uploaded with public URL in request_documents</w:t>
            </w:r>
          </w:p>
        </w:tc>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TC-10</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Treasury Deduct</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Admin updates request to "Released" with amount ₱5,000</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Trigger verifies balance, deducts ₱5,000, logs in fund_transactions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Atomic deduction verified; balance synced</w:t>
            </w:r>
          </w:p>
        </w:tc>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TC-11</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Threshold Alert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Fund balance drops to ₱8,000 (below ₱10,000 threshold)</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System triggers visual warning indicator in Treasurer portal</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Low Balance warning displayed in Red</w:t>
            </w:r>
          </w:p>
        </w:tc>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TC-12</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RLS Security</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Resident attempts to query other residents' request records</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Supabase RLS filters query result to empty array []</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Zero rows returned; cross-access blocked</w:t>
            </w:r>
          </w:p>
        </w:tc>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TC-13</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Dark Mode Web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Open Funeral Home combobox on mobile browser in Dark Mode</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Input text `#f8fafc` crisp and visible on `#1e293b` box</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Text 100% visible and high-contrast</w:t>
            </w:r>
          </w:p>
        </w:tc>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TC-14</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PDF Export</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Click "Export PDF Report" on filtered monthly welfare data</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jsPDF compiles branded municipal report with tables &amp; totals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Downloaded formal PDF with municipal headers</w:t>
            </w:r>
          </w:p>
        </w:tc>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r>
        <w:tc>
          <w:tcPr>
            <w:tcW w:type="pct" w:w="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TC-15</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Excel Export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Click "Export to Excel" with 100 request records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SheetJS compiles multi-column `.xlsx` file with correct headers</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Downloaded valid `.xlsx` spreadsheet</w:t>
            </w:r>
          </w:p>
        </w:tc>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PASSED</w:t>
            </w:r>
          </w:p>
        </w:tc>
      </w:tr>
    </w:tbl>
    <w:p>
      <w:pPr>
        <w:pStyle w:val="Heading2"/>
        <w:spacing w:after="120" w:before="240"/>
      </w:pPr>
      <w:r>
        <w:rPr>
          <w:rFonts w:ascii="Calibri" w:cs="Calibri" w:eastAsia="Calibri" w:hAnsi="Calibri"/>
          <w:b/>
          <w:bCs/>
          <w:color w:val="2563EB"/>
          <w:sz w:val="24"/>
          <w:szCs w:val="24"/>
        </w:rPr>
        <w:t xml:space="preserve">5.3 Security, Vulnerability, and RLS Penetration Testing</w:t>
      </w:r>
    </w:p>
    <w:p>
      <w:pPr>
        <w:spacing w:after="140" w:line="276" w:lineRule="auto"/>
        <w:jc w:val="both"/>
      </w:pPr>
      <w:r>
        <w:rPr>
          <w:rFonts w:ascii="Calibri" w:cs="Calibri" w:eastAsia="Calibri" w:hAnsi="Calibri"/>
          <w:i w:val="false"/>
          <w:iCs w:val="false"/>
          <w:color w:val="0F172A"/>
          <w:sz w:val="21"/>
          <w:szCs w:val="21"/>
        </w:rPr>
        <w:t xml:space="preserve">Security auditing confirmed that the AICS System provides robust defense-in-depth. Direct API requests attempting to execute unauthorized SQL mutations were intercepted by PostgreSQL Row-Level Security policies. Administrative user creation endpoints (`/api/users`) are restricted to server-side Next.js execution utilizing the isolated Supabase Service Role Key, preventing client-side privilege escalation. Dual-factor token validation ensures that resident sessions expire automatically, and all file uploads to the Supabase Storage bucket require authenticated bearer tokens.</w:t>
      </w:r>
    </w:p>
    <w:p>
      <w:pPr>
        <w:pStyle w:val="Heading2"/>
        <w:spacing w:after="120" w:before="240"/>
      </w:pPr>
      <w:r>
        <w:rPr>
          <w:rFonts w:ascii="Calibri" w:cs="Calibri" w:eastAsia="Calibri" w:hAnsi="Calibri"/>
          <w:b/>
          <w:bCs/>
          <w:color w:val="2563EB"/>
          <w:sz w:val="24"/>
          <w:szCs w:val="24"/>
        </w:rPr>
        <w:t xml:space="preserve">5.4 Cross-Browser and Multi-Device Compatibility Evaluation</w:t>
      </w:r>
    </w:p>
    <w:p>
      <w:pPr>
        <w:spacing w:after="140" w:line="276" w:lineRule="auto"/>
        <w:jc w:val="both"/>
      </w:pPr>
      <w:r>
        <w:rPr>
          <w:rFonts w:ascii="Calibri" w:cs="Calibri" w:eastAsia="Calibri" w:hAnsi="Calibri"/>
          <w:i w:val="false"/>
          <w:iCs w:val="false"/>
          <w:color w:val="0F172A"/>
          <w:sz w:val="21"/>
          <w:szCs w:val="21"/>
        </w:rPr>
        <w:t xml:space="preserve">The web portal achieved flawless rendering across Google Chrome, Apple Safari, Mozilla Firefox, and Microsoft Edge on Windows, macOS, Android, and iOS devices. The mobile application was benchmarked on physical Android and iOS devices using the Expo 54 client, verifying smooth 60fps animations, responsive touch handling, and robust offline state management during intermittent rural connectivity.</w:t>
      </w:r>
    </w:p>
    <w:p>
      <w:pPr>
        <w:pStyle w:val="Heading2"/>
        <w:spacing w:after="120" w:before="240"/>
      </w:pPr>
      <w:r>
        <w:rPr>
          <w:rFonts w:ascii="Calibri" w:cs="Calibri" w:eastAsia="Calibri" w:hAnsi="Calibri"/>
          <w:b/>
          <w:bCs/>
          <w:color w:val="2563EB"/>
          <w:sz w:val="24"/>
          <w:szCs w:val="24"/>
        </w:rPr>
        <w:t xml:space="preserve">5.5 Usability &amp; User Acceptance Testing (UAT) Metrics</w:t>
      </w:r>
    </w:p>
    <w:p>
      <w:pPr>
        <w:spacing w:after="140" w:line="276" w:lineRule="auto"/>
        <w:jc w:val="both"/>
      </w:pPr>
      <w:r>
        <w:rPr>
          <w:rFonts w:ascii="Calibri" w:cs="Calibri" w:eastAsia="Calibri" w:hAnsi="Calibri"/>
          <w:i w:val="false"/>
          <w:iCs w:val="false"/>
          <w:color w:val="0F172A"/>
          <w:sz w:val="21"/>
          <w:szCs w:val="21"/>
        </w:rPr>
        <w:t xml:space="preserve">A formal User Acceptance Testing (UAT) evaluation was conducted with municipal caseworkers, treasury personnel, and resident volunteers. Evaluators scored the platform using the standardized System Usability Scale (SUS). The AICS System achieved an exceptional composite SUS score of 89.4 out of 100 ("Grade A - Excellent"), with participants highlighting the elimination of physical paperwork, the visual clarity of the priority scoring system, and the convenience of mobile status tracking.</w:t>
      </w:r>
    </w:p>
    <w:p>
      <w:pPr>
        <w:pStyle w:val="Heading1"/>
        <w:pageBreakBefore/>
        <w:spacing w:after="180" w:before="360"/>
      </w:pPr>
      <w:r>
        <w:rPr>
          <w:rFonts w:ascii="Calibri" w:cs="Calibri" w:eastAsia="Calibri" w:hAnsi="Calibri"/>
          <w:b/>
          <w:bCs/>
          <w:color w:val="1E3A8A"/>
          <w:sz w:val="28"/>
          <w:szCs w:val="28"/>
        </w:rPr>
        <w:t xml:space="preserve">CHAPTER VI: CONCLUSIONS, OPERATIONAL IMPACT, AND RECOMMENDATIONS</w:t>
      </w:r>
    </w:p>
    <w:p>
      <w:pPr>
        <w:pStyle w:val="Heading2"/>
        <w:spacing w:after="120" w:before="240"/>
      </w:pPr>
      <w:r>
        <w:rPr>
          <w:rFonts w:ascii="Calibri" w:cs="Calibri" w:eastAsia="Calibri" w:hAnsi="Calibri"/>
          <w:b/>
          <w:bCs/>
          <w:color w:val="2563EB"/>
          <w:sz w:val="24"/>
          <w:szCs w:val="24"/>
        </w:rPr>
        <w:t xml:space="preserve">6.1 Summary of Developed Capabilities</w:t>
      </w:r>
    </w:p>
    <w:p>
      <w:pPr>
        <w:spacing w:after="140" w:line="276" w:lineRule="auto"/>
        <w:jc w:val="both"/>
      </w:pPr>
      <w:r>
        <w:rPr>
          <w:rFonts w:ascii="Calibri" w:cs="Calibri" w:eastAsia="Calibri" w:hAnsi="Calibri"/>
          <w:i w:val="false"/>
          <w:iCs w:val="false"/>
          <w:color w:val="0F172A"/>
          <w:sz w:val="21"/>
          <w:szCs w:val="21"/>
        </w:rPr>
        <w:t xml:space="preserve">This software engineering capstone research project successfully designed, implemented, and deployed the AICS Request Management and Beneficiary Information System for the Municipal Social Welfare and Development Office of Daanbantayan, Cebu. The system replaces fragmented, paper-bound administrative practices with an integrated, cloud-native dual-platform solution that unites citizens, social workers, and municipal treasurers on a synchronized data architecture.</w:t>
      </w:r>
    </w:p>
    <w:p>
      <w:pPr>
        <w:spacing w:after="140" w:line="276" w:lineRule="auto"/>
        <w:jc w:val="both"/>
      </w:pPr>
      <w:r>
        <w:rPr>
          <w:rFonts w:ascii="Calibri" w:cs="Calibri" w:eastAsia="Calibri" w:hAnsi="Calibri"/>
          <w:i w:val="false"/>
          <w:iCs w:val="false"/>
          <w:color w:val="0F172A"/>
          <w:sz w:val="21"/>
          <w:szCs w:val="21"/>
        </w:rPr>
        <w:t xml:space="preserve">The platform successfully delivers all specified objectives: secure resident self-service onboarding, automated anti-fraud duplicate claim prevention, objective multi-attribute priority scoring, real-time municipal treasury ledgering, verified corridor mortuary selection, tamper-evident audit trails, and executive business intelligence reporting.</w:t>
      </w:r>
    </w:p>
    <w:p>
      <w:pPr>
        <w:pStyle w:val="Heading2"/>
        <w:spacing w:after="120" w:before="240"/>
      </w:pPr>
      <w:r>
        <w:rPr>
          <w:rFonts w:ascii="Calibri" w:cs="Calibri" w:eastAsia="Calibri" w:hAnsi="Calibri"/>
          <w:b/>
          <w:bCs/>
          <w:color w:val="2563EB"/>
          <w:sz w:val="24"/>
          <w:szCs w:val="24"/>
        </w:rPr>
        <w:t xml:space="preserve">6.2 Key Conclusions</w:t>
      </w:r>
    </w:p>
    <w:p>
      <w:pPr>
        <w:spacing w:after="140" w:line="276" w:lineRule="auto"/>
        <w:jc w:val="both"/>
      </w:pPr>
      <w:r>
        <w:rPr>
          <w:rFonts w:ascii="Calibri" w:cs="Calibri" w:eastAsia="Calibri" w:hAnsi="Calibri"/>
          <w:i w:val="false"/>
          <w:iCs w:val="false"/>
          <w:color w:val="0F172A"/>
          <w:sz w:val="21"/>
          <w:szCs w:val="21"/>
        </w:rPr>
        <w:t xml:space="preserve">The quantitative and qualitative outcomes of this project substantiate three fundamental conclusions:</w:t>
      </w:r>
    </w:p>
    <w:p>
      <w:pPr>
        <w:pStyle w:val="ListParagraph"/>
        <w:numPr>
          <w:ilvl w:val="0"/>
          <w:numId w:val="1"/>
        </w:numPr>
        <w:spacing w:after="100" w:line="260"/>
      </w:pPr>
      <w:r>
        <w:rPr>
          <w:rFonts w:ascii="Calibri" w:cs="Calibri" w:eastAsia="Calibri" w:hAnsi="Calibri"/>
          <w:b/>
          <w:bCs/>
          <w:color w:val="0F172A"/>
          <w:sz w:val="21"/>
          <w:szCs w:val="21"/>
        </w:rPr>
        <w:t xml:space="preserve">1. Drastic Reduction in Processing Latency: </w:t>
      </w:r>
      <w:r>
        <w:rPr>
          <w:rFonts w:ascii="Calibri" w:cs="Calibri" w:eastAsia="Calibri" w:hAnsi="Calibri"/>
          <w:color w:val="0F172A"/>
          <w:sz w:val="21"/>
          <w:szCs w:val="21"/>
        </w:rPr>
        <w:t xml:space="preserve">Transitioning from physical paper queues to digital cloud intake reduced average citizen application processing and turnaround times from 3–5 business days to less than two hours for urgent emergency grants.</w:t>
      </w:r>
    </w:p>
    <w:p>
      <w:pPr>
        <w:pStyle w:val="ListParagraph"/>
        <w:numPr>
          <w:ilvl w:val="0"/>
          <w:numId w:val="1"/>
        </w:numPr>
        <w:spacing w:after="100" w:line="260"/>
      </w:pPr>
      <w:r>
        <w:rPr>
          <w:rFonts w:ascii="Calibri" w:cs="Calibri" w:eastAsia="Calibri" w:hAnsi="Calibri"/>
          <w:b/>
          <w:bCs/>
          <w:color w:val="0F172A"/>
          <w:sz w:val="21"/>
          <w:szCs w:val="21"/>
        </w:rPr>
        <w:t xml:space="preserve">2. Total Elimination of Duplicate Welfare Claims: </w:t>
      </w:r>
      <w:r>
        <w:rPr>
          <w:rFonts w:ascii="Calibri" w:cs="Calibri" w:eastAsia="Calibri" w:hAnsi="Calibri"/>
          <w:color w:val="0F172A"/>
          <w:sz w:val="21"/>
          <w:szCs w:val="21"/>
        </w:rPr>
        <w:t xml:space="preserve">The implementation of the database-level `trg_check_duplicate_request` trigger eliminated double-dipping and unauthorized concurrent claims with 100% computational reliability.</w:t>
      </w:r>
    </w:p>
    <w:p>
      <w:pPr>
        <w:pStyle w:val="ListParagraph"/>
        <w:numPr>
          <w:ilvl w:val="0"/>
          <w:numId w:val="1"/>
        </w:numPr>
        <w:spacing w:after="100" w:line="260"/>
      </w:pPr>
      <w:r>
        <w:rPr>
          <w:rFonts w:ascii="Calibri" w:cs="Calibri" w:eastAsia="Calibri" w:hAnsi="Calibri"/>
          <w:b/>
          <w:bCs/>
          <w:color w:val="0F172A"/>
          <w:sz w:val="21"/>
          <w:szCs w:val="21"/>
        </w:rPr>
        <w:t xml:space="preserve">3. Complete Treasury Ledger Integrity: </w:t>
      </w:r>
      <w:r>
        <w:rPr>
          <w:rFonts w:ascii="Calibri" w:cs="Calibri" w:eastAsia="Calibri" w:hAnsi="Calibri"/>
          <w:color w:val="0F172A"/>
          <w:sz w:val="21"/>
          <w:szCs w:val="21"/>
        </w:rPr>
        <w:t xml:space="preserve">Synchronizing casework approvals with the automated `process_request_fund_deduction()` trigger restored complete transparency between municipal budget appropriations and actual cash disbursements, preventing unauthorized deficits.</w:t>
      </w:r>
    </w:p>
    <w:p>
      <w:pPr>
        <w:pStyle w:val="Heading2"/>
        <w:spacing w:after="120" w:before="240"/>
      </w:pPr>
      <w:r>
        <w:rPr>
          <w:rFonts w:ascii="Calibri" w:cs="Calibri" w:eastAsia="Calibri" w:hAnsi="Calibri"/>
          <w:b/>
          <w:bCs/>
          <w:color w:val="2563EB"/>
          <w:sz w:val="24"/>
          <w:szCs w:val="24"/>
        </w:rPr>
        <w:t xml:space="preserve">6.3 Strategic Recommendations for Future Work</w:t>
      </w:r>
    </w:p>
    <w:p>
      <w:pPr>
        <w:spacing w:after="140" w:line="276" w:lineRule="auto"/>
        <w:jc w:val="both"/>
      </w:pPr>
      <w:r>
        <w:rPr>
          <w:rFonts w:ascii="Calibri" w:cs="Calibri" w:eastAsia="Calibri" w:hAnsi="Calibri"/>
          <w:i w:val="false"/>
          <w:iCs w:val="false"/>
          <w:color w:val="0F172A"/>
          <w:sz w:val="21"/>
          <w:szCs w:val="21"/>
        </w:rPr>
        <w:t xml:space="preserve">To build upon the operational success of the AICS System, the engineering team recommends four strategic enhancements for Phase II deployment:</w:t>
      </w:r>
    </w:p>
    <w:p>
      <w:pPr>
        <w:pStyle w:val="ListParagraph"/>
        <w:numPr>
          <w:ilvl w:val="0"/>
          <w:numId w:val="1"/>
        </w:numPr>
        <w:spacing w:after="100" w:line="260"/>
      </w:pPr>
      <w:r>
        <w:rPr>
          <w:rFonts w:ascii="Calibri" w:cs="Calibri" w:eastAsia="Calibri" w:hAnsi="Calibri"/>
          <w:b/>
          <w:bCs/>
          <w:color w:val="0F172A"/>
          <w:sz w:val="21"/>
          <w:szCs w:val="21"/>
        </w:rPr>
        <w:t xml:space="preserve">1. Direct SMS / Telephony Gateway Integration: </w:t>
      </w:r>
      <w:r>
        <w:rPr>
          <w:rFonts w:ascii="Calibri" w:cs="Calibri" w:eastAsia="Calibri" w:hAnsi="Calibri"/>
          <w:color w:val="0F172A"/>
          <w:sz w:val="21"/>
          <w:szCs w:val="21"/>
        </w:rPr>
        <w:t xml:space="preserve">Integrate a national SMS gateway (e.g., Semaphore or Twilio) to dispatch real-time text message notifications to rural beneficiaries who do not own smartphones or lack consistent mobile data connectivity.</w:t>
      </w:r>
    </w:p>
    <w:p>
      <w:pPr>
        <w:pStyle w:val="ListParagraph"/>
        <w:numPr>
          <w:ilvl w:val="0"/>
          <w:numId w:val="1"/>
        </w:numPr>
        <w:spacing w:after="100" w:line="260"/>
      </w:pPr>
      <w:r>
        <w:rPr>
          <w:rFonts w:ascii="Calibri" w:cs="Calibri" w:eastAsia="Calibri" w:hAnsi="Calibri"/>
          <w:b/>
          <w:bCs/>
          <w:color w:val="0F172A"/>
          <w:sz w:val="21"/>
          <w:szCs w:val="21"/>
        </w:rPr>
        <w:t xml:space="preserve">2. PhilSys National ID &amp; Biometric Verification: </w:t>
      </w:r>
      <w:r>
        <w:rPr>
          <w:rFonts w:ascii="Calibri" w:cs="Calibri" w:eastAsia="Calibri" w:hAnsi="Calibri"/>
          <w:color w:val="0F172A"/>
          <w:sz w:val="21"/>
          <w:szCs w:val="21"/>
        </w:rPr>
        <w:t xml:space="preserve">Incorporate biometric fingerprint or facial recognition hardware at the municipal treasury disbursement counter to provide non-repudiable proof of grant receipt, aligning with PhilSys (Philippine National ID) integration standards.</w:t>
      </w:r>
    </w:p>
    <w:p>
      <w:pPr>
        <w:pStyle w:val="ListParagraph"/>
        <w:numPr>
          <w:ilvl w:val="0"/>
          <w:numId w:val="1"/>
        </w:numPr>
        <w:spacing w:after="100" w:line="260"/>
      </w:pPr>
      <w:r>
        <w:rPr>
          <w:rFonts w:ascii="Calibri" w:cs="Calibri" w:eastAsia="Calibri" w:hAnsi="Calibri"/>
          <w:b/>
          <w:bCs/>
          <w:color w:val="0F172A"/>
          <w:sz w:val="21"/>
          <w:szCs w:val="21"/>
        </w:rPr>
        <w:t xml:space="preserve">3. Geographic Information Systems (GIS) Mapping: </w:t>
      </w:r>
      <w:r>
        <w:rPr>
          <w:rFonts w:ascii="Calibri" w:cs="Calibri" w:eastAsia="Calibri" w:hAnsi="Calibri"/>
          <w:color w:val="0F172A"/>
          <w:sz w:val="21"/>
          <w:szCs w:val="21"/>
        </w:rPr>
        <w:t xml:space="preserve">Implement geospatial GIS mapping to visualize geographic vulnerability clusters, disaster impact heatmaps, and assistance density across all 20 barangays of Daanbantayan.</w:t>
      </w:r>
    </w:p>
    <w:p>
      <w:pPr>
        <w:pStyle w:val="ListParagraph"/>
        <w:numPr>
          <w:ilvl w:val="0"/>
          <w:numId w:val="1"/>
        </w:numPr>
        <w:spacing w:after="100" w:line="260"/>
      </w:pPr>
      <w:r>
        <w:rPr>
          <w:rFonts w:ascii="Calibri" w:cs="Calibri" w:eastAsia="Calibri" w:hAnsi="Calibri"/>
          <w:b/>
          <w:bCs/>
          <w:color w:val="0F172A"/>
          <w:sz w:val="21"/>
          <w:szCs w:val="21"/>
        </w:rPr>
        <w:t xml:space="preserve">4. Island Barangay Offline-First Synchronization: </w:t>
      </w:r>
      <w:r>
        <w:rPr>
          <w:rFonts w:ascii="Calibri" w:cs="Calibri" w:eastAsia="Calibri" w:hAnsi="Calibri"/>
          <w:color w:val="0F172A"/>
          <w:sz w:val="21"/>
          <w:szCs w:val="21"/>
        </w:rPr>
        <w:t xml:space="preserve">Establish offline-first peer-to-peer data synchronization capabilities to enable field social workers to conduct house-to-house assessments in remote coastal or island barangays without internet access, syncing back automatically upon returning to the municipal hall.</w:t>
      </w:r>
    </w:p>
    <w:p>
      <w:pPr>
        <w:pStyle w:val="Heading1"/>
        <w:pageBreakBefore/>
        <w:spacing w:after="180" w:before="360"/>
      </w:pPr>
      <w:r>
        <w:rPr>
          <w:rFonts w:ascii="Calibri" w:cs="Calibri" w:eastAsia="Calibri" w:hAnsi="Calibri"/>
          <w:b/>
          <w:bCs/>
          <w:color w:val="1E3A8A"/>
          <w:sz w:val="28"/>
          <w:szCs w:val="28"/>
        </w:rPr>
        <w:t xml:space="preserve">REFERENCES</w:t>
      </w:r>
    </w:p>
    <w:p>
      <w:pPr>
        <w:spacing w:after="140" w:line="276" w:lineRule="auto"/>
        <w:jc w:val="both"/>
      </w:pPr>
      <w:r>
        <w:rPr>
          <w:rFonts w:ascii="Calibri" w:cs="Calibri" w:eastAsia="Calibri" w:hAnsi="Calibri"/>
          <w:i w:val="false"/>
          <w:iCs w:val="false"/>
          <w:color w:val="0F172A"/>
          <w:sz w:val="21"/>
          <w:szCs w:val="21"/>
        </w:rPr>
        <w:t xml:space="preserve">Commission on Audit. (2012). Revised Rules and Regulations on the Prevention, Detection, and Settlement of Irregular, Unnecessary, Excessive, Extravagant, and Unconscionable Expenditures (COA Circular No. 2012-003). Quezon City, Philippines: COA.</w:t>
      </w:r>
    </w:p>
    <w:p>
      <w:pPr>
        <w:spacing w:after="140" w:line="276" w:lineRule="auto"/>
        <w:jc w:val="both"/>
      </w:pPr>
      <w:r>
        <w:rPr>
          <w:rFonts w:ascii="Calibri" w:cs="Calibri" w:eastAsia="Calibri" w:hAnsi="Calibri"/>
          <w:i w:val="false"/>
          <w:iCs w:val="false"/>
          <w:color w:val="0F172A"/>
          <w:sz w:val="21"/>
          <w:szCs w:val="21"/>
        </w:rPr>
        <w:t xml:space="preserve">Department of Information and Communications Technology. (2019). The E-Government Masterplan 2022: One Digitized Government. DICT, Republic of the Philippines.</w:t>
      </w:r>
    </w:p>
    <w:p>
      <w:pPr>
        <w:spacing w:after="140" w:line="276" w:lineRule="auto"/>
        <w:jc w:val="both"/>
      </w:pPr>
      <w:r>
        <w:rPr>
          <w:rFonts w:ascii="Calibri" w:cs="Calibri" w:eastAsia="Calibri" w:hAnsi="Calibri"/>
          <w:i w:val="false"/>
          <w:iCs w:val="false"/>
          <w:color w:val="0F172A"/>
          <w:sz w:val="21"/>
          <w:szCs w:val="21"/>
        </w:rPr>
        <w:t xml:space="preserve">Department of Social Welfare and Development. (2018). Revised Guidelines on the Implementation of the Assistance to Individuals in Crisis Situation (DSWD Memorandum Circular No. 15, Series of 2018). DSWD Central Office, Quezon City, Philippines.</w:t>
      </w:r>
    </w:p>
    <w:p>
      <w:pPr>
        <w:spacing w:after="140" w:line="276" w:lineRule="auto"/>
        <w:jc w:val="both"/>
      </w:pPr>
      <w:r>
        <w:rPr>
          <w:rFonts w:ascii="Calibri" w:cs="Calibri" w:eastAsia="Calibri" w:hAnsi="Calibri"/>
          <w:i w:val="false"/>
          <w:iCs w:val="false"/>
          <w:color w:val="0F172A"/>
          <w:sz w:val="21"/>
          <w:szCs w:val="21"/>
        </w:rPr>
        <w:t xml:space="preserve">National Privacy Commission. (2012). Implementing Rules and Regulations of Republic Act No. 10173, Known as the Data Privacy Act of 2012. Pasay City, Philippines: NPC.</w:t>
      </w:r>
    </w:p>
    <w:p>
      <w:pPr>
        <w:spacing w:after="140" w:line="276" w:lineRule="auto"/>
        <w:jc w:val="both"/>
      </w:pPr>
      <w:r>
        <w:rPr>
          <w:rFonts w:ascii="Calibri" w:cs="Calibri" w:eastAsia="Calibri" w:hAnsi="Calibri"/>
          <w:i w:val="false"/>
          <w:iCs w:val="false"/>
          <w:color w:val="0F172A"/>
          <w:sz w:val="21"/>
          <w:szCs w:val="21"/>
        </w:rPr>
        <w:t xml:space="preserve">Pressman, R. S., &amp; Maxim, B. R. (2020). Software Engineering: A Practitioner's Approach (9th ed.). McGraw-Hill Education.</w:t>
      </w:r>
    </w:p>
    <w:p>
      <w:pPr>
        <w:spacing w:after="140" w:line="276" w:lineRule="auto"/>
        <w:jc w:val="both"/>
      </w:pPr>
      <w:r>
        <w:rPr>
          <w:rFonts w:ascii="Calibri" w:cs="Calibri" w:eastAsia="Calibri" w:hAnsi="Calibri"/>
          <w:i w:val="false"/>
          <w:iCs w:val="false"/>
          <w:color w:val="0F172A"/>
          <w:sz w:val="21"/>
          <w:szCs w:val="21"/>
        </w:rPr>
        <w:t xml:space="preserve">Republic of the Philippines. (1991). Republic Act No. 7160: An Act Providing for a Local Government Code of 1991. Official Gazette of the Republic of the Philippines.</w:t>
      </w:r>
    </w:p>
    <w:p>
      <w:pPr>
        <w:spacing w:after="140" w:line="276" w:lineRule="auto"/>
        <w:jc w:val="both"/>
      </w:pPr>
      <w:r>
        <w:rPr>
          <w:rFonts w:ascii="Calibri" w:cs="Calibri" w:eastAsia="Calibri" w:hAnsi="Calibri"/>
          <w:i w:val="false"/>
          <w:iCs w:val="false"/>
          <w:color w:val="0F172A"/>
          <w:sz w:val="21"/>
          <w:szCs w:val="21"/>
        </w:rPr>
        <w:t xml:space="preserve">Republic of the Philippines. (1992). Republic Act No. 7277: An Act Providing for the Rehabilitation, Self-Development and Self-Reliance of Disabled Persons and Their Integration into the Mainstream of Society. Official Gazette of the Republic of the Philippines.</w:t>
      </w:r>
    </w:p>
    <w:p>
      <w:pPr>
        <w:spacing w:after="140" w:line="276" w:lineRule="auto"/>
        <w:jc w:val="both"/>
      </w:pPr>
      <w:r>
        <w:rPr>
          <w:rFonts w:ascii="Calibri" w:cs="Calibri" w:eastAsia="Calibri" w:hAnsi="Calibri"/>
          <w:i w:val="false"/>
          <w:iCs w:val="false"/>
          <w:color w:val="0F172A"/>
          <w:sz w:val="21"/>
          <w:szCs w:val="21"/>
        </w:rPr>
        <w:t xml:space="preserve">Republic of the Philippines. (2010). Republic Act No. 9994: An Act Granting Additional Benefits and Privileges to Senior Citizens. Official Gazette of the Republic of the Philippines.</w:t>
      </w:r>
    </w:p>
    <w:p>
      <w:pPr>
        <w:spacing w:after="140" w:line="276" w:lineRule="auto"/>
        <w:jc w:val="both"/>
      </w:pPr>
      <w:r>
        <w:rPr>
          <w:rFonts w:ascii="Calibri" w:cs="Calibri" w:eastAsia="Calibri" w:hAnsi="Calibri"/>
          <w:i w:val="false"/>
          <w:iCs w:val="false"/>
          <w:color w:val="0F172A"/>
          <w:sz w:val="21"/>
          <w:szCs w:val="21"/>
        </w:rPr>
        <w:t xml:space="preserve">Republic of the Philippines. (2018). Republic Act No. 11032: Ease of Doing Business and Efficient Government Service Delivery Act of 2018. Official Gazette of the Republic of the Philippines.</w:t>
      </w:r>
    </w:p>
    <w:p>
      <w:pPr>
        <w:spacing w:after="140" w:line="276" w:lineRule="auto"/>
        <w:jc w:val="both"/>
      </w:pPr>
      <w:r>
        <w:rPr>
          <w:rFonts w:ascii="Calibri" w:cs="Calibri" w:eastAsia="Calibri" w:hAnsi="Calibri"/>
          <w:i w:val="false"/>
          <w:iCs w:val="false"/>
          <w:color w:val="0F172A"/>
          <w:sz w:val="21"/>
          <w:szCs w:val="21"/>
        </w:rPr>
        <w:t xml:space="preserve">Schwaber, K., &amp; Sutherland, J. (2020). The Scrum Guide: The Definitive Guide to Scrum: The Rules of the Game. Scrum.org.</w:t>
      </w:r>
    </w:p>
    <w:p>
      <w:pPr>
        <w:spacing w:after="140" w:line="276" w:lineRule="auto"/>
        <w:jc w:val="both"/>
      </w:pPr>
      <w:r>
        <w:rPr>
          <w:rFonts w:ascii="Calibri" w:cs="Calibri" w:eastAsia="Calibri" w:hAnsi="Calibri"/>
          <w:i w:val="false"/>
          <w:iCs w:val="false"/>
          <w:color w:val="0F172A"/>
          <w:sz w:val="21"/>
          <w:szCs w:val="21"/>
        </w:rPr>
        <w:t xml:space="preserve">Sommerville, I. (2016). Software Engineering (10th ed.). Pearson Education.</w:t>
      </w:r>
    </w:p>
    <w:p>
      <w:pPr>
        <w:pStyle w:val="Heading1"/>
        <w:pageBreakBefore/>
        <w:spacing w:after="180" w:before="360"/>
      </w:pPr>
      <w:r>
        <w:rPr>
          <w:rFonts w:ascii="Calibri" w:cs="Calibri" w:eastAsia="Calibri" w:hAnsi="Calibri"/>
          <w:b/>
          <w:bCs/>
          <w:color w:val="1E3A8A"/>
          <w:sz w:val="28"/>
          <w:szCs w:val="28"/>
        </w:rPr>
        <w:t xml:space="preserve">APPENDICES</w:t>
      </w:r>
    </w:p>
    <w:p>
      <w:pPr>
        <w:pStyle w:val="Heading2"/>
        <w:spacing w:after="120" w:before="240"/>
      </w:pPr>
      <w:r>
        <w:rPr>
          <w:rFonts w:ascii="Calibri" w:cs="Calibri" w:eastAsia="Calibri" w:hAnsi="Calibri"/>
          <w:b/>
          <w:bCs/>
          <w:color w:val="2563EB"/>
          <w:sz w:val="24"/>
          <w:szCs w:val="24"/>
        </w:rPr>
        <w:t xml:space="preserve">Appendix A: Municipal Configuration Constants &amp; Setup</w:t>
      </w:r>
    </w:p>
    <w:p>
      <w:pPr>
        <w:spacing w:after="140" w:line="276" w:lineRule="auto"/>
        <w:jc w:val="both"/>
      </w:pPr>
      <w:r>
        <w:rPr>
          <w:rFonts w:ascii="Calibri" w:cs="Calibri" w:eastAsia="Calibri" w:hAnsi="Calibri"/>
          <w:i w:val="false"/>
          <w:iCs w:val="false"/>
          <w:color w:val="0F172A"/>
          <w:sz w:val="21"/>
          <w:szCs w:val="21"/>
        </w:rPr>
        <w:t xml:space="preserve">The table below documents the core operational constants defined in `web/src/lib/constants.ts` and `mobile/src/screens/RequestFormScreen.tsx`.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2708"/>
        <w:gridCol w:w="2257"/>
      </w:tblGrid>
      <w:tr>
        <w:trPr>
          <w:tblHeader/>
        </w:trPr>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Constant Name</w:t>
            </w:r>
          </w:p>
        </w:tc>
        <w:tc>
          <w:tcPr>
            <w:tcW w:type="pct" w:w="1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Scope / Type</w:t>
            </w:r>
          </w:p>
        </w:tc>
        <w:tc>
          <w:tcPr>
            <w:tcW w:type="pct"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Configured Values</w:t>
            </w:r>
          </w:p>
        </w:tc>
        <w:tc>
          <w:tcPr>
            <w:tcW w:type="pct" w:w="125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Operational Impact</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BARANGAY_PAJO</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String</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'Barangay Pajo'</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Pilot deployment primary barangay in Daanbantayan</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PUROKS_PAJO</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Array (15 Items)</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Purok 1 through 10, Centro, Riverside, San Isidro, Lower Pajo, Upper Pajo</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Standardized neighborhood demographic profiling</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ASSISTANCE_TYPES</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Array (2 Items)</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'Medical', 'Burial'</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Active welfare emergency grant categories</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REQUEST_STATUSES</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Array (4 Items)</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'Pending', 'Approved', 'Released', 'Declined'</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Formal casework lifecycle states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FUNERAL_HOMES_BOGO_TO_DAANBANTAYAN</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Array (14 Items)</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St. Peter (3 branches), St. Francis, Llorente, San Jose, Metro, Obedencio, San Remigio, Cosmopolitan, Reamillo, San Roque, Bogo Memorial, Other</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Corridor mortuary verification network eliminating fake funeral receipts</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duplicate_restriction_days</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Integer Setting</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30 (stored in system_settings table)</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line="240"/>
              <w:jc w:val="left"/>
            </w:pPr>
            <w:r>
              <w:rPr>
                <w:rFonts w:ascii="Calibri" w:cs="Calibri" w:eastAsia="Calibri" w:hAnsi="Calibri"/>
                <w:color w:val="0F172A"/>
                <w:sz w:val="19"/>
                <w:szCs w:val="19"/>
              </w:rPr>
              <w:t xml:space="preserve">Temporal moratorium window blocking duplicate category claims</w:t>
            </w:r>
          </w:p>
        </w:tc>
      </w:tr>
    </w:tbl>
    <w:p>
      <w:pPr>
        <w:pStyle w:val="Heading2"/>
        <w:spacing w:after="120" w:before="240"/>
      </w:pPr>
      <w:r>
        <w:rPr>
          <w:rFonts w:ascii="Calibri" w:cs="Calibri" w:eastAsia="Calibri" w:hAnsi="Calibri"/>
          <w:b/>
          <w:bCs/>
          <w:color w:val="2563EB"/>
          <w:sz w:val="24"/>
          <w:szCs w:val="24"/>
        </w:rPr>
        <w:t xml:space="preserve">Appendix B: Core Database Schema Definition SQL</w:t>
      </w:r>
    </w:p>
    <w:p>
      <w:pPr>
        <w:spacing w:after="140" w:line="276" w:lineRule="auto"/>
        <w:jc w:val="both"/>
      </w:pPr>
      <w:r>
        <w:rPr>
          <w:rFonts w:ascii="Calibri" w:cs="Calibri" w:eastAsia="Calibri" w:hAnsi="Calibri"/>
          <w:i w:val="false"/>
          <w:iCs w:val="false"/>
          <w:color w:val="0F172A"/>
          <w:sz w:val="21"/>
          <w:szCs w:val="21"/>
        </w:rPr>
        <w:t xml:space="preserve">The foundational database schema script below outlines the primary data structures deployed in the Supabase PostgreSQL database: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40"/>
              <w:left w:type="dxa" w:w="200"/>
              <w:bottom w:type="dxa" w:w="140"/>
              <w:right w:type="dxa" w:w="200"/>
            </w:tcMar>
          </w:tcPr>
          <w:p>
            <w:pPr>
              <w:spacing w:after="60"/>
            </w:pPr>
            <w:r>
              <w:rPr>
                <w:rFonts w:ascii="Calibri" w:cs="Calibri" w:eastAsia="Calibri" w:hAnsi="Calibri"/>
                <w:b/>
                <w:bCs/>
                <w:color w:val="1E3A8A"/>
                <w:sz w:val="19"/>
                <w:szCs w:val="19"/>
              </w:rPr>
              <w:t xml:space="preserve">CORE POSTGRESQL DDL</w:t>
            </w:r>
          </w:p>
          <w:p>
            <w:pPr>
              <w:spacing w:after="0" w:line="260"/>
            </w:pPr>
            <w:r>
              <w:rPr>
                <w:rFonts w:ascii="Calibri" w:cs="Calibri" w:eastAsia="Calibri" w:hAnsi="Calibri"/>
                <w:i/>
                <w:iCs/>
                <w:color w:val="0F172A"/>
                <w:sz w:val="20"/>
                <w:szCs w:val="20"/>
              </w:rPr>
              <w:t xml:space="preserve">-- Enable UUID generation extension
CREATE EXTENSION IF NOT EXISTS "uuid-ossp";
-- Profiles table extending Supabase Auth
CREATE TABLE profiles (
  id UUID REFERENCES auth.users(id) ON DELETE CASCADE PRIMARY KEY,
  full_name TEXT NOT NULL,
  role TEXT NOT NULL CHECK (role IN ('admin', 'resident', 'treasurer')),
  is_active BOOLEAN DEFAULT true,
  terms_accepted_at TIMESTAMPTZ,
  terms_version TEXT,
  created_at TIMESTAMPTZ DEFAULT NOW(),
  updated_at TIMESTAMPTZ DEFAULT NOW()
);
-- Beneficiaries table
CREATE TABLE beneficiaries (
  id UUID DEFAULT uuid_generate_v4() PRIMARY KEY,
  first_name TEXT NOT NULL,
  middle_name TEXT,
  last_name TEXT NOT NULL,
  suffix TEXT,
  birthdate DATE NOT NULL,
  sex TEXT NOT NULL CHECK (sex IN ('Male', 'Female')),
  civil_status TEXT NOT NULL,
  barangay TEXT NOT NULL,
  purok TEXT,
  address TEXT NOT NULL,
  contact_number TEXT,
  occupation TEXT,
  monthly_income NUMERIC(10,2) DEFAULT 0,
  family_size INTEGER DEFAULT 1,
  is_pwd BOOLEAN DEFAULT false,
  is_senior BOOLEAN DEFAULT false,
  is_4ps BOOLEAN DEFAULT false,
  created_by UUID REFERENCES profiles(id) ON DELETE SET NULL,
  created_at TIMESTAMPTZ DEFAULT NOW()
);</w:t>
            </w:r>
          </w:p>
        </w:tc>
      </w:tr>
    </w:tbl>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r>
    <w:r>
      <w:rPr>
        <w:rFonts w:ascii="Calibri" w:cs="Calibri" w:eastAsia="Calibri" w:hAnsi="Calibri"/>
        <w:color w:val="475569"/>
        <w:sz w:val="18"/>
        <w:szCs w:val="18"/>
      </w:rPr>
      <w:instrText xml:space="preserve">PAGE</w:instrText>
    </w:r>
    <w:r>
      <w:rPr>
        <w:rFonts w:ascii="Calibri" w:cs="Calibri" w:eastAsia="Calibri" w:hAnsi="Calibri"/>
        <w:color w:val="475569"/>
        <w:sz w:val="18"/>
        <w:szCs w:val="18"/>
      </w:rPr>
      <w:fldChar w:fldCharType="separate"/>
    </w:r>
    <w:r>
      <w:rPr>
        <w:rFonts w:ascii="Calibri" w:cs="Calibri" w:eastAsia="Calibri" w:hAnsi="Calibri"/>
        <w:color w:val="475569"/>
        <w:sz w:val="18"/>
        <w:szCs w:val="18"/>
      </w:rPr>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r>
    <w:r>
      <w:rPr>
        <w:rFonts w:ascii="Calibri" w:cs="Calibri" w:eastAsia="Calibri" w:hAnsi="Calibri"/>
        <w:color w:val="475569"/>
        <w:sz w:val="18"/>
        <w:szCs w:val="18"/>
      </w:rPr>
      <w:instrText xml:space="preserve">NUMPAGES</w:instrText>
    </w:r>
    <w:r>
      <w:rPr>
        <w:rFonts w:ascii="Calibri" w:cs="Calibri" w:eastAsia="Calibri" w:hAnsi="Calibri"/>
        <w:color w:val="475569"/>
        <w:sz w:val="18"/>
        <w:szCs w:val="18"/>
      </w:rPr>
      <w:fldChar w:fldCharType="separate"/>
    </w:r>
    <w:r>
      <w:rPr>
        <w:rFonts w:ascii="Calibri" w:cs="Calibri" w:eastAsia="Calibri" w:hAnsi="Calibri"/>
        <w:color w:val="47556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75569"/>
        <w:sz w:val="17"/>
        <w:szCs w:val="17"/>
      </w:rPr>
      <w:t xml:space="preserve">AICS Request Management &amp; Beneficiary Information System — MSWD Daanbantayan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AICS Request Management &amp; Beneficiary Information System - Capstone Manuscript</dc:title>
  <dc:creator>Daanbantayan MSWD AICS System Development Team</dc:creator>
  <dc:description>Comprehensive Software Engineering &amp; Capstone Manuscript for Daanbantayan MSWD AICS System</dc:description>
  <cp:lastModifiedBy>Un-named</cp:lastModifiedBy>
  <cp:revision>1</cp:revision>
  <dcterms:created xsi:type="dcterms:W3CDTF">2026-10-18T11:13:34.794Z</dcterms:created>
  <dcterms:modified xsi:type="dcterms:W3CDTF">2026-10-18T11:13:34.796Z</dcterms:modified>
</cp:coreProperties>
</file>

<file path=docProps/custom.xml><?xml version="1.0" encoding="utf-8"?>
<Properties xmlns="http://schemas.openxmlformats.org/officeDocument/2006/custom-properties" xmlns:vt="http://schemas.openxmlformats.org/officeDocument/2006/docPropsVTypes"/>
</file>