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33db67cb0ad4acc" /><Relationship Type="http://schemas.openxmlformats.org/package/2006/relationships/metadata/core-properties" Target="/docProps/core.xml" Id="R9d6f5509f2bd4dc6" /><Relationship Type="http://schemas.openxmlformats.org/officeDocument/2006/relationships/extended-properties" Target="/docProps/app.xml" Id="R39d262c15e744eab" /><Relationship Type="http://schemas.openxmlformats.org/officeDocument/2006/relationships/custom-properties" Target="/docProps/custom.xml" Id="R875f3fa9b1ba4d4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Normal"/>
        <w:spacing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 xml:space="preserve">FIAP – FACULDADE DE INFORMÁTICA E ADMINISTRAÇÃO PAULISTA</w:t>
      </w:r>
    </w:p>
    <w:p w14:paraId="00100002" w14:textId="00100003">
      <w:pPr>
        <w:pStyle w:val="Normal"/>
        <w:spacing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 xml:space="preserve">Pós-Graduação em DevOps e Arquitetura Cloud</w:t>
      </w:r>
    </w:p>
    <w:p w14:paraId="00100004" w14:textId="00100005">
      <w:pPr>
        <w:pStyle w:val="Normal"/>
        <w:spacing w:before="2880" w:after="0"/>
        <w:jc w:val="center"/>
      </w:pPr>
      <w:r>
        <w:rPr>
          <w:rFonts w:ascii="Times New Roman" w:hAnsi="Times New Roman" w:eastAsia="Times New Roman"/>
          <w:sz w:val="24"/>
        </w:rPr>
        <w:t xml:space="preserve"> </w:t>
      </w:r>
    </w:p>
    <w:p w14:paraId="00100006" w14:textId="00100007">
      <w:pPr>
        <w:pStyle w:val="Normal"/>
        <w:spacing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 xml:space="preserve">TECH CHALLENGE – FASE 1</w:t>
      </w:r>
    </w:p>
    <w:p w14:paraId="00100008" w14:textId="00100009">
      <w:pPr>
        <w:pStyle w:val="Normal"/>
        <w:spacing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 xml:space="preserve">TOGGLEMASTER: DEPLOY DE APLICAÇÃO MONOLÍTICA NA AWS</w:t>
      </w:r>
    </w:p>
    <w:p w14:paraId="0010000A" w14:textId="0010000B">
      <w:pPr>
        <w:pStyle w:val="Normal"/>
        <w:spacing w:before="2880" w:after="0"/>
        <w:jc w:val="center"/>
      </w:pPr>
      <w:r>
        <w:rPr>
          <w:rFonts w:ascii="Times New Roman" w:hAnsi="Times New Roman" w:eastAsia="Times New Roman"/>
          <w:sz w:val="24"/>
        </w:rPr>
        <w:t xml:space="preserve"> </w:t>
      </w:r>
    </w:p>
    <w:p w14:paraId="0010000C" w14:textId="0010000D">
      <w:pPr>
        <w:pStyle w:val="Normal"/>
        <w:spacing w:before="0" w:after="120"/>
        <w:jc w:val="center"/>
      </w:pPr>
      <w:r>
        <w:rPr>
          <w:rFonts w:ascii="Times New Roman" w:hAnsi="Times New Roman" w:eastAsia="Times New Roman"/>
          <w:sz w:val="24"/>
        </w:rPr>
        <w:t xml:space="preserve">Grupo 20</w:t>
      </w:r>
    </w:p>
    <w:p w14:paraId="0010000E" w14:textId="0010000F">
      <w:pPr>
        <w:pStyle w:val="Normal"/>
        <w:spacing w:before="0" w:after="80"/>
        <w:jc w:val="center"/>
      </w:pPr>
      <w:r>
        <w:rPr>
          <w:rFonts w:ascii="Times New Roman" w:hAnsi="Times New Roman" w:eastAsia="Times New Roman"/>
          <w:sz w:val="24"/>
        </w:rPr>
        <w:t xml:space="preserve">Erick Aleixo Aragão – RM378535</w:t>
      </w:r>
    </w:p>
    <w:p w14:paraId="00100010" w14:textId="00100011">
      <w:pPr>
        <w:pStyle w:val="Normal"/>
        <w:spacing w:before="0" w:after="80"/>
        <w:jc w:val="center"/>
      </w:pPr>
      <w:r>
        <w:rPr>
          <w:rFonts w:ascii="Times New Roman" w:hAnsi="Times New Roman" w:eastAsia="Times New Roman"/>
          <w:sz w:val="24"/>
        </w:rPr>
        <w:t xml:space="preserve">John Lennon Fernandes da Silva – RM377728</w:t>
      </w:r>
    </w:p>
    <w:p w14:paraId="00100012" w14:textId="00100013">
      <w:pPr>
        <w:pStyle w:val="Normal"/>
        <w:spacing w:before="0" w:after="80"/>
        <w:jc w:val="center"/>
      </w:pPr>
      <w:r>
        <w:rPr>
          <w:rFonts w:ascii="Times New Roman" w:hAnsi="Times New Roman" w:eastAsia="Times New Roman"/>
          <w:sz w:val="24"/>
        </w:rPr>
        <w:t xml:space="preserve">Alan Santos – RM378561</w:t>
      </w:r>
    </w:p>
    <w:p w14:paraId="00100014" w14:textId="00100015">
      <w:pPr>
        <w:pStyle w:val="Normal"/>
        <w:spacing w:before="0" w:after="80"/>
        <w:jc w:val="center"/>
      </w:pPr>
      <w:r>
        <w:rPr>
          <w:rFonts w:ascii="Times New Roman" w:hAnsi="Times New Roman" w:eastAsia="Times New Roman"/>
          <w:sz w:val="24"/>
        </w:rPr>
        <w:t xml:space="preserve">Marcelo Santos de Jesus – RM378332</w:t>
      </w:r>
    </w:p>
    <w:p w14:paraId="00100016" w14:textId="00100017">
      <w:pPr>
        <w:pStyle w:val="Normal"/>
        <w:spacing w:before="0" w:after="0"/>
        <w:jc w:val="center"/>
      </w:pPr>
      <w:r>
        <w:rPr>
          <w:rFonts w:ascii="Times New Roman" w:hAnsi="Times New Roman" w:eastAsia="Times New Roman"/>
          <w:sz w:val="24"/>
        </w:rPr>
        <w:t xml:space="preserve">Cassio Tadashi Kawamura – RM378022</w:t>
      </w:r>
    </w:p>
    <w:p w14:paraId="00100018" w14:textId="00100019">
      <w:pPr>
        <w:pStyle w:val="Normal"/>
        <w:spacing w:before="2880" w:after="0"/>
        <w:jc w:val="center"/>
      </w:pPr>
      <w:r>
        <w:rPr>
          <w:rFonts w:ascii="Times New Roman" w:hAnsi="Times New Roman" w:eastAsia="Times New Roman"/>
          <w:sz w:val="24"/>
        </w:rPr>
        <w:t xml:space="preserve"> </w:t>
      </w:r>
    </w:p>
    <w:p w14:paraId="0010001A" w14:textId="0010001B">
      <w:pPr>
        <w:pStyle w:val="Normal"/>
        <w:spacing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 xml:space="preserve">São Paulo</w:t>
      </w:r>
    </w:p>
    <w:p w14:paraId="0010001C" w14:textId="0010001D">
      <w:pPr>
        <w:pStyle w:val="Normal"/>
        <w:spacing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 xml:space="preserve">2026</w:t>
      </w:r>
    </w:p>
    <w:p w14:paraId="00100020" w14:textId="00100021">
      <w:pPr>
        <w:pStyle w:val="Normal"/>
        <w:pageBreakBefore/>
      </w:pPr>
      <w:r>
        <w:rPr>
          <w:rFonts w:ascii="Times New Roman" w:hAnsi="Times New Roman" w:eastAsia="Times New Roman"/>
          <w:sz w:val="24"/>
        </w:rPr>
        <w:t xml:space="preserve"> </w:t>
      </w:r>
    </w:p>
    <w:p w14:paraId="00100022" w14:textId="00100023">
      <w:pPr>
        <w:pStyle w:val="Normal"/>
        <w:spacing w:before="0" w:after="480"/>
        <w:jc w:val="center"/>
      </w:pPr>
      <w:r>
        <w:rPr>
          <w:rFonts w:ascii="Times New Roman" w:hAnsi="Times New Roman" w:eastAsia="Times New Roman"/>
          <w:b/>
          <w:sz w:val="24"/>
        </w:rPr>
        <w:t xml:space="preserve">SUMÁRIO</w:t>
      </w:r>
    </w:p>
    <w:p w14:paraId="00100024" w14:textId="00100025">
      <w:pPr>
        <w:pStyle w:val="Normal"/>
        <w:spacing w:after="120"/>
      </w:pPr>
      <w:r>
        <w:rPr>
          <w:rFonts w:ascii="Times New Roman" w:hAnsi="Times New Roman" w:eastAsia="Times New Roman"/>
          <w:b/>
          <w:sz w:val="24"/>
        </w:rPr>
        <w:t xml:space="preserve">1 INTRODUÇÃO.....................................................................................3</w:t>
      </w:r>
    </w:p>
    <w:p w14:paraId="00100026" w14:textId="00100027">
      <w:pPr>
        <w:pStyle w:val="Normal"/>
        <w:spacing w:after="80"/>
      </w:pPr>
      <w:r>
        <w:rPr>
          <w:rFonts w:ascii="Times New Roman" w:hAnsi="Times New Roman" w:eastAsia="Times New Roman"/>
          <w:b/>
          <w:sz w:val="24"/>
        </w:rPr>
        <w:t xml:space="preserve">2 ANÁLISE DA APLICAÇÃO MONOLÍTICA........................................4</w:t>
      </w:r>
    </w:p>
    <w:p w14:paraId="00100028" w14:textId="00100029">
      <w:pPr>
        <w:pStyle w:val="Normal"/>
        <w:spacing w:after="80"/>
      </w:pPr>
      <w:r>
        <w:rPr>
          <w:rFonts w:ascii="Times New Roman" w:hAnsi="Times New Roman" w:eastAsia="Times New Roman"/>
          <w:sz w:val="24"/>
        </w:rPr>
        <w:t xml:space="preserve">   2.1 Estrutura e funcionamento..............................................4</w:t>
      </w:r>
    </w:p>
    <w:p w14:paraId="0010002A" w14:textId="0010002B">
      <w:pPr>
        <w:pStyle w:val="Normal"/>
        <w:spacing w:after="80"/>
      </w:pPr>
      <w:r>
        <w:rPr>
          <w:rFonts w:ascii="Times New Roman" w:hAnsi="Times New Roman" w:eastAsia="Times New Roman"/>
          <w:sz w:val="24"/>
        </w:rPr>
        <w:t xml:space="preserve">   2.2 Vantagens e desvantagens para o MVP........................5</w:t>
      </w:r>
    </w:p>
    <w:p w14:paraId="0010002C" w14:textId="0010002D">
      <w:pPr>
        <w:pStyle w:val="Normal"/>
        <w:spacing w:after="80"/>
      </w:pPr>
      <w:r>
        <w:rPr>
          <w:rFonts w:ascii="Times New Roman" w:hAnsi="Times New Roman" w:eastAsia="Times New Roman"/>
          <w:b/>
          <w:sz w:val="24"/>
        </w:rPr>
        <w:t xml:space="preserve">3 ANÁLISE DOS 12 FATORES (12-FACTOR APP)...........................6</w:t>
      </w:r>
    </w:p>
    <w:p w14:paraId="0010002E" w14:textId="0010002F">
      <w:pPr>
        <w:pStyle w:val="Normal"/>
        <w:spacing w:after="80"/>
      </w:pPr>
      <w:r>
        <w:rPr>
          <w:rFonts w:ascii="Times New Roman" w:hAnsi="Times New Roman" w:eastAsia="Times New Roman"/>
          <w:b/>
          <w:sz w:val="24"/>
        </w:rPr>
        <w:t xml:space="preserve">4 ARQUITETURA NA AWS......................................................................8</w:t>
      </w:r>
    </w:p>
    <w:p w14:paraId="00100030" w14:textId="00100031">
      <w:pPr>
        <w:pStyle w:val="Normal"/>
        <w:spacing w:after="80"/>
      </w:pPr>
      <w:r>
        <w:rPr>
          <w:rFonts w:ascii="Times New Roman" w:hAnsi="Times New Roman" w:eastAsia="Times New Roman"/>
          <w:sz w:val="24"/>
        </w:rPr>
        <w:t xml:space="preserve">   4.1 Componentes provisionados.............................................8</w:t>
      </w:r>
    </w:p>
    <w:p w14:paraId="00100032" w14:textId="00100033">
      <w:pPr>
        <w:pStyle w:val="Normal"/>
        <w:spacing w:after="80"/>
      </w:pPr>
      <w:r>
        <w:rPr>
          <w:rFonts w:ascii="Times New Roman" w:hAnsi="Times New Roman" w:eastAsia="Times New Roman"/>
          <w:sz w:val="24"/>
        </w:rPr>
        <w:t xml:space="preserve">   4.2 Diagrama de arquitetura...............................................10</w:t>
      </w:r>
    </w:p>
    <w:p w14:paraId="00100034" w14:textId="00100035">
      <w:pPr>
        <w:pStyle w:val="Normal"/>
        <w:spacing w:after="80"/>
      </w:pPr>
      <w:r>
        <w:rPr>
          <w:rFonts w:ascii="Times New Roman" w:hAnsi="Times New Roman" w:eastAsia="Times New Roman"/>
          <w:sz w:val="24"/>
        </w:rPr>
        <w:t xml:space="preserve">   4.3 Decisões de arquitetura e segurança.........................11</w:t>
      </w:r>
    </w:p>
    <w:p w14:paraId="00100036" w14:textId="00100037">
      <w:pPr>
        <w:pStyle w:val="Normal"/>
        <w:spacing w:after="80"/>
      </w:pPr>
      <w:r>
        <w:rPr>
          <w:rFonts w:ascii="Times New Roman" w:hAnsi="Times New Roman" w:eastAsia="Times New Roman"/>
          <w:b/>
          <w:sz w:val="24"/>
        </w:rPr>
        <w:t xml:space="preserve">5 ESTIMATIVA DE CUSTOS.................................................................12</w:t>
      </w:r>
    </w:p>
    <w:p w14:paraId="00100038" w14:textId="00100039">
      <w:pPr>
        <w:pStyle w:val="Normal"/>
        <w:spacing w:after="80"/>
      </w:pPr>
      <w:r>
        <w:rPr>
          <w:rFonts w:ascii="Times New Roman" w:hAnsi="Times New Roman" w:eastAsia="Times New Roman"/>
          <w:b/>
          <w:sz w:val="24"/>
        </w:rPr>
        <w:t xml:space="preserve">6 EXECUÇÃO E VALIDAÇÃO.................................................................13</w:t>
      </w:r>
    </w:p>
    <w:p w14:paraId="0010003A" w14:textId="0010003B">
      <w:pPr>
        <w:pStyle w:val="Normal"/>
        <w:spacing w:after="80"/>
      </w:pPr>
      <w:r>
        <w:rPr>
          <w:rFonts w:ascii="Times New Roman" w:hAnsi="Times New Roman" w:eastAsia="Times New Roman"/>
          <w:sz w:val="24"/>
        </w:rPr>
        <w:t xml:space="preserve">   6.1 Execução local com Docker.............................................13</w:t>
      </w:r>
    </w:p>
    <w:p w14:paraId="0010003C" w14:textId="0010003D">
      <w:pPr>
        <w:pStyle w:val="Normal"/>
        <w:spacing w:after="80"/>
      </w:pPr>
      <w:r>
        <w:rPr>
          <w:rFonts w:ascii="Times New Roman" w:hAnsi="Times New Roman" w:eastAsia="Times New Roman"/>
          <w:sz w:val="24"/>
        </w:rPr>
        <w:t xml:space="preserve">   6.2 Deploy na EC2 e conexão com RDS..............................14</w:t>
      </w:r>
    </w:p>
    <w:p w14:paraId="0010003E" w14:textId="0010003F">
      <w:pPr>
        <w:pStyle w:val="Normal"/>
        <w:spacing w:after="80"/>
      </w:pPr>
      <w:r>
        <w:rPr>
          <w:rFonts w:ascii="Times New Roman" w:hAnsi="Times New Roman" w:eastAsia="Times New Roman"/>
          <w:b/>
          <w:sz w:val="24"/>
        </w:rPr>
        <w:t xml:space="preserve">7 GERENCIAMENTO DE CREDENCIAIS................................................15</w:t>
      </w:r>
    </w:p>
    <w:p w14:paraId="00100040" w14:textId="00100041">
      <w:pPr>
        <w:pStyle w:val="Normal"/>
        <w:spacing w:after="80"/>
      </w:pPr>
      <w:r>
        <w:rPr>
          <w:rFonts w:ascii="Times New Roman" w:hAnsi="Times New Roman" w:eastAsia="Times New Roman"/>
          <w:b/>
          <w:sz w:val="24"/>
        </w:rPr>
        <w:t xml:space="preserve">8 DESAFIOS E DECISÕES.....................................................................16</w:t>
      </w:r>
    </w:p>
    <w:p w14:paraId="00100042" w14:textId="00100043">
      <w:pPr>
        <w:pStyle w:val="Normal"/>
        <w:spacing w:after="80"/>
      </w:pPr>
      <w:r>
        <w:rPr>
          <w:rFonts w:ascii="Times New Roman" w:hAnsi="Times New Roman" w:eastAsia="Times New Roman"/>
          <w:b/>
          <w:sz w:val="24"/>
        </w:rPr>
        <w:t xml:space="preserve">REFERÊNCIAS.......................................................................................17</w:t>
      </w:r>
    </w:p>
    <w:p w14:paraId="00100044" w14:textId="00100045">
      <w:pPr>
        <w:pStyle w:val="Normal"/>
        <w:pageBreakBefore/>
      </w:pPr>
      <w:r>
        <w:rPr>
          <w:rFonts w:ascii="Times New Roman" w:hAnsi="Times New Roman" w:eastAsia="Times New Roman"/>
          <w:sz w:val="24"/>
        </w:rPr>
        <w:t xml:space="preserve"> </w:t>
      </w:r>
    </w:p>
    <w:p w14:paraId="00100046" w14:textId="00100047">
      <w:pPr>
        <w:pStyle w:val="Heading1"/>
        <w:spacing w:before="0" w:after="240"/>
      </w:pPr>
      <w:r>
        <w:rPr>
          <w:rFonts w:ascii="Times New Roman" w:hAnsi="Times New Roman" w:eastAsia="Times New Roman"/>
          <w:b/>
          <w:sz w:val="24"/>
        </w:rPr>
        <w:t xml:space="preserve">1 INTRODUÇÃO</w:t>
      </w:r>
    </w:p>
    <w:p w14:paraId="00100048" w14:textId="00100049">
      <w:pPr>
        <w:pStyle w:val="Normal"/>
        <w:spacing w:after="240"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O presente trabalho documenta o processo de desenvolvimento e implantação do MVP da plataforma ToggleMaster, um sistema de Feature Flag as a Service, desenvolvido no âmbito do Tech Challenge – Fase 1 do curso de Pós-Graduação em DevOps e Arquitetura Cloud da FIAP.</w:t>
      </w:r>
    </w:p>
    <w:p w14:paraId="0010004A" w14:textId="0010004B">
      <w:pPr>
        <w:pStyle w:val="Normal"/>
        <w:spacing w:after="240"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A empresa fictícia DevOps Solutions Inc. necessitava de uma plataforma centralizada para controle de lançamento de funcionalidades sem novos deploys. A solução proposta – o ToggleMaster – é uma API REST para gerenciamento de feature flags, construída com Python/Flask e banco de dados PostgreSQL.</w:t>
      </w:r>
    </w:p>
    <w:p w14:paraId="0010004C" w14:textId="0010004D">
      <w:pPr>
        <w:pStyle w:val="Normal"/>
        <w:spacing w:after="240"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Nesta primeira fase, o grupo realizou o deploy manual na Amazon Web Services (AWS), provisionando infraestrutura de rede (VPC, sub-redes, Internet Gateway), computação (EC2) e banco de dados (RDS), seguindo boas práticas de segurança com Security Groups. O projeto evoluirá em mais três fases até um sistema distribuído e automatizado.</w:t>
      </w:r>
    </w:p>
    <w:p w14:paraId="0010004E" w14:textId="0010004F">
      <w:pPr>
        <w:pStyle w:val="Normal"/>
        <w:pageBreakBefore/>
      </w:pPr>
      <w:r>
        <w:rPr>
          <w:rFonts w:ascii="Times New Roman" w:hAnsi="Times New Roman" w:eastAsia="Times New Roman"/>
          <w:sz w:val="24"/>
        </w:rPr>
        <w:t xml:space="preserve"> </w:t>
      </w:r>
    </w:p>
    <w:p w14:paraId="00100050" w14:textId="00100051">
      <w:pPr>
        <w:pStyle w:val="Heading1"/>
        <w:spacing w:before="0" w:after="240"/>
      </w:pPr>
      <w:r>
        <w:rPr>
          <w:rFonts w:ascii="Times New Roman" w:hAnsi="Times New Roman" w:eastAsia="Times New Roman"/>
          <w:b/>
          <w:sz w:val="24"/>
        </w:rPr>
        <w:t xml:space="preserve">2 ANÁLISE DA APLICAÇÃO MONOLÍTICA</w:t>
      </w:r>
    </w:p>
    <w:p w14:paraId="00100052" w14:textId="00100053">
      <w:pPr>
        <w:pStyle w:val="Heading2"/>
        <w:spacing w:before="240" w:after="240"/>
      </w:pPr>
      <w:r>
        <w:rPr>
          <w:rFonts w:ascii="Times New Roman" w:hAnsi="Times New Roman" w:eastAsia="Times New Roman"/>
          <w:b/>
          <w:sz w:val="24"/>
        </w:rPr>
        <w:t xml:space="preserve">2.1 Estrutura e funcionamento</w:t>
      </w:r>
    </w:p>
    <w:p w14:paraId="00100054" w14:textId="00100055">
      <w:pPr>
        <w:pStyle w:val="Normal"/>
        <w:spacing w:after="240"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O ToggleMaster é desenvolvido em Python com o framework Flask 2.2 e servidor de produção Gunicorn. O banco de dados é o PostgreSQL, acessado via psycopg2-binary. Toda a lógica reside em um único arquivo app.py, caracterizando a arquitetura monolítica. A aplicação expõe os endpoints REST da porta 5000, conforme o Quadro 1.</w:t>
      </w:r>
    </w:p>
    <w:p w14:paraId="00100056" w14:textId="00100057">
      <w:pPr>
        <w:pStyle w:val="Normal"/>
        <w:spacing w:before="240" w:after="120"/>
        <w:jc w:val="center"/>
      </w:pPr>
      <w:r>
        <w:rPr>
          <w:rFonts w:ascii="Times New Roman" w:hAnsi="Times New Roman" w:eastAsia="Times New Roman"/>
          <w:b/>
          <w:sz w:val="22"/>
        </w:rPr>
        <w:t xml:space="preserve">Quadro 1 – Endpoints da API ToggleMaster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440"/>
        <w:gridCol w:w="2520"/>
        <w:gridCol w:w="5040"/>
      </w:tblGrid>
      <w:tr>
        <w:trPr>
          <w:tblHeader/>
        </w:trPr>
        <w:tc>
          <w:p w14:paraId="00100058" w14:textId="00100059">
            <w:r>
              <w:t xml:space="preserve">Método</w:t>
            </w:r>
          </w:p>
        </w:tc>
        <w:tc>
          <w:p w14:paraId="0010005A" w14:textId="0010005B">
            <w:r>
              <w:t xml:space="preserve">Endpoint</w:t>
            </w:r>
          </w:p>
        </w:tc>
        <w:tc>
          <w:p w14:paraId="0010005C" w14:textId="0010005D">
            <w:r>
              <w:t xml:space="preserve">Descrição</w:t>
            </w:r>
          </w:p>
        </w:tc>
      </w:tr>
      <w:tr>
        <w:trPr/>
        <w:tc>
          <w:p w14:paraId="0010005E" w14:textId="0010005F">
            <w:r>
              <w:t xml:space="preserve">GET</w:t>
            </w:r>
          </w:p>
        </w:tc>
        <w:tc>
          <w:p w14:paraId="00100060" w14:textId="00100061">
            <w:r>
              <w:t xml:space="preserve">/health</w:t>
            </w:r>
          </w:p>
        </w:tc>
        <w:tc>
          <w:p w14:paraId="00100062" w14:textId="00100063">
            <w:r>
              <w:t xml:space="preserve">Verificação de saúde da aplicação</w:t>
            </w:r>
          </w:p>
        </w:tc>
      </w:tr>
      <w:tr>
        <w:trPr/>
        <w:tc>
          <w:p w14:paraId="00100064" w14:textId="00100065">
            <w:r>
              <w:t xml:space="preserve">POST</w:t>
            </w:r>
          </w:p>
        </w:tc>
        <w:tc>
          <w:p w14:paraId="00100066" w14:textId="00100067">
            <w:r>
              <w:t xml:space="preserve">/flags</w:t>
            </w:r>
          </w:p>
        </w:tc>
        <w:tc>
          <w:p w14:paraId="00100068" w14:textId="00100069">
            <w:r>
              <w:t xml:space="preserve">Cria uma nova feature flag</w:t>
            </w:r>
          </w:p>
        </w:tc>
      </w:tr>
      <w:tr>
        <w:trPr/>
        <w:tc>
          <w:p w14:paraId="0010006A" w14:textId="0010006B">
            <w:r>
              <w:t xml:space="preserve">GET</w:t>
            </w:r>
          </w:p>
        </w:tc>
        <w:tc>
          <w:p w14:paraId="0010006C" w14:textId="0010006D">
            <w:r>
              <w:t xml:space="preserve">/flags</w:t>
            </w:r>
          </w:p>
        </w:tc>
        <w:tc>
          <w:p w14:paraId="0010006E" w14:textId="0010006F">
            <w:r>
              <w:t xml:space="preserve">Lista todas as feature flags</w:t>
            </w:r>
          </w:p>
        </w:tc>
      </w:tr>
      <w:tr>
        <w:trPr/>
        <w:tc>
          <w:p w14:paraId="00100070" w14:textId="00100071">
            <w:r>
              <w:t xml:space="preserve">GET</w:t>
            </w:r>
          </w:p>
        </w:tc>
        <w:tc>
          <w:p w14:paraId="00100072" w14:textId="00100073">
            <w:r>
              <w:t xml:space="preserve">/flags/&lt;nome&gt;</w:t>
            </w:r>
          </w:p>
        </w:tc>
        <w:tc>
          <w:p w14:paraId="00100074" w14:textId="00100075">
            <w:r>
              <w:t xml:space="preserve">Retorna o status de uma flag específica</w:t>
            </w:r>
          </w:p>
        </w:tc>
      </w:tr>
      <w:tr>
        <w:trPr/>
        <w:tc>
          <w:p w14:paraId="00100076" w14:textId="00100077">
            <w:r>
              <w:t xml:space="preserve">PUT</w:t>
            </w:r>
          </w:p>
        </w:tc>
        <w:tc>
          <w:p w14:paraId="00100078" w14:textId="00100079">
            <w:r>
              <w:t xml:space="preserve">/flags/&lt;nome&gt;</w:t>
            </w:r>
          </w:p>
        </w:tc>
        <w:tc>
          <w:p w14:paraId="0010007A" w14:textId="0010007B">
            <w:r>
              <w:t xml:space="preserve">Atualiza o status (enable/disable) de uma flag</w:t>
            </w:r>
          </w:p>
        </w:tc>
      </w:tr>
    </w:tbl>
    <w:p w14:paraId="0010007C" w14:textId="0010007D">
      <w:pPr>
        <w:pStyle w:val="Normal"/>
        <w:spacing w:before="80" w:after="240"/>
      </w:pPr>
      <w:r>
        <w:rPr>
          <w:rFonts w:ascii="Times New Roman" w:hAnsi="Times New Roman" w:eastAsia="Times New Roman"/>
          <w:i/>
          <w:sz w:val="22"/>
        </w:rPr>
        <w:t xml:space="preserve">Fonte: Repositório toggle-master-monolith, arquivo app.py (2026).</w:t>
      </w:r>
    </w:p>
    <w:p w14:paraId="0010007E" w14:textId="0010007F">
      <w:pPr>
        <w:pStyle w:val="Heading2"/>
        <w:spacing w:before="240" w:after="240"/>
      </w:pPr>
      <w:r>
        <w:rPr>
          <w:rFonts w:ascii="Times New Roman" w:hAnsi="Times New Roman" w:eastAsia="Times New Roman"/>
          <w:b/>
          <w:sz w:val="24"/>
        </w:rPr>
        <w:t xml:space="preserve">2.2 Vantagens e desvantagens para o MVP</w:t>
      </w:r>
    </w:p>
    <w:p w14:paraId="00100080" w14:textId="00100081">
      <w:pPr>
        <w:pStyle w:val="Normal"/>
        <w:spacing w:after="240"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A arquitetura monolítica concentra toda a lógica em um único processo e base de código. Para o MVP do ToggleMaster, essa escolha acelera o desenvolvimento e simplifica o deploy, conforme sintetizado no Quadro 2.</w:t>
      </w:r>
    </w:p>
    <w:p w14:paraId="00100082" w14:textId="00100083">
      <w:pPr>
        <w:pStyle w:val="Normal"/>
        <w:spacing w:before="240" w:after="120"/>
        <w:jc w:val="center"/>
      </w:pPr>
      <w:r>
        <w:rPr>
          <w:rFonts w:ascii="Times New Roman" w:hAnsi="Times New Roman" w:eastAsia="Times New Roman"/>
          <w:b/>
          <w:sz w:val="22"/>
        </w:rPr>
        <w:t xml:space="preserve">Quadro 2 – Vantagens e desvantagens do monolito para o MVP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00"/>
        <w:gridCol w:w="4500"/>
      </w:tblGrid>
      <w:tr>
        <w:trPr>
          <w:tblHeader/>
        </w:trPr>
        <w:tc>
          <w:p w14:paraId="00100084" w14:textId="00100085">
            <w:r>
              <w:t xml:space="preserve">Vantagens</w:t>
            </w:r>
          </w:p>
        </w:tc>
        <w:tc>
          <w:p w14:paraId="00100086" w14:textId="00100087">
            <w:r>
              <w:t xml:space="preserve">Desvantagens</w:t>
            </w:r>
          </w:p>
        </w:tc>
      </w:tr>
      <w:tr>
        <w:trPr/>
        <w:tc>
          <w:p w14:paraId="00100088" w14:textId="00100089">
            <w:r>
              <w:t xml:space="preserve">Simplicidade de desenvolvimento e implantação</w:t>
            </w:r>
          </w:p>
        </w:tc>
        <w:tc>
          <w:p w14:paraId="0010008A" w14:textId="0010008B">
            <w:r>
              <w:t xml:space="preserve">Escalabilidade limitada: toda a aplicação escala junto</w:t>
            </w:r>
          </w:p>
        </w:tc>
      </w:tr>
      <w:tr>
        <w:trPr/>
        <w:tc>
          <w:p w14:paraId="0010008C" w14:textId="0010008D">
            <w:r>
              <w:t xml:space="preserve">Depuração facilitada: único processo para monitorar</w:t>
            </w:r>
          </w:p>
        </w:tc>
        <w:tc>
          <w:p w14:paraId="0010008E" w14:textId="0010008F">
            <w:r>
              <w:t xml:space="preserve">Falha em um componente pode derrubar toda a aplicação</w:t>
            </w:r>
          </w:p>
        </w:tc>
      </w:tr>
      <w:tr>
        <w:trPr/>
        <w:tc>
          <w:p w14:paraId="00100090" w14:textId="00100091">
            <w:r>
              <w:t xml:space="preserve">Sem overhead de comunicação entre serviços</w:t>
            </w:r>
          </w:p>
        </w:tc>
        <w:tc>
          <w:p w14:paraId="00100092" w14:textId="00100093">
            <w:r>
              <w:t xml:space="preserve">Alto acoplamento dificulta evoluções independentes</w:t>
            </w:r>
          </w:p>
        </w:tc>
      </w:tr>
      <w:tr>
        <w:trPr/>
        <w:tc>
          <w:p w14:paraId="00100094" w14:textId="00100095">
            <w:r>
              <w:t xml:space="preserve">Menor custo operacional e infraestrutura simples</w:t>
            </w:r>
          </w:p>
        </w:tc>
        <w:tc>
          <w:p w14:paraId="00100096" w14:textId="00100097">
            <w:r>
              <w:t xml:space="preserve">Dificuldade para adotar tecnologias distintas por módulo</w:t>
            </w:r>
          </w:p>
        </w:tc>
      </w:tr>
      <w:tr>
        <w:trPr/>
        <w:tc>
          <w:p w14:paraId="00100098" w14:textId="00100099">
            <w:r>
              <w:t xml:space="preserve">Ciclo de feedback mais rápido para validação da ideia</w:t>
            </w:r>
          </w:p>
        </w:tc>
        <w:tc>
          <w:p w14:paraId="0010009A" w14:textId="0010009B">
            <w:r>
              <w:t xml:space="preserve">Tempo de build e deploy cresce com o tamanho da aplicação</w:t>
            </w:r>
          </w:p>
        </w:tc>
      </w:tr>
    </w:tbl>
    <w:p w14:paraId="0010009C" w14:textId="0010009D">
      <w:pPr>
        <w:pStyle w:val="Normal"/>
        <w:spacing w:before="80" w:after="240"/>
      </w:pPr>
      <w:r>
        <w:rPr>
          <w:rFonts w:ascii="Times New Roman" w:hAnsi="Times New Roman" w:eastAsia="Times New Roman"/>
          <w:i/>
          <w:sz w:val="22"/>
        </w:rPr>
        <w:t xml:space="preserve">Fonte: Os autores (2026).</w:t>
      </w:r>
    </w:p>
    <w:p w14:paraId="0010009E" w14:textId="0010009F">
      <w:pPr>
        <w:pStyle w:val="Normal"/>
        <w:pageBreakBefore/>
      </w:pPr>
      <w:r>
        <w:rPr>
          <w:rFonts w:ascii="Times New Roman" w:hAnsi="Times New Roman" w:eastAsia="Times New Roman"/>
          <w:sz w:val="24"/>
        </w:rPr>
        <w:t xml:space="preserve"> </w:t>
      </w:r>
    </w:p>
    <w:p w14:paraId="001000A0" w14:textId="001000A1">
      <w:pPr>
        <w:pStyle w:val="Heading1"/>
        <w:spacing w:before="0" w:after="240"/>
      </w:pPr>
      <w:r>
        <w:rPr>
          <w:rFonts w:ascii="Times New Roman" w:hAnsi="Times New Roman" w:eastAsia="Times New Roman"/>
          <w:b/>
          <w:sz w:val="24"/>
        </w:rPr>
        <w:t xml:space="preserve">3 ANÁLISE DOS 12 FATORES (12-FACTOR APP)</w:t>
      </w:r>
    </w:p>
    <w:p w14:paraId="001000A2" w14:textId="001000A3">
      <w:pPr>
        <w:pStyle w:val="Normal"/>
        <w:spacing w:after="240"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A metodologia 12-Factor App (WIGGINS, 2012) define doze princípios para aplicações modernas em nuvem. O Quadro 3 apresenta a avaliação de cada fator aplicada ao ToggleMaster, com base na análise direta do código-fonte.</w:t>
      </w:r>
    </w:p>
    <w:p w14:paraId="001000A4" w14:textId="001000A5">
      <w:pPr>
        <w:pStyle w:val="Normal"/>
        <w:spacing w:before="240" w:after="120"/>
        <w:jc w:val="center"/>
      </w:pPr>
      <w:r>
        <w:rPr>
          <w:rFonts w:ascii="Times New Roman" w:hAnsi="Times New Roman" w:eastAsia="Times New Roman"/>
          <w:b/>
          <w:sz w:val="22"/>
        </w:rPr>
        <w:t xml:space="preserve">Quadro 3 – Avaliação dos 12 Fatores aplicados ao ToggleMaster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540"/>
        <w:gridCol w:w="1620"/>
        <w:gridCol w:w="1260"/>
        <w:gridCol w:w="5580"/>
      </w:tblGrid>
      <w:tr>
        <w:trPr>
          <w:tblHeader/>
        </w:trPr>
        <w:tc>
          <w:p w14:paraId="001000A6" w14:textId="001000A7">
            <w:r>
              <w:t xml:space="preserve">#</w:t>
            </w:r>
          </w:p>
        </w:tc>
        <w:tc>
          <w:p w14:paraId="001000A8" w14:textId="001000A9">
            <w:r>
              <w:t xml:space="preserve">Fator</w:t>
            </w:r>
          </w:p>
        </w:tc>
        <w:tc>
          <w:p w14:paraId="001000AA" w14:textId="001000AB">
            <w:r>
              <w:t xml:space="preserve">Status</w:t>
            </w:r>
          </w:p>
        </w:tc>
        <w:tc>
          <w:p w14:paraId="001000AC" w14:textId="001000AD">
            <w:r>
              <w:t xml:space="preserve">Análise e recomendação de melhoria</w:t>
            </w:r>
          </w:p>
        </w:tc>
      </w:tr>
      <w:tr>
        <w:trPr/>
        <w:tc>
          <w:p w14:paraId="001000AE" w14:textId="001000AF">
            <w:r>
              <w:t xml:space="preserve">I</w:t>
            </w:r>
          </w:p>
        </w:tc>
        <w:tc>
          <w:p w14:paraId="001000B0" w14:textId="001000B1">
            <w:r>
              <w:t xml:space="preserve">Codebase</w:t>
            </w:r>
          </w:p>
        </w:tc>
        <w:tc>
          <w:p w14:paraId="001000B2" w14:textId="001000B3">
            <w:r>
              <w:t xml:space="preserve">Atende</w:t>
            </w:r>
          </w:p>
        </w:tc>
        <w:tc>
          <w:p w14:paraId="001000B4" w14:textId="001000B5">
            <w:r>
              <w:t xml:space="preserve">Único repositório Git no GitHub. Múltiplos deploys (local e AWS) partem da mesma fonte.</w:t>
            </w:r>
          </w:p>
        </w:tc>
      </w:tr>
      <w:tr>
        <w:trPr/>
        <w:tc>
          <w:p w14:paraId="001000B6" w14:textId="001000B7">
            <w:r>
              <w:t xml:space="preserve">II</w:t>
            </w:r>
          </w:p>
        </w:tc>
        <w:tc>
          <w:p w14:paraId="001000B8" w14:textId="001000B9">
            <w:r>
              <w:t xml:space="preserve">Dependencies</w:t>
            </w:r>
          </w:p>
        </w:tc>
        <w:tc>
          <w:p w14:paraId="001000BA" w14:textId="001000BB">
            <w:r>
              <w:t xml:space="preserve">Atende</w:t>
            </w:r>
          </w:p>
        </w:tc>
        <w:tc>
          <w:p w14:paraId="001000BC" w14:textId="001000BD">
            <w:r>
              <w:t xml:space="preserve">requirements.txt declara Flask, Gunicorn e psycopg2-binary com versões fixas. Ambiente virtual Python isola dependências.</w:t>
            </w:r>
          </w:p>
        </w:tc>
      </w:tr>
      <w:tr>
        <w:trPr/>
        <w:tc>
          <w:p w14:paraId="001000BE" w14:textId="001000BF">
            <w:r>
              <w:t xml:space="preserve">III</w:t>
            </w:r>
          </w:p>
        </w:tc>
        <w:tc>
          <w:p w14:paraId="001000C0" w14:textId="001000C1">
            <w:r>
              <w:t xml:space="preserve">Config</w:t>
            </w:r>
          </w:p>
        </w:tc>
        <w:tc>
          <w:p w14:paraId="001000C2" w14:textId="001000C3">
            <w:r>
              <w:t xml:space="preserve">Atende</w:t>
            </w:r>
          </w:p>
        </w:tc>
        <w:tc>
          <w:p w14:paraId="001000C4" w14:textId="001000C5">
            <w:r>
              <w:t xml:space="preserve">Todas as configs de banco lidas via os.getenv(). Sem credenciais hardcoded. Melhoria: adicionar validação de vars obrigatórias no startup.</w:t>
            </w:r>
          </w:p>
        </w:tc>
      </w:tr>
      <w:tr>
        <w:trPr/>
        <w:tc>
          <w:p w14:paraId="001000C6" w14:textId="001000C7">
            <w:r>
              <w:t xml:space="preserve">IV</w:t>
            </w:r>
          </w:p>
        </w:tc>
        <w:tc>
          <w:p w14:paraId="001000C8" w14:textId="001000C9">
            <w:r>
              <w:t xml:space="preserve">Backing Services</w:t>
            </w:r>
          </w:p>
        </w:tc>
        <w:tc>
          <w:p w14:paraId="001000CA" w14:textId="001000CB">
            <w:r>
              <w:t xml:space="preserve">Atende</w:t>
            </w:r>
          </w:p>
        </w:tc>
        <w:tc>
          <w:p w14:paraId="001000CC" w14:textId="001000CD">
            <w:r>
              <w:t xml:space="preserve">PostgreSQL tratado como serviço externo. Troca do banco local pelo RDS não exigiu alteração de código.</w:t>
            </w:r>
          </w:p>
        </w:tc>
      </w:tr>
      <w:tr>
        <w:trPr/>
        <w:tc>
          <w:p w14:paraId="001000CE" w14:textId="001000CF">
            <w:r>
              <w:t xml:space="preserve">V</w:t>
            </w:r>
          </w:p>
        </w:tc>
        <w:tc>
          <w:p w14:paraId="001000D0" w14:textId="001000D1">
            <w:r>
              <w:t xml:space="preserve">Build/Release/Run</w:t>
            </w:r>
          </w:p>
        </w:tc>
        <w:tc>
          <w:p w14:paraId="001000D2" w14:textId="001000D3">
            <w:r>
              <w:t xml:space="preserve">Parcial</w:t>
            </w:r>
          </w:p>
        </w:tc>
        <w:tc>
          <w:p w14:paraId="001000D4" w14:textId="001000D5">
            <w:r>
              <w:t xml:space="preserve">Dockerfile separa o build. Release e run são manuais via SSH. Melhoria: pipeline CI/CD (GitHub Actions) nas fases seguintes.</w:t>
            </w:r>
          </w:p>
        </w:tc>
      </w:tr>
      <w:tr>
        <w:trPr/>
        <w:tc>
          <w:p w14:paraId="001000D6" w14:textId="001000D7">
            <w:r>
              <w:t xml:space="preserve">VI</w:t>
            </w:r>
          </w:p>
        </w:tc>
        <w:tc>
          <w:p w14:paraId="001000D8" w14:textId="001000D9">
            <w:r>
              <w:t xml:space="preserve">Processes</w:t>
            </w:r>
          </w:p>
        </w:tc>
        <w:tc>
          <w:p w14:paraId="001000DA" w14:textId="001000DB">
            <w:r>
              <w:t xml:space="preserve">Atende</w:t>
            </w:r>
          </w:p>
        </w:tc>
        <w:tc>
          <w:p w14:paraId="001000DC" w14:textId="001000DD">
            <w:r>
              <w:t xml:space="preserve">Aplicação sem estado em memória entre requisições. Toda persistência no PostgreSQL. Várias instâncias poderiam coexistir sem conflito.</w:t>
            </w:r>
          </w:p>
        </w:tc>
      </w:tr>
      <w:tr>
        <w:trPr/>
        <w:tc>
          <w:p w14:paraId="001000DE" w14:textId="001000DF">
            <w:r>
              <w:t xml:space="preserve">VII</w:t>
            </w:r>
          </w:p>
        </w:tc>
        <w:tc>
          <w:p w14:paraId="001000E0" w14:textId="001000E1">
            <w:r>
              <w:t xml:space="preserve">Port Binding</w:t>
            </w:r>
          </w:p>
        </w:tc>
        <w:tc>
          <w:p w14:paraId="001000E2" w14:textId="001000E3">
            <w:r>
              <w:t xml:space="preserve">Atende</w:t>
            </w:r>
          </w:p>
        </w:tc>
        <w:tc>
          <w:p w14:paraId="001000E4" w14:textId="001000E5">
            <w:r>
              <w:t xml:space="preserve">Gunicorn expõe a aplicação na porta 5000 via --bind 0.0.0.0:5000 sem dependência de servidor externo.</w:t>
            </w:r>
          </w:p>
        </w:tc>
      </w:tr>
      <w:tr>
        <w:trPr/>
        <w:tc>
          <w:p w14:paraId="001000E6" w14:textId="001000E7">
            <w:r>
              <w:t xml:space="preserve">VIII</w:t>
            </w:r>
          </w:p>
        </w:tc>
        <w:tc>
          <w:p w14:paraId="001000E8" w14:textId="001000E9">
            <w:r>
              <w:t xml:space="preserve">Concurrency</w:t>
            </w:r>
          </w:p>
        </w:tc>
        <w:tc>
          <w:p w14:paraId="001000EA" w14:textId="001000EB">
            <w:r>
              <w:t xml:space="preserve">Parcial</w:t>
            </w:r>
          </w:p>
        </w:tc>
        <w:tc>
          <w:p w14:paraId="001000EC" w14:textId="001000ED">
            <w:r>
              <w:t xml:space="preserve">Gunicorn suporta múltiplos workers mas não foram configurados (padrão: 1 worker síncrono). Melhoria: --workers $(nproc).</w:t>
            </w:r>
          </w:p>
        </w:tc>
      </w:tr>
      <w:tr>
        <w:trPr/>
        <w:tc>
          <w:p w14:paraId="001000EE" w14:textId="001000EF">
            <w:r>
              <w:t xml:space="preserve">IX</w:t>
            </w:r>
          </w:p>
        </w:tc>
        <w:tc>
          <w:p w14:paraId="001000F0" w14:textId="001000F1">
            <w:r>
              <w:t xml:space="preserve">Disposability</w:t>
            </w:r>
          </w:p>
        </w:tc>
        <w:tc>
          <w:p w14:paraId="001000F2" w14:textId="001000F3">
            <w:r>
              <w:t xml:space="preserve">Parcial</w:t>
            </w:r>
          </w:p>
        </w:tc>
        <w:tc>
          <w:p w14:paraId="001000F4" w14:textId="001000F5">
            <w:r>
              <w:t xml:space="preserve">Shutdown gracioso via Gunicorn, mas sem gerenciador de processos. Melhoria: configurar systemd para reinicialização automática.</w:t>
            </w:r>
          </w:p>
        </w:tc>
      </w:tr>
      <w:tr>
        <w:trPr/>
        <w:tc>
          <w:p w14:paraId="001000F6" w14:textId="001000F7">
            <w:r>
              <w:t xml:space="preserve">X</w:t>
            </w:r>
          </w:p>
        </w:tc>
        <w:tc>
          <w:p w14:paraId="001000F8" w14:textId="001000F9">
            <w:r>
              <w:t xml:space="preserve">Dev/Prod Parity</w:t>
            </w:r>
          </w:p>
        </w:tc>
        <w:tc>
          <w:p w14:paraId="001000FA" w14:textId="001000FB">
            <w:r>
              <w:t xml:space="preserve">Nao atende</w:t>
            </w:r>
          </w:p>
        </w:tc>
        <w:tc>
          <w:p w14:paraId="001000FC" w14:textId="001000FD">
            <w:r>
              <w:t xml:space="preserve">Dev usa Docker Compose; produção usa EC2 sem Docker. Ambientes divergem. Melhoria: usar Docker também na EC2 nas próximas fases.</w:t>
            </w:r>
          </w:p>
        </w:tc>
      </w:tr>
      <w:tr>
        <w:trPr/>
        <w:tc>
          <w:p w14:paraId="001000FE" w14:textId="001000FF">
            <w:r>
              <w:t xml:space="preserve">XI</w:t>
            </w:r>
          </w:p>
        </w:tc>
        <w:tc>
          <w:p w14:paraId="00100100" w14:textId="00100101">
            <w:r>
              <w:t xml:space="preserve">Logs</w:t>
            </w:r>
          </w:p>
        </w:tc>
        <w:tc>
          <w:p w14:paraId="00100102" w14:textId="00100103">
            <w:r>
              <w:t xml:space="preserve">Nao atende</w:t>
            </w:r>
          </w:p>
        </w:tc>
        <w:tc>
          <w:p w14:paraId="00100104" w14:textId="00100105">
            <w:r>
              <w:t xml:space="preserve">Aplicação usa print() para diagnósticos. Sem logging estruturado ou streams. Melhoria: substituir por logging.getLogger() com saída em stdout.</w:t>
            </w:r>
          </w:p>
        </w:tc>
      </w:tr>
      <w:tr>
        <w:trPr/>
        <w:tc>
          <w:p w14:paraId="00100106" w14:textId="00100107">
            <w:r>
              <w:t xml:space="preserve">XII</w:t>
            </w:r>
          </w:p>
        </w:tc>
        <w:tc>
          <w:p w14:paraId="00100108" w14:textId="00100109">
            <w:r>
              <w:t xml:space="preserve">Admin Processes</w:t>
            </w:r>
          </w:p>
        </w:tc>
        <w:tc>
          <w:p w14:paraId="0010010A" w14:textId="0010010B">
            <w:r>
              <w:t xml:space="preserve">Atende</w:t>
            </w:r>
          </w:p>
        </w:tc>
        <w:tc>
          <w:p w14:paraId="0010010C" w14:textId="0010010D">
            <w:r>
              <w:t xml:space="preserve">Inicialização do banco implementada como comando CLI Flask (flask init-db), executado isoladamente no mesmo ambiente da aplicação.</w:t>
            </w:r>
          </w:p>
        </w:tc>
      </w:tr>
    </w:tbl>
    <w:p w14:paraId="0010010E" w14:textId="0010010F">
      <w:pPr>
        <w:pStyle w:val="Normal"/>
        <w:spacing w:before="80" w:after="240"/>
      </w:pPr>
      <w:r>
        <w:rPr>
          <w:rFonts w:ascii="Times New Roman" w:hAnsi="Times New Roman" w:eastAsia="Times New Roman"/>
          <w:i/>
          <w:sz w:val="22"/>
        </w:rPr>
        <w:t xml:space="preserve">Fonte: Os autores, com base em análise do código do repositório toggle-master-monolith e em WIGGINS (2012).</w:t>
      </w:r>
    </w:p>
    <w:p w14:paraId="00100110" w14:textId="00100111">
      <w:pPr>
        <w:pStyle w:val="Normal"/>
        <w:spacing w:after="240"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Em síntese: 7 fatores atendidos integralmente, 3 atendidos parcialmente, 2 não atendidos (Dev/Prod Parity e Logs). Esses dois serão endereçados nas fases seguintes com containerização e logging estruturado.</w:t>
      </w:r>
    </w:p>
    <w:p w14:paraId="00100112" w14:textId="00100113">
      <w:pPr>
        <w:pStyle w:val="Normal"/>
        <w:pageBreakBefore/>
      </w:pPr>
      <w:r>
        <w:rPr>
          <w:rFonts w:ascii="Times New Roman" w:hAnsi="Times New Roman" w:eastAsia="Times New Roman"/>
          <w:sz w:val="24"/>
        </w:rPr>
        <w:t xml:space="preserve"> </w:t>
      </w:r>
    </w:p>
    <w:p w14:paraId="00100114" w14:textId="00100115">
      <w:pPr>
        <w:pStyle w:val="Heading1"/>
        <w:spacing w:before="0" w:after="240"/>
      </w:pPr>
      <w:r>
        <w:rPr>
          <w:rFonts w:ascii="Times New Roman" w:hAnsi="Times New Roman" w:eastAsia="Times New Roman"/>
          <w:b/>
          <w:sz w:val="24"/>
        </w:rPr>
        <w:t xml:space="preserve">4 ARQUITETURA NA AWS</w:t>
      </w:r>
    </w:p>
    <w:p w14:paraId="00100116" w14:textId="00100117">
      <w:pPr>
        <w:pStyle w:val="Heading2"/>
        <w:spacing w:before="240" w:after="240"/>
      </w:pPr>
      <w:r>
        <w:rPr>
          <w:rFonts w:ascii="Times New Roman" w:hAnsi="Times New Roman" w:eastAsia="Times New Roman"/>
          <w:b/>
          <w:sz w:val="24"/>
        </w:rPr>
        <w:t xml:space="preserve">4.1 Componentes provisionados</w:t>
      </w:r>
    </w:p>
    <w:p w14:paraId="00100118" w14:textId="00100119">
      <w:pPr>
        <w:pStyle w:val="Normal"/>
        <w:spacing w:after="240"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Toda a infraestrutura foi provisionada manualmente no Console AWS, região us-east-1 (N. Virginia). O modelo adota isolamento de rede entre camadas pública (EC2) e privada (RDS), conforme o Quadro 4.</w:t>
      </w:r>
    </w:p>
    <w:p w14:paraId="0010011A" w14:textId="0010011B">
      <w:pPr>
        <w:pStyle w:val="Normal"/>
        <w:spacing w:before="240" w:after="120"/>
        <w:jc w:val="center"/>
      </w:pPr>
      <w:r>
        <w:rPr>
          <w:rFonts w:ascii="Times New Roman" w:hAnsi="Times New Roman" w:eastAsia="Times New Roman"/>
          <w:b/>
          <w:sz w:val="22"/>
        </w:rPr>
        <w:t xml:space="preserve">Quadro 4 – Recursos AWS provisionados para o ToggleMaster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160"/>
        <w:gridCol w:w="2520"/>
        <w:gridCol w:w="4320"/>
      </w:tblGrid>
      <w:tr>
        <w:trPr>
          <w:tblHeader/>
        </w:trPr>
        <w:tc>
          <w:p w14:paraId="0010011C" w14:textId="0010011D">
            <w:r>
              <w:t xml:space="preserve">Recurso</w:t>
            </w:r>
          </w:p>
        </w:tc>
        <w:tc>
          <w:p w14:paraId="0010011E" w14:textId="0010011F">
            <w:r>
              <w:t xml:space="preserve">Identificador</w:t>
            </w:r>
          </w:p>
        </w:tc>
        <w:tc>
          <w:p w14:paraId="00100120" w14:textId="00100121">
            <w:r>
              <w:t xml:space="preserve">Configuração</w:t>
            </w:r>
          </w:p>
        </w:tc>
      </w:tr>
      <w:tr>
        <w:trPr/>
        <w:tc>
          <w:p w14:paraId="00100122" w14:textId="00100123">
            <w:r>
              <w:t xml:space="preserve">VPC</w:t>
            </w:r>
          </w:p>
        </w:tc>
        <w:tc>
          <w:p w14:paraId="00100124" w14:textId="00100125">
            <w:r>
              <w:t xml:space="preserve">togglemaster-vpc</w:t>
            </w:r>
          </w:p>
        </w:tc>
        <w:tc>
          <w:p w14:paraId="00100126" w14:textId="00100127">
            <w:r>
              <w:t xml:space="preserve">CIDR: 10.0.0.0/16 | Região: us-east-1</w:t>
            </w:r>
          </w:p>
        </w:tc>
      </w:tr>
      <w:tr>
        <w:trPr/>
        <w:tc>
          <w:p w14:paraId="00100128" w14:textId="00100129">
            <w:r>
              <w:t xml:space="preserve">Sub-rede Pública</w:t>
            </w:r>
          </w:p>
        </w:tc>
        <w:tc>
          <w:p w14:paraId="0010012A" w14:textId="0010012B">
            <w:r>
              <w:t xml:space="preserve">togglemaster-public</w:t>
            </w:r>
          </w:p>
        </w:tc>
        <w:tc>
          <w:p w14:paraId="0010012C" w14:textId="0010012D">
            <w:r>
              <w:t xml:space="preserve">10.0.1.0/24 | AZ: us-east-1a | IP público habilitado</w:t>
            </w:r>
          </w:p>
        </w:tc>
      </w:tr>
      <w:tr>
        <w:trPr/>
        <w:tc>
          <w:p w14:paraId="0010012E" w14:textId="0010012F">
            <w:r>
              <w:t xml:space="preserve">Sub-rede Privada</w:t>
            </w:r>
          </w:p>
        </w:tc>
        <w:tc>
          <w:p w14:paraId="00100130" w14:textId="00100131">
            <w:r>
              <w:t xml:space="preserve">togglemaster-private</w:t>
            </w:r>
          </w:p>
        </w:tc>
        <w:tc>
          <w:p w14:paraId="00100132" w14:textId="00100133">
            <w:r>
              <w:t xml:space="preserve">10.0.2.0/24 | AZ: us-east-1b | Sem IP público</w:t>
            </w:r>
          </w:p>
        </w:tc>
      </w:tr>
      <w:tr>
        <w:trPr/>
        <w:tc>
          <w:p w14:paraId="00100134" w14:textId="00100135">
            <w:r>
              <w:t xml:space="preserve">Internet Gateway</w:t>
            </w:r>
          </w:p>
        </w:tc>
        <w:tc>
          <w:p w14:paraId="00100136" w14:textId="00100137">
            <w:r>
              <w:t xml:space="preserve">togglemaster-igw</w:t>
            </w:r>
          </w:p>
        </w:tc>
        <w:tc>
          <w:p w14:paraId="00100138" w14:textId="00100139">
            <w:r>
              <w:t xml:space="preserve">Associado à togglemaster-vpc</w:t>
            </w:r>
          </w:p>
        </w:tc>
      </w:tr>
      <w:tr>
        <w:trPr/>
        <w:tc>
          <w:p w14:paraId="0010013A" w14:textId="0010013B">
            <w:r>
              <w:t xml:space="preserve">Route Table</w:t>
            </w:r>
          </w:p>
        </w:tc>
        <w:tc>
          <w:p w14:paraId="0010013C" w14:textId="0010013D">
            <w:r>
              <w:t xml:space="preserve">togglemaster-rt-public</w:t>
            </w:r>
          </w:p>
        </w:tc>
        <w:tc>
          <w:p w14:paraId="0010013E" w14:textId="0010013F">
            <w:r>
              <w:t xml:space="preserve">Rota 0.0.0.0/0 → togglemaster-igw | Sub-rede pública</w:t>
            </w:r>
          </w:p>
        </w:tc>
      </w:tr>
      <w:tr>
        <w:trPr/>
        <w:tc>
          <w:p w14:paraId="00100140" w14:textId="00100141">
            <w:r>
              <w:t xml:space="preserve">SG – EC2</w:t>
            </w:r>
          </w:p>
        </w:tc>
        <w:tc>
          <w:p w14:paraId="00100142" w14:textId="00100143">
            <w:r>
              <w:t xml:space="preserve">sg-ec2-togglemaster</w:t>
            </w:r>
          </w:p>
        </w:tc>
        <w:tc>
          <w:p w14:paraId="00100144" w14:textId="00100145">
            <w:r>
              <w:t xml:space="preserve">Inbound: TCP 22 (SSH grupo), TCP 5000 (0.0.0.0/0) | Outbound: All</w:t>
            </w:r>
          </w:p>
        </w:tc>
      </w:tr>
      <w:tr>
        <w:trPr/>
        <w:tc>
          <w:p w14:paraId="00100146" w14:textId="00100147">
            <w:r>
              <w:t xml:space="preserve">SG – RDS</w:t>
            </w:r>
          </w:p>
        </w:tc>
        <w:tc>
          <w:p w14:paraId="00100148" w14:textId="00100149">
            <w:r>
              <w:t xml:space="preserve">sg-rds-togglemaster</w:t>
            </w:r>
          </w:p>
        </w:tc>
        <w:tc>
          <w:p w14:paraId="0010014A" w14:textId="0010014B">
            <w:r>
              <w:t xml:space="preserve">Inbound: TCP 5432 somente de sg-ec2-togglemaster | Outbound: All</w:t>
            </w:r>
          </w:p>
        </w:tc>
      </w:tr>
      <w:tr>
        <w:trPr/>
        <w:tc>
          <w:p w14:paraId="0010014C" w14:textId="0010014D">
            <w:r>
              <w:t xml:space="preserve">EC2 Instance</w:t>
            </w:r>
          </w:p>
        </w:tc>
        <w:tc>
          <w:p w14:paraId="0010014E" w14:textId="0010014F">
            <w:r>
              <w:t xml:space="preserve">togglemaster-ec2</w:t>
            </w:r>
          </w:p>
        </w:tc>
        <w:tc>
          <w:p w14:paraId="00100150" w14:textId="00100151">
            <w:r>
              <w:t xml:space="preserve">Amazon Linux 2023 | t3.micro | Sub-rede pública</w:t>
            </w:r>
          </w:p>
        </w:tc>
      </w:tr>
      <w:tr>
        <w:trPr/>
        <w:tc>
          <w:p w14:paraId="00100152" w14:textId="00100153">
            <w:r>
              <w:t xml:space="preserve">RDS PostgreSQL</w:t>
            </w:r>
          </w:p>
        </w:tc>
        <w:tc>
          <w:p w14:paraId="00100154" w14:textId="00100155">
            <w:r>
              <w:t xml:space="preserve">togglemaster-db</w:t>
            </w:r>
          </w:p>
        </w:tc>
        <w:tc>
          <w:p w14:paraId="00100156" w14:textId="00100157">
            <w:r>
              <w:t xml:space="preserve">PostgreSQL 15 | db.t3.micro | 20 GB gp2 | Sub-rede privada | Acesso público: Não</w:t>
            </w:r>
          </w:p>
        </w:tc>
      </w:tr>
    </w:tbl>
    <w:p w14:paraId="00100158" w14:textId="00100159">
      <w:pPr>
        <w:pStyle w:val="Normal"/>
        <w:spacing w:before="80" w:after="240"/>
      </w:pPr>
      <w:r>
        <w:rPr>
          <w:rFonts w:ascii="Times New Roman" w:hAnsi="Times New Roman" w:eastAsia="Times New Roman"/>
          <w:i/>
          <w:sz w:val="22"/>
        </w:rPr>
        <w:t xml:space="preserve">Fonte: Os autores (2026).</w:t>
      </w:r>
    </w:p>
    <w:p w14:paraId="0010015A" w14:textId="0010015B">
      <w:pPr>
        <w:pStyle w:val="Heading2"/>
        <w:spacing w:before="240" w:after="240"/>
      </w:pPr>
      <w:r>
        <w:rPr>
          <w:rFonts w:ascii="Times New Roman" w:hAnsi="Times New Roman" w:eastAsia="Times New Roman"/>
          <w:b/>
          <w:sz w:val="24"/>
        </w:rPr>
        <w:t xml:space="preserve">4.2 Diagrama de arquitetura</w:t>
      </w:r>
    </w:p>
    <w:p w14:paraId="0010015C" w14:textId="0010015D">
      <w:pPr>
        <w:pStyle w:val="Normal"/>
        <w:spacing w:after="240"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A Figura 1 apresenta o diagrama de arquitetura no padrão oficial AWS Architecture Icons, ilustrando o isolamento de rede, o fluxo de tráfego via Internet Gateway e as regras de Security Group.</w:t>
      </w:r>
    </w:p>
    <w:p w14:paraId="0010015E" w14:textId="0010015F">
      <w:pPr>
        <w:pStyle w:val="Normal"/>
        <w:spacing w:before="240" w:after="120"/>
        <w:jc w:val="center"/>
      </w:pPr>
      <w:r>
        <w:rPr>
          <w:rFonts w:ascii="Times New Roman" w:hAnsi="Times New Roman" w:eastAsia="Times New Roman"/>
          <w:b/>
          <w:sz w:val="22"/>
        </w:rPr>
        <w:t xml:space="preserve">Figura 1 – Diagrama de Arquitetura AWS – ToggleMaster</w:t>
      </w:r>
    </w:p>
    <w:p w14:paraId="00100160" w14:textId="00100161">
      <w:pPr>
        <w:pStyle w:val="Normal"/>
        <w:spacing w:before="120" w:after="120"/>
        <w:jc w:val="center"/>
      </w:pPr>
      <w:r>
        <w:rPr>
          <w:rFonts w:ascii="Times New Roman" w:hAnsi="Times New Roman" w:eastAsia="Times New Roman"/>
          <w:i/>
          <w:color w:val="CC0000"/>
          <w:sz w:val="22"/>
        </w:rPr>
        <w:t xml:space="preserve">[INSERIR AQUI o PNG exportado do arquivo diagrama-aws.html — abra no Chrome, clique em 'Salvar como PNG', depois insira a imagem neste ponto]</w:t>
      </w:r>
    </w:p>
    <w:p w14:paraId="00100162" w14:textId="00100163">
      <w:pPr>
        <w:pStyle w:val="Normal"/>
        <w:spacing w:before="80" w:after="240"/>
        <w:jc w:val="center"/>
      </w:pPr>
      <w:r>
        <w:rPr>
          <w:rFonts w:ascii="Times New Roman" w:hAnsi="Times New Roman" w:eastAsia="Times New Roman"/>
          <w:i/>
          <w:sz w:val="22"/>
        </w:rPr>
        <w:t xml:space="preserve">Fonte: Os autores (2026). Ícones: AWS Architecture Icons – padrão oficial (Amazon Web Services, Inc.).</w:t>
      </w:r>
    </w:p>
    <w:p w14:paraId="00100164" w14:textId="00100165">
      <w:pPr>
        <w:pStyle w:val="Heading2"/>
        <w:spacing w:before="240" w:after="240"/>
      </w:pPr>
      <w:r>
        <w:rPr>
          <w:rFonts w:ascii="Times New Roman" w:hAnsi="Times New Roman" w:eastAsia="Times New Roman"/>
          <w:b/>
          <w:sz w:val="24"/>
        </w:rPr>
        <w:t xml:space="preserve">4.3 Decisões de arquitetura e segurança</w:t>
      </w:r>
    </w:p>
    <w:p w14:paraId="00100166" w14:textId="00100167">
      <w:pPr>
        <w:pStyle w:val="Normal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a) Sub-redes segregadas: EC2 na sub-rede pública (acesso via Internet Gateway); RDS na sub-rede privada, sem endereço IP público – menor superfície de ataque.</w:t>
      </w:r>
    </w:p>
    <w:p w14:paraId="00100168" w14:textId="00100169">
      <w:pPr>
        <w:pStyle w:val="Normal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b) Security Groups baseados em referência: o sg-rds-togglemaster aceita TCP 5432 somente do ID do sg-ec2-togglemaster, não de um CIDR. Qualquer IP não pertencente à EC2 é bloqueado automaticamente.</w:t>
      </w:r>
    </w:p>
    <w:p w14:paraId="0010016A" w14:textId="0010016B">
      <w:pPr>
        <w:pStyle w:val="Normal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c) Porta 5000 no Security Group: a aplicação Flask/Gunicorn escuta na porta 5000. O SG-EC2 foi configurado para essa porta (não para HTTP/80).</w:t>
      </w:r>
    </w:p>
    <w:p w14:paraId="0010016C" w14:textId="0010016D">
      <w:pPr>
        <w:pStyle w:val="Normal"/>
        <w:spacing w:after="240"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d) SSH restrito: porta 22 permitida apenas para os IPs cadastrados do grupo, sem exposição genérica à Internet.</w:t>
      </w:r>
    </w:p>
    <w:p w14:paraId="0010016E" w14:textId="0010016F">
      <w:pPr>
        <w:pStyle w:val="Normal"/>
        <w:pageBreakBefore/>
      </w:pPr>
      <w:r>
        <w:rPr>
          <w:rFonts w:ascii="Times New Roman" w:hAnsi="Times New Roman" w:eastAsia="Times New Roman"/>
          <w:sz w:val="24"/>
        </w:rPr>
        <w:t xml:space="preserve"> </w:t>
      </w:r>
    </w:p>
    <w:p w14:paraId="00100170" w14:textId="00100171">
      <w:pPr>
        <w:pStyle w:val="Heading1"/>
        <w:spacing w:before="0" w:after="240"/>
      </w:pPr>
      <w:r>
        <w:rPr>
          <w:rFonts w:ascii="Times New Roman" w:hAnsi="Times New Roman" w:eastAsia="Times New Roman"/>
          <w:b/>
          <w:sz w:val="24"/>
        </w:rPr>
        <w:t xml:space="preserve">5 ESTIMATIVA DE CUSTOS</w:t>
      </w:r>
    </w:p>
    <w:p w14:paraId="00100172" w14:textId="00100173">
      <w:pPr>
        <w:pStyle w:val="Normal"/>
        <w:spacing w:after="240"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A estimativa foi gerada na AWS Pricing Calculator (https://calculator.aws), região us-east-1, considerando os recursos do MVP, conforme o Quadro 5.</w:t>
      </w:r>
    </w:p>
    <w:p w14:paraId="00100174" w14:textId="00100175">
      <w:pPr>
        <w:pStyle w:val="Normal"/>
        <w:spacing w:before="240" w:after="120"/>
        <w:jc w:val="center"/>
      </w:pPr>
      <w:r>
        <w:rPr>
          <w:rFonts w:ascii="Times New Roman" w:hAnsi="Times New Roman" w:eastAsia="Times New Roman"/>
          <w:b/>
          <w:sz w:val="22"/>
        </w:rPr>
        <w:t xml:space="preserve">Quadro 5 – Estimativa de custo mensal da arquitetura ToggleMaster na AWS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2700"/>
        <w:gridCol w:w="2430"/>
        <w:gridCol w:w="2070"/>
      </w:tblGrid>
      <w:tr>
        <w:trPr>
          <w:tblHeader/>
        </w:trPr>
        <w:tc>
          <w:p w14:paraId="00100176" w14:textId="00100177">
            <w:r>
              <w:t xml:space="preserve">Serviço</w:t>
            </w:r>
          </w:p>
        </w:tc>
        <w:tc>
          <w:p w14:paraId="00100178" w14:textId="00100179">
            <w:r>
              <w:t xml:space="preserve">Configuração</w:t>
            </w:r>
          </w:p>
        </w:tc>
        <w:tc>
          <w:p w14:paraId="0010017A" w14:textId="0010017B">
            <w:r>
              <w:t xml:space="preserve">Sem Free Tier</w:t>
            </w:r>
          </w:p>
        </w:tc>
        <w:tc>
          <w:p w14:paraId="0010017C" w14:textId="0010017D">
            <w:r>
              <w:t xml:space="preserve">Com Free Tier</w:t>
            </w:r>
          </w:p>
        </w:tc>
      </w:tr>
      <w:tr>
        <w:trPr/>
        <w:tc>
          <w:p w14:paraId="0010017E" w14:textId="0010017F">
            <w:r>
              <w:t xml:space="preserve">Amazon EC2</w:t>
            </w:r>
          </w:p>
        </w:tc>
        <w:tc>
          <w:p w14:paraId="00100180" w14:textId="00100181">
            <w:r>
              <w:t xml:space="preserve">t3.micro | Linux | 730h/mês</w:t>
            </w:r>
          </w:p>
        </w:tc>
        <w:tc>
          <w:p w14:paraId="00100182" w14:textId="00100183">
            <w:r>
              <w:t xml:space="preserve">~$8,47</w:t>
            </w:r>
          </w:p>
        </w:tc>
        <w:tc>
          <w:p w14:paraId="00100184" w14:textId="00100185">
            <w:r>
              <w:t xml:space="preserve">$0,00</w:t>
            </w:r>
          </w:p>
        </w:tc>
      </w:tr>
      <w:tr>
        <w:trPr/>
        <w:tc>
          <w:p w14:paraId="00100186" w14:textId="00100187">
            <w:r>
              <w:t xml:space="preserve">Amazon RDS</w:t>
            </w:r>
          </w:p>
        </w:tc>
        <w:tc>
          <w:p w14:paraId="00100188" w14:textId="00100189">
            <w:r>
              <w:t xml:space="preserve">db.t3.micro | PostgreSQL 15 | 20 GB</w:t>
            </w:r>
          </w:p>
        </w:tc>
        <w:tc>
          <w:p w14:paraId="0010018A" w14:textId="0010018B">
            <w:r>
              <w:t xml:space="preserve">~$16,79</w:t>
            </w:r>
          </w:p>
        </w:tc>
        <w:tc>
          <w:p w14:paraId="0010018C" w14:textId="0010018D">
            <w:r>
              <w:t xml:space="preserve">$0,00</w:t>
            </w:r>
          </w:p>
        </w:tc>
      </w:tr>
      <w:tr>
        <w:trPr/>
        <w:tc>
          <w:p w14:paraId="0010018E" w14:textId="0010018F">
            <w:r>
              <w:t xml:space="preserve">Data Transfer</w:t>
            </w:r>
          </w:p>
        </w:tc>
        <w:tc>
          <w:p w14:paraId="00100190" w14:textId="00100191">
            <w:r>
              <w:t xml:space="preserve">~1 GB/mês outbound</w:t>
            </w:r>
          </w:p>
        </w:tc>
        <w:tc>
          <w:p w14:paraId="00100192" w14:textId="00100193">
            <w:r>
              <w:t xml:space="preserve">~$0,09</w:t>
            </w:r>
          </w:p>
        </w:tc>
        <w:tc>
          <w:p w14:paraId="00100194" w14:textId="00100195">
            <w:r>
              <w:t xml:space="preserve">~$0,09</w:t>
            </w:r>
          </w:p>
        </w:tc>
      </w:tr>
      <w:tr>
        <w:trPr/>
        <w:tc>
          <w:p w14:paraId="00100196" w14:textId="00100197">
            <w:r>
              <w:t xml:space="preserve">Elastic IP</w:t>
            </w:r>
          </w:p>
        </w:tc>
        <w:tc>
          <w:p w14:paraId="00100198" w14:textId="00100199">
            <w:r>
              <w:t xml:space="preserve">1 EIP em instância running</w:t>
            </w:r>
          </w:p>
        </w:tc>
        <w:tc>
          <w:p w14:paraId="0010019A" w14:textId="0010019B">
            <w:r>
              <w:t xml:space="preserve">$0,00</w:t>
            </w:r>
          </w:p>
        </w:tc>
        <w:tc>
          <w:p w14:paraId="0010019C" w14:textId="0010019D">
            <w:r>
              <w:t xml:space="preserve">$0,00</w:t>
            </w:r>
          </w:p>
        </w:tc>
      </w:tr>
      <w:tr>
        <w:trPr/>
        <w:tc>
          <w:p w14:paraId="0010019E" w14:textId="0010019F">
            <w:r>
              <w:t xml:space="preserve">TOTAL</w:t>
            </w:r>
          </w:p>
        </w:tc>
        <w:tc>
          <w:p w14:paraId="001001A0" w14:textId="001001A1">
            <w:r>
              <w:t xml:space="preserve">—</w:t>
            </w:r>
          </w:p>
        </w:tc>
        <w:tc>
          <w:p w14:paraId="001001A2" w14:textId="001001A3">
            <w:r>
              <w:t xml:space="preserve">~$25,35/mês</w:t>
            </w:r>
          </w:p>
        </w:tc>
        <w:tc>
          <w:p w14:paraId="001001A4" w14:textId="001001A5">
            <w:r>
              <w:t xml:space="preserve">~$0,09/mês</w:t>
            </w:r>
          </w:p>
        </w:tc>
      </w:tr>
    </w:tbl>
    <w:p w14:paraId="001001A6" w14:textId="001001A7">
      <w:pPr>
        <w:pStyle w:val="Normal"/>
        <w:spacing w:before="80" w:after="240"/>
      </w:pPr>
      <w:r>
        <w:rPr>
          <w:rFonts w:ascii="Times New Roman" w:hAnsi="Times New Roman" w:eastAsia="Times New Roman"/>
          <w:i/>
          <w:sz w:val="22"/>
        </w:rPr>
        <w:t xml:space="preserve">Fonte: AWS Pricing Calculator – outubro de 2026. Link: [INSERIR LINK DA CALCULADORA]</w:t>
      </w:r>
    </w:p>
    <w:p w14:paraId="001001A8" w14:textId="001001A9">
      <w:pPr>
        <w:pStyle w:val="Normal"/>
        <w:spacing w:after="240"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No primeiro ano com Free Tier, o custo efetivo é de ~$0,09/mês (apenas transferência de dados). Após o período, ~$25,35/mês (~R$130,00 na cotação de outubro/2026).</w:t>
      </w:r>
    </w:p>
    <w:p w14:paraId="001001AA" w14:textId="001001AB">
      <w:pPr>
        <w:pStyle w:val="Normal"/>
        <w:spacing w:before="240" w:after="120"/>
        <w:jc w:val="center"/>
      </w:pPr>
      <w:r>
        <w:rPr>
          <w:rFonts w:ascii="Times New Roman" w:hAnsi="Times New Roman" w:eastAsia="Times New Roman"/>
          <w:b/>
          <w:sz w:val="22"/>
        </w:rPr>
        <w:t xml:space="preserve">Figura 2 – Print da AWS Pricing Calculator</w:t>
      </w:r>
    </w:p>
    <w:p w14:paraId="001001AC" w14:textId="001001AD">
      <w:pPr>
        <w:pStyle w:val="Normal"/>
        <w:spacing w:after="120"/>
        <w:jc w:val="center"/>
      </w:pPr>
      <w:r>
        <w:rPr>
          <w:rFonts w:ascii="Times New Roman" w:hAnsi="Times New Roman" w:eastAsia="Times New Roman"/>
          <w:i/>
          <w:color w:val="CC0000"/>
          <w:sz w:val="22"/>
        </w:rPr>
        <w:t xml:space="preserve">[INSERIR PRINT DA AWS PRICING CALCULATOR AQUI]</w:t>
      </w:r>
    </w:p>
    <w:p w14:paraId="001001AE" w14:textId="001001AF">
      <w:pPr>
        <w:pStyle w:val="Normal"/>
        <w:spacing w:before="80" w:after="240"/>
        <w:jc w:val="center"/>
      </w:pPr>
      <w:r>
        <w:rPr>
          <w:rFonts w:ascii="Times New Roman" w:hAnsi="Times New Roman" w:eastAsia="Times New Roman"/>
          <w:i/>
          <w:sz w:val="22"/>
        </w:rPr>
        <w:t xml:space="preserve">Fonte: Os autores (2026).</w:t>
      </w:r>
    </w:p>
    <w:p w14:paraId="001001B0" w14:textId="001001B1">
      <w:pPr>
        <w:pStyle w:val="Normal"/>
        <w:pageBreakBefore/>
      </w:pPr>
      <w:r>
        <w:rPr>
          <w:rFonts w:ascii="Times New Roman" w:hAnsi="Times New Roman" w:eastAsia="Times New Roman"/>
          <w:sz w:val="24"/>
        </w:rPr>
        <w:t xml:space="preserve"> </w:t>
      </w:r>
    </w:p>
    <w:p w14:paraId="001001B2" w14:textId="001001B3">
      <w:pPr>
        <w:pStyle w:val="Heading1"/>
        <w:spacing w:before="0" w:after="240"/>
      </w:pPr>
      <w:r>
        <w:rPr>
          <w:rFonts w:ascii="Times New Roman" w:hAnsi="Times New Roman" w:eastAsia="Times New Roman"/>
          <w:b/>
          <w:sz w:val="24"/>
        </w:rPr>
        <w:t xml:space="preserve">6 EXECUÇÃO E VALIDAÇÃO</w:t>
      </w:r>
    </w:p>
    <w:p w14:paraId="001001B4" w14:textId="001001B5">
      <w:pPr>
        <w:pStyle w:val="Heading2"/>
        <w:spacing w:before="240" w:after="240"/>
      </w:pPr>
      <w:r>
        <w:rPr>
          <w:rFonts w:ascii="Times New Roman" w:hAnsi="Times New Roman" w:eastAsia="Times New Roman"/>
          <w:b/>
          <w:sz w:val="24"/>
        </w:rPr>
        <w:t xml:space="preserve">6.1 Execução local com Docker</w:t>
      </w:r>
    </w:p>
    <w:p w14:paraId="001001B6" w14:textId="001001B7">
      <w:pPr>
        <w:pStyle w:val="Normal"/>
        <w:spacing w:after="240"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A execução local foi realizada com Docker Compose (docker compose up --build), subindo Flask e PostgreSQL em contêineres. A validação foi feita via curl http://localhost:5000/health, com resposta esperada {"status": "ok"}. Os endpoints CRUD foram testados com curl e Postman.</w:t>
      </w:r>
    </w:p>
    <w:p w14:paraId="001001B8" w14:textId="001001B9">
      <w:pPr>
        <w:pStyle w:val="Normal"/>
        <w:spacing w:before="240" w:after="120"/>
        <w:jc w:val="center"/>
      </w:pPr>
      <w:r>
        <w:rPr>
          <w:rFonts w:ascii="Times New Roman" w:hAnsi="Times New Roman" w:eastAsia="Times New Roman"/>
          <w:b/>
          <w:sz w:val="22"/>
        </w:rPr>
        <w:t xml:space="preserve">Figura 3 – Aplicação ToggleMaster rodando localmente</w:t>
      </w:r>
    </w:p>
    <w:p w14:paraId="001001BA" w14:textId="001001BB">
      <w:pPr>
        <w:pStyle w:val="Normal"/>
        <w:spacing w:after="120"/>
        <w:jc w:val="center"/>
      </w:pPr>
      <w:r>
        <w:rPr>
          <w:rFonts w:ascii="Times New Roman" w:hAnsi="Times New Roman" w:eastAsia="Times New Roman"/>
          <w:i/>
          <w:color w:val="CC0000"/>
          <w:sz w:val="22"/>
        </w:rPr>
        <w:t xml:space="preserve">[INSERIR PRINT DA EXECUÇÃO LOCAL AQUI]</w:t>
      </w:r>
    </w:p>
    <w:p w14:paraId="001001BC" w14:textId="001001BD">
      <w:pPr>
        <w:pStyle w:val="Normal"/>
        <w:spacing w:before="80" w:after="240"/>
        <w:jc w:val="center"/>
      </w:pPr>
      <w:r>
        <w:rPr>
          <w:rFonts w:ascii="Times New Roman" w:hAnsi="Times New Roman" w:eastAsia="Times New Roman"/>
          <w:i/>
          <w:sz w:val="22"/>
        </w:rPr>
        <w:t xml:space="preserve">Fonte: Os autores (2026).</w:t>
      </w:r>
    </w:p>
    <w:p w14:paraId="001001BE" w14:textId="001001BF">
      <w:pPr>
        <w:pStyle w:val="Heading2"/>
        <w:spacing w:before="240" w:after="240"/>
      </w:pPr>
      <w:r>
        <w:rPr>
          <w:rFonts w:ascii="Times New Roman" w:hAnsi="Times New Roman" w:eastAsia="Times New Roman"/>
          <w:b/>
          <w:sz w:val="24"/>
        </w:rPr>
        <w:t xml:space="preserve">6.2 Deploy na EC2 e conexão com RDS</w:t>
      </w:r>
    </w:p>
    <w:p w14:paraId="001001C0" w14:textId="001001C1">
      <w:pPr>
        <w:pStyle w:val="Normal"/>
        <w:spacing w:after="240"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O deploy na EC2 foi realizado via SSH, com instalação de dependências Python, clone do repositório, configuração das variáveis de ambiente com as credenciais do RDS e inicialização da aplicação com Gunicorn (gunicorn --bind 0.0.0.0:5000 app:app). A aplicação foi validada externamente pelo IP público da EC2.</w:t>
      </w:r>
    </w:p>
    <w:p w14:paraId="001001C2" w14:textId="001001C3">
      <w:pPr>
        <w:pStyle w:val="Normal"/>
        <w:spacing w:before="240" w:after="120"/>
        <w:jc w:val="center"/>
      </w:pPr>
      <w:r>
        <w:rPr>
          <w:rFonts w:ascii="Times New Roman" w:hAnsi="Times New Roman" w:eastAsia="Times New Roman"/>
          <w:b/>
          <w:sz w:val="22"/>
        </w:rPr>
        <w:t xml:space="preserve">Figura 4 – Aplicação rodando na EC2 conectada ao RDS</w:t>
      </w:r>
    </w:p>
    <w:p w14:paraId="001001C4" w14:textId="001001C5">
      <w:pPr>
        <w:pStyle w:val="Normal"/>
        <w:spacing w:after="120"/>
        <w:jc w:val="center"/>
      </w:pPr>
      <w:r>
        <w:rPr>
          <w:rFonts w:ascii="Times New Roman" w:hAnsi="Times New Roman" w:eastAsia="Times New Roman"/>
          <w:i/>
          <w:color w:val="CC0000"/>
          <w:sz w:val="22"/>
        </w:rPr>
        <w:t xml:space="preserve">[INSERIR PRINTS DO TERMINAL SSH E DO BROWSER COM A API RESPONDENDO NA EC2]</w:t>
      </w:r>
    </w:p>
    <w:p w14:paraId="001001C6" w14:textId="001001C7">
      <w:pPr>
        <w:pStyle w:val="Normal"/>
        <w:spacing w:before="80" w:after="240"/>
        <w:jc w:val="center"/>
      </w:pPr>
      <w:r>
        <w:rPr>
          <w:rFonts w:ascii="Times New Roman" w:hAnsi="Times New Roman" w:eastAsia="Times New Roman"/>
          <w:i/>
          <w:sz w:val="22"/>
        </w:rPr>
        <w:t xml:space="preserve">Fonte: Os autores (2026).</w:t>
      </w:r>
    </w:p>
    <w:p w14:paraId="001001C8" w14:textId="001001C9">
      <w:pPr>
        <w:pStyle w:val="Heading1"/>
        <w:spacing w:before="240" w:after="240"/>
      </w:pPr>
      <w:r>
        <w:rPr>
          <w:rFonts w:ascii="Times New Roman" w:hAnsi="Times New Roman" w:eastAsia="Times New Roman"/>
          <w:b/>
          <w:sz w:val="24"/>
        </w:rPr>
        <w:t xml:space="preserve">7 GERENCIAMENTO DE CREDENCIAIS</w:t>
      </w:r>
    </w:p>
    <w:p w14:paraId="001001CA" w14:textId="001001CB">
      <w:pPr>
        <w:pStyle w:val="Normal"/>
        <w:spacing w:after="240"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As credenciais do banco de dados foram gerenciadas com as seguintes práticas: (a) configuração exclusivamente via export na sessão SSH ativa – descartadas ao encerrar a sessão; (b) app.py usa apenas os.getenv(), sem qualquer credencial hardcoded; (c) nenhum arquivo .env foi versionado no Git; (d) RDS configurado com Publicly accessible: No – acesso apenas pela EC2 dentro da VPC.</w:t>
      </w:r>
    </w:p>
    <w:p w14:paraId="001001CC" w14:textId="001001CD">
      <w:pPr>
        <w:pStyle w:val="Normal"/>
        <w:spacing w:after="240"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Para as fases seguintes, recomenda-se o AWS Secrets Manager para rotação automática de credenciais.</w:t>
      </w:r>
    </w:p>
    <w:p w14:paraId="001001CE" w14:textId="001001CF">
      <w:pPr>
        <w:pStyle w:val="Heading1"/>
        <w:spacing w:before="240" w:after="240"/>
      </w:pPr>
      <w:r>
        <w:rPr>
          <w:rFonts w:ascii="Times New Roman" w:hAnsi="Times New Roman" w:eastAsia="Times New Roman"/>
          <w:b/>
          <w:sz w:val="24"/>
        </w:rPr>
        <w:t xml:space="preserve">8 DESAFIOS ENCONTRADOS E DECISÕES TOMADAS</w:t>
      </w:r>
    </w:p>
    <w:p w14:paraId="001001D0" w14:textId="001001D1">
      <w:pPr>
        <w:pStyle w:val="Normal"/>
        <w:spacing w:after="240"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 xml:space="preserve">O Quadro 6 consolida os principais desafios encontrados durante a implantação e as soluções adotadas.</w:t>
      </w:r>
    </w:p>
    <w:p w14:paraId="001001D2" w14:textId="001001D3">
      <w:pPr>
        <w:pStyle w:val="Normal"/>
        <w:spacing w:before="240" w:after="120"/>
        <w:jc w:val="center"/>
      </w:pPr>
      <w:r>
        <w:rPr>
          <w:rFonts w:ascii="Times New Roman" w:hAnsi="Times New Roman" w:eastAsia="Times New Roman"/>
          <w:b/>
          <w:sz w:val="22"/>
        </w:rPr>
        <w:t xml:space="preserve">Quadro 6 – Desafios e decisões tomadas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600"/>
        <w:gridCol w:w="5400"/>
      </w:tblGrid>
      <w:tr>
        <w:trPr>
          <w:tblHeader/>
        </w:trPr>
        <w:tc>
          <w:p w14:paraId="001001D4" w14:textId="001001D5">
            <w:r>
              <w:t xml:space="preserve">Desafio</w:t>
            </w:r>
          </w:p>
        </w:tc>
        <w:tc>
          <w:p w14:paraId="001001D6" w14:textId="001001D7">
            <w:r>
              <w:t xml:space="preserve">Decisão / Solução</w:t>
            </w:r>
          </w:p>
        </w:tc>
      </w:tr>
      <w:tr>
        <w:trPr/>
        <w:tc>
          <w:p w14:paraId="001001D8" w14:textId="001001D9">
            <w:r>
              <w:t xml:space="preserve">Conta AWS para o grupo</w:t>
            </w:r>
          </w:p>
        </w:tc>
        <w:tc>
          <w:p w14:paraId="001001DA" w14:textId="001001DB">
            <w:r>
              <w:t xml:space="preserve">Criação de conta nova para uso do Free Tier (12 meses) e acesso compartilhado.</w:t>
            </w:r>
          </w:p>
        </w:tc>
      </w:tr>
      <w:tr>
        <w:trPr/>
        <w:tc>
          <w:p w14:paraId="001001DC" w14:textId="001001DD">
            <w:r>
              <w:t xml:space="preserve">Subnet Group do RDS exige 2 AZs</w:t>
            </w:r>
          </w:p>
        </w:tc>
        <w:tc>
          <w:p w14:paraId="001001DE" w14:textId="001001DF">
            <w:r>
              <w:t xml:space="preserve">Criada segunda sub-rede privada em us-east-1b para atender ao requisito mínimo.</w:t>
            </w:r>
          </w:p>
        </w:tc>
      </w:tr>
      <w:tr>
        <w:trPr/>
        <w:tc>
          <w:p w14:paraId="001001E0" w14:textId="001001E1">
            <w:r>
              <w:t xml:space="preserve">Aplicação não conectava ao RDS</w:t>
            </w:r>
          </w:p>
        </w:tc>
        <w:tc>
          <w:p w14:paraId="001001E2" w14:textId="001001E3">
            <w:r>
              <w:t xml:space="preserve">SG-RDS corrigido para referenciar ID do sg-ec2-togglemaster (não CIDR).</w:t>
            </w:r>
          </w:p>
        </w:tc>
      </w:tr>
      <w:tr>
        <w:trPr/>
        <w:tc>
          <w:p w14:paraId="001001E4" w14:textId="001001E5">
            <w:r>
              <w:t xml:space="preserve">Porta da aplicação: 5000 não 80</w:t>
            </w:r>
          </w:p>
        </w:tc>
        <w:tc>
          <w:p w14:paraId="001001E6" w14:textId="001001E7">
            <w:r>
              <w:t xml:space="preserve">Código-fonte confirmou porta 5000. SG-EC2 ajustado para TCP 5000.</w:t>
            </w:r>
          </w:p>
        </w:tc>
      </w:tr>
      <w:tr>
        <w:trPr/>
        <w:tc>
          <w:p w14:paraId="001001E8" w14:textId="001001E9">
            <w:r>
              <w:t xml:space="preserve">Manter Gunicorn ativo após fechar SSH</w:t>
            </w:r>
          </w:p>
        </w:tc>
        <w:tc>
          <w:p w14:paraId="001001EA" w14:textId="001001EB">
            <w:r>
              <w:t xml:space="preserve">Uso de nohup gunicorn --bind 0.0.0.0:5000 app:app &amp; para manter processo em background.</w:t>
            </w:r>
          </w:p>
        </w:tc>
      </w:tr>
    </w:tbl>
    <w:p w14:paraId="001001EC" w14:textId="001001ED">
      <w:pPr>
        <w:pStyle w:val="Normal"/>
        <w:spacing w:before="80" w:after="240"/>
      </w:pPr>
      <w:r>
        <w:rPr>
          <w:rFonts w:ascii="Times New Roman" w:hAnsi="Times New Roman" w:eastAsia="Times New Roman"/>
          <w:i/>
          <w:sz w:val="22"/>
        </w:rPr>
        <w:t xml:space="preserve">Fonte: Os autores (2026).</w:t>
      </w:r>
    </w:p>
    <w:p w14:paraId="001001EE" w14:textId="001001EF">
      <w:pPr>
        <w:pStyle w:val="Normal"/>
        <w:pageBreakBefore/>
      </w:pPr>
      <w:r>
        <w:rPr>
          <w:rFonts w:ascii="Times New Roman" w:hAnsi="Times New Roman" w:eastAsia="Times New Roman"/>
          <w:sz w:val="24"/>
        </w:rPr>
        <w:t xml:space="preserve"> </w:t>
      </w:r>
    </w:p>
    <w:p w14:paraId="001001F0" w14:textId="001001F1">
      <w:pPr>
        <w:pStyle w:val="Heading1"/>
        <w:spacing w:before="0" w:after="480"/>
      </w:pPr>
      <w:r>
        <w:rPr>
          <w:rFonts w:ascii="Times New Roman" w:hAnsi="Times New Roman" w:eastAsia="Times New Roman"/>
          <w:b/>
          <w:sz w:val="24"/>
        </w:rPr>
        <w:t xml:space="preserve">REFERÊNCIAS</w:t>
      </w:r>
    </w:p>
    <w:p w14:paraId="001001F2" w14:textId="001001F3">
      <w:pPr>
        <w:pStyle w:val="Normal"/>
        <w:spacing w:before="0" w:after="240" w:line="240" w:lineRule="auto"/>
      </w:pPr>
      <w:r>
        <w:rPr>
          <w:rFonts w:ascii="Times New Roman" w:hAnsi="Times New Roman" w:eastAsia="Times New Roman"/>
          <w:sz w:val="24"/>
        </w:rPr>
        <w:t xml:space="preserve">AMAZON WEB SERVICES. AWS Architecture Icons. Disponível em: https://aws.amazon.com/architecture/icons/. Acesso em: out. 2026.</w:t>
      </w:r>
    </w:p>
    <w:p w14:paraId="001001F4" w14:textId="001001F5">
      <w:pPr>
        <w:pStyle w:val="Normal"/>
        <w:spacing w:before="0" w:after="240" w:line="240" w:lineRule="auto"/>
      </w:pPr>
      <w:r>
        <w:rPr>
          <w:rFonts w:ascii="Times New Roman" w:hAnsi="Times New Roman" w:eastAsia="Times New Roman"/>
          <w:sz w:val="24"/>
        </w:rPr>
        <w:t xml:space="preserve">AMAZON WEB SERVICES. AWS Free Tier. Disponível em: https://aws.amazon.com/free/. Acesso em: out. 2026.</w:t>
      </w:r>
    </w:p>
    <w:p w14:paraId="001001F6" w14:textId="001001F7">
      <w:pPr>
        <w:pStyle w:val="Normal"/>
        <w:spacing w:before="0" w:after="240" w:line="240" w:lineRule="auto"/>
      </w:pPr>
      <w:r>
        <w:rPr>
          <w:rFonts w:ascii="Times New Roman" w:hAnsi="Times New Roman" w:eastAsia="Times New Roman"/>
          <w:sz w:val="24"/>
        </w:rPr>
        <w:t xml:space="preserve">AMAZON WEB SERVICES. AWS Pricing Calculator. Disponível em: https://calculator.aws. Acesso em: out. 2026.</w:t>
      </w:r>
    </w:p>
    <w:p w14:paraId="001001F8" w14:textId="001001F9">
      <w:pPr>
        <w:pStyle w:val="Normal"/>
        <w:spacing w:before="0" w:after="240" w:line="240" w:lineRule="auto"/>
      </w:pPr>
      <w:r>
        <w:rPr>
          <w:rFonts w:ascii="Times New Roman" w:hAnsi="Times New Roman" w:eastAsia="Times New Roman"/>
          <w:sz w:val="24"/>
        </w:rPr>
        <w:t xml:space="preserve">AMAZON WEB SERVICES. Amazon EC2 Documentation. Disponível em: https://docs.aws.amazon.com/ec2/. Acesso em: out. 2026.</w:t>
      </w:r>
    </w:p>
    <w:p w14:paraId="001001FA" w14:textId="001001FB">
      <w:pPr>
        <w:pStyle w:val="Normal"/>
        <w:spacing w:before="0" w:after="240" w:line="240" w:lineRule="auto"/>
      </w:pPr>
      <w:r>
        <w:rPr>
          <w:rFonts w:ascii="Times New Roman" w:hAnsi="Times New Roman" w:eastAsia="Times New Roman"/>
          <w:sz w:val="24"/>
        </w:rPr>
        <w:t xml:space="preserve">AMAZON WEB SERVICES. Amazon RDS for PostgreSQL. Disponível em: https://docs.aws.amazon.com/AmazonRDS/latest/UserGuide/. Acesso em: out. 2026.</w:t>
      </w:r>
    </w:p>
    <w:p w14:paraId="001001FC" w14:textId="001001FD">
      <w:pPr>
        <w:pStyle w:val="Normal"/>
        <w:spacing w:before="0" w:after="240" w:line="240" w:lineRule="auto"/>
      </w:pPr>
      <w:r>
        <w:rPr>
          <w:rFonts w:ascii="Times New Roman" w:hAnsi="Times New Roman" w:eastAsia="Times New Roman"/>
          <w:sz w:val="24"/>
        </w:rPr>
        <w:t xml:space="preserve">DOUGLS. toggle-master-monolith. GitHub, 2024. Disponível em: https://github.com/dougls/toggle-master-monolith. Acesso em: out. 2026.</w:t>
      </w:r>
    </w:p>
    <w:p w14:paraId="001001FE" w14:textId="001001FF">
      <w:pPr>
        <w:pStyle w:val="Normal"/>
        <w:spacing w:before="0" w:after="240" w:line="240" w:lineRule="auto"/>
      </w:pPr>
      <w:r>
        <w:rPr>
          <w:rFonts w:ascii="Times New Roman" w:hAnsi="Times New Roman" w:eastAsia="Times New Roman"/>
          <w:sz w:val="24"/>
        </w:rPr>
        <w:t xml:space="preserve">WIGGINS, Adam. The Twelve-Factor App. 2012. Disponível em: https://12factor.net/pt_br/. Acesso em: out. 2026.</w:t>
      </w:r>
    </w:p>
    <w:sectPr>
      <w:footerReference w:type="default" r:id="R9d81081462ba4ec1"/>
      <w:pgSz w:w="11906" w:h="16838"/>
      <w:pgMar w:top="1701" w:right="1134" w:bottom="1134" w:left="1701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1E" w14:textId="0010001F">
    <w:pPr>
      <w:jc w:val="right"/>
    </w:pPr>
    <w:r>
      <w:rPr>
        <w:rFonts w:ascii="Times New Roman" w:hAnsi="Times New Roman" w:eastAsia="Times New Roman"/>
        <w:sz w:val="20"/>
      </w:rPr>
      <w:fldChar w:fldCharType="begin"/>
    </w:r>
    <w:r>
      <w:rPr>
        <w:rFonts w:ascii="Times New Roman" w:hAnsi="Times New Roman" w:eastAsia="Times New Roman"/>
        <w:sz w:val="20"/>
      </w:rPr>
      <w:instrText xml:space="preserve"> PAGE </w:instrText>
    </w:r>
    <w:r>
      <w:rPr>
        <w:rFonts w:ascii="Times New Roman" w:hAnsi="Times New Roman" w:eastAsia="Times New Roman"/>
        <w:sz w:val="20"/>
      </w:rPr>
      <w:fldChar w:fldCharType="separate"/>
    </w:r>
    <w:r>
      <w:rPr>
        <w:rFonts w:ascii="Times New Roman" w:hAnsi="Times New Roman" w:eastAsia="Times New Roman"/>
        <w:sz w:val="20"/>
      </w:rPr>
      <w:t xml:space="preserve">1</w:t>
    </w:r>
    <w:r>
      <w:rPr>
        <w:rFonts w:ascii="Times New Roman" w:hAnsi="Times New Roman" w:eastAsia="Times New Roman"/>
        <w:sz w:val="20"/>
      </w:rPr>
      <w:fldChar w:fldCharType="end"/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9a885d50f154cf7" /><Relationship Type="http://schemas.openxmlformats.org/officeDocument/2006/relationships/styles" Target="/word/styles.xml" Id="Reae2e234c4614a30" /><Relationship Type="http://schemas.openxmlformats.org/officeDocument/2006/relationships/theme" Target="/word/theme/theme1.xml" Id="R772eddff46294cf3" /><Relationship Type="http://schemas.openxmlformats.org/officeDocument/2006/relationships/numbering" Target="/word/numbering.xml" Id="R4bd61d9d753040a8" /><Relationship Type="http://schemas.openxmlformats.org/officeDocument/2006/relationships/footer" Target="/word/footer1.xml" Id="R9d81081462ba4ec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2026-10-10T02:55:14Z</dcterms:created>
  <cp:lastModifiedBy>OfficeCLI</cp:lastModifiedBy>
  <dcterms:modified xsi:type="dcterms:W3CDTF">2026-10-10T02:55:14Z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1.0.156</vt:lpwstr>
  </op:property>
  <op:property fmtid="{D5CDD505-2E9C-101B-9397-08002B2CF9AE}" pid="3" name="OfficeCLI.LastModified">
    <vt:lpwstr xmlns:vt="http://schemas.openxmlformats.org/officeDocument/2006/docPropsVTypes">2026-10-10T02:59:24Z</vt:lpwstr>
  </op:property>
</op:Properties>
</file>