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B5F390" w14:textId="77777777" w:rsidR="00465964" w:rsidRDefault="00465964" w:rsidP="00465964">
      <w:pPr>
        <w:rPr>
          <w:b/>
          <w:bCs/>
          <w:sz w:val="40"/>
          <w:szCs w:val="40"/>
          <w:lang w:val="pt-PT"/>
        </w:rPr>
      </w:pPr>
      <w:r w:rsidRPr="00465964">
        <w:rPr>
          <w:b/>
          <w:bCs/>
          <w:sz w:val="40"/>
          <w:szCs w:val="40"/>
          <w:lang w:val="pt-PT"/>
        </w:rPr>
        <w:t>Regulamento Mercados de Criptoativos (</w:t>
      </w:r>
      <w:proofErr w:type="spellStart"/>
      <w:r w:rsidRPr="00465964">
        <w:rPr>
          <w:b/>
          <w:bCs/>
          <w:sz w:val="40"/>
          <w:szCs w:val="40"/>
          <w:lang w:val="pt-PT"/>
        </w:rPr>
        <w:t>MiCA</w:t>
      </w:r>
      <w:proofErr w:type="spellEnd"/>
      <w:r w:rsidRPr="00465964">
        <w:rPr>
          <w:b/>
          <w:bCs/>
          <w:sz w:val="40"/>
          <w:szCs w:val="40"/>
          <w:lang w:val="pt-PT"/>
        </w:rPr>
        <w:t>)</w:t>
      </w:r>
    </w:p>
    <w:p w14:paraId="5C556230" w14:textId="77777777" w:rsidR="00465964" w:rsidRDefault="00465964" w:rsidP="00465964">
      <w:pPr>
        <w:rPr>
          <w:b/>
          <w:bCs/>
          <w:sz w:val="40"/>
          <w:szCs w:val="40"/>
          <w:lang w:val="pt-PT"/>
        </w:rPr>
      </w:pPr>
    </w:p>
    <w:p w14:paraId="0CDAA732" w14:textId="77777777" w:rsidR="00465964" w:rsidRPr="00465964" w:rsidRDefault="00465964" w:rsidP="00465964">
      <w:pPr>
        <w:rPr>
          <w:b/>
          <w:bCs/>
          <w:lang w:val="pt-PT"/>
        </w:rPr>
      </w:pPr>
      <w:r w:rsidRPr="00465964">
        <w:rPr>
          <w:b/>
          <w:bCs/>
          <w:lang w:val="pt-PT"/>
        </w:rPr>
        <w:t>QUAL É O OBJETIVO DESTE REGULAMENTO?</w:t>
      </w:r>
    </w:p>
    <w:p w14:paraId="3B4CE0B0" w14:textId="77777777" w:rsidR="00465964" w:rsidRPr="00465964" w:rsidRDefault="00465964" w:rsidP="00465964">
      <w:pPr>
        <w:rPr>
          <w:lang w:val="pt-PT"/>
        </w:rPr>
      </w:pPr>
      <w:r w:rsidRPr="00465964">
        <w:rPr>
          <w:lang w:val="pt-PT"/>
        </w:rPr>
        <w:t>O regulamento (EU) 2023/1114 estabelece regras uniformes para os emitentes de criptoativos que ainda não foram regulamentados por outros atos da União Europeia (UE) em matéria de serviços financeiros e para os prestadores de serviços relacionados com esses criptoativos (prestadores de serviços de criptoativos).</w:t>
      </w:r>
    </w:p>
    <w:p w14:paraId="0F548A45" w14:textId="77777777" w:rsidR="00465964" w:rsidRPr="00465964" w:rsidRDefault="00465964" w:rsidP="00465964">
      <w:pPr>
        <w:rPr>
          <w:lang w:val="pt-PT"/>
        </w:rPr>
      </w:pPr>
    </w:p>
    <w:p w14:paraId="485295C1" w14:textId="5D7C137C" w:rsidR="00465964" w:rsidRPr="00465964" w:rsidRDefault="00465964" w:rsidP="00465964">
      <w:pPr>
        <w:rPr>
          <w:b/>
          <w:bCs/>
          <w:lang w:val="pt-PT"/>
        </w:rPr>
      </w:pPr>
      <w:r w:rsidRPr="00465964">
        <w:rPr>
          <w:b/>
          <w:bCs/>
          <w:lang w:val="pt-PT"/>
        </w:rPr>
        <w:t>As regras abrangem:</w:t>
      </w:r>
    </w:p>
    <w:p w14:paraId="2347DA84" w14:textId="77777777" w:rsidR="00465964" w:rsidRPr="00465964" w:rsidRDefault="00465964" w:rsidP="00465964">
      <w:pPr>
        <w:rPr>
          <w:lang w:val="pt-PT"/>
        </w:rPr>
      </w:pPr>
      <w:r w:rsidRPr="00465964">
        <w:rPr>
          <w:lang w:val="pt-PT"/>
        </w:rPr>
        <w:t>requisitos de transparência e de divulgação para a emissão, a oferta pública e a admissão de criptoativos numa plataforma de negociação;</w:t>
      </w:r>
    </w:p>
    <w:p w14:paraId="1696C5C9" w14:textId="0A418FFF" w:rsidR="00465964" w:rsidRPr="00465964" w:rsidRDefault="00465964" w:rsidP="00465964">
      <w:pPr>
        <w:rPr>
          <w:lang w:val="pt-PT"/>
        </w:rPr>
      </w:pPr>
      <w:r w:rsidRPr="00465964">
        <w:rPr>
          <w:lang w:val="pt-PT"/>
        </w:rPr>
        <w:t xml:space="preserve">a autorização e supervisão dos prestadores de serviços de criptoativos e dos emitentes de </w:t>
      </w:r>
      <w:r>
        <w:rPr>
          <w:lang w:val="pt-PT"/>
        </w:rPr>
        <w:t>criptomoedas</w:t>
      </w:r>
      <w:r w:rsidRPr="00465964">
        <w:rPr>
          <w:lang w:val="pt-PT"/>
        </w:rPr>
        <w:t xml:space="preserve"> referenciadas a ativos ou de </w:t>
      </w:r>
      <w:r>
        <w:rPr>
          <w:lang w:val="pt-PT"/>
        </w:rPr>
        <w:t>criptomoedas</w:t>
      </w:r>
      <w:r w:rsidRPr="00465964">
        <w:rPr>
          <w:lang w:val="pt-PT"/>
        </w:rPr>
        <w:t xml:space="preserve"> de moeda eletrónica;</w:t>
      </w:r>
    </w:p>
    <w:p w14:paraId="312E5C9A" w14:textId="77777777" w:rsidR="00465964" w:rsidRPr="00465964" w:rsidRDefault="00465964" w:rsidP="00465964">
      <w:pPr>
        <w:rPr>
          <w:lang w:val="pt-PT"/>
        </w:rPr>
      </w:pPr>
      <w:r w:rsidRPr="00465964">
        <w:rPr>
          <w:lang w:val="pt-PT"/>
        </w:rPr>
        <w:t>o funcionamento, organização e governação dos emitentes e dos prestadores de serviços de criptoativos;</w:t>
      </w:r>
    </w:p>
    <w:p w14:paraId="5AA35CB5" w14:textId="77777777" w:rsidR="00465964" w:rsidRPr="00465964" w:rsidRDefault="00465964" w:rsidP="00465964">
      <w:pPr>
        <w:rPr>
          <w:lang w:val="pt-PT"/>
        </w:rPr>
      </w:pPr>
      <w:r w:rsidRPr="00465964">
        <w:rPr>
          <w:lang w:val="pt-PT"/>
        </w:rPr>
        <w:t>a proteção dos detentores de criptoativos e dos clientes dos prestadores de serviços;</w:t>
      </w:r>
    </w:p>
    <w:p w14:paraId="482860A6" w14:textId="77777777" w:rsidR="00465964" w:rsidRPr="00465964" w:rsidRDefault="00465964" w:rsidP="00465964">
      <w:pPr>
        <w:rPr>
          <w:lang w:val="pt-PT"/>
        </w:rPr>
      </w:pPr>
      <w:r w:rsidRPr="00465964">
        <w:rPr>
          <w:lang w:val="pt-PT"/>
        </w:rPr>
        <w:t>medidas para prevenir as transações com base em informação privilegiada, a transmissão ilícita de informação privilegiada e a manipulação de mercado.</w:t>
      </w:r>
    </w:p>
    <w:p w14:paraId="5010926D" w14:textId="77777777" w:rsidR="00465964" w:rsidRPr="00465964" w:rsidRDefault="00465964" w:rsidP="00465964">
      <w:pPr>
        <w:rPr>
          <w:lang w:val="pt-PT"/>
        </w:rPr>
      </w:pPr>
      <w:r w:rsidRPr="00465964">
        <w:rPr>
          <w:lang w:val="pt-PT"/>
        </w:rPr>
        <w:t>PONTOS-CHAVE</w:t>
      </w:r>
    </w:p>
    <w:p w14:paraId="26CE3C70" w14:textId="77777777" w:rsidR="00465964" w:rsidRPr="00465964" w:rsidRDefault="00465964" w:rsidP="00465964">
      <w:pPr>
        <w:rPr>
          <w:lang w:val="pt-PT"/>
        </w:rPr>
      </w:pPr>
      <w:r w:rsidRPr="00465964">
        <w:rPr>
          <w:lang w:val="pt-PT"/>
        </w:rPr>
        <w:t>O regulamento aplica-se à emissão, oferta pública e admissão à negociação de criptoativos, bem como à prestação de serviços relacionados com criptoativos.</w:t>
      </w:r>
    </w:p>
    <w:p w14:paraId="50F14A30" w14:textId="77777777" w:rsidR="00465964" w:rsidRPr="00465964" w:rsidRDefault="00465964" w:rsidP="00465964">
      <w:pPr>
        <w:rPr>
          <w:lang w:val="pt-PT"/>
        </w:rPr>
      </w:pPr>
    </w:p>
    <w:p w14:paraId="505062E6" w14:textId="7C04629F" w:rsidR="00465964" w:rsidRPr="00465964" w:rsidRDefault="00465964" w:rsidP="00465964">
      <w:pPr>
        <w:rPr>
          <w:b/>
          <w:bCs/>
          <w:lang w:val="pt-PT"/>
        </w:rPr>
      </w:pPr>
      <w:r w:rsidRPr="00465964">
        <w:rPr>
          <w:b/>
          <w:bCs/>
          <w:lang w:val="pt-PT"/>
        </w:rPr>
        <w:t>Distingue os seguintes criptoativos:</w:t>
      </w:r>
    </w:p>
    <w:p w14:paraId="36EEE9E5" w14:textId="2EFCA2DB" w:rsidR="00465964" w:rsidRPr="00465964" w:rsidRDefault="00465964" w:rsidP="00465964">
      <w:pPr>
        <w:rPr>
          <w:lang w:val="pt-PT"/>
        </w:rPr>
      </w:pPr>
      <w:r>
        <w:rPr>
          <w:lang w:val="pt-PT"/>
        </w:rPr>
        <w:t>criptomoedas</w:t>
      </w:r>
      <w:r w:rsidRPr="00465964">
        <w:rPr>
          <w:lang w:val="pt-PT"/>
        </w:rPr>
        <w:t xml:space="preserve"> de moeda eletrónica (criptoativos que estabilizam o seu valor relativamente a uma moeda oficial única);</w:t>
      </w:r>
    </w:p>
    <w:p w14:paraId="068FD5F4" w14:textId="07F64CA3" w:rsidR="00465964" w:rsidRPr="00465964" w:rsidRDefault="00465964" w:rsidP="00465964">
      <w:pPr>
        <w:rPr>
          <w:lang w:val="pt-PT"/>
        </w:rPr>
      </w:pPr>
      <w:r>
        <w:rPr>
          <w:lang w:val="pt-PT"/>
        </w:rPr>
        <w:t>criptomoedas</w:t>
      </w:r>
      <w:r w:rsidRPr="00465964">
        <w:rPr>
          <w:lang w:val="pt-PT"/>
        </w:rPr>
        <w:t xml:space="preserve"> referenciadas a ativos (criptoativos que estabilizam o seu valor em relação a outros ativos ou a um cabaz de ativos);</w:t>
      </w:r>
    </w:p>
    <w:p w14:paraId="570FAA5C" w14:textId="7F568816" w:rsidR="00465964" w:rsidRPr="00465964" w:rsidRDefault="00465964" w:rsidP="00465964">
      <w:pPr>
        <w:rPr>
          <w:lang w:val="pt-PT"/>
        </w:rPr>
      </w:pPr>
      <w:r w:rsidRPr="00465964">
        <w:rPr>
          <w:lang w:val="pt-PT"/>
        </w:rPr>
        <w:t xml:space="preserve">criptoativos que não sejam </w:t>
      </w:r>
      <w:r>
        <w:rPr>
          <w:lang w:val="pt-PT"/>
        </w:rPr>
        <w:t>criptomoedas</w:t>
      </w:r>
      <w:r w:rsidRPr="00465964">
        <w:rPr>
          <w:lang w:val="pt-PT"/>
        </w:rPr>
        <w:t xml:space="preserve"> referenciadas a ativos nem </w:t>
      </w:r>
      <w:r>
        <w:rPr>
          <w:lang w:val="pt-PT"/>
        </w:rPr>
        <w:t>criptomoedas</w:t>
      </w:r>
      <w:r w:rsidRPr="00465964">
        <w:rPr>
          <w:lang w:val="pt-PT"/>
        </w:rPr>
        <w:t xml:space="preserve"> de moeda eletrónica.</w:t>
      </w:r>
    </w:p>
    <w:p w14:paraId="0F077885" w14:textId="560043EF" w:rsidR="00465964" w:rsidRPr="00465964" w:rsidRDefault="00465964" w:rsidP="00465964">
      <w:pPr>
        <w:rPr>
          <w:lang w:val="pt-PT"/>
        </w:rPr>
      </w:pPr>
      <w:r w:rsidRPr="00465964">
        <w:rPr>
          <w:lang w:val="pt-PT"/>
        </w:rPr>
        <w:t xml:space="preserve">Os oferentes* ou as pessoas que solicitam a admissão à negociação de criptoativos que não sejam </w:t>
      </w:r>
      <w:r>
        <w:rPr>
          <w:lang w:val="pt-PT"/>
        </w:rPr>
        <w:t>criptomoedas</w:t>
      </w:r>
      <w:r w:rsidRPr="00465964">
        <w:rPr>
          <w:lang w:val="pt-PT"/>
        </w:rPr>
        <w:t xml:space="preserve"> referenciadas a ativos nem </w:t>
      </w:r>
      <w:r>
        <w:rPr>
          <w:lang w:val="pt-PT"/>
        </w:rPr>
        <w:t>criptomoedas</w:t>
      </w:r>
      <w:r w:rsidRPr="00465964">
        <w:rPr>
          <w:lang w:val="pt-PT"/>
        </w:rPr>
        <w:t xml:space="preserve"> de moeda eletrónica devem:</w:t>
      </w:r>
    </w:p>
    <w:p w14:paraId="2CA74BC7" w14:textId="77777777" w:rsidR="00465964" w:rsidRPr="00465964" w:rsidRDefault="00465964" w:rsidP="00465964">
      <w:pPr>
        <w:rPr>
          <w:lang w:val="pt-PT"/>
        </w:rPr>
      </w:pPr>
    </w:p>
    <w:p w14:paraId="2912D362" w14:textId="77777777" w:rsidR="00465964" w:rsidRPr="00465964" w:rsidRDefault="00465964" w:rsidP="00465964">
      <w:pPr>
        <w:rPr>
          <w:lang w:val="pt-PT"/>
        </w:rPr>
      </w:pPr>
      <w:r w:rsidRPr="00465964">
        <w:rPr>
          <w:lang w:val="pt-PT"/>
        </w:rPr>
        <w:t>ser uma pessoa coletiva*;</w:t>
      </w:r>
    </w:p>
    <w:p w14:paraId="52441205" w14:textId="77777777" w:rsidR="00465964" w:rsidRPr="00465964" w:rsidRDefault="00465964" w:rsidP="00465964">
      <w:pPr>
        <w:rPr>
          <w:lang w:val="pt-PT"/>
        </w:rPr>
      </w:pPr>
      <w:r w:rsidRPr="00465964">
        <w:rPr>
          <w:lang w:val="pt-PT"/>
        </w:rPr>
        <w:t>publicar um livrete do criptoativo, bem como quaisquer comunicações comerciais, no seu sítio Web;</w:t>
      </w:r>
    </w:p>
    <w:p w14:paraId="1874253B" w14:textId="77777777" w:rsidR="00465964" w:rsidRPr="00465964" w:rsidRDefault="00465964" w:rsidP="00465964">
      <w:pPr>
        <w:rPr>
          <w:lang w:val="pt-PT"/>
        </w:rPr>
      </w:pPr>
      <w:r w:rsidRPr="00465964">
        <w:rPr>
          <w:lang w:val="pt-PT"/>
        </w:rPr>
        <w:lastRenderedPageBreak/>
        <w:t>atuar com honestidade, lealdade e profissionalismo;</w:t>
      </w:r>
    </w:p>
    <w:p w14:paraId="3AC512FD" w14:textId="77777777" w:rsidR="00465964" w:rsidRPr="00465964" w:rsidRDefault="00465964" w:rsidP="00465964">
      <w:pPr>
        <w:rPr>
          <w:lang w:val="pt-PT"/>
        </w:rPr>
      </w:pPr>
      <w:r w:rsidRPr="00465964">
        <w:rPr>
          <w:lang w:val="pt-PT"/>
        </w:rPr>
        <w:t>comunicar com os detentores e potenciais detentores de criptoativos de forma leal, clara e que não induza em erro;</w:t>
      </w:r>
    </w:p>
    <w:p w14:paraId="3576437C" w14:textId="77777777" w:rsidR="00465964" w:rsidRPr="00465964" w:rsidRDefault="00465964" w:rsidP="00465964">
      <w:pPr>
        <w:rPr>
          <w:lang w:val="pt-PT"/>
        </w:rPr>
      </w:pPr>
      <w:r w:rsidRPr="00465964">
        <w:rPr>
          <w:lang w:val="pt-PT"/>
        </w:rPr>
        <w:t>identificar, prevenir, gerir e divulgar quaisquer conflitos de interesse que possam surgir;</w:t>
      </w:r>
    </w:p>
    <w:p w14:paraId="1507C224" w14:textId="77777777" w:rsidR="00465964" w:rsidRPr="00465964" w:rsidRDefault="00465964" w:rsidP="00465964">
      <w:pPr>
        <w:rPr>
          <w:lang w:val="pt-PT"/>
        </w:rPr>
      </w:pPr>
      <w:r w:rsidRPr="00465964">
        <w:rPr>
          <w:lang w:val="pt-PT"/>
        </w:rPr>
        <w:t>ser responsáveis por danos sofridos em resultado de informações incorretas no livrete do criptoativo;</w:t>
      </w:r>
    </w:p>
    <w:p w14:paraId="65AFAD9A" w14:textId="77777777" w:rsidR="00465964" w:rsidRPr="00465964" w:rsidRDefault="00465964" w:rsidP="00465964">
      <w:pPr>
        <w:rPr>
          <w:lang w:val="pt-PT"/>
        </w:rPr>
      </w:pPr>
      <w:r w:rsidRPr="00465964">
        <w:rPr>
          <w:lang w:val="pt-PT"/>
        </w:rPr>
        <w:t>conceder aos detentores de criptoativos o direito de retratação.</w:t>
      </w:r>
    </w:p>
    <w:p w14:paraId="1FA3D493" w14:textId="6A3D029C" w:rsidR="00465964" w:rsidRPr="00465964" w:rsidRDefault="00465964" w:rsidP="00465964">
      <w:pPr>
        <w:rPr>
          <w:lang w:val="pt-PT"/>
        </w:rPr>
      </w:pPr>
      <w:r w:rsidRPr="00465964">
        <w:rPr>
          <w:lang w:val="pt-PT"/>
        </w:rPr>
        <w:t xml:space="preserve">Os emitentes de </w:t>
      </w:r>
      <w:r>
        <w:rPr>
          <w:lang w:val="pt-PT"/>
        </w:rPr>
        <w:t>criptomoedas</w:t>
      </w:r>
      <w:r w:rsidRPr="00465964">
        <w:rPr>
          <w:lang w:val="pt-PT"/>
        </w:rPr>
        <w:t xml:space="preserve"> referenciadas a ativos que procedam à sua oferta pública ou que solicitem a sua admissão à negociação numa plataforma de negociação de criptoativos devem:</w:t>
      </w:r>
    </w:p>
    <w:p w14:paraId="6B1EC6E5" w14:textId="77777777" w:rsidR="00465964" w:rsidRPr="00465964" w:rsidRDefault="00465964" w:rsidP="00465964">
      <w:pPr>
        <w:rPr>
          <w:lang w:val="pt-PT"/>
        </w:rPr>
      </w:pPr>
    </w:p>
    <w:p w14:paraId="16C12193" w14:textId="77777777" w:rsidR="00465964" w:rsidRPr="00465964" w:rsidRDefault="00465964" w:rsidP="00465964">
      <w:pPr>
        <w:rPr>
          <w:lang w:val="pt-PT"/>
        </w:rPr>
      </w:pPr>
      <w:r w:rsidRPr="00465964">
        <w:rPr>
          <w:lang w:val="pt-PT"/>
        </w:rPr>
        <w:t>ser uma pessoa coletiva ou uma determinada empresa sediada na UE;</w:t>
      </w:r>
    </w:p>
    <w:p w14:paraId="0A31CAEA" w14:textId="77777777" w:rsidR="00465964" w:rsidRPr="00465964" w:rsidRDefault="00465964" w:rsidP="00465964">
      <w:pPr>
        <w:rPr>
          <w:lang w:val="pt-PT"/>
        </w:rPr>
      </w:pPr>
      <w:r w:rsidRPr="00465964">
        <w:rPr>
          <w:lang w:val="pt-PT"/>
        </w:rPr>
        <w:t>dispor de uma autorização emitida pelo seu Estado-Membro da UE de origem; ou</w:t>
      </w:r>
    </w:p>
    <w:p w14:paraId="33422390" w14:textId="6B1EB16A" w:rsidR="00465964" w:rsidRPr="00465964" w:rsidRDefault="00465964" w:rsidP="00465964">
      <w:pPr>
        <w:rPr>
          <w:lang w:val="pt-PT"/>
        </w:rPr>
      </w:pPr>
      <w:r w:rsidRPr="00465964">
        <w:rPr>
          <w:lang w:val="pt-PT"/>
        </w:rPr>
        <w:t>ser uma instituição de crédito que elabore um livrete do criptoativo que seja aprovado pela autoridade nacional competente;</w:t>
      </w:r>
    </w:p>
    <w:p w14:paraId="0B5B19C4" w14:textId="4B292D0B" w:rsidR="00465964" w:rsidRPr="00465964" w:rsidRDefault="00465964" w:rsidP="00465964">
      <w:pPr>
        <w:rPr>
          <w:lang w:val="pt-PT"/>
        </w:rPr>
      </w:pPr>
      <w:r w:rsidRPr="00465964">
        <w:rPr>
          <w:lang w:val="pt-PT"/>
        </w:rPr>
        <w:t xml:space="preserve">proceder ao reembolso das suas </w:t>
      </w:r>
      <w:r>
        <w:rPr>
          <w:lang w:val="pt-PT"/>
        </w:rPr>
        <w:t>criptomoedas</w:t>
      </w:r>
      <w:r w:rsidRPr="00465964">
        <w:rPr>
          <w:lang w:val="pt-PT"/>
        </w:rPr>
        <w:t xml:space="preserve"> referenciadas a ativos, em qualquer momento, a pedido dos detentores, num montante equivalente ao valor de mercado dos ativos referenciados ou mediante a entrega dos ativos referenciados;</w:t>
      </w:r>
    </w:p>
    <w:p w14:paraId="40F82E7F" w14:textId="77777777" w:rsidR="00465964" w:rsidRPr="00465964" w:rsidRDefault="00465964" w:rsidP="00465964">
      <w:pPr>
        <w:rPr>
          <w:lang w:val="pt-PT"/>
        </w:rPr>
      </w:pPr>
      <w:r w:rsidRPr="00465964">
        <w:rPr>
          <w:lang w:val="pt-PT"/>
        </w:rPr>
        <w:t>publicar no seu sítio web um livrete do criptoativo e quaisquer comunicações comerciais, bem como ser responsáveis por danos sofridos em resultado de informações incorretas no livrete do criptoativo;</w:t>
      </w:r>
    </w:p>
    <w:p w14:paraId="0C1CA41E" w14:textId="77777777" w:rsidR="00465964" w:rsidRPr="00465964" w:rsidRDefault="00465964" w:rsidP="00465964">
      <w:pPr>
        <w:rPr>
          <w:lang w:val="pt-PT"/>
        </w:rPr>
      </w:pPr>
      <w:r w:rsidRPr="00465964">
        <w:rPr>
          <w:lang w:val="pt-PT"/>
        </w:rPr>
        <w:t>atuar com honestidade, lealdade e profissionalismo;</w:t>
      </w:r>
    </w:p>
    <w:p w14:paraId="41D0CE8B" w14:textId="15BB1A2E" w:rsidR="00465964" w:rsidRPr="00465964" w:rsidRDefault="00465964" w:rsidP="00465964">
      <w:pPr>
        <w:rPr>
          <w:lang w:val="pt-PT"/>
        </w:rPr>
      </w:pPr>
      <w:r w:rsidRPr="00465964">
        <w:rPr>
          <w:lang w:val="pt-PT"/>
        </w:rPr>
        <w:t xml:space="preserve">comunicar com os detentores e potenciais detentores de </w:t>
      </w:r>
      <w:r>
        <w:rPr>
          <w:lang w:val="pt-PT"/>
        </w:rPr>
        <w:t>criptomoedas</w:t>
      </w:r>
      <w:r w:rsidRPr="00465964">
        <w:rPr>
          <w:lang w:val="pt-PT"/>
        </w:rPr>
        <w:t xml:space="preserve"> de forma leal, clara e que não induza em erro;</w:t>
      </w:r>
    </w:p>
    <w:p w14:paraId="02907474" w14:textId="740C2BE3" w:rsidR="00465964" w:rsidRPr="00465964" w:rsidRDefault="00465964" w:rsidP="00465964">
      <w:pPr>
        <w:rPr>
          <w:lang w:val="pt-PT"/>
        </w:rPr>
      </w:pPr>
      <w:r w:rsidRPr="00465964">
        <w:rPr>
          <w:lang w:val="pt-PT"/>
        </w:rPr>
        <w:t xml:space="preserve">atuar no melhor interesse dos detentores das </w:t>
      </w:r>
      <w:r>
        <w:rPr>
          <w:lang w:val="pt-PT"/>
        </w:rPr>
        <w:t>criptomoedas</w:t>
      </w:r>
      <w:r w:rsidRPr="00465964">
        <w:rPr>
          <w:lang w:val="pt-PT"/>
        </w:rPr>
        <w:t xml:space="preserve"> tratar os mesmos de forma equitativa;</w:t>
      </w:r>
    </w:p>
    <w:p w14:paraId="7AD04454" w14:textId="77777777" w:rsidR="00465964" w:rsidRPr="00465964" w:rsidRDefault="00465964" w:rsidP="00465964">
      <w:pPr>
        <w:rPr>
          <w:lang w:val="pt-PT"/>
        </w:rPr>
      </w:pPr>
      <w:r w:rsidRPr="00465964">
        <w:rPr>
          <w:lang w:val="pt-PT"/>
        </w:rPr>
        <w:t>estabelecer e manter procedimentos eficazes e transparentes com vista ao tratamento expedito, leal e coerente das reclamações;</w:t>
      </w:r>
    </w:p>
    <w:p w14:paraId="22DA4195" w14:textId="77777777" w:rsidR="00465964" w:rsidRPr="00465964" w:rsidRDefault="00465964" w:rsidP="00465964">
      <w:pPr>
        <w:rPr>
          <w:lang w:val="pt-PT"/>
        </w:rPr>
      </w:pPr>
      <w:r w:rsidRPr="00465964">
        <w:rPr>
          <w:lang w:val="pt-PT"/>
        </w:rPr>
        <w:t>identificar, prevenir, gerir e divulgar quaisquer conflitos de interesse que possam surgir;</w:t>
      </w:r>
    </w:p>
    <w:p w14:paraId="2A12AD4C" w14:textId="245C0614" w:rsidR="00465964" w:rsidRPr="00465964" w:rsidRDefault="00465964" w:rsidP="00465964">
      <w:pPr>
        <w:rPr>
          <w:lang w:val="pt-PT"/>
        </w:rPr>
      </w:pPr>
      <w:r w:rsidRPr="00465964">
        <w:rPr>
          <w:lang w:val="pt-PT"/>
        </w:rPr>
        <w:t xml:space="preserve">manter a todo o tempo uma reserva de ativos que cubra as responsabilidades em relação aos detentores das </w:t>
      </w:r>
      <w:r>
        <w:rPr>
          <w:lang w:val="pt-PT"/>
        </w:rPr>
        <w:t>criptomoedas</w:t>
      </w:r>
      <w:r w:rsidRPr="00465964">
        <w:rPr>
          <w:lang w:val="pt-PT"/>
        </w:rPr>
        <w:t xml:space="preserve"> e dispor de fundos próprios equivalentes a um montante pelo menos igual ao mais elevado dos seguintes montantes:</w:t>
      </w:r>
    </w:p>
    <w:p w14:paraId="298F10FB" w14:textId="77777777" w:rsidR="00465964" w:rsidRPr="00465964" w:rsidRDefault="00465964" w:rsidP="00465964">
      <w:pPr>
        <w:rPr>
          <w:lang w:val="pt-PT"/>
        </w:rPr>
      </w:pPr>
      <w:r w:rsidRPr="00465964">
        <w:rPr>
          <w:lang w:val="pt-PT"/>
        </w:rPr>
        <w:t>350 000 EUR,</w:t>
      </w:r>
    </w:p>
    <w:p w14:paraId="708B34E3" w14:textId="77777777" w:rsidR="00465964" w:rsidRPr="00465964" w:rsidRDefault="00465964" w:rsidP="00465964">
      <w:pPr>
        <w:rPr>
          <w:lang w:val="pt-PT"/>
        </w:rPr>
      </w:pPr>
      <w:r w:rsidRPr="00465964">
        <w:rPr>
          <w:lang w:val="pt-PT"/>
        </w:rPr>
        <w:t>2 % do montante médio da reserva de ativos,</w:t>
      </w:r>
    </w:p>
    <w:p w14:paraId="2778E226" w14:textId="77777777" w:rsidR="00465964" w:rsidRPr="00465964" w:rsidRDefault="00465964" w:rsidP="00465964">
      <w:pPr>
        <w:rPr>
          <w:lang w:val="pt-PT"/>
        </w:rPr>
      </w:pPr>
      <w:r w:rsidRPr="00465964">
        <w:rPr>
          <w:lang w:val="pt-PT"/>
        </w:rPr>
        <w:t>um quarto das despesas gerais fixas do ano anterior;</w:t>
      </w:r>
    </w:p>
    <w:p w14:paraId="6388A50B" w14:textId="77777777" w:rsidR="00465964" w:rsidRPr="00465964" w:rsidRDefault="00465964" w:rsidP="00465964">
      <w:pPr>
        <w:rPr>
          <w:lang w:val="pt-PT"/>
        </w:rPr>
      </w:pPr>
      <w:r w:rsidRPr="00465964">
        <w:rPr>
          <w:lang w:val="pt-PT"/>
        </w:rPr>
        <w:lastRenderedPageBreak/>
        <w:t>dispor de planos de recuperação e reembolso para utilização caso não estejam em condições de cumprir as suas obrigações.</w:t>
      </w:r>
    </w:p>
    <w:p w14:paraId="0C307DA7" w14:textId="3F2D9A33" w:rsidR="00465964" w:rsidRPr="00465964" w:rsidRDefault="00465964" w:rsidP="00465964">
      <w:pPr>
        <w:rPr>
          <w:lang w:val="pt-PT"/>
        </w:rPr>
      </w:pPr>
      <w:r w:rsidRPr="00465964">
        <w:rPr>
          <w:lang w:val="pt-PT"/>
        </w:rPr>
        <w:t xml:space="preserve">Os emitentes de </w:t>
      </w:r>
      <w:r>
        <w:rPr>
          <w:lang w:val="pt-PT"/>
        </w:rPr>
        <w:t>criptomoedas</w:t>
      </w:r>
      <w:r w:rsidRPr="00465964">
        <w:rPr>
          <w:lang w:val="pt-PT"/>
        </w:rPr>
        <w:t xml:space="preserve"> de moeda eletrónica que procedam à sua oferta pública ou que solicitem a sua admissão à negociação numa plataforma de negociação de criptoativos devem:</w:t>
      </w:r>
    </w:p>
    <w:p w14:paraId="3B511D4D" w14:textId="77777777" w:rsidR="00465964" w:rsidRPr="00465964" w:rsidRDefault="00465964" w:rsidP="00465964">
      <w:pPr>
        <w:rPr>
          <w:lang w:val="pt-PT"/>
        </w:rPr>
      </w:pPr>
    </w:p>
    <w:p w14:paraId="31DDDE34" w14:textId="77777777" w:rsidR="00465964" w:rsidRPr="00465964" w:rsidRDefault="00465964" w:rsidP="00465964">
      <w:pPr>
        <w:rPr>
          <w:lang w:val="pt-PT"/>
        </w:rPr>
      </w:pPr>
      <w:r w:rsidRPr="00465964">
        <w:rPr>
          <w:lang w:val="pt-PT"/>
        </w:rPr>
        <w:t>ser autorizados na qualidade de instituição de crédito ou de moeda eletrónica;</w:t>
      </w:r>
    </w:p>
    <w:p w14:paraId="27A23274" w14:textId="77777777" w:rsidR="00465964" w:rsidRPr="00465964" w:rsidRDefault="00465964" w:rsidP="00465964">
      <w:pPr>
        <w:rPr>
          <w:lang w:val="pt-PT"/>
        </w:rPr>
      </w:pPr>
      <w:r w:rsidRPr="00465964">
        <w:rPr>
          <w:lang w:val="pt-PT"/>
        </w:rPr>
        <w:t>publicar no seu sítio web um livrete do criptoativo e quaisquer comunicações comerciais, bem como ser responsáveis por danos sofridos em resultado de informações incorretas no livrete do criptoativo;</w:t>
      </w:r>
    </w:p>
    <w:p w14:paraId="14766383" w14:textId="77777777" w:rsidR="00465964" w:rsidRPr="00465964" w:rsidRDefault="00465964" w:rsidP="00465964">
      <w:pPr>
        <w:rPr>
          <w:lang w:val="pt-PT"/>
        </w:rPr>
      </w:pPr>
      <w:r w:rsidRPr="00465964">
        <w:rPr>
          <w:lang w:val="pt-PT"/>
        </w:rPr>
        <w:t>cumprir as regras em matéria de emissão, reembolso e comercialização;</w:t>
      </w:r>
    </w:p>
    <w:p w14:paraId="1CD44420" w14:textId="26116B39" w:rsidR="00465964" w:rsidRPr="00465964" w:rsidRDefault="00465964" w:rsidP="00465964">
      <w:pPr>
        <w:rPr>
          <w:lang w:val="pt-PT"/>
        </w:rPr>
      </w:pPr>
      <w:r w:rsidRPr="00465964">
        <w:rPr>
          <w:lang w:val="pt-PT"/>
        </w:rPr>
        <w:t xml:space="preserve">emitir as </w:t>
      </w:r>
      <w:r>
        <w:rPr>
          <w:lang w:val="pt-PT"/>
        </w:rPr>
        <w:t>criptomoedas</w:t>
      </w:r>
      <w:r w:rsidRPr="00465964">
        <w:rPr>
          <w:lang w:val="pt-PT"/>
        </w:rPr>
        <w:t xml:space="preserve"> pelo valor nominal aquando da receção de fundos;</w:t>
      </w:r>
    </w:p>
    <w:p w14:paraId="1646478F" w14:textId="2E40DF06" w:rsidR="00465964" w:rsidRPr="00465964" w:rsidRDefault="00465964" w:rsidP="00465964">
      <w:pPr>
        <w:rPr>
          <w:lang w:val="pt-PT"/>
        </w:rPr>
      </w:pPr>
      <w:r w:rsidRPr="00465964">
        <w:rPr>
          <w:lang w:val="pt-PT"/>
        </w:rPr>
        <w:t xml:space="preserve">a pedido de um detentor, reembolsar as </w:t>
      </w:r>
      <w:r>
        <w:rPr>
          <w:lang w:val="pt-PT"/>
        </w:rPr>
        <w:t>criptomoedas</w:t>
      </w:r>
      <w:r w:rsidRPr="00465964">
        <w:rPr>
          <w:lang w:val="pt-PT"/>
        </w:rPr>
        <w:t xml:space="preserve"> em qualquer momento e pelo valor nominal;</w:t>
      </w:r>
    </w:p>
    <w:p w14:paraId="2133FAD0" w14:textId="77777777" w:rsidR="00465964" w:rsidRPr="00465964" w:rsidRDefault="00465964" w:rsidP="00465964">
      <w:pPr>
        <w:rPr>
          <w:lang w:val="pt-PT"/>
        </w:rPr>
      </w:pPr>
      <w:r w:rsidRPr="00465964">
        <w:rPr>
          <w:lang w:val="pt-PT"/>
        </w:rPr>
        <w:t>investir os fundos que recebem em ativos seguros e de baixo risco numa mesma moeda e depositá-los numa conta separada numa instituição de crédito;</w:t>
      </w:r>
    </w:p>
    <w:p w14:paraId="6229CA70" w14:textId="77777777" w:rsidR="00465964" w:rsidRPr="00465964" w:rsidRDefault="00465964" w:rsidP="00465964">
      <w:pPr>
        <w:rPr>
          <w:lang w:val="pt-PT"/>
        </w:rPr>
      </w:pPr>
      <w:r w:rsidRPr="00465964">
        <w:rPr>
          <w:lang w:val="pt-PT"/>
        </w:rPr>
        <w:t>dispor de planos de recuperação e reembolso para utilização caso não estejam em condições de cumprir as suas obrigações.</w:t>
      </w:r>
    </w:p>
    <w:p w14:paraId="78481276" w14:textId="410A0559" w:rsidR="00465964" w:rsidRPr="00465964" w:rsidRDefault="00465964" w:rsidP="00465964">
      <w:pPr>
        <w:rPr>
          <w:lang w:val="pt-PT"/>
        </w:rPr>
      </w:pPr>
      <w:r w:rsidRPr="00465964">
        <w:rPr>
          <w:lang w:val="pt-PT"/>
        </w:rPr>
        <w:t xml:space="preserve">A Autoridade Bancária Europeia (EBA) classifica as </w:t>
      </w:r>
      <w:r>
        <w:rPr>
          <w:lang w:val="pt-PT"/>
        </w:rPr>
        <w:t>criptomoedas</w:t>
      </w:r>
      <w:r w:rsidRPr="00465964">
        <w:rPr>
          <w:lang w:val="pt-PT"/>
        </w:rPr>
        <w:t xml:space="preserve"> referenciadas a ativos e as </w:t>
      </w:r>
      <w:r>
        <w:rPr>
          <w:lang w:val="pt-PT"/>
        </w:rPr>
        <w:t>criptomoedas</w:t>
      </w:r>
      <w:r w:rsidRPr="00465964">
        <w:rPr>
          <w:lang w:val="pt-PT"/>
        </w:rPr>
        <w:t xml:space="preserve"> de moeda eletrónica como sendo «significativas» se determinados critérios forem cumpridos, como os seus detentores, o valor ou as transações que vão além de determinados níveis. Nestes casos, os emitentes significativos de </w:t>
      </w:r>
      <w:r>
        <w:rPr>
          <w:lang w:val="pt-PT"/>
        </w:rPr>
        <w:t>criptomoedas</w:t>
      </w:r>
      <w:r w:rsidRPr="00465964">
        <w:rPr>
          <w:lang w:val="pt-PT"/>
        </w:rPr>
        <w:t xml:space="preserve"> referenciadas a ativos e de </w:t>
      </w:r>
      <w:r>
        <w:rPr>
          <w:lang w:val="pt-PT"/>
        </w:rPr>
        <w:t>criptomoedas</w:t>
      </w:r>
      <w:r w:rsidRPr="00465964">
        <w:rPr>
          <w:lang w:val="pt-PT"/>
        </w:rPr>
        <w:t xml:space="preserve"> de moeda eletrónica estão sujeitos a requisitos adicionais e a EBA assume o papel de supervisão.</w:t>
      </w:r>
    </w:p>
    <w:p w14:paraId="7FF928A8" w14:textId="77777777" w:rsidR="00465964" w:rsidRPr="00465964" w:rsidRDefault="00465964" w:rsidP="00465964">
      <w:pPr>
        <w:rPr>
          <w:lang w:val="pt-PT"/>
        </w:rPr>
      </w:pPr>
    </w:p>
    <w:p w14:paraId="1499B589" w14:textId="77777777" w:rsidR="00465964" w:rsidRPr="00465964" w:rsidRDefault="00465964" w:rsidP="00465964">
      <w:pPr>
        <w:rPr>
          <w:b/>
          <w:bCs/>
          <w:lang w:val="pt-PT"/>
        </w:rPr>
      </w:pPr>
      <w:r w:rsidRPr="00465964">
        <w:rPr>
          <w:b/>
          <w:bCs/>
          <w:lang w:val="pt-PT"/>
        </w:rPr>
        <w:t>Os prestadores de serviços de criptoativos devem ser:</w:t>
      </w:r>
    </w:p>
    <w:p w14:paraId="67D61006" w14:textId="77777777" w:rsidR="00465964" w:rsidRPr="00465964" w:rsidRDefault="00465964" w:rsidP="00465964">
      <w:pPr>
        <w:rPr>
          <w:lang w:val="pt-PT"/>
        </w:rPr>
      </w:pPr>
    </w:p>
    <w:p w14:paraId="1A31AC6B" w14:textId="77777777" w:rsidR="00465964" w:rsidRPr="00465964" w:rsidRDefault="00465964" w:rsidP="00465964">
      <w:pPr>
        <w:rPr>
          <w:lang w:val="pt-PT"/>
        </w:rPr>
      </w:pPr>
      <w:r w:rsidRPr="00465964">
        <w:rPr>
          <w:lang w:val="pt-PT"/>
        </w:rPr>
        <w:t>uma pessoa coletiva ou determinada empresa autorizada pela respetiva autoridade nacional como prestador de serviços de criptoativos, com sede social num Estado-Membro em que exerça pelo menos parte da sua atividade de prestação de serviços, ter o seu local de direção efetiva e pelo menos um dos membros do seu órgão de administração na UE; ou</w:t>
      </w:r>
    </w:p>
    <w:p w14:paraId="7EB05078" w14:textId="77777777" w:rsidR="00465964" w:rsidRPr="00465964" w:rsidRDefault="00465964" w:rsidP="00465964">
      <w:pPr>
        <w:rPr>
          <w:lang w:val="pt-PT"/>
        </w:rPr>
      </w:pPr>
      <w:r w:rsidRPr="00465964">
        <w:rPr>
          <w:lang w:val="pt-PT"/>
        </w:rPr>
        <w:t>sob certas condições, uma instituição de crédito, uma central de valores mobiliários, uma empresa de investimento, um operador de mercado, uma instituição de moeda eletrónica, uma sociedade gestora de organismos de investimento coletivo em valores mobiliários ou um gestor de fundos de investimento alternativos.</w:t>
      </w:r>
    </w:p>
    <w:p w14:paraId="4D0C165C" w14:textId="77777777" w:rsidR="00465964" w:rsidRPr="00465964" w:rsidRDefault="00465964" w:rsidP="00465964">
      <w:pPr>
        <w:rPr>
          <w:lang w:val="pt-PT"/>
        </w:rPr>
      </w:pPr>
      <w:r w:rsidRPr="00465964">
        <w:rPr>
          <w:lang w:val="pt-PT"/>
        </w:rPr>
        <w:t>Todos os prestadores de serviços de criptoativos têm as seguintes obrigações:</w:t>
      </w:r>
    </w:p>
    <w:p w14:paraId="63C2B08B" w14:textId="77777777" w:rsidR="00465964" w:rsidRPr="00465964" w:rsidRDefault="00465964" w:rsidP="00465964">
      <w:pPr>
        <w:rPr>
          <w:lang w:val="pt-PT"/>
        </w:rPr>
      </w:pPr>
    </w:p>
    <w:p w14:paraId="3EFBBEA1" w14:textId="77777777" w:rsidR="00465964" w:rsidRPr="00465964" w:rsidRDefault="00465964" w:rsidP="00465964">
      <w:pPr>
        <w:rPr>
          <w:lang w:val="pt-PT"/>
        </w:rPr>
      </w:pPr>
      <w:r w:rsidRPr="00465964">
        <w:rPr>
          <w:lang w:val="pt-PT"/>
        </w:rPr>
        <w:t>atuar com honestidade, lealdade e profissionalismo no melhor interesse dos clientes e potenciais clientes;</w:t>
      </w:r>
    </w:p>
    <w:p w14:paraId="5ACD032C" w14:textId="77777777" w:rsidR="00465964" w:rsidRPr="00465964" w:rsidRDefault="00465964" w:rsidP="00465964">
      <w:pPr>
        <w:rPr>
          <w:lang w:val="pt-PT"/>
        </w:rPr>
      </w:pPr>
      <w:r w:rsidRPr="00465964">
        <w:rPr>
          <w:lang w:val="pt-PT"/>
        </w:rPr>
        <w:lastRenderedPageBreak/>
        <w:t>fornecer aos clientes informações corretas, claras e que não induzam em erro;</w:t>
      </w:r>
    </w:p>
    <w:p w14:paraId="05FFA347" w14:textId="77777777" w:rsidR="00465964" w:rsidRPr="00465964" w:rsidRDefault="00465964" w:rsidP="00465964">
      <w:pPr>
        <w:rPr>
          <w:lang w:val="pt-PT"/>
        </w:rPr>
      </w:pPr>
      <w:r w:rsidRPr="00465964">
        <w:rPr>
          <w:lang w:val="pt-PT"/>
        </w:rPr>
        <w:t>não devem, de forma deliberada ou negligente, induzir em erro um cliente no que diz respeito às vantagens efetivas ou presumíveis dos criptoativos e devem alertar os clientes sobre os riscos inerentes;</w:t>
      </w:r>
    </w:p>
    <w:p w14:paraId="3B278AAC" w14:textId="77777777" w:rsidR="00465964" w:rsidRPr="00465964" w:rsidRDefault="00465964" w:rsidP="00465964">
      <w:pPr>
        <w:rPr>
          <w:lang w:val="pt-PT"/>
        </w:rPr>
      </w:pPr>
      <w:r w:rsidRPr="00465964">
        <w:rPr>
          <w:lang w:val="pt-PT"/>
        </w:rPr>
        <w:t>disponibilizar, num lugar de destaque no seu sítio Web, as suas políticas de preços, custos e comissões, bem como os impactos de cada criptoativo no clima;</w:t>
      </w:r>
    </w:p>
    <w:p w14:paraId="76FFC4F1" w14:textId="77777777" w:rsidR="00465964" w:rsidRPr="00465964" w:rsidRDefault="00465964" w:rsidP="00465964">
      <w:pPr>
        <w:rPr>
          <w:lang w:val="pt-PT"/>
        </w:rPr>
      </w:pPr>
      <w:r w:rsidRPr="00465964">
        <w:rPr>
          <w:lang w:val="pt-PT"/>
        </w:rPr>
        <w:t>dispor de garantias prudenciais que equivalham, pelo menos, ao montante mais elevado dos dois seguintes:</w:t>
      </w:r>
    </w:p>
    <w:p w14:paraId="4D33574C" w14:textId="77777777" w:rsidR="00465964" w:rsidRPr="00465964" w:rsidRDefault="00465964" w:rsidP="00465964">
      <w:pPr>
        <w:rPr>
          <w:lang w:val="pt-PT"/>
        </w:rPr>
      </w:pPr>
      <w:r w:rsidRPr="00465964">
        <w:rPr>
          <w:lang w:val="pt-PT"/>
        </w:rPr>
        <w:t>o montante dos requisitos de capital mínimo permanente indicados no anexo IV ou</w:t>
      </w:r>
    </w:p>
    <w:p w14:paraId="45A8E14A" w14:textId="77777777" w:rsidR="00465964" w:rsidRPr="00465964" w:rsidRDefault="00465964" w:rsidP="00465964">
      <w:pPr>
        <w:rPr>
          <w:lang w:val="pt-PT"/>
        </w:rPr>
      </w:pPr>
      <w:r w:rsidRPr="00465964">
        <w:rPr>
          <w:lang w:val="pt-PT"/>
        </w:rPr>
        <w:t>um quarto das despesas gerais fixas do exercício anterior;</w:t>
      </w:r>
    </w:p>
    <w:p w14:paraId="7AD7B62F" w14:textId="77777777" w:rsidR="00465964" w:rsidRPr="00465964" w:rsidRDefault="00465964" w:rsidP="00465964">
      <w:pPr>
        <w:rPr>
          <w:lang w:val="pt-PT"/>
        </w:rPr>
      </w:pPr>
      <w:r w:rsidRPr="00465964">
        <w:rPr>
          <w:lang w:val="pt-PT"/>
        </w:rPr>
        <w:t xml:space="preserve">assegurar que os membros do órgão de administração têm idoneidade suficiente, possuem os conhecimentos, experiência, </w:t>
      </w:r>
      <w:proofErr w:type="gramStart"/>
      <w:r w:rsidRPr="00465964">
        <w:rPr>
          <w:lang w:val="pt-PT"/>
        </w:rPr>
        <w:t>competências adequados</w:t>
      </w:r>
      <w:proofErr w:type="gramEnd"/>
      <w:r w:rsidRPr="00465964">
        <w:rPr>
          <w:lang w:val="pt-PT"/>
        </w:rPr>
        <w:t xml:space="preserve"> e estão em condições de dedicar tempo suficiente ao desempenho efetivo das suas funções;</w:t>
      </w:r>
    </w:p>
    <w:p w14:paraId="40753544" w14:textId="77777777" w:rsidR="00465964" w:rsidRPr="00465964" w:rsidRDefault="00465964" w:rsidP="00465964">
      <w:pPr>
        <w:rPr>
          <w:lang w:val="pt-PT"/>
        </w:rPr>
      </w:pPr>
      <w:r w:rsidRPr="00465964">
        <w:rPr>
          <w:lang w:val="pt-PT"/>
        </w:rPr>
        <w:t>aplicar políticas e procedimentos para prevenir o branqueamento de capitais, o financiamento do terrorismo ou outras infrações;</w:t>
      </w:r>
    </w:p>
    <w:p w14:paraId="6B8945D8" w14:textId="77777777" w:rsidR="00465964" w:rsidRPr="00465964" w:rsidRDefault="00465964" w:rsidP="00465964">
      <w:pPr>
        <w:rPr>
          <w:lang w:val="pt-PT"/>
        </w:rPr>
      </w:pPr>
      <w:r w:rsidRPr="00465964">
        <w:rPr>
          <w:lang w:val="pt-PT"/>
        </w:rPr>
        <w:t>manter os criptoativos e os fundos dos clientes separados de outros ativos e não os utilizar por conta própria;</w:t>
      </w:r>
    </w:p>
    <w:p w14:paraId="0C496F00" w14:textId="77777777" w:rsidR="00465964" w:rsidRPr="00465964" w:rsidRDefault="00465964" w:rsidP="00465964">
      <w:pPr>
        <w:rPr>
          <w:lang w:val="pt-PT"/>
        </w:rPr>
      </w:pPr>
      <w:r w:rsidRPr="00465964">
        <w:rPr>
          <w:lang w:val="pt-PT"/>
        </w:rPr>
        <w:t>estabelecer e manter procedimentos eficazes e transparentes com vista ao tratamento expedito, leal e coerente das reclamações dos clientes;</w:t>
      </w:r>
    </w:p>
    <w:p w14:paraId="78340C78" w14:textId="77777777" w:rsidR="00465964" w:rsidRPr="00465964" w:rsidRDefault="00465964" w:rsidP="00465964">
      <w:pPr>
        <w:rPr>
          <w:lang w:val="pt-PT"/>
        </w:rPr>
      </w:pPr>
      <w:r w:rsidRPr="00465964">
        <w:rPr>
          <w:lang w:val="pt-PT"/>
        </w:rPr>
        <w:t>manter e aplicar uma política eficaz com vista a identificar, prevenir, gerir e divulgar quaisquer conflitos de interesse que possam surgir;</w:t>
      </w:r>
    </w:p>
    <w:p w14:paraId="7FCF3DA4" w14:textId="77777777" w:rsidR="00465964" w:rsidRPr="00465964" w:rsidRDefault="00465964" w:rsidP="00465964">
      <w:pPr>
        <w:rPr>
          <w:lang w:val="pt-PT"/>
        </w:rPr>
      </w:pPr>
      <w:r w:rsidRPr="00465964">
        <w:rPr>
          <w:lang w:val="pt-PT"/>
        </w:rPr>
        <w:t>tomar todas as medidas razoáveis para evitar riscos operacionais adicionais quando subcontratarem atividades a terceiros;</w:t>
      </w:r>
    </w:p>
    <w:p w14:paraId="4C7CCC11" w14:textId="77777777" w:rsidR="00465964" w:rsidRPr="00465964" w:rsidRDefault="00465964" w:rsidP="00465964">
      <w:pPr>
        <w:rPr>
          <w:lang w:val="pt-PT"/>
        </w:rPr>
      </w:pPr>
      <w:r w:rsidRPr="00465964">
        <w:rPr>
          <w:lang w:val="pt-PT"/>
        </w:rPr>
        <w:t>elaborar, se necessário, um plano para uma liquidação ordenada das suas atividades.</w:t>
      </w:r>
    </w:p>
    <w:p w14:paraId="6AAD7C05" w14:textId="77777777" w:rsidR="00465964" w:rsidRPr="00465964" w:rsidRDefault="00465964" w:rsidP="00465964">
      <w:pPr>
        <w:rPr>
          <w:lang w:val="pt-PT"/>
        </w:rPr>
      </w:pPr>
      <w:r w:rsidRPr="00465964">
        <w:rPr>
          <w:lang w:val="pt-PT"/>
        </w:rPr>
        <w:t>As regras abrangem:</w:t>
      </w:r>
    </w:p>
    <w:p w14:paraId="1C7BAF79" w14:textId="77777777" w:rsidR="00465964" w:rsidRPr="00465964" w:rsidRDefault="00465964" w:rsidP="00465964">
      <w:pPr>
        <w:rPr>
          <w:lang w:val="pt-PT"/>
        </w:rPr>
      </w:pPr>
    </w:p>
    <w:p w14:paraId="50077EC3" w14:textId="0662DC63" w:rsidR="00465964" w:rsidRPr="00465964" w:rsidRDefault="00465964" w:rsidP="00465964">
      <w:pPr>
        <w:rPr>
          <w:lang w:val="pt-PT"/>
        </w:rPr>
      </w:pPr>
      <w:r w:rsidRPr="00465964">
        <w:rPr>
          <w:lang w:val="pt-PT"/>
        </w:rPr>
        <w:t xml:space="preserve">aquisições de emitentes de </w:t>
      </w:r>
      <w:r>
        <w:rPr>
          <w:lang w:val="pt-PT"/>
        </w:rPr>
        <w:t>criptomoedas</w:t>
      </w:r>
      <w:r w:rsidRPr="00465964">
        <w:rPr>
          <w:lang w:val="pt-PT"/>
        </w:rPr>
        <w:t xml:space="preserve"> referenciadas a ativos e prestadores de serviços de criptoativos;</w:t>
      </w:r>
    </w:p>
    <w:p w14:paraId="4A96D575" w14:textId="77777777" w:rsidR="00465964" w:rsidRPr="00465964" w:rsidRDefault="00465964" w:rsidP="00465964">
      <w:pPr>
        <w:rPr>
          <w:lang w:val="pt-PT"/>
        </w:rPr>
      </w:pPr>
      <w:r w:rsidRPr="00465964">
        <w:rPr>
          <w:lang w:val="pt-PT"/>
        </w:rPr>
        <w:t>medidas destinadas a prevenir e proibir casos de abuso de mercado, tais como as transações com base em informação privilegiada e a utilização ilícita de informação privilegiada;</w:t>
      </w:r>
    </w:p>
    <w:p w14:paraId="1787C272" w14:textId="77777777" w:rsidR="00465964" w:rsidRPr="00465964" w:rsidRDefault="00465964" w:rsidP="00465964">
      <w:pPr>
        <w:rPr>
          <w:lang w:val="pt-PT"/>
        </w:rPr>
      </w:pPr>
      <w:r w:rsidRPr="00465964">
        <w:rPr>
          <w:lang w:val="pt-PT"/>
        </w:rPr>
        <w:t>poderes e funções das autoridades nacionais, a EBA e a Autoridade Europeia dos Valores Mobiliários e dos Mercados (ESMA).</w:t>
      </w:r>
    </w:p>
    <w:p w14:paraId="4E3B5A31" w14:textId="77777777" w:rsidR="00465964" w:rsidRPr="00465964" w:rsidRDefault="00465964" w:rsidP="00465964">
      <w:pPr>
        <w:rPr>
          <w:lang w:val="pt-PT"/>
        </w:rPr>
      </w:pPr>
      <w:r w:rsidRPr="00465964">
        <w:rPr>
          <w:lang w:val="pt-PT"/>
        </w:rPr>
        <w:t>O regulamento não é aplicável a:</w:t>
      </w:r>
    </w:p>
    <w:p w14:paraId="55FFEE47" w14:textId="77777777" w:rsidR="00465964" w:rsidRPr="00465964" w:rsidRDefault="00465964" w:rsidP="00465964">
      <w:pPr>
        <w:rPr>
          <w:lang w:val="pt-PT"/>
        </w:rPr>
      </w:pPr>
    </w:p>
    <w:p w14:paraId="566509E2" w14:textId="77777777" w:rsidR="00465964" w:rsidRPr="00465964" w:rsidRDefault="00465964" w:rsidP="00465964">
      <w:pPr>
        <w:rPr>
          <w:lang w:val="pt-PT"/>
        </w:rPr>
      </w:pPr>
      <w:r w:rsidRPr="00465964">
        <w:rPr>
          <w:lang w:val="pt-PT"/>
        </w:rPr>
        <w:t>aos criptoativos abrangidos por outros atos em matéria de serviços financeiros da UE (p. ex., os que são considerados instrumentos financeiros, pensões ou produtos de seguros);</w:t>
      </w:r>
    </w:p>
    <w:p w14:paraId="7D39191C" w14:textId="77777777" w:rsidR="00465964" w:rsidRPr="00465964" w:rsidRDefault="00465964" w:rsidP="00465964">
      <w:pPr>
        <w:rPr>
          <w:lang w:val="pt-PT"/>
        </w:rPr>
      </w:pPr>
      <w:r w:rsidRPr="00465964">
        <w:rPr>
          <w:lang w:val="pt-PT"/>
        </w:rPr>
        <w:lastRenderedPageBreak/>
        <w:t>prestadores de serviços de criptoativos exclusivamente às suas empresas-mãe ou filiais, liquidatários e administradores em processos de insolvência;</w:t>
      </w:r>
    </w:p>
    <w:p w14:paraId="12854A99" w14:textId="77777777" w:rsidR="00465964" w:rsidRPr="00465964" w:rsidRDefault="00465964" w:rsidP="00465964">
      <w:pPr>
        <w:rPr>
          <w:lang w:val="pt-PT"/>
        </w:rPr>
      </w:pPr>
      <w:r w:rsidRPr="00465964">
        <w:rPr>
          <w:lang w:val="pt-PT"/>
        </w:rPr>
        <w:t>o Banco Central Europeu e os bancos centrais nacionais, o Banco Europeu de Investimento, o Fundo Europeu de Estabilidade Financeira, o Mecanismo Europeu de Estabilidade e as organizações internacionais públicas;</w:t>
      </w:r>
    </w:p>
    <w:p w14:paraId="1E8B9A23" w14:textId="77777777" w:rsidR="00465964" w:rsidRPr="00465964" w:rsidRDefault="00465964" w:rsidP="00465964">
      <w:pPr>
        <w:rPr>
          <w:lang w:val="pt-PT"/>
        </w:rPr>
      </w:pPr>
      <w:r w:rsidRPr="00465964">
        <w:rPr>
          <w:lang w:val="pt-PT"/>
        </w:rPr>
        <w:t>criptoativos que sejam únicos e não permutáveis com outros criptoativos.</w:t>
      </w:r>
    </w:p>
    <w:p w14:paraId="6CA50049" w14:textId="77777777" w:rsidR="00465964" w:rsidRPr="00465964" w:rsidRDefault="00465964" w:rsidP="00465964">
      <w:pPr>
        <w:rPr>
          <w:lang w:val="pt-PT"/>
        </w:rPr>
      </w:pPr>
      <w:r w:rsidRPr="00465964">
        <w:rPr>
          <w:lang w:val="pt-PT"/>
        </w:rPr>
        <w:t>A Comissão Europeia apresenta um relatório ao Parlamento Europeu e ao Conselho da União Europeia em várias fases após a data de entrada em vigor do regulamento, sobre:</w:t>
      </w:r>
    </w:p>
    <w:p w14:paraId="1108ECFB" w14:textId="77777777" w:rsidR="00465964" w:rsidRPr="00465964" w:rsidRDefault="00465964" w:rsidP="00465964">
      <w:pPr>
        <w:rPr>
          <w:lang w:val="pt-PT"/>
        </w:rPr>
      </w:pPr>
    </w:p>
    <w:p w14:paraId="1E78016C" w14:textId="77777777" w:rsidR="00465964" w:rsidRPr="00465964" w:rsidRDefault="00465964" w:rsidP="00465964">
      <w:pPr>
        <w:rPr>
          <w:lang w:val="pt-PT"/>
        </w:rPr>
      </w:pPr>
      <w:r w:rsidRPr="00465964">
        <w:rPr>
          <w:lang w:val="pt-PT"/>
        </w:rPr>
        <w:t>os desenvolvimentos mais recentes em matéria de criptoativos (após 18 meses);</w:t>
      </w:r>
    </w:p>
    <w:p w14:paraId="7CDB5476" w14:textId="77777777" w:rsidR="00465964" w:rsidRPr="00465964" w:rsidRDefault="00465964" w:rsidP="00465964">
      <w:pPr>
        <w:rPr>
          <w:lang w:val="pt-PT"/>
        </w:rPr>
      </w:pPr>
      <w:r w:rsidRPr="00465964">
        <w:rPr>
          <w:lang w:val="pt-PT"/>
        </w:rPr>
        <w:t>a avaliação intercalar do regulamento (após 24 meses);</w:t>
      </w:r>
    </w:p>
    <w:p w14:paraId="054436F8" w14:textId="77777777" w:rsidR="00465964" w:rsidRPr="00465964" w:rsidRDefault="00465964" w:rsidP="00465964">
      <w:pPr>
        <w:rPr>
          <w:lang w:val="pt-PT"/>
        </w:rPr>
      </w:pPr>
      <w:r w:rsidRPr="00465964">
        <w:rPr>
          <w:lang w:val="pt-PT"/>
        </w:rPr>
        <w:t>a aplicação do regulamento (após 48 meses).</w:t>
      </w:r>
    </w:p>
    <w:p w14:paraId="24FD8490" w14:textId="77777777" w:rsidR="00465964" w:rsidRPr="00465964" w:rsidRDefault="00465964" w:rsidP="00465964">
      <w:pPr>
        <w:rPr>
          <w:lang w:val="pt-PT"/>
        </w:rPr>
      </w:pPr>
      <w:r w:rsidRPr="00465964">
        <w:rPr>
          <w:lang w:val="pt-PT"/>
        </w:rPr>
        <w:t>A Comissão está também habilitada a adotar atos delegados e de execução.</w:t>
      </w:r>
    </w:p>
    <w:p w14:paraId="2CD35231" w14:textId="77777777" w:rsidR="00465964" w:rsidRPr="00465964" w:rsidRDefault="00465964" w:rsidP="00465964">
      <w:pPr>
        <w:rPr>
          <w:lang w:val="pt-PT"/>
        </w:rPr>
      </w:pPr>
    </w:p>
    <w:p w14:paraId="4204FF63" w14:textId="77777777" w:rsidR="00465964" w:rsidRPr="00465964" w:rsidRDefault="00465964" w:rsidP="00465964">
      <w:pPr>
        <w:rPr>
          <w:lang w:val="pt-PT"/>
        </w:rPr>
      </w:pPr>
      <w:r w:rsidRPr="00465964">
        <w:rPr>
          <w:lang w:val="pt-PT"/>
        </w:rPr>
        <w:t>Doze meses após a entrada em vigor do regulamento, e posteriormente todos os anos, a ESMA, em cooperação com a EBA, apresenta ao Parlamento e ao Conselho um relatório, acessível ao público, sobre a aplicação da legislação e a evolução dos mercados de criptoativos.</w:t>
      </w:r>
    </w:p>
    <w:p w14:paraId="54C64DC8" w14:textId="77777777" w:rsidR="00465964" w:rsidRPr="00465964" w:rsidRDefault="00465964" w:rsidP="00465964">
      <w:pPr>
        <w:rPr>
          <w:lang w:val="pt-PT"/>
        </w:rPr>
      </w:pPr>
    </w:p>
    <w:p w14:paraId="56A2E32C" w14:textId="77777777" w:rsidR="00465964" w:rsidRPr="00465964" w:rsidRDefault="00465964" w:rsidP="00465964">
      <w:pPr>
        <w:rPr>
          <w:lang w:val="pt-PT"/>
        </w:rPr>
      </w:pPr>
      <w:r w:rsidRPr="00465964">
        <w:rPr>
          <w:lang w:val="pt-PT"/>
        </w:rPr>
        <w:t>Ponto de acesso único europeu</w:t>
      </w:r>
    </w:p>
    <w:p w14:paraId="41F1EFF1" w14:textId="77777777" w:rsidR="00465964" w:rsidRPr="00465964" w:rsidRDefault="00465964" w:rsidP="00465964">
      <w:pPr>
        <w:rPr>
          <w:lang w:val="pt-PT"/>
        </w:rPr>
      </w:pPr>
    </w:p>
    <w:p w14:paraId="11148E14" w14:textId="798ECC09" w:rsidR="00465964" w:rsidRPr="00465964" w:rsidRDefault="00465964" w:rsidP="00465964">
      <w:pPr>
        <w:rPr>
          <w:lang w:val="pt-PT"/>
        </w:rPr>
      </w:pPr>
      <w:r w:rsidRPr="00465964">
        <w:rPr>
          <w:lang w:val="pt-PT"/>
        </w:rPr>
        <w:t>O Regulamento de alteração (UE) 2023/2869 integra no Regulamento (UE) 2023/1114 um novo artigo relativo à acessibilidade da informação no ponto de acesso único europeu (ESAP), criado ao abrigo do Regulamento (UE) 2023/2859 (ver síntese). O ESAP facultará acesso às informações públicas financeiras e relacionadas com a sustentabilidade sobre as empresas da UE e os produtos de investimento da UE. O ato modificativo exige que, a partir de 10 de janeiro de 2030, sempre que tornem públicas as informações exigidas nos termos do Regulamento (UE) 2023/1114, o oferente ou a pessoa que pretenda aderir à negociação transmita simultaneamente esse documento ao organismo de recolha competente para efeitos de o tornar acessível no ESAP. O regulamento de alteração estabelece ainda as condições que essas informações devem cumprir.</w:t>
      </w:r>
    </w:p>
    <w:p w14:paraId="23D31314" w14:textId="77777777" w:rsidR="00465964" w:rsidRDefault="00465964" w:rsidP="00465964">
      <w:pPr>
        <w:rPr>
          <w:b/>
          <w:bCs/>
          <w:lang w:val="pt-PT"/>
        </w:rPr>
      </w:pPr>
    </w:p>
    <w:p w14:paraId="69658489" w14:textId="77777777" w:rsidR="00465964" w:rsidRDefault="00465964" w:rsidP="00465964">
      <w:pPr>
        <w:rPr>
          <w:b/>
          <w:bCs/>
          <w:lang w:val="pt-PT"/>
        </w:rPr>
      </w:pPr>
    </w:p>
    <w:p w14:paraId="13C7F661" w14:textId="738FA979" w:rsidR="00465964" w:rsidRPr="00465964" w:rsidRDefault="00465964" w:rsidP="00465964">
      <w:pPr>
        <w:rPr>
          <w:b/>
          <w:bCs/>
          <w:lang w:val="pt-PT"/>
        </w:rPr>
      </w:pPr>
      <w:r w:rsidRPr="00465964">
        <w:rPr>
          <w:b/>
          <w:bCs/>
          <w:lang w:val="pt-PT"/>
        </w:rPr>
        <w:t>REGULAMENTO (UE) 2023/1114 DO PARLAMENTO EUROPEU E DO CONSELHO</w:t>
      </w:r>
    </w:p>
    <w:p w14:paraId="794394DE" w14:textId="20B64FE1" w:rsidR="00465964" w:rsidRPr="00465964" w:rsidRDefault="00465964" w:rsidP="00465964">
      <w:pPr>
        <w:rPr>
          <w:b/>
          <w:bCs/>
          <w:lang w:val="pt-PT"/>
        </w:rPr>
      </w:pPr>
      <w:r w:rsidRPr="00465964">
        <w:rPr>
          <w:b/>
          <w:bCs/>
          <w:lang w:val="pt-PT"/>
        </w:rPr>
        <w:t>de 31 de maio de 2023</w:t>
      </w:r>
    </w:p>
    <w:p w14:paraId="30B2FA3E" w14:textId="77777777" w:rsidR="00465964" w:rsidRPr="00465964" w:rsidRDefault="00465964" w:rsidP="00465964">
      <w:pPr>
        <w:rPr>
          <w:b/>
          <w:bCs/>
          <w:lang w:val="pt-PT"/>
        </w:rPr>
      </w:pPr>
      <w:r w:rsidRPr="00465964">
        <w:rPr>
          <w:b/>
          <w:bCs/>
          <w:lang w:val="pt-PT"/>
        </w:rPr>
        <w:t xml:space="preserve">relativo aos mercados de criptoativos e que altera os Regulamentos (UE) </w:t>
      </w:r>
      <w:proofErr w:type="spellStart"/>
      <w:r w:rsidRPr="00465964">
        <w:rPr>
          <w:b/>
          <w:bCs/>
          <w:lang w:val="pt-PT"/>
        </w:rPr>
        <w:t>n.</w:t>
      </w:r>
      <w:r w:rsidRPr="00465964">
        <w:rPr>
          <w:b/>
          <w:bCs/>
          <w:vertAlign w:val="superscript"/>
          <w:lang w:val="pt-PT"/>
        </w:rPr>
        <w:t>o</w:t>
      </w:r>
      <w:proofErr w:type="spellEnd"/>
      <w:r w:rsidRPr="00465964">
        <w:rPr>
          <w:b/>
          <w:bCs/>
          <w:lang w:val="pt-PT"/>
        </w:rPr>
        <w:t xml:space="preserve"> 1093/2010 e (UE) </w:t>
      </w:r>
      <w:proofErr w:type="spellStart"/>
      <w:r w:rsidRPr="00465964">
        <w:rPr>
          <w:b/>
          <w:bCs/>
          <w:lang w:val="pt-PT"/>
        </w:rPr>
        <w:t>n.</w:t>
      </w:r>
      <w:r w:rsidRPr="00465964">
        <w:rPr>
          <w:b/>
          <w:bCs/>
          <w:vertAlign w:val="superscript"/>
          <w:lang w:val="pt-PT"/>
        </w:rPr>
        <w:t>o</w:t>
      </w:r>
      <w:proofErr w:type="spellEnd"/>
      <w:r w:rsidRPr="00465964">
        <w:rPr>
          <w:b/>
          <w:bCs/>
          <w:lang w:val="pt-PT"/>
        </w:rPr>
        <w:t> 1095/2010 e as Diretivas 2013/36/UE e (UE) 2019/1937</w:t>
      </w:r>
    </w:p>
    <w:p w14:paraId="5D36DE16" w14:textId="77777777" w:rsidR="00465964" w:rsidRPr="00465964" w:rsidRDefault="00465964" w:rsidP="00465964">
      <w:pPr>
        <w:rPr>
          <w:b/>
          <w:bCs/>
          <w:lang w:val="pt-PT"/>
        </w:rPr>
      </w:pPr>
      <w:r w:rsidRPr="00465964">
        <w:rPr>
          <w:b/>
          <w:bCs/>
          <w:lang w:val="pt-PT"/>
        </w:rPr>
        <w:t>(Texto relevante para efeitos do EEE)</w:t>
      </w:r>
    </w:p>
    <w:p w14:paraId="1CF2C95C" w14:textId="77777777" w:rsidR="00465964" w:rsidRPr="00465964" w:rsidRDefault="00465964" w:rsidP="00465964">
      <w:pPr>
        <w:rPr>
          <w:lang w:val="pt-PT"/>
        </w:rPr>
      </w:pPr>
      <w:r w:rsidRPr="00465964">
        <w:rPr>
          <w:lang w:val="pt-PT"/>
        </w:rPr>
        <w:lastRenderedPageBreak/>
        <w:t>O PARLAMENTO EUROPEU E O CONSELHO DA UNIÃO EUROPEIA,</w:t>
      </w:r>
    </w:p>
    <w:p w14:paraId="2923A052" w14:textId="77777777" w:rsidR="00465964" w:rsidRPr="00465964" w:rsidRDefault="00465964" w:rsidP="00465964">
      <w:pPr>
        <w:rPr>
          <w:lang w:val="pt-PT"/>
        </w:rPr>
      </w:pPr>
      <w:r w:rsidRPr="00465964">
        <w:rPr>
          <w:lang w:val="pt-PT"/>
        </w:rPr>
        <w:t>Tendo em conta o Tratado sobre o Funcionamento da União Europeia, nomeadamente o artigo 114.</w:t>
      </w:r>
      <w:r w:rsidRPr="00465964">
        <w:rPr>
          <w:vertAlign w:val="superscript"/>
          <w:lang w:val="pt-PT"/>
        </w:rPr>
        <w:t>o</w:t>
      </w:r>
      <w:r w:rsidRPr="00465964">
        <w:rPr>
          <w:lang w:val="pt-PT"/>
        </w:rPr>
        <w:t>,</w:t>
      </w:r>
    </w:p>
    <w:p w14:paraId="56CA31B8" w14:textId="77777777" w:rsidR="00465964" w:rsidRPr="00465964" w:rsidRDefault="00465964" w:rsidP="00465964">
      <w:pPr>
        <w:rPr>
          <w:lang w:val="pt-PT"/>
        </w:rPr>
      </w:pPr>
      <w:r w:rsidRPr="00465964">
        <w:rPr>
          <w:lang w:val="pt-PT"/>
        </w:rPr>
        <w:t>Tendo em conta a proposta da Comissão Europeia,</w:t>
      </w:r>
    </w:p>
    <w:p w14:paraId="25E24812" w14:textId="77777777" w:rsidR="00465964" w:rsidRPr="00465964" w:rsidRDefault="00465964" w:rsidP="00465964">
      <w:pPr>
        <w:rPr>
          <w:lang w:val="pt-PT"/>
        </w:rPr>
      </w:pPr>
      <w:r w:rsidRPr="00465964">
        <w:rPr>
          <w:lang w:val="pt-PT"/>
        </w:rPr>
        <w:t>Após transmissão do projeto de ato legislativo aos parlamentos nacionais,</w:t>
      </w:r>
    </w:p>
    <w:p w14:paraId="74F3A76A" w14:textId="77777777" w:rsidR="00465964" w:rsidRPr="00465964" w:rsidRDefault="00465964" w:rsidP="00465964">
      <w:pPr>
        <w:rPr>
          <w:lang w:val="pt-PT"/>
        </w:rPr>
      </w:pPr>
      <w:r w:rsidRPr="00465964">
        <w:rPr>
          <w:lang w:val="pt-PT"/>
        </w:rPr>
        <w:t>Tendo em conta o parecer do Banco Central Europeu </w:t>
      </w:r>
      <w:hyperlink r:id="rId8" w:anchor="ntr1-L_2023150PT.01004001-E0001" w:history="1">
        <w:r w:rsidRPr="00465964">
          <w:rPr>
            <w:rStyle w:val="Hyperlink"/>
            <w:lang w:val="pt-PT"/>
          </w:rPr>
          <w:t>(</w:t>
        </w:r>
        <w:r w:rsidRPr="00465964">
          <w:rPr>
            <w:rStyle w:val="Hyperlink"/>
            <w:vertAlign w:val="superscript"/>
            <w:lang w:val="pt-PT"/>
          </w:rPr>
          <w:t>1</w:t>
        </w:r>
        <w:r w:rsidRPr="00465964">
          <w:rPr>
            <w:rStyle w:val="Hyperlink"/>
            <w:lang w:val="pt-PT"/>
          </w:rPr>
          <w:t>)</w:t>
        </w:r>
      </w:hyperlink>
      <w:r w:rsidRPr="00465964">
        <w:rPr>
          <w:lang w:val="pt-PT"/>
        </w:rPr>
        <w:t>,</w:t>
      </w:r>
    </w:p>
    <w:p w14:paraId="426A7549" w14:textId="77777777" w:rsidR="00465964" w:rsidRPr="00465964" w:rsidRDefault="00465964" w:rsidP="00465964">
      <w:pPr>
        <w:rPr>
          <w:lang w:val="pt-PT"/>
        </w:rPr>
      </w:pPr>
      <w:r w:rsidRPr="00465964">
        <w:rPr>
          <w:lang w:val="pt-PT"/>
        </w:rPr>
        <w:t>Tendo em conta o parecer do Comité Económico e Social Europeu </w:t>
      </w:r>
      <w:hyperlink r:id="rId9" w:anchor="ntr2-L_2023150PT.01004001-E0002" w:history="1">
        <w:r w:rsidRPr="00465964">
          <w:rPr>
            <w:rStyle w:val="Hyperlink"/>
            <w:lang w:val="pt-PT"/>
          </w:rPr>
          <w:t>(</w:t>
        </w:r>
        <w:r w:rsidRPr="00465964">
          <w:rPr>
            <w:rStyle w:val="Hyperlink"/>
            <w:vertAlign w:val="superscript"/>
            <w:lang w:val="pt-PT"/>
          </w:rPr>
          <w:t>2</w:t>
        </w:r>
        <w:r w:rsidRPr="00465964">
          <w:rPr>
            <w:rStyle w:val="Hyperlink"/>
            <w:lang w:val="pt-PT"/>
          </w:rPr>
          <w:t>)</w:t>
        </w:r>
      </w:hyperlink>
      <w:r w:rsidRPr="00465964">
        <w:rPr>
          <w:lang w:val="pt-PT"/>
        </w:rPr>
        <w:t>,</w:t>
      </w:r>
    </w:p>
    <w:p w14:paraId="09223B07" w14:textId="77777777" w:rsidR="00465964" w:rsidRPr="00465964" w:rsidRDefault="00465964" w:rsidP="00465964">
      <w:pPr>
        <w:rPr>
          <w:lang w:val="pt-PT"/>
        </w:rPr>
      </w:pPr>
      <w:r w:rsidRPr="00465964">
        <w:rPr>
          <w:lang w:val="pt-PT"/>
        </w:rPr>
        <w:t>Deliberando de acordo com o processo legislativo ordinário </w:t>
      </w:r>
      <w:hyperlink r:id="rId10" w:anchor="ntr3-L_2023150PT.01004001-E0003" w:history="1">
        <w:r w:rsidRPr="00465964">
          <w:rPr>
            <w:rStyle w:val="Hyperlink"/>
            <w:lang w:val="pt-PT"/>
          </w:rPr>
          <w:t>(</w:t>
        </w:r>
        <w:r w:rsidRPr="00465964">
          <w:rPr>
            <w:rStyle w:val="Hyperlink"/>
            <w:vertAlign w:val="superscript"/>
            <w:lang w:val="pt-PT"/>
          </w:rPr>
          <w:t>3</w:t>
        </w:r>
        <w:r w:rsidRPr="00465964">
          <w:rPr>
            <w:rStyle w:val="Hyperlink"/>
            <w:lang w:val="pt-PT"/>
          </w:rPr>
          <w:t>)</w:t>
        </w:r>
      </w:hyperlink>
      <w:r w:rsidRPr="00465964">
        <w:rPr>
          <w:lang w:val="pt-PT"/>
        </w:rPr>
        <w:t>,</w:t>
      </w:r>
    </w:p>
    <w:p w14:paraId="013F364A" w14:textId="77777777" w:rsidR="00465964" w:rsidRPr="00465964" w:rsidRDefault="00465964" w:rsidP="00465964">
      <w:proofErr w:type="spellStart"/>
      <w:r w:rsidRPr="00465964">
        <w:t>Considerando</w:t>
      </w:r>
      <w:proofErr w:type="spellEnd"/>
      <w:r w:rsidRPr="00465964">
        <w:t xml:space="preserve"> o </w:t>
      </w:r>
      <w:proofErr w:type="spellStart"/>
      <w:r w:rsidRPr="00465964">
        <w:t>seguinte</w:t>
      </w:r>
      <w:proofErr w:type="spellEnd"/>
      <w:r w:rsidRPr="00465964">
        <w:t>:</w:t>
      </w:r>
    </w:p>
    <w:tbl>
      <w:tblPr>
        <w:tblW w:w="5000" w:type="pct"/>
        <w:tblCellMar>
          <w:left w:w="0" w:type="dxa"/>
          <w:right w:w="0" w:type="dxa"/>
        </w:tblCellMar>
        <w:tblLook w:val="04A0" w:firstRow="1" w:lastRow="0" w:firstColumn="1" w:lastColumn="0" w:noHBand="0" w:noVBand="1"/>
      </w:tblPr>
      <w:tblGrid>
        <w:gridCol w:w="247"/>
        <w:gridCol w:w="8779"/>
      </w:tblGrid>
      <w:tr w:rsidR="00465964" w:rsidRPr="00465964" w14:paraId="762E7DE7" w14:textId="77777777" w:rsidTr="00465964">
        <w:tc>
          <w:tcPr>
            <w:tcW w:w="0" w:type="auto"/>
            <w:shd w:val="clear" w:color="auto" w:fill="auto"/>
            <w:hideMark/>
          </w:tcPr>
          <w:p w14:paraId="711277F1" w14:textId="77777777" w:rsidR="00465964" w:rsidRPr="00465964" w:rsidRDefault="00465964" w:rsidP="00465964">
            <w:r w:rsidRPr="00465964">
              <w:t>(1)</w:t>
            </w:r>
          </w:p>
        </w:tc>
        <w:tc>
          <w:tcPr>
            <w:tcW w:w="0" w:type="auto"/>
            <w:shd w:val="clear" w:color="auto" w:fill="auto"/>
            <w:hideMark/>
          </w:tcPr>
          <w:p w14:paraId="6C904831" w14:textId="77777777" w:rsidR="00465964" w:rsidRPr="00465964" w:rsidRDefault="00465964" w:rsidP="00465964">
            <w:pPr>
              <w:rPr>
                <w:lang w:val="pt-PT"/>
              </w:rPr>
            </w:pPr>
            <w:r w:rsidRPr="00465964">
              <w:rPr>
                <w:lang w:val="pt-PT"/>
              </w:rPr>
              <w:t>É importante assegurar que os atos legislativos da União em matéria de serviços financeiros sejam consentâneos com a era digital e contribuam para uma economia preparada para o futuro que esteja ao serviço dos cidadãos, nomeadamente permitindo a utilização de tecnologias inovadoras. A União tem um interesse estratégico no desenvolvimento e no incentivo à adoção de tecnologias transformadoras no sector financeiro, nomeadamente a adoção de tecnologia de registo distribuído (DLT, do inglês </w:t>
            </w:r>
            <w:proofErr w:type="spellStart"/>
            <w:r w:rsidRPr="00465964">
              <w:rPr>
                <w:i/>
                <w:iCs/>
                <w:lang w:val="pt-PT"/>
              </w:rPr>
              <w:t>distributed</w:t>
            </w:r>
            <w:proofErr w:type="spellEnd"/>
            <w:r w:rsidRPr="00465964">
              <w:rPr>
                <w:i/>
                <w:iCs/>
                <w:lang w:val="pt-PT"/>
              </w:rPr>
              <w:t xml:space="preserve"> </w:t>
            </w:r>
            <w:proofErr w:type="spellStart"/>
            <w:r w:rsidRPr="00465964">
              <w:rPr>
                <w:i/>
                <w:iCs/>
                <w:lang w:val="pt-PT"/>
              </w:rPr>
              <w:t>ledger</w:t>
            </w:r>
            <w:proofErr w:type="spellEnd"/>
            <w:r w:rsidRPr="00465964">
              <w:rPr>
                <w:i/>
                <w:iCs/>
                <w:lang w:val="pt-PT"/>
              </w:rPr>
              <w:t xml:space="preserve"> </w:t>
            </w:r>
            <w:proofErr w:type="spellStart"/>
            <w:r w:rsidRPr="00465964">
              <w:rPr>
                <w:i/>
                <w:iCs/>
                <w:lang w:val="pt-PT"/>
              </w:rPr>
              <w:t>technology</w:t>
            </w:r>
            <w:proofErr w:type="spellEnd"/>
            <w:r w:rsidRPr="00465964">
              <w:rPr>
                <w:lang w:val="pt-PT"/>
              </w:rPr>
              <w:t xml:space="preserve">). Prevê-se que, no futuro, muitas das aplicações da tecnologia de registo distribuído que ainda não foram estudadas de forma exaustiva continuarão a resultar em novos tipos de atividades e modelos empresariais, que, em conjunto com o próprio sector dos criptoativos, conduzirão ao crescimento económico e </w:t>
            </w:r>
            <w:proofErr w:type="gramStart"/>
            <w:r w:rsidRPr="00465964">
              <w:rPr>
                <w:lang w:val="pt-PT"/>
              </w:rPr>
              <w:t>criarão novas</w:t>
            </w:r>
            <w:proofErr w:type="gramEnd"/>
            <w:r w:rsidRPr="00465964">
              <w:rPr>
                <w:lang w:val="pt-PT"/>
              </w:rPr>
              <w:t xml:space="preserve"> oportunidades de emprego para os cidadãos da União.</w:t>
            </w:r>
          </w:p>
        </w:tc>
      </w:tr>
      <w:tr w:rsidR="00465964" w:rsidRPr="00465964" w14:paraId="17DA07C8" w14:textId="77777777" w:rsidTr="00465964">
        <w:tc>
          <w:tcPr>
            <w:tcW w:w="0" w:type="auto"/>
            <w:shd w:val="clear" w:color="auto" w:fill="auto"/>
            <w:hideMark/>
          </w:tcPr>
          <w:p w14:paraId="70A0FBBB" w14:textId="77777777" w:rsidR="00465964" w:rsidRPr="00465964" w:rsidRDefault="00465964" w:rsidP="00465964">
            <w:r w:rsidRPr="00465964">
              <w:t>(2)</w:t>
            </w:r>
          </w:p>
        </w:tc>
        <w:tc>
          <w:tcPr>
            <w:tcW w:w="0" w:type="auto"/>
            <w:shd w:val="clear" w:color="auto" w:fill="auto"/>
            <w:hideMark/>
          </w:tcPr>
          <w:p w14:paraId="6AE615AA" w14:textId="77777777" w:rsidR="00465964" w:rsidRPr="00465964" w:rsidRDefault="00465964" w:rsidP="00465964">
            <w:pPr>
              <w:rPr>
                <w:lang w:val="pt-PT"/>
              </w:rPr>
            </w:pPr>
            <w:r w:rsidRPr="00465964">
              <w:rPr>
                <w:lang w:val="pt-PT"/>
              </w:rPr>
              <w:t>Os criptoativos são uma das principais aplicações da tecnologia de registo distribuído. Os criptoativos são representações digitais de valores ou de direitos suscetíveis de trazer benefícios significativos aos intervenientes no mercado, nomeadamente aos detentores não profissionais de criptoativos. As representações de valores incluem o valor externo, não intrínseco, atribuído a um criptoativo pelas partes interessadas ou pelos intervenientes no mercado, o que significa que o valor é subjetivo, baseando-se apenas nos interesses do comprador do criptoativo. Ao simplificar os processos de mobilização de capital e aumentar a concorrência, as ofertas de criptoativos poderão abrir caminho a uma forma inovadora e inclusiva de financiamento, nomeadamente para as pequenas e médias empresas (PME). Quando utilizados como meio de pagamento, os criptoativos podem proporcionar oportunidades para a realização de pagamentos mais baratos, mais céleres e mais eficientes, em particular no contexto transfronteiriço, ao limitarem o número de intermediários.</w:t>
            </w:r>
          </w:p>
        </w:tc>
      </w:tr>
    </w:tbl>
    <w:p w14:paraId="22694239"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247"/>
        <w:gridCol w:w="8779"/>
      </w:tblGrid>
      <w:tr w:rsidR="00465964" w:rsidRPr="00465964" w14:paraId="26723D47" w14:textId="77777777" w:rsidTr="00465964">
        <w:tc>
          <w:tcPr>
            <w:tcW w:w="0" w:type="auto"/>
            <w:shd w:val="clear" w:color="auto" w:fill="auto"/>
            <w:hideMark/>
          </w:tcPr>
          <w:p w14:paraId="3B1E51E2" w14:textId="77777777" w:rsidR="00465964" w:rsidRPr="00465964" w:rsidRDefault="00465964" w:rsidP="00465964">
            <w:r w:rsidRPr="00465964">
              <w:t>(3)</w:t>
            </w:r>
          </w:p>
        </w:tc>
        <w:tc>
          <w:tcPr>
            <w:tcW w:w="0" w:type="auto"/>
            <w:shd w:val="clear" w:color="auto" w:fill="auto"/>
            <w:hideMark/>
          </w:tcPr>
          <w:p w14:paraId="15382864" w14:textId="77777777" w:rsidR="00465964" w:rsidRPr="00465964" w:rsidRDefault="00465964" w:rsidP="00465964">
            <w:pPr>
              <w:rPr>
                <w:lang w:val="pt-PT"/>
              </w:rPr>
            </w:pPr>
            <w:r w:rsidRPr="00465964">
              <w:rPr>
                <w:lang w:val="pt-PT"/>
              </w:rPr>
              <w:t>Alguns criptoativos, em especial os que são considerados instrumentos financeiros na aceção da Diretiva 2014/65/UE do Parlamento Europeu e do Conselho </w:t>
            </w:r>
            <w:hyperlink r:id="rId11" w:anchor="ntr4-L_2023150PT.01004001-E0004" w:history="1">
              <w:r w:rsidRPr="00465964">
                <w:rPr>
                  <w:rStyle w:val="Hyperlink"/>
                  <w:lang w:val="pt-PT"/>
                </w:rPr>
                <w:t>(</w:t>
              </w:r>
              <w:r w:rsidRPr="00465964">
                <w:rPr>
                  <w:rStyle w:val="Hyperlink"/>
                  <w:vertAlign w:val="superscript"/>
                  <w:lang w:val="pt-PT"/>
                </w:rPr>
                <w:t>4</w:t>
              </w:r>
              <w:r w:rsidRPr="00465964">
                <w:rPr>
                  <w:rStyle w:val="Hyperlink"/>
                  <w:lang w:val="pt-PT"/>
                </w:rPr>
                <w:t>)</w:t>
              </w:r>
            </w:hyperlink>
            <w:r w:rsidRPr="00465964">
              <w:rPr>
                <w:lang w:val="pt-PT"/>
              </w:rPr>
              <w:t>, são abrangidos pelo âmbito de aplicação dos atos legislativos da União em vigor em matéria de serviços financeiros. Assim, um conjunto completo de regras da União já se aplica aos emitentes desses criptoativos e às empresas que exercem atividades relacionadas com tais criptoativos.</w:t>
            </w:r>
          </w:p>
        </w:tc>
      </w:tr>
      <w:tr w:rsidR="00465964" w:rsidRPr="00465964" w14:paraId="698E216C" w14:textId="77777777" w:rsidTr="00465964">
        <w:tc>
          <w:tcPr>
            <w:tcW w:w="0" w:type="auto"/>
            <w:shd w:val="clear" w:color="auto" w:fill="auto"/>
            <w:hideMark/>
          </w:tcPr>
          <w:p w14:paraId="07A58212" w14:textId="77777777" w:rsidR="00465964" w:rsidRPr="00465964" w:rsidRDefault="00465964" w:rsidP="00465964">
            <w:r w:rsidRPr="00465964">
              <w:t>(4)</w:t>
            </w:r>
          </w:p>
        </w:tc>
        <w:tc>
          <w:tcPr>
            <w:tcW w:w="0" w:type="auto"/>
            <w:shd w:val="clear" w:color="auto" w:fill="auto"/>
            <w:hideMark/>
          </w:tcPr>
          <w:p w14:paraId="737BA5A2" w14:textId="77777777" w:rsidR="00465964" w:rsidRPr="00465964" w:rsidRDefault="00465964" w:rsidP="00465964">
            <w:pPr>
              <w:rPr>
                <w:lang w:val="pt-PT"/>
              </w:rPr>
            </w:pPr>
            <w:r w:rsidRPr="00465964">
              <w:rPr>
                <w:lang w:val="pt-PT"/>
              </w:rPr>
              <w:t xml:space="preserve">Outros criptoativos, contudo, não são abrangidos pelo âmbito de aplicação dos atos legislativos da União em matéria de serviços financeiros. Atualmente, com exceção das regras aplicáveis à luta contra o branqueamento de capitais, não existem regras que se </w:t>
            </w:r>
            <w:r w:rsidRPr="00465964">
              <w:rPr>
                <w:lang w:val="pt-PT"/>
              </w:rPr>
              <w:lastRenderedPageBreak/>
              <w:t>apliquem à prestação de serviços relacionados com tais criptoativos não regulamentados, nomeadamente no que se refere à operação de plataformas de negociação de criptoativos, à troca de criptoativos por fundos ou outros criptoativos, e à custódia e administração de criptoativos em nome de clientes. A ausência de tais regras deixa os detentores desses criptoativos expostos a riscos, em particular nos domínios não abrangidos pelas regras de proteção do consumidor. A falta de tais regras pode também dar azo a riscos substanciais para a integridade do mercado, nomeadamente em termos de abuso de mercado, mas também em termos de criminalidade financeira. Para fazer face a esses riscos, alguns Estados-Membros instituíram regras específicas para a totalidade ou para um determinado subconjunto dos criptoativos não abrangidos pelo âmbito de aplicação dos atos legislativos da União em matéria de serviços financeiros e outros Estados-Membros estão a ponderar a adoção de legislação no domínio dos criptoativos.</w:t>
            </w:r>
          </w:p>
        </w:tc>
      </w:tr>
    </w:tbl>
    <w:p w14:paraId="0CA529E4"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247"/>
        <w:gridCol w:w="8779"/>
      </w:tblGrid>
      <w:tr w:rsidR="00465964" w:rsidRPr="00465964" w14:paraId="104BF2E6" w14:textId="77777777" w:rsidTr="00465964">
        <w:tc>
          <w:tcPr>
            <w:tcW w:w="0" w:type="auto"/>
            <w:shd w:val="clear" w:color="auto" w:fill="auto"/>
            <w:hideMark/>
          </w:tcPr>
          <w:p w14:paraId="3744DAC2" w14:textId="77777777" w:rsidR="00465964" w:rsidRPr="00465964" w:rsidRDefault="00465964" w:rsidP="00465964">
            <w:r w:rsidRPr="00465964">
              <w:t>(5)</w:t>
            </w:r>
          </w:p>
        </w:tc>
        <w:tc>
          <w:tcPr>
            <w:tcW w:w="0" w:type="auto"/>
            <w:shd w:val="clear" w:color="auto" w:fill="auto"/>
            <w:hideMark/>
          </w:tcPr>
          <w:p w14:paraId="67891087" w14:textId="77777777" w:rsidR="00465964" w:rsidRPr="00465964" w:rsidRDefault="00465964" w:rsidP="00465964">
            <w:pPr>
              <w:rPr>
                <w:lang w:val="pt-PT"/>
              </w:rPr>
            </w:pPr>
            <w:r w:rsidRPr="00465964">
              <w:rPr>
                <w:lang w:val="pt-PT"/>
              </w:rPr>
              <w:t>A ausência de um regime geral da União Europeia aplicável aos mercados de criptoativos pode levar a uma falta de confiança dos utilizadores nesses ativos, que poderia prejudicar consideravelmente o desenvolvimento do respetivo mercado, e a uma perda de oportunidades em termos de serviços digitais inovadores, de instrumentos de pagamento alternativos ou de novas fontes de financiamento para as empresas da União. Além disso, as empresas que utilizassem criptoativos não teriam qualquer segurança jurídica quanto ao tratamento que seria dado aos seus criptoativos nos diferentes Estados-Membros, o que minaria os seus esforços no sentido de uma utilização desse tipo de instrumentos no quadro da inovação digital. A inexistência de um regime geral da União aplicável aos mercados de criptoativos poderia ainda conduzir à fragmentação regulamentar, o que provocaria distorções da concorrência no mercado interno, dificultaria a expansão transfronteiras das atividades dos prestadores de serviços de criptoativos e resultaria em arbitragem regulamentar. Os mercados de criptoativos possuem, por enquanto, uma dimensão modesta, não representando, de momento, uma ameaça à estabilidade financeira. No entanto, é possível que tipos de criptoativos que procuram estabilizar o seu preço em relação a um determinado ativo ou cabaz de ativos, possam, no futuro, merecer a aceitação generalizada dos detentores não profissionais. Uma tal evolução poderia colocar novos desafios em termos da estabilidade financeira, do bom funcionamento dos sistemas de pagamento, da transmissão da política monetária ou da soberania monetária.</w:t>
            </w:r>
          </w:p>
        </w:tc>
      </w:tr>
      <w:tr w:rsidR="00465964" w:rsidRPr="00465964" w14:paraId="197DD9EF" w14:textId="77777777" w:rsidTr="00465964">
        <w:tc>
          <w:tcPr>
            <w:tcW w:w="0" w:type="auto"/>
            <w:shd w:val="clear" w:color="auto" w:fill="auto"/>
            <w:hideMark/>
          </w:tcPr>
          <w:p w14:paraId="4CB20B97" w14:textId="77777777" w:rsidR="00465964" w:rsidRPr="00465964" w:rsidRDefault="00465964" w:rsidP="00465964">
            <w:r w:rsidRPr="00465964">
              <w:t>(6)</w:t>
            </w:r>
          </w:p>
        </w:tc>
        <w:tc>
          <w:tcPr>
            <w:tcW w:w="0" w:type="auto"/>
            <w:shd w:val="clear" w:color="auto" w:fill="auto"/>
            <w:hideMark/>
          </w:tcPr>
          <w:p w14:paraId="657375DF" w14:textId="77777777" w:rsidR="00465964" w:rsidRPr="00465964" w:rsidRDefault="00465964" w:rsidP="00465964">
            <w:pPr>
              <w:rPr>
                <w:lang w:val="pt-PT"/>
              </w:rPr>
            </w:pPr>
            <w:r w:rsidRPr="00465964">
              <w:rPr>
                <w:lang w:val="pt-PT"/>
              </w:rPr>
              <w:t>É, pois, necessário um regime específico e harmonizado a nível da União para os mercados de criptoativos a fim de estabelecer regras específicas para os criptoativos e os serviços e atividades conexos ainda não abrangidos pelo âmbito de aplicação dos atos legislativos da União em matéria de serviços financeiros. Esse regime deverá apoiar a inovação e a concorrência leal, garantindo simultaneamente um elevado nível de proteção dos detentores não profissionais e a integridade dos mercados de criptoativos. Um regime claro deverá permitir aos prestadores de serviços de criptoativos expandir os seus negócios além-fronteiras e facilitar o seu acesso aos serviços bancários tendo em vista o bom desempenho das suas atividades. O regime da União para os mercados de criptoativos deverá prever o tratamento proporcionado dos emitentes de criptoativos e dos prestadores de serviços de criptoativos, permitindo assim a igualdade de oportunidades no que respeita à entrada no mercado e ao atual e futuro desenvolvimento dos mercados de criptoativos. Deverá igualmente promover a estabilidade financeira e o bom funcionamento dos sistemas de pagamento, bem como obviar aos riscos que possam advir, para a política monetária, de criptoativos que procuram estabilizar o seu preço em relação a um ativo específico ou a um cabaz de ativos. Uma boa regulamentação preserva a competitividade dos Estados-</w:t>
            </w:r>
            <w:r w:rsidRPr="00465964">
              <w:rPr>
                <w:lang w:val="pt-PT"/>
              </w:rPr>
              <w:lastRenderedPageBreak/>
              <w:t>Membros nos mercados financeiros e tecnológicos internacionais e proporciona aos clientes benefícios significativos em termos de acesso a serviços financeiros e de gestão de ativos mais baratos, mais céleres e mais seguros. O regime da União para os mercados de criptoativos não deverá regulamentar a tecnologia subjacente. Os atos legislativos da União deverão evitar a imposição de encargos regulamentares desnecessários e desproporcionados à utilização de tecnologia, uma vez que a União e os Estados-Membros procuram preservar a sua competitividade no mercado mundial.</w:t>
            </w:r>
          </w:p>
        </w:tc>
      </w:tr>
    </w:tbl>
    <w:p w14:paraId="0C1E6B36"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247"/>
        <w:gridCol w:w="8779"/>
      </w:tblGrid>
      <w:tr w:rsidR="00465964" w:rsidRPr="00465964" w14:paraId="133F0291" w14:textId="77777777" w:rsidTr="00465964">
        <w:tc>
          <w:tcPr>
            <w:tcW w:w="0" w:type="auto"/>
            <w:shd w:val="clear" w:color="auto" w:fill="auto"/>
            <w:hideMark/>
          </w:tcPr>
          <w:p w14:paraId="0603B1BD" w14:textId="77777777" w:rsidR="00465964" w:rsidRPr="00465964" w:rsidRDefault="00465964" w:rsidP="00465964">
            <w:r w:rsidRPr="00465964">
              <w:t>(7)</w:t>
            </w:r>
          </w:p>
        </w:tc>
        <w:tc>
          <w:tcPr>
            <w:tcW w:w="0" w:type="auto"/>
            <w:shd w:val="clear" w:color="auto" w:fill="auto"/>
            <w:hideMark/>
          </w:tcPr>
          <w:p w14:paraId="56C65F33" w14:textId="77777777" w:rsidR="00465964" w:rsidRPr="00465964" w:rsidRDefault="00465964" w:rsidP="00465964">
            <w:pPr>
              <w:rPr>
                <w:lang w:val="pt-PT"/>
              </w:rPr>
            </w:pPr>
            <w:r w:rsidRPr="00465964">
              <w:rPr>
                <w:lang w:val="pt-PT"/>
              </w:rPr>
              <w:t>Os mecanismos de consenso utilizados para a validação das transações de criptoativos são suscetíveis de ter sérios impactos negativos no clima e outros impactos negativos relacionados com o ambiente. Esses mecanismos de consenso deverão, por conseguinte, prever soluções mais respeitadoras do ambiente e assegurar que os emitentes de criptoativos e os prestadores de serviços de criptoativos identificam e comunicam de forma adequada os impactos negativos sérios que esses mecanismos possam ter no clima e quaisquer outros efeitos ambientais negativos. Para determinar se os impactos negativos são sérios, há que ter em conta o princípio da proporcionalidade, bem como a dimensão e o volume do criptoativo emitido. A Autoridade Europeia de Supervisão (Autoridade Europeia dos Valores Mobiliários e dos Mercados) (ESMA, do inglês «</w:t>
            </w:r>
            <w:proofErr w:type="spellStart"/>
            <w:r w:rsidRPr="00465964">
              <w:rPr>
                <w:i/>
                <w:iCs/>
                <w:lang w:val="pt-PT"/>
              </w:rPr>
              <w:t>European</w:t>
            </w:r>
            <w:proofErr w:type="spellEnd"/>
            <w:r w:rsidRPr="00465964">
              <w:rPr>
                <w:i/>
                <w:iCs/>
                <w:lang w:val="pt-PT"/>
              </w:rPr>
              <w:t xml:space="preserve"> </w:t>
            </w:r>
            <w:proofErr w:type="spellStart"/>
            <w:r w:rsidRPr="00465964">
              <w:rPr>
                <w:i/>
                <w:iCs/>
                <w:lang w:val="pt-PT"/>
              </w:rPr>
              <w:t>Securities</w:t>
            </w:r>
            <w:proofErr w:type="spellEnd"/>
            <w:r w:rsidRPr="00465964">
              <w:rPr>
                <w:i/>
                <w:iCs/>
                <w:lang w:val="pt-PT"/>
              </w:rPr>
              <w:t xml:space="preserve"> </w:t>
            </w:r>
            <w:proofErr w:type="spellStart"/>
            <w:r w:rsidRPr="00465964">
              <w:rPr>
                <w:i/>
                <w:iCs/>
                <w:lang w:val="pt-PT"/>
              </w:rPr>
              <w:t>and</w:t>
            </w:r>
            <w:proofErr w:type="spellEnd"/>
            <w:r w:rsidRPr="00465964">
              <w:rPr>
                <w:i/>
                <w:iCs/>
                <w:lang w:val="pt-PT"/>
              </w:rPr>
              <w:t xml:space="preserve"> </w:t>
            </w:r>
            <w:proofErr w:type="spellStart"/>
            <w:r w:rsidRPr="00465964">
              <w:rPr>
                <w:i/>
                <w:iCs/>
                <w:lang w:val="pt-PT"/>
              </w:rPr>
              <w:t>Markets</w:t>
            </w:r>
            <w:proofErr w:type="spellEnd"/>
            <w:r w:rsidRPr="00465964">
              <w:rPr>
                <w:i/>
                <w:iCs/>
                <w:lang w:val="pt-PT"/>
              </w:rPr>
              <w:t xml:space="preserve"> </w:t>
            </w:r>
            <w:proofErr w:type="spellStart"/>
            <w:r w:rsidRPr="00465964">
              <w:rPr>
                <w:i/>
                <w:iCs/>
                <w:lang w:val="pt-PT"/>
              </w:rPr>
              <w:t>Authority</w:t>
            </w:r>
            <w:proofErr w:type="spellEnd"/>
            <w:r w:rsidRPr="00465964">
              <w:rPr>
                <w:lang w:val="pt-PT"/>
              </w:rPr>
              <w:t xml:space="preserve">»), instituída pelo Regulamento (UE) </w:t>
            </w:r>
            <w:proofErr w:type="spellStart"/>
            <w:r w:rsidRPr="00465964">
              <w:rPr>
                <w:lang w:val="pt-PT"/>
              </w:rPr>
              <w:t>n.</w:t>
            </w:r>
            <w:r w:rsidRPr="00465964">
              <w:rPr>
                <w:vertAlign w:val="superscript"/>
                <w:lang w:val="pt-PT"/>
              </w:rPr>
              <w:t>o</w:t>
            </w:r>
            <w:proofErr w:type="spellEnd"/>
            <w:r w:rsidRPr="00465964">
              <w:rPr>
                <w:lang w:val="pt-PT"/>
              </w:rPr>
              <w:t> 1095/2010 do Parlamento Europeu e do Conselho </w:t>
            </w:r>
            <w:hyperlink r:id="rId12" w:anchor="ntr5-L_2023150PT.01004001-E0005" w:history="1">
              <w:r w:rsidRPr="00465964">
                <w:rPr>
                  <w:rStyle w:val="Hyperlink"/>
                  <w:lang w:val="pt-PT"/>
                </w:rPr>
                <w:t>(</w:t>
              </w:r>
              <w:r w:rsidRPr="00465964">
                <w:rPr>
                  <w:rStyle w:val="Hyperlink"/>
                  <w:vertAlign w:val="superscript"/>
                  <w:lang w:val="pt-PT"/>
                </w:rPr>
                <w:t>5</w:t>
              </w:r>
              <w:r w:rsidRPr="00465964">
                <w:rPr>
                  <w:rStyle w:val="Hyperlink"/>
                  <w:lang w:val="pt-PT"/>
                </w:rPr>
                <w:t>)</w:t>
              </w:r>
            </w:hyperlink>
            <w:r w:rsidRPr="00465964">
              <w:rPr>
                <w:lang w:val="pt-PT"/>
              </w:rPr>
              <w:t>, em cooperação com a Autoridade Europeia de Supervisão (Autoridade Bancária Europeia) (EBA, do inglês «</w:t>
            </w:r>
            <w:proofErr w:type="spellStart"/>
            <w:r w:rsidRPr="00465964">
              <w:rPr>
                <w:i/>
                <w:iCs/>
                <w:lang w:val="pt-PT"/>
              </w:rPr>
              <w:t>European</w:t>
            </w:r>
            <w:proofErr w:type="spellEnd"/>
            <w:r w:rsidRPr="00465964">
              <w:rPr>
                <w:i/>
                <w:iCs/>
                <w:lang w:val="pt-PT"/>
              </w:rPr>
              <w:t xml:space="preserve"> </w:t>
            </w:r>
            <w:proofErr w:type="spellStart"/>
            <w:r w:rsidRPr="00465964">
              <w:rPr>
                <w:i/>
                <w:iCs/>
                <w:lang w:val="pt-PT"/>
              </w:rPr>
              <w:t>Banking</w:t>
            </w:r>
            <w:proofErr w:type="spellEnd"/>
            <w:r w:rsidRPr="00465964">
              <w:rPr>
                <w:i/>
                <w:iCs/>
                <w:lang w:val="pt-PT"/>
              </w:rPr>
              <w:t xml:space="preserve"> </w:t>
            </w:r>
            <w:proofErr w:type="spellStart"/>
            <w:r w:rsidRPr="00465964">
              <w:rPr>
                <w:i/>
                <w:iCs/>
                <w:lang w:val="pt-PT"/>
              </w:rPr>
              <w:t>Authority</w:t>
            </w:r>
            <w:proofErr w:type="spellEnd"/>
            <w:r w:rsidRPr="00465964">
              <w:rPr>
                <w:lang w:val="pt-PT"/>
              </w:rPr>
              <w:t xml:space="preserve">»), instituída pelo Regulamento (UE) </w:t>
            </w:r>
            <w:proofErr w:type="spellStart"/>
            <w:r w:rsidRPr="00465964">
              <w:rPr>
                <w:lang w:val="pt-PT"/>
              </w:rPr>
              <w:t>n.</w:t>
            </w:r>
            <w:r w:rsidRPr="00465964">
              <w:rPr>
                <w:vertAlign w:val="superscript"/>
                <w:lang w:val="pt-PT"/>
              </w:rPr>
              <w:t>o</w:t>
            </w:r>
            <w:proofErr w:type="spellEnd"/>
            <w:r w:rsidRPr="00465964">
              <w:rPr>
                <w:lang w:val="pt-PT"/>
              </w:rPr>
              <w:t> 1093/2010 do Parlamento Europeu e do Conselho </w:t>
            </w:r>
            <w:hyperlink r:id="rId13" w:anchor="ntr6-L_2023150PT.01004001-E0006" w:history="1">
              <w:r w:rsidRPr="00465964">
                <w:rPr>
                  <w:rStyle w:val="Hyperlink"/>
                  <w:lang w:val="pt-PT"/>
                </w:rPr>
                <w:t>(</w:t>
              </w:r>
              <w:r w:rsidRPr="00465964">
                <w:rPr>
                  <w:rStyle w:val="Hyperlink"/>
                  <w:vertAlign w:val="superscript"/>
                  <w:lang w:val="pt-PT"/>
                </w:rPr>
                <w:t>6</w:t>
              </w:r>
              <w:r w:rsidRPr="00465964">
                <w:rPr>
                  <w:rStyle w:val="Hyperlink"/>
                  <w:lang w:val="pt-PT"/>
                </w:rPr>
                <w:t>)</w:t>
              </w:r>
            </w:hyperlink>
            <w:r w:rsidRPr="00465964">
              <w:rPr>
                <w:lang w:val="pt-PT"/>
              </w:rPr>
              <w:t>, deverá, pois, ser incumbida de elaborar projetos de normas técnicas de regulamentação que especifiquem com maior pormenor o conteúdo, as metodologias e a apresentação da informação relacionada com os indicadores de sustentabilidade no que diz respeito a impactos negativos sérios no clima e a outros impactos ambientais adversos, bem como para definir os principais indicadores energéticos. Os projetos de normas técnicas de regulamentação deverão também assegurar a coerência da divulgação de informação pelos emitentes de criptoativos e pelos prestadores de serviços de criptoativos. Ao elaborar os projetos de normas técnicas de regulamentação, a ESMA deverá ter em conta os vários tipos de mecanismos de consenso utilizados para a validação das transações de criptoativos, as suas características e as diferenças entre eles. A ESMA deverá também ter em conta os requisitos de divulgação existentes, assegurar a complementaridade e a coerência, evitando aumentar os encargos para as sociedades.</w:t>
            </w:r>
          </w:p>
        </w:tc>
      </w:tr>
      <w:tr w:rsidR="00465964" w:rsidRPr="00465964" w14:paraId="2CB8B5C2" w14:textId="77777777" w:rsidTr="00465964">
        <w:tc>
          <w:tcPr>
            <w:tcW w:w="0" w:type="auto"/>
            <w:shd w:val="clear" w:color="auto" w:fill="auto"/>
            <w:hideMark/>
          </w:tcPr>
          <w:p w14:paraId="735242C0" w14:textId="77777777" w:rsidR="00465964" w:rsidRPr="00465964" w:rsidRDefault="00465964" w:rsidP="00465964">
            <w:r w:rsidRPr="00465964">
              <w:t>(8)</w:t>
            </w:r>
          </w:p>
        </w:tc>
        <w:tc>
          <w:tcPr>
            <w:tcW w:w="0" w:type="auto"/>
            <w:shd w:val="clear" w:color="auto" w:fill="auto"/>
            <w:hideMark/>
          </w:tcPr>
          <w:p w14:paraId="35D7A3EE" w14:textId="77777777" w:rsidR="00465964" w:rsidRPr="00465964" w:rsidRDefault="00465964" w:rsidP="00465964">
            <w:pPr>
              <w:rPr>
                <w:lang w:val="pt-PT"/>
              </w:rPr>
            </w:pPr>
            <w:r w:rsidRPr="00465964">
              <w:rPr>
                <w:lang w:val="pt-PT"/>
              </w:rPr>
              <w:t>Os mercados de criptoativos são globais e, por isso, de natureza intrinsecamente transfronteiriça. Por conseguinte, a União deverá continuar a apoiar os esforços internacionais no sentido de promover a convergência do tratamento dos criptoativos e dos serviços de criptoativos através de organizações ou organismos internacionais, como o Conselho de Estabilidade Financeira, o Comité de Basileia de Supervisão Bancária e o Grupo de Ação Financeira.</w:t>
            </w:r>
          </w:p>
        </w:tc>
      </w:tr>
    </w:tbl>
    <w:p w14:paraId="45219437"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364"/>
        <w:gridCol w:w="8662"/>
      </w:tblGrid>
      <w:tr w:rsidR="00465964" w:rsidRPr="00465964" w14:paraId="5422F241" w14:textId="77777777" w:rsidTr="00465964">
        <w:tc>
          <w:tcPr>
            <w:tcW w:w="0" w:type="auto"/>
            <w:shd w:val="clear" w:color="auto" w:fill="auto"/>
            <w:hideMark/>
          </w:tcPr>
          <w:p w14:paraId="343FD96C" w14:textId="77777777" w:rsidR="00465964" w:rsidRPr="00465964" w:rsidRDefault="00465964" w:rsidP="00465964">
            <w:r w:rsidRPr="00465964">
              <w:t>(9)</w:t>
            </w:r>
          </w:p>
        </w:tc>
        <w:tc>
          <w:tcPr>
            <w:tcW w:w="0" w:type="auto"/>
            <w:shd w:val="clear" w:color="auto" w:fill="auto"/>
            <w:hideMark/>
          </w:tcPr>
          <w:p w14:paraId="1084DD1A" w14:textId="2DD17275" w:rsidR="00465964" w:rsidRPr="00465964" w:rsidRDefault="00465964" w:rsidP="00465964">
            <w:pPr>
              <w:rPr>
                <w:lang w:val="pt-PT"/>
              </w:rPr>
            </w:pPr>
            <w:r w:rsidRPr="00465964">
              <w:rPr>
                <w:lang w:val="pt-PT"/>
              </w:rPr>
              <w:t xml:space="preserve">Os atos legislativos da União em matéria de serviços financeiros deverão nortear-se pelo princípio «mesma atividade, mesmo risco, mesmas regras» e pelo princípio da neutralidade tecnológica. Por isso, os criptoativos abrangidos pelos atos legislativos da União já em vigor em matéria de serviços financeiros deverão, independentemente da tecnologia utilizada para a sua emissão ou transferência, continuar a ser regulamentados pelo quadro regulamentar em vigor e não pelo presente regulamento. Por conseguinte, o presente regulamento exclui expressamente do seu âmbito de aplicação os criptoativos </w:t>
            </w:r>
            <w:r w:rsidRPr="00465964">
              <w:rPr>
                <w:lang w:val="pt-PT"/>
              </w:rPr>
              <w:lastRenderedPageBreak/>
              <w:t>considerados instrumentos financeiros na aceção da Diretiva 2014/65/UE, os que são considerados depósitos na aceção da Diretiva 2014/49/UE do Parlamento Europeu e do Conselho </w:t>
            </w:r>
            <w:hyperlink r:id="rId14" w:anchor="ntr7-L_2023150PT.01004001-E0007" w:history="1">
              <w:r w:rsidRPr="00465964">
                <w:rPr>
                  <w:rStyle w:val="Hyperlink"/>
                  <w:lang w:val="pt-PT"/>
                </w:rPr>
                <w:t>(</w:t>
              </w:r>
              <w:r w:rsidRPr="00465964">
                <w:rPr>
                  <w:rStyle w:val="Hyperlink"/>
                  <w:vertAlign w:val="superscript"/>
                  <w:lang w:val="pt-PT"/>
                </w:rPr>
                <w:t>7</w:t>
              </w:r>
              <w:r w:rsidRPr="00465964">
                <w:rPr>
                  <w:rStyle w:val="Hyperlink"/>
                  <w:lang w:val="pt-PT"/>
                </w:rPr>
                <w:t>)</w:t>
              </w:r>
            </w:hyperlink>
            <w:r w:rsidRPr="00465964">
              <w:rPr>
                <w:lang w:val="pt-PT"/>
              </w:rPr>
              <w:t>, incluindo os depósitos estruturados na aceção da Diretiva 2014/65/UE, os que são considerados fundos na aceção da Diretiva (UE) 2015/2366 do Parlamento Europeu e do Conselho </w:t>
            </w:r>
            <w:hyperlink r:id="rId15" w:anchor="ntr8-L_2023150PT.01004001-E0008" w:history="1">
              <w:r w:rsidRPr="00465964">
                <w:rPr>
                  <w:rStyle w:val="Hyperlink"/>
                  <w:lang w:val="pt-PT"/>
                </w:rPr>
                <w:t>(</w:t>
              </w:r>
              <w:r w:rsidRPr="00465964">
                <w:rPr>
                  <w:rStyle w:val="Hyperlink"/>
                  <w:vertAlign w:val="superscript"/>
                  <w:lang w:val="pt-PT"/>
                </w:rPr>
                <w:t>8</w:t>
              </w:r>
              <w:r w:rsidRPr="00465964">
                <w:rPr>
                  <w:rStyle w:val="Hyperlink"/>
                  <w:lang w:val="pt-PT"/>
                </w:rPr>
                <w:t>)</w:t>
              </w:r>
            </w:hyperlink>
            <w:r w:rsidRPr="00465964">
              <w:rPr>
                <w:lang w:val="pt-PT"/>
              </w:rPr>
              <w:t xml:space="preserve">, exceto se forem </w:t>
            </w:r>
            <w:r>
              <w:rPr>
                <w:lang w:val="pt-PT"/>
              </w:rPr>
              <w:t>criptomoedas</w:t>
            </w:r>
            <w:r w:rsidRPr="00465964">
              <w:rPr>
                <w:lang w:val="pt-PT"/>
              </w:rPr>
              <w:t xml:space="preserve"> de moeda eletrónica, os que são considerados posições de titularização, na aceção do Regulamento (UE) 2017/2402 do Parlamento Europeu e do Conselho </w:t>
            </w:r>
            <w:hyperlink r:id="rId16" w:anchor="ntr9-L_2023150PT.01004001-E0009" w:history="1">
              <w:r w:rsidRPr="00465964">
                <w:rPr>
                  <w:rStyle w:val="Hyperlink"/>
                  <w:lang w:val="pt-PT"/>
                </w:rPr>
                <w:t>(</w:t>
              </w:r>
              <w:r w:rsidRPr="00465964">
                <w:rPr>
                  <w:rStyle w:val="Hyperlink"/>
                  <w:vertAlign w:val="superscript"/>
                  <w:lang w:val="pt-PT"/>
                </w:rPr>
                <w:t>9</w:t>
              </w:r>
              <w:r w:rsidRPr="00465964">
                <w:rPr>
                  <w:rStyle w:val="Hyperlink"/>
                  <w:lang w:val="pt-PT"/>
                </w:rPr>
                <w:t>)</w:t>
              </w:r>
            </w:hyperlink>
            <w:r w:rsidRPr="00465964">
              <w:rPr>
                <w:lang w:val="pt-PT"/>
              </w:rPr>
              <w:t>, e os que são considerados contratos de seguro de vida ou não vida, produtos ou regimes de pensões e regimes de segurança social. Tendo em conta que não convém tratar a moeda eletrónica e os fundos recebidos em troca de moeda eletrónica como depósitos nos termos da Diretiva 2009/110/CE do Parlamento Europeu e do Conselho </w:t>
            </w:r>
            <w:hyperlink r:id="rId17" w:anchor="ntr10-L_2023150PT.01004001-E0010" w:history="1">
              <w:r w:rsidRPr="00465964">
                <w:rPr>
                  <w:rStyle w:val="Hyperlink"/>
                  <w:lang w:val="pt-PT"/>
                </w:rPr>
                <w:t>(</w:t>
              </w:r>
              <w:r w:rsidRPr="00465964">
                <w:rPr>
                  <w:rStyle w:val="Hyperlink"/>
                  <w:vertAlign w:val="superscript"/>
                  <w:lang w:val="pt-PT"/>
                </w:rPr>
                <w:t>10</w:t>
              </w:r>
              <w:r w:rsidRPr="00465964">
                <w:rPr>
                  <w:rStyle w:val="Hyperlink"/>
                  <w:lang w:val="pt-PT"/>
                </w:rPr>
                <w:t>)</w:t>
              </w:r>
            </w:hyperlink>
            <w:r w:rsidRPr="00465964">
              <w:rPr>
                <w:lang w:val="pt-PT"/>
              </w:rPr>
              <w:t xml:space="preserve">, as </w:t>
            </w:r>
            <w:r>
              <w:rPr>
                <w:lang w:val="pt-PT"/>
              </w:rPr>
              <w:t>criptomoedas</w:t>
            </w:r>
            <w:r w:rsidRPr="00465964">
              <w:rPr>
                <w:lang w:val="pt-PT"/>
              </w:rPr>
              <w:t xml:space="preserve"> de moeda eletrónica não podem ser tratadas como depósitos excluídos do âmbito de aplicação do presente regulamento.</w:t>
            </w:r>
          </w:p>
        </w:tc>
      </w:tr>
      <w:tr w:rsidR="00465964" w:rsidRPr="00465964" w14:paraId="4FDC5169" w14:textId="77777777" w:rsidTr="00465964">
        <w:tc>
          <w:tcPr>
            <w:tcW w:w="0" w:type="auto"/>
            <w:shd w:val="clear" w:color="auto" w:fill="auto"/>
            <w:hideMark/>
          </w:tcPr>
          <w:p w14:paraId="5BB49036" w14:textId="77777777" w:rsidR="00465964" w:rsidRPr="00465964" w:rsidRDefault="00465964" w:rsidP="00465964">
            <w:r w:rsidRPr="00465964">
              <w:lastRenderedPageBreak/>
              <w:t>(10)</w:t>
            </w:r>
          </w:p>
        </w:tc>
        <w:tc>
          <w:tcPr>
            <w:tcW w:w="0" w:type="auto"/>
            <w:shd w:val="clear" w:color="auto" w:fill="auto"/>
            <w:hideMark/>
          </w:tcPr>
          <w:p w14:paraId="390D5756" w14:textId="77777777" w:rsidR="00465964" w:rsidRPr="00465964" w:rsidRDefault="00465964" w:rsidP="00465964">
            <w:pPr>
              <w:rPr>
                <w:lang w:val="pt-PT"/>
              </w:rPr>
            </w:pPr>
            <w:r w:rsidRPr="00465964">
              <w:rPr>
                <w:lang w:val="pt-PT"/>
              </w:rPr>
              <w:t xml:space="preserve">O presente regulamento não deverá aplicar-se aos criptoativos que sejam únicos e não fungíveis com outros criptoativos, nomeadamente a arte digital e os artigos digitais colecionáveis. O valor desses criptoativos únicos e não fungíveis é imputável às suas características únicas e à utilidade que proporciona ao detentor da </w:t>
            </w:r>
            <w:proofErr w:type="spellStart"/>
            <w:r w:rsidRPr="00465964">
              <w:rPr>
                <w:lang w:val="pt-PT"/>
              </w:rPr>
              <w:t>criptoficha</w:t>
            </w:r>
            <w:proofErr w:type="spellEnd"/>
            <w:r w:rsidRPr="00465964">
              <w:rPr>
                <w:lang w:val="pt-PT"/>
              </w:rPr>
              <w:t>. O presente regulamento também não deverá aplicar-se aos criptoativos que representem serviços ou ativos físicos únicos e não fungíveis, como garantias de produtos ou bens imóveis. Embora possam ser negociados em mercados e acumulados para efeitos especulativos, os criptoativos únicos e não fungíveis não são facilmente intercambiáveis. Além disso, o valor relativo de cada um desses criptoativos em relação a outro não pode, dado o caráter exclusivo de cada um, ser determinado por comparação com um mercado existente ou um ativo equivalente. Tais características limitam o âmbito de utilização desses criptoativos para efeitos financeiros, limitando assim os riscos para os detentores e o sistema financeiro, o que justifica a sua exclusão do âmbito de aplicação do presente regulamento.</w:t>
            </w:r>
          </w:p>
        </w:tc>
      </w:tr>
    </w:tbl>
    <w:p w14:paraId="522C1ACF"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364"/>
        <w:gridCol w:w="8662"/>
      </w:tblGrid>
      <w:tr w:rsidR="00465964" w:rsidRPr="00465964" w14:paraId="31DDCB01" w14:textId="77777777" w:rsidTr="00465964">
        <w:tc>
          <w:tcPr>
            <w:tcW w:w="0" w:type="auto"/>
            <w:shd w:val="clear" w:color="auto" w:fill="auto"/>
            <w:hideMark/>
          </w:tcPr>
          <w:p w14:paraId="010D6619" w14:textId="77777777" w:rsidR="00465964" w:rsidRPr="00465964" w:rsidRDefault="00465964" w:rsidP="00465964">
            <w:r w:rsidRPr="00465964">
              <w:t>(11)</w:t>
            </w:r>
          </w:p>
        </w:tc>
        <w:tc>
          <w:tcPr>
            <w:tcW w:w="0" w:type="auto"/>
            <w:shd w:val="clear" w:color="auto" w:fill="auto"/>
            <w:hideMark/>
          </w:tcPr>
          <w:p w14:paraId="7A1279F6" w14:textId="202F5EF0" w:rsidR="00465964" w:rsidRPr="00465964" w:rsidRDefault="00465964" w:rsidP="00465964">
            <w:pPr>
              <w:rPr>
                <w:lang w:val="pt-PT"/>
              </w:rPr>
            </w:pPr>
            <w:r w:rsidRPr="00465964">
              <w:rPr>
                <w:lang w:val="pt-PT"/>
              </w:rPr>
              <w:t xml:space="preserve">As partes fracionárias de um criptoativo único e não fungível não deverão ser consideradas únicas e não fungíveis. A emissão de criptoativos sob a forma de </w:t>
            </w:r>
            <w:r>
              <w:rPr>
                <w:lang w:val="pt-PT"/>
              </w:rPr>
              <w:t>criptomoedas</w:t>
            </w:r>
            <w:r w:rsidRPr="00465964">
              <w:rPr>
                <w:lang w:val="pt-PT"/>
              </w:rPr>
              <w:t xml:space="preserve"> não fungíveis no âmbito de uma grande série ou coleção deverá ser considerada um indicador da sua fungibilidade. A mera atribuição de um identificador único a um criptoativo não é, por si só, suficiente para que seja classificado como único e não fungível. Para que o criptoativo seja considerado único e não fungível, os ativos ou os direitos representados também deverão ser únicos e não fungíveis. A exclusão dos criptoativos únicos e não fungíveis do âmbito de aplicação do presente regulamento não prejudica a classificação desses criptoativos como instrumentos financeiros. O presente regulamento deverá também aplicar-se aos criptoativos que, embora pareçam ser únicos e não fungíveis, tenham características efetivas ou características associadas à sua utilização que fazem com que se tornem, de facto, fungíveis ou não únicos. Neste contexto, ao avaliarem e classificarem os criptoativos, as autoridades competentes deverão adotar uma abordagem assente no primado da substância sobre a forma, em que as características do criptoativo em causa determinam a classificação e não a sua designação pelo emitente.</w:t>
            </w:r>
          </w:p>
        </w:tc>
      </w:tr>
      <w:tr w:rsidR="00465964" w:rsidRPr="00465964" w14:paraId="0B9A7723" w14:textId="77777777" w:rsidTr="00465964">
        <w:tc>
          <w:tcPr>
            <w:tcW w:w="0" w:type="auto"/>
            <w:shd w:val="clear" w:color="auto" w:fill="auto"/>
            <w:hideMark/>
          </w:tcPr>
          <w:p w14:paraId="24C1B550" w14:textId="77777777" w:rsidR="00465964" w:rsidRPr="00465964" w:rsidRDefault="00465964" w:rsidP="00465964">
            <w:r w:rsidRPr="00465964">
              <w:t>(12)</w:t>
            </w:r>
          </w:p>
        </w:tc>
        <w:tc>
          <w:tcPr>
            <w:tcW w:w="0" w:type="auto"/>
            <w:shd w:val="clear" w:color="auto" w:fill="auto"/>
            <w:hideMark/>
          </w:tcPr>
          <w:p w14:paraId="365590A2" w14:textId="77777777" w:rsidR="00465964" w:rsidRPr="00465964" w:rsidRDefault="00465964" w:rsidP="00465964">
            <w:pPr>
              <w:rPr>
                <w:lang w:val="pt-PT"/>
              </w:rPr>
            </w:pPr>
            <w:r w:rsidRPr="00465964">
              <w:rPr>
                <w:lang w:val="pt-PT"/>
              </w:rPr>
              <w:t xml:space="preserve">É conveniente excluir certas transações </w:t>
            </w:r>
            <w:proofErr w:type="spellStart"/>
            <w:r w:rsidRPr="00465964">
              <w:rPr>
                <w:lang w:val="pt-PT"/>
              </w:rPr>
              <w:t>intragrupo</w:t>
            </w:r>
            <w:proofErr w:type="spellEnd"/>
            <w:r w:rsidRPr="00465964">
              <w:rPr>
                <w:lang w:val="pt-PT"/>
              </w:rPr>
              <w:t xml:space="preserve"> e algumas entidades públicas do âmbito de aplicação do presente regulamento, uma vez que não colocam riscos para a proteção dos investidores, a integridade do mercado, a estabilidade financeira, o bom funcionamento dos sistemas de pagamento, a transmissão da política monetária ou a </w:t>
            </w:r>
            <w:r w:rsidRPr="00465964">
              <w:rPr>
                <w:lang w:val="pt-PT"/>
              </w:rPr>
              <w:lastRenderedPageBreak/>
              <w:t>soberania monetária. Entre as organizações internacionais públicas isentas contam-se o Fundo Monetário Internacional e o Banco de Pagamentos Internacionais.</w:t>
            </w:r>
          </w:p>
        </w:tc>
      </w:tr>
    </w:tbl>
    <w:p w14:paraId="3FD93CDA"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364"/>
        <w:gridCol w:w="8662"/>
      </w:tblGrid>
      <w:tr w:rsidR="00465964" w:rsidRPr="00465964" w14:paraId="7D69DFEF" w14:textId="77777777" w:rsidTr="00465964">
        <w:tc>
          <w:tcPr>
            <w:tcW w:w="0" w:type="auto"/>
            <w:shd w:val="clear" w:color="auto" w:fill="auto"/>
            <w:hideMark/>
          </w:tcPr>
          <w:p w14:paraId="0C004772" w14:textId="77777777" w:rsidR="00465964" w:rsidRPr="00465964" w:rsidRDefault="00465964" w:rsidP="00465964">
            <w:r w:rsidRPr="00465964">
              <w:t>(13)</w:t>
            </w:r>
          </w:p>
        </w:tc>
        <w:tc>
          <w:tcPr>
            <w:tcW w:w="0" w:type="auto"/>
            <w:shd w:val="clear" w:color="auto" w:fill="auto"/>
            <w:hideMark/>
          </w:tcPr>
          <w:p w14:paraId="01C1A880" w14:textId="77777777" w:rsidR="00465964" w:rsidRPr="00465964" w:rsidRDefault="00465964" w:rsidP="00465964">
            <w:pPr>
              <w:rPr>
                <w:lang w:val="pt-PT"/>
              </w:rPr>
            </w:pPr>
            <w:r w:rsidRPr="00465964">
              <w:rPr>
                <w:lang w:val="pt-PT"/>
              </w:rPr>
              <w:t>Os ativos digitais emitidos por bancos centrais que atuem na qualidade de autoridade monetária, incluindo a moeda de banco central em formato digital, ou criptoativos emitidos por outras autoridades públicas, incluindo administrações centrais, regionais e locais, não deverão estar sujeitos ao regime da União para os mercados de criptoativos. Os serviços conexos que são prestados por esses bancos centrais quando atuam na qualidade de autoridade monetária ou por outras autoridades públicas também não deverão estar sujeitos a esse regime da União.</w:t>
            </w:r>
          </w:p>
        </w:tc>
      </w:tr>
      <w:tr w:rsidR="00465964" w:rsidRPr="00465964" w14:paraId="629B7A7A" w14:textId="77777777" w:rsidTr="00465964">
        <w:tc>
          <w:tcPr>
            <w:tcW w:w="0" w:type="auto"/>
            <w:shd w:val="clear" w:color="auto" w:fill="auto"/>
            <w:hideMark/>
          </w:tcPr>
          <w:p w14:paraId="61C0BED3" w14:textId="77777777" w:rsidR="00465964" w:rsidRPr="00465964" w:rsidRDefault="00465964" w:rsidP="00465964">
            <w:r w:rsidRPr="00465964">
              <w:t>(14)</w:t>
            </w:r>
          </w:p>
        </w:tc>
        <w:tc>
          <w:tcPr>
            <w:tcW w:w="0" w:type="auto"/>
            <w:shd w:val="clear" w:color="auto" w:fill="auto"/>
            <w:hideMark/>
          </w:tcPr>
          <w:p w14:paraId="3A657DE5" w14:textId="77777777" w:rsidR="00465964" w:rsidRPr="00465964" w:rsidRDefault="00465964" w:rsidP="00465964">
            <w:pPr>
              <w:rPr>
                <w:lang w:val="pt-PT"/>
              </w:rPr>
            </w:pPr>
            <w:r w:rsidRPr="00465964">
              <w:rPr>
                <w:lang w:val="pt-PT"/>
              </w:rPr>
              <w:t xml:space="preserve">A fim de assegurar uma delimitação clara entre os criptoativos abrangidos pelo presente regulamento, por um lado, e os instrumentos financeiros, por outro, a ESMA deverá ser incumbida de emitir orientações sobre os critérios e condições a preencher pelos criptoativos para que sejam considerados instrumentos financeiros. Essas orientações deverão também permitir compreender melhor os casos em que os criptoativos que, noutras circunstâncias seriam considerados únicos e não fungíveis com outros criptoativos, possam ser classificados como instrumentos financeiros. A fim de promover uma abordagem comum para a classificação dos criptoativos, a EBA, a ESMA e a Autoridade Europeia de Supervisão (Autoridade Europeia dos Seguros e Pensões Complementares de Reforma) (EIOPA), criada pelo Regulamento (UE) </w:t>
            </w:r>
            <w:proofErr w:type="spellStart"/>
            <w:r w:rsidRPr="00465964">
              <w:rPr>
                <w:lang w:val="pt-PT"/>
              </w:rPr>
              <w:t>n.</w:t>
            </w:r>
            <w:r w:rsidRPr="00465964">
              <w:rPr>
                <w:vertAlign w:val="superscript"/>
                <w:lang w:val="pt-PT"/>
              </w:rPr>
              <w:t>o</w:t>
            </w:r>
            <w:proofErr w:type="spellEnd"/>
            <w:r w:rsidRPr="00465964">
              <w:rPr>
                <w:lang w:val="pt-PT"/>
              </w:rPr>
              <w:t> 1094/2010 do Parlamento Europeu e do Conselho </w:t>
            </w:r>
            <w:hyperlink r:id="rId18" w:anchor="ntr11-L_2023150PT.01004001-E0011" w:history="1">
              <w:r w:rsidRPr="00465964">
                <w:rPr>
                  <w:rStyle w:val="Hyperlink"/>
                  <w:lang w:val="pt-PT"/>
                </w:rPr>
                <w:t>(</w:t>
              </w:r>
              <w:r w:rsidRPr="00465964">
                <w:rPr>
                  <w:rStyle w:val="Hyperlink"/>
                  <w:vertAlign w:val="superscript"/>
                  <w:lang w:val="pt-PT"/>
                </w:rPr>
                <w:t>11</w:t>
              </w:r>
              <w:r w:rsidRPr="00465964">
                <w:rPr>
                  <w:rStyle w:val="Hyperlink"/>
                  <w:lang w:val="pt-PT"/>
                </w:rPr>
                <w:t>)</w:t>
              </w:r>
            </w:hyperlink>
            <w:r w:rsidRPr="00465964">
              <w:rPr>
                <w:lang w:val="pt-PT"/>
              </w:rPr>
              <w:t xml:space="preserve"> (conjuntamente designadas «Autoridades Europeias de Supervisão») deverão promover o debate a respeito dessa classificação. As autoridades competentes deverão poder solicitar pareceres às Autoridades Europeias de Supervisão sobre a classificação dos criptoativos, nomeadamente as classificações propostas pelos oferentes ou pelas pessoas que solicitam a admissão à negociação. Os oferentes ou as pessoas que solicitam a admissão à negociação são os principais responsáveis pela classificação correta dos criptoativos, que pode ser contestada pelas autoridades competentes, tanto antes da data de publicação da oferta como em qualquer momento após essa data. Caso a classificação de um criptoativos se afigure incompatível com o presente regulamento ou com outros atos legislativos pertinentes da União em matéria de serviços financeiros, as Autoridades Europeias de Supervisão deverão fazer uso dos poderes que lhes são conferidos pelo Regulamentos (UE) </w:t>
            </w:r>
            <w:proofErr w:type="spellStart"/>
            <w:r w:rsidRPr="00465964">
              <w:rPr>
                <w:lang w:val="pt-PT"/>
              </w:rPr>
              <w:t>n.</w:t>
            </w:r>
            <w:r w:rsidRPr="00465964">
              <w:rPr>
                <w:vertAlign w:val="superscript"/>
                <w:lang w:val="pt-PT"/>
              </w:rPr>
              <w:t>o</w:t>
            </w:r>
            <w:proofErr w:type="spellEnd"/>
            <w:r w:rsidRPr="00465964">
              <w:rPr>
                <w:lang w:val="pt-PT"/>
              </w:rPr>
              <w:t xml:space="preserve"> 1093/2010, (UE) </w:t>
            </w:r>
            <w:proofErr w:type="spellStart"/>
            <w:r w:rsidRPr="00465964">
              <w:rPr>
                <w:lang w:val="pt-PT"/>
              </w:rPr>
              <w:t>n.</w:t>
            </w:r>
            <w:r w:rsidRPr="00465964">
              <w:rPr>
                <w:vertAlign w:val="superscript"/>
                <w:lang w:val="pt-PT"/>
              </w:rPr>
              <w:t>o</w:t>
            </w:r>
            <w:proofErr w:type="spellEnd"/>
            <w:r w:rsidRPr="00465964">
              <w:rPr>
                <w:lang w:val="pt-PT"/>
              </w:rPr>
              <w:t xml:space="preserve"> 1094/2010 e (UE) </w:t>
            </w:r>
            <w:proofErr w:type="spellStart"/>
            <w:r w:rsidRPr="00465964">
              <w:rPr>
                <w:lang w:val="pt-PT"/>
              </w:rPr>
              <w:t>n.</w:t>
            </w:r>
            <w:r w:rsidRPr="00465964">
              <w:rPr>
                <w:vertAlign w:val="superscript"/>
                <w:lang w:val="pt-PT"/>
              </w:rPr>
              <w:t>o</w:t>
            </w:r>
            <w:proofErr w:type="spellEnd"/>
            <w:r w:rsidRPr="00465964">
              <w:rPr>
                <w:lang w:val="pt-PT"/>
              </w:rPr>
              <w:t> 1095/2010, a fim de assegurar uma abordagem consistente e coerente dessa classificação.</w:t>
            </w:r>
          </w:p>
        </w:tc>
      </w:tr>
    </w:tbl>
    <w:p w14:paraId="01B694AF"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364"/>
        <w:gridCol w:w="8662"/>
      </w:tblGrid>
      <w:tr w:rsidR="00465964" w:rsidRPr="00465964" w14:paraId="2AA89768" w14:textId="77777777" w:rsidTr="00465964">
        <w:tc>
          <w:tcPr>
            <w:tcW w:w="0" w:type="auto"/>
            <w:shd w:val="clear" w:color="auto" w:fill="auto"/>
            <w:hideMark/>
          </w:tcPr>
          <w:p w14:paraId="5472A270" w14:textId="77777777" w:rsidR="00465964" w:rsidRPr="00465964" w:rsidRDefault="00465964" w:rsidP="00465964">
            <w:r w:rsidRPr="00465964">
              <w:t>(15)</w:t>
            </w:r>
          </w:p>
        </w:tc>
        <w:tc>
          <w:tcPr>
            <w:tcW w:w="0" w:type="auto"/>
            <w:shd w:val="clear" w:color="auto" w:fill="auto"/>
            <w:hideMark/>
          </w:tcPr>
          <w:p w14:paraId="4CCE8A9D" w14:textId="77777777" w:rsidR="00465964" w:rsidRPr="00465964" w:rsidRDefault="00465964" w:rsidP="00465964">
            <w:pPr>
              <w:rPr>
                <w:lang w:val="pt-PT"/>
              </w:rPr>
            </w:pPr>
            <w:r w:rsidRPr="00465964">
              <w:rPr>
                <w:lang w:val="pt-PT"/>
              </w:rPr>
              <w:t>Nos termos do artigo 127.</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2, quarto travessão, do Tratado sobre o Funcionamento da União Europeia (TFUE), uma das atribuições fundamentais cometidas ao Sistema Europeu de Bancos Centrais consiste na promoção do bom funcionamento dos sistemas de pagamento. Nos termos do artigo 22.</w:t>
            </w:r>
            <w:r w:rsidRPr="00465964">
              <w:rPr>
                <w:vertAlign w:val="superscript"/>
                <w:lang w:val="pt-PT"/>
              </w:rPr>
              <w:t>o</w:t>
            </w:r>
            <w:r w:rsidRPr="00465964">
              <w:rPr>
                <w:lang w:val="pt-PT"/>
              </w:rPr>
              <w:t xml:space="preserve"> do Protocolo </w:t>
            </w:r>
            <w:proofErr w:type="spellStart"/>
            <w:r w:rsidRPr="00465964">
              <w:rPr>
                <w:lang w:val="pt-PT"/>
              </w:rPr>
              <w:t>n.</w:t>
            </w:r>
            <w:r w:rsidRPr="00465964">
              <w:rPr>
                <w:vertAlign w:val="superscript"/>
                <w:lang w:val="pt-PT"/>
              </w:rPr>
              <w:t>o</w:t>
            </w:r>
            <w:proofErr w:type="spellEnd"/>
            <w:r w:rsidRPr="00465964">
              <w:rPr>
                <w:lang w:val="pt-PT"/>
              </w:rPr>
              <w:t xml:space="preserve"> 4 relativo aos Estatutos do Sistema Europeu de Bancos Centrais e do Banco Central Europeu, o Banco Central Europeu (BCE) pode adotar regulamentos, a fim de assegurar a eficiência e a solidez dos sistemas de compensação e de pagamentos no interior da União e com países terceiros. Para esse efeito, o BCE adotou regulamentos relativos aos requisitos aplicáveis aos sistemas de pagamento sistemicamente importantes. O presente regulamento não prejudica as responsabilidades do BCE e dos bancos centrais nacionais do Sistema Europeu de Bancos Centrais no sentido de assegurar a eficiência e a solidez dos sistemas de compensação e de pagamentos no interior da União e com países terceiros. Por conseguinte, e a fim de evitar a eventual criação de conjuntos de regras paralelos, a EBA, a ESMA e o Sistema </w:t>
            </w:r>
            <w:r w:rsidRPr="00465964">
              <w:rPr>
                <w:lang w:val="pt-PT"/>
              </w:rPr>
              <w:lastRenderedPageBreak/>
              <w:t xml:space="preserve">Europeu de Bancos Centrais deverão cooperar estreitamente na preparação dos projetos de normas técnicas pertinentes ao abrigo do presente regulamento. Além disso, é fundamental para o BCE e os bancos centrais nacionais terem acesso à informação no exercício das suas funções relacionadas com a supervisão dos sistemas de pagamento, nomeadamente a liquidação de pagamentos. Além disso, o presente regulamento não deverá prejudicar o Regulamento (UE) </w:t>
            </w:r>
            <w:proofErr w:type="spellStart"/>
            <w:r w:rsidRPr="00465964">
              <w:rPr>
                <w:lang w:val="pt-PT"/>
              </w:rPr>
              <w:t>n.</w:t>
            </w:r>
            <w:r w:rsidRPr="00465964">
              <w:rPr>
                <w:vertAlign w:val="superscript"/>
                <w:lang w:val="pt-PT"/>
              </w:rPr>
              <w:t>o</w:t>
            </w:r>
            <w:proofErr w:type="spellEnd"/>
            <w:r w:rsidRPr="00465964">
              <w:rPr>
                <w:lang w:val="pt-PT"/>
              </w:rPr>
              <w:t> 1024/2013 do Conselho </w:t>
            </w:r>
            <w:hyperlink r:id="rId19" w:anchor="ntr12-L_2023150PT.01004001-E0012" w:history="1">
              <w:r w:rsidRPr="00465964">
                <w:rPr>
                  <w:rStyle w:val="Hyperlink"/>
                  <w:lang w:val="pt-PT"/>
                </w:rPr>
                <w:t>(</w:t>
              </w:r>
              <w:r w:rsidRPr="00465964">
                <w:rPr>
                  <w:rStyle w:val="Hyperlink"/>
                  <w:vertAlign w:val="superscript"/>
                  <w:lang w:val="pt-PT"/>
                </w:rPr>
                <w:t>12</w:t>
              </w:r>
              <w:r w:rsidRPr="00465964">
                <w:rPr>
                  <w:rStyle w:val="Hyperlink"/>
                  <w:lang w:val="pt-PT"/>
                </w:rPr>
                <w:t>)</w:t>
              </w:r>
            </w:hyperlink>
            <w:r w:rsidRPr="00465964">
              <w:rPr>
                <w:lang w:val="pt-PT"/>
              </w:rPr>
              <w:t> e deverá ser interpretado de forma a não entrar em conflito com esse regulamento.</w:t>
            </w:r>
          </w:p>
        </w:tc>
      </w:tr>
      <w:tr w:rsidR="00465964" w:rsidRPr="00465964" w14:paraId="3804A189" w14:textId="77777777" w:rsidTr="00465964">
        <w:tc>
          <w:tcPr>
            <w:tcW w:w="0" w:type="auto"/>
            <w:shd w:val="clear" w:color="auto" w:fill="auto"/>
            <w:hideMark/>
          </w:tcPr>
          <w:p w14:paraId="20C5399D" w14:textId="77777777" w:rsidR="00465964" w:rsidRPr="00465964" w:rsidRDefault="00465964" w:rsidP="00465964">
            <w:r w:rsidRPr="00465964">
              <w:lastRenderedPageBreak/>
              <w:t>(16)</w:t>
            </w:r>
          </w:p>
        </w:tc>
        <w:tc>
          <w:tcPr>
            <w:tcW w:w="0" w:type="auto"/>
            <w:shd w:val="clear" w:color="auto" w:fill="auto"/>
            <w:hideMark/>
          </w:tcPr>
          <w:p w14:paraId="494004CA" w14:textId="77777777" w:rsidR="00465964" w:rsidRPr="00465964" w:rsidRDefault="00465964" w:rsidP="00465964">
            <w:pPr>
              <w:rPr>
                <w:lang w:val="pt-PT"/>
              </w:rPr>
            </w:pPr>
            <w:r w:rsidRPr="00465964">
              <w:rPr>
                <w:lang w:val="pt-PT"/>
              </w:rPr>
              <w:t>Qualquer ato legislativo adotado no domínio dos criptoativos deverá ser específico, viável a longo prazo, passível de acompanhar a inovação e a evolução tecnológica e assentar numa abordagem baseada em incentivos. Por conseguinte os termos «criptoativos» e «tecnologia de registo distribuído» deverão ser definidos da forma mais lata possível, por forma a abarcar todos os tipos de criptoativos atualmente não abrangidos pelo âmbito de aplicação de atos legislativos da União em matéria de serviços financeiros. Qualquer ato legislativo adotado no domínio dos criptoativos deverá também contribuir para os objetivos de luta contra o branqueamento de capitais e de combate ao financiamento do terrorismo. Por esse motivo, as entidades que oferecem serviços abrangidos pelo âmbito de aplicação do presente regulamento deverão também cumprir as normas da União aplicáveis em matéria de luta contra o branqueamento de capitais e o financiamento do terrorismo, incluindo as normas internacionais.</w:t>
            </w:r>
          </w:p>
        </w:tc>
      </w:tr>
    </w:tbl>
    <w:p w14:paraId="24B5CAAE"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364"/>
        <w:gridCol w:w="8662"/>
      </w:tblGrid>
      <w:tr w:rsidR="00465964" w:rsidRPr="00465964" w14:paraId="00ED1ECA" w14:textId="77777777" w:rsidTr="00465964">
        <w:tc>
          <w:tcPr>
            <w:tcW w:w="0" w:type="auto"/>
            <w:shd w:val="clear" w:color="auto" w:fill="auto"/>
            <w:hideMark/>
          </w:tcPr>
          <w:p w14:paraId="6D2D3ABE" w14:textId="77777777" w:rsidR="00465964" w:rsidRPr="00465964" w:rsidRDefault="00465964" w:rsidP="00465964">
            <w:r w:rsidRPr="00465964">
              <w:t>(17)</w:t>
            </w:r>
          </w:p>
        </w:tc>
        <w:tc>
          <w:tcPr>
            <w:tcW w:w="0" w:type="auto"/>
            <w:shd w:val="clear" w:color="auto" w:fill="auto"/>
            <w:hideMark/>
          </w:tcPr>
          <w:p w14:paraId="7B337A70" w14:textId="77777777" w:rsidR="00465964" w:rsidRPr="00465964" w:rsidRDefault="00465964" w:rsidP="00465964">
            <w:pPr>
              <w:rPr>
                <w:lang w:val="pt-PT"/>
              </w:rPr>
            </w:pPr>
            <w:r w:rsidRPr="00465964">
              <w:rPr>
                <w:lang w:val="pt-PT"/>
              </w:rPr>
              <w:t>Os ativos digitais que não possam ser transferidos para outros detentores não são abrangidos pela definição de criptoativos. Por conseguinte, os ativos digitais que sejam apenas aceites pelo emitente ou oferente e cuja transferência direta para outros titulares seja tecnicamente impossível deverão ser excluídos do âmbito de aplicação do presente regulamento. Os sistemas de fidelização em que os pontos de fidelidade podem apenas ser trocados por benefícios junto do emitente ou oferente desses pontos são um exemplo desses ativos digitais.</w:t>
            </w:r>
          </w:p>
        </w:tc>
      </w:tr>
      <w:tr w:rsidR="00465964" w:rsidRPr="00465964" w14:paraId="0B83A1FE" w14:textId="77777777" w:rsidTr="00465964">
        <w:tc>
          <w:tcPr>
            <w:tcW w:w="0" w:type="auto"/>
            <w:shd w:val="clear" w:color="auto" w:fill="auto"/>
            <w:hideMark/>
          </w:tcPr>
          <w:p w14:paraId="23C2E7DA" w14:textId="77777777" w:rsidR="00465964" w:rsidRPr="00465964" w:rsidRDefault="00465964" w:rsidP="00465964">
            <w:r w:rsidRPr="00465964">
              <w:t>(18)</w:t>
            </w:r>
          </w:p>
        </w:tc>
        <w:tc>
          <w:tcPr>
            <w:tcW w:w="0" w:type="auto"/>
            <w:shd w:val="clear" w:color="auto" w:fill="auto"/>
            <w:hideMark/>
          </w:tcPr>
          <w:p w14:paraId="07456014" w14:textId="3271DB64" w:rsidR="00465964" w:rsidRPr="00465964" w:rsidRDefault="00465964" w:rsidP="00465964">
            <w:pPr>
              <w:rPr>
                <w:lang w:val="pt-PT"/>
              </w:rPr>
            </w:pPr>
            <w:r w:rsidRPr="00465964">
              <w:rPr>
                <w:lang w:val="pt-PT"/>
              </w:rPr>
              <w:t>O presente regulamento classifica os criptoativos em três tipos que deverão ser distinguidos uns dos outros e estar sujeitos a requisitos diferentes em função dos riscos que implicam. A classificação baseia-se no facto de os criptoativos procurarem ou não estabilizar o seu valor por referência a outros ativos. O primeiro tipo é constituído por criptoativos que visam estabilizar o seu valor por referência a uma única moeda oficial. A função desses criptoativos é muito semelhante à função da moeda eletrónica, tal como definida na Diretiva 2009/110/CE. À semelhança da moeda eletrónica, esses criptoativos são substitutos eletrónicos de moedas e notas, sendo provável que sejam utilizados para fazer pagamentos. Esses criptoativos deverão ser definidos no presente regulamento como «</w:t>
            </w:r>
            <w:r>
              <w:rPr>
                <w:lang w:val="pt-PT"/>
              </w:rPr>
              <w:t>criptomoedas</w:t>
            </w:r>
            <w:r w:rsidRPr="00465964">
              <w:rPr>
                <w:lang w:val="pt-PT"/>
              </w:rPr>
              <w:t xml:space="preserve"> de moeda eletrónica». O segundo tipo de criptoativos diz respeito às «</w:t>
            </w:r>
            <w:r>
              <w:rPr>
                <w:lang w:val="pt-PT"/>
              </w:rPr>
              <w:t>criptomoedas</w:t>
            </w:r>
            <w:r w:rsidRPr="00465964">
              <w:rPr>
                <w:lang w:val="pt-PT"/>
              </w:rPr>
              <w:t xml:space="preserve"> referenciadas a ativos», que visam estabilizar o seu valor por referência a outro valor ou direito, ou a uma combinação de ambos, incluindo uma ou várias moedas oficiais. Esse segundo tipo abrange todos os outros criptoativos – com exceção das </w:t>
            </w:r>
            <w:r>
              <w:rPr>
                <w:lang w:val="pt-PT"/>
              </w:rPr>
              <w:t>criptomoedas</w:t>
            </w:r>
            <w:r w:rsidRPr="00465964">
              <w:rPr>
                <w:lang w:val="pt-PT"/>
              </w:rPr>
              <w:t xml:space="preserve"> de moeda eletrónica – cujo valor é garantido por ativos, a fim de evitar que o presente regulamento seja contornado e de garantir que esteja preparado para o futuro. Por último, o terceiro tipo compreende criptoativos que não são </w:t>
            </w:r>
            <w:r>
              <w:rPr>
                <w:lang w:val="pt-PT"/>
              </w:rPr>
              <w:t>criptomoedas</w:t>
            </w:r>
            <w:r w:rsidRPr="00465964">
              <w:rPr>
                <w:lang w:val="pt-PT"/>
              </w:rPr>
              <w:t xml:space="preserve"> referenciadas a ativos nem </w:t>
            </w:r>
            <w:r>
              <w:rPr>
                <w:lang w:val="pt-PT"/>
              </w:rPr>
              <w:t>criptomoedas</w:t>
            </w:r>
            <w:r w:rsidRPr="00465964">
              <w:rPr>
                <w:lang w:val="pt-PT"/>
              </w:rPr>
              <w:t xml:space="preserve"> de moeda eletrónica e abrange uma grande variedade de criptoativos, nomeadamente as </w:t>
            </w:r>
            <w:r>
              <w:rPr>
                <w:lang w:val="pt-PT"/>
              </w:rPr>
              <w:t>criptomoedas</w:t>
            </w:r>
            <w:r w:rsidRPr="00465964">
              <w:rPr>
                <w:lang w:val="pt-PT"/>
              </w:rPr>
              <w:t xml:space="preserve"> de consumo.</w:t>
            </w:r>
          </w:p>
        </w:tc>
      </w:tr>
    </w:tbl>
    <w:p w14:paraId="53EA4A60"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364"/>
        <w:gridCol w:w="8662"/>
      </w:tblGrid>
      <w:tr w:rsidR="00465964" w:rsidRPr="00465964" w14:paraId="42663157" w14:textId="77777777" w:rsidTr="00465964">
        <w:tc>
          <w:tcPr>
            <w:tcW w:w="0" w:type="auto"/>
            <w:shd w:val="clear" w:color="auto" w:fill="auto"/>
            <w:hideMark/>
          </w:tcPr>
          <w:p w14:paraId="5E3436CD" w14:textId="77777777" w:rsidR="00465964" w:rsidRPr="00465964" w:rsidRDefault="00465964" w:rsidP="00465964">
            <w:r w:rsidRPr="00465964">
              <w:lastRenderedPageBreak/>
              <w:t>(19)</w:t>
            </w:r>
          </w:p>
        </w:tc>
        <w:tc>
          <w:tcPr>
            <w:tcW w:w="0" w:type="auto"/>
            <w:shd w:val="clear" w:color="auto" w:fill="auto"/>
            <w:hideMark/>
          </w:tcPr>
          <w:p w14:paraId="14274A9D" w14:textId="7846B37B" w:rsidR="00465964" w:rsidRPr="00465964" w:rsidRDefault="00465964" w:rsidP="00465964">
            <w:pPr>
              <w:rPr>
                <w:lang w:val="pt-PT"/>
              </w:rPr>
            </w:pPr>
            <w:r w:rsidRPr="00465964">
              <w:rPr>
                <w:lang w:val="pt-PT"/>
              </w:rPr>
              <w:t>Atualmente, a moeda eletrónica e os criptoativos que têm por referência uma moeda oficial diferem nalguns aspetos significativos, apesar das suas semelhanças. Os detentores de moeda eletrónica na aceção da Diretiva 2009/110/CE dispõem sempre de um crédito sobre o emitente de moeda eletrónica e têm o direito contratual ao reembolso, a qualquer momento e pelo valor nominal, do valor monetário da moeda eletrónica detida. Em contrapartida, alguns criptoativos que têm por referência uma moeda oficial não conferem aos seus detentores um crédito desse tipo sobre os emitentes dos criptoativos e podem ficar fora do âmbito de aplicação da Diretiva 2009/110/CE. Outros criptoativos que têm por referência uma moeda oficial não conferem um crédito ao valor nominal dessa moeda, ou limitam o período de reembolso. O facto de os detentores de tais criptoativos não disporem de um crédito sobre os seus emitentes, ou de esse crédito não ter paridade nominal com a moeda de referência, poderá minar a confiança dos detentores desses criptoativos. Por conseguinte, para evitar que as regras estabelecidas na Diretiva 2009/110/CE sejam contornadas, qualquer definição de «</w:t>
            </w:r>
            <w:r>
              <w:rPr>
                <w:lang w:val="pt-PT"/>
              </w:rPr>
              <w:t>criptomoedas</w:t>
            </w:r>
            <w:r w:rsidRPr="00465964">
              <w:rPr>
                <w:lang w:val="pt-PT"/>
              </w:rPr>
              <w:t xml:space="preserve"> de moeda eletrónica» deverá ser tão alargada quanto possível, para abranger todos os tipos de criptoativos que tenham por referência uma única moeda oficial. Além disso, para evitar a arbitragem regulamentar, deverão ser estabelecidas condições estritas para a emissão de </w:t>
            </w:r>
            <w:r>
              <w:rPr>
                <w:lang w:val="pt-PT"/>
              </w:rPr>
              <w:t>criptomoedas</w:t>
            </w:r>
            <w:r w:rsidRPr="00465964">
              <w:rPr>
                <w:lang w:val="pt-PT"/>
              </w:rPr>
              <w:t xml:space="preserve"> de moeda eletrónica, incluindo a obrigação de que tais </w:t>
            </w:r>
            <w:r>
              <w:rPr>
                <w:lang w:val="pt-PT"/>
              </w:rPr>
              <w:t>criptomoedas</w:t>
            </w:r>
            <w:r w:rsidRPr="00465964">
              <w:rPr>
                <w:lang w:val="pt-PT"/>
              </w:rPr>
              <w:t xml:space="preserve"> sejam emitidas por uma instituição de crédito autorizada nos termos da Diretiva 2013/36/UE do Parlamento e do Conselho </w:t>
            </w:r>
            <w:hyperlink r:id="rId20" w:anchor="ntr13-L_2023150PT.01004001-E0013" w:history="1">
              <w:r w:rsidRPr="00465964">
                <w:rPr>
                  <w:rStyle w:val="Hyperlink"/>
                  <w:lang w:val="pt-PT"/>
                </w:rPr>
                <w:t>(</w:t>
              </w:r>
              <w:r w:rsidRPr="00465964">
                <w:rPr>
                  <w:rStyle w:val="Hyperlink"/>
                  <w:vertAlign w:val="superscript"/>
                  <w:lang w:val="pt-PT"/>
                </w:rPr>
                <w:t>13</w:t>
              </w:r>
              <w:r w:rsidRPr="00465964">
                <w:rPr>
                  <w:rStyle w:val="Hyperlink"/>
                  <w:lang w:val="pt-PT"/>
                </w:rPr>
                <w:t>)</w:t>
              </w:r>
            </w:hyperlink>
            <w:r w:rsidRPr="00465964">
              <w:rPr>
                <w:lang w:val="pt-PT"/>
              </w:rPr>
              <w:t xml:space="preserve">, ou por uma instituição de moeda eletrónica autorizada ao abrigo da Diretiva 2009/110/CE. Pela mesma razão, os emitentes de </w:t>
            </w:r>
            <w:r>
              <w:rPr>
                <w:lang w:val="pt-PT"/>
              </w:rPr>
              <w:t>criptomoedas</w:t>
            </w:r>
            <w:r w:rsidRPr="00465964">
              <w:rPr>
                <w:lang w:val="pt-PT"/>
              </w:rPr>
              <w:t xml:space="preserve"> de moeda eletrónica deverão assegurar que os seus detentores podem exercer o direito ao reembolso das suas </w:t>
            </w:r>
            <w:r>
              <w:rPr>
                <w:lang w:val="pt-PT"/>
              </w:rPr>
              <w:t>criptomoedas</w:t>
            </w:r>
            <w:r w:rsidRPr="00465964">
              <w:rPr>
                <w:lang w:val="pt-PT"/>
              </w:rPr>
              <w:t xml:space="preserve">, a qualquer momento e ao valor nominal, na respetiva moeda de referência. Uma vez que as </w:t>
            </w:r>
            <w:r>
              <w:rPr>
                <w:lang w:val="pt-PT"/>
              </w:rPr>
              <w:t>criptomoedas</w:t>
            </w:r>
            <w:r w:rsidRPr="00465964">
              <w:rPr>
                <w:lang w:val="pt-PT"/>
              </w:rPr>
              <w:t xml:space="preserve"> de moeda eletrónica são criptoativos e podem dar azo a novos desafios em matéria de proteção dos detentores não profissionais e de integridade do mercado específicos dos criptoativos, deverão igualmente estar sujeitas às regras estabelecidas no presente regulamento, a fim de permitir fazer face a esses desafios.</w:t>
            </w:r>
          </w:p>
        </w:tc>
      </w:tr>
      <w:tr w:rsidR="00465964" w:rsidRPr="00465964" w14:paraId="214A3A88" w14:textId="77777777" w:rsidTr="00465964">
        <w:tc>
          <w:tcPr>
            <w:tcW w:w="0" w:type="auto"/>
            <w:shd w:val="clear" w:color="auto" w:fill="auto"/>
            <w:hideMark/>
          </w:tcPr>
          <w:p w14:paraId="657FBB4F" w14:textId="77777777" w:rsidR="00465964" w:rsidRPr="00465964" w:rsidRDefault="00465964" w:rsidP="00465964">
            <w:r w:rsidRPr="00465964">
              <w:t>(20)</w:t>
            </w:r>
          </w:p>
        </w:tc>
        <w:tc>
          <w:tcPr>
            <w:tcW w:w="0" w:type="auto"/>
            <w:shd w:val="clear" w:color="auto" w:fill="auto"/>
            <w:hideMark/>
          </w:tcPr>
          <w:p w14:paraId="7041A455" w14:textId="2635584D" w:rsidR="00465964" w:rsidRPr="00465964" w:rsidRDefault="00465964" w:rsidP="00465964">
            <w:pPr>
              <w:rPr>
                <w:lang w:val="pt-PT"/>
              </w:rPr>
            </w:pPr>
            <w:r w:rsidRPr="00465964">
              <w:rPr>
                <w:lang w:val="pt-PT"/>
              </w:rPr>
              <w:t xml:space="preserve">Tendo em conta os diferentes riscos e oportunidades decorrentes dos criptoativos, é necessário estabelecer regras aplicáveis aos oferentes ou às pessoas que solicitam a admissão à negociação de criptoativos que não sejam </w:t>
            </w:r>
            <w:r>
              <w:rPr>
                <w:lang w:val="pt-PT"/>
              </w:rPr>
              <w:t>criptomoedas</w:t>
            </w:r>
            <w:r w:rsidRPr="00465964">
              <w:rPr>
                <w:lang w:val="pt-PT"/>
              </w:rPr>
              <w:t xml:space="preserve"> referenciadas a ativos nem </w:t>
            </w:r>
            <w:r>
              <w:rPr>
                <w:lang w:val="pt-PT"/>
              </w:rPr>
              <w:t>criptomoedas</w:t>
            </w:r>
            <w:r w:rsidRPr="00465964">
              <w:rPr>
                <w:lang w:val="pt-PT"/>
              </w:rPr>
              <w:t xml:space="preserve"> de moeda eletrónica, bem como aos emitentes de </w:t>
            </w:r>
            <w:r>
              <w:rPr>
                <w:lang w:val="pt-PT"/>
              </w:rPr>
              <w:t>criptomoedas</w:t>
            </w:r>
            <w:r w:rsidRPr="00465964">
              <w:rPr>
                <w:lang w:val="pt-PT"/>
              </w:rPr>
              <w:t xml:space="preserve"> referenciadas a ativos e de </w:t>
            </w:r>
            <w:r>
              <w:rPr>
                <w:lang w:val="pt-PT"/>
              </w:rPr>
              <w:t>criptomoedas</w:t>
            </w:r>
            <w:r w:rsidRPr="00465964">
              <w:rPr>
                <w:lang w:val="pt-PT"/>
              </w:rPr>
              <w:t xml:space="preserve"> de moeda eletrónica. Entende-se por emitente de criptoativos uma entidade que tem controlo sobre a criação de criptoativos.</w:t>
            </w:r>
          </w:p>
        </w:tc>
      </w:tr>
    </w:tbl>
    <w:p w14:paraId="37B42B61"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364"/>
        <w:gridCol w:w="8662"/>
      </w:tblGrid>
      <w:tr w:rsidR="00465964" w:rsidRPr="00465964" w14:paraId="153B5A2F" w14:textId="77777777" w:rsidTr="00465964">
        <w:tc>
          <w:tcPr>
            <w:tcW w:w="0" w:type="auto"/>
            <w:shd w:val="clear" w:color="auto" w:fill="auto"/>
            <w:hideMark/>
          </w:tcPr>
          <w:p w14:paraId="15F0F604" w14:textId="77777777" w:rsidR="00465964" w:rsidRPr="00465964" w:rsidRDefault="00465964" w:rsidP="00465964">
            <w:r w:rsidRPr="00465964">
              <w:t>(21)</w:t>
            </w:r>
          </w:p>
        </w:tc>
        <w:tc>
          <w:tcPr>
            <w:tcW w:w="0" w:type="auto"/>
            <w:shd w:val="clear" w:color="auto" w:fill="auto"/>
            <w:hideMark/>
          </w:tcPr>
          <w:p w14:paraId="581ABFC2" w14:textId="77777777" w:rsidR="00465964" w:rsidRPr="00465964" w:rsidRDefault="00465964" w:rsidP="00465964">
            <w:pPr>
              <w:rPr>
                <w:lang w:val="pt-PT"/>
              </w:rPr>
            </w:pPr>
            <w:r w:rsidRPr="00465964">
              <w:rPr>
                <w:lang w:val="pt-PT"/>
              </w:rPr>
              <w:t>É necessário estabelecer regras específicas para as entidades que prestam serviços relacionados com os criptoativos. Uma primeira categoria de serviços dessa natureza consiste em assegurar a operação de uma plataforma de negociação de criptoativos, onde se possam trocar criptoativos por fundos ou por outros criptoativos, prestando serviços de custódia e administração de criptoativos em nome de clientes e oferecendo serviços de transferência de criptoativos em nome de clientes. Uma segunda categoria de serviços dessa natureza é a colocação de criptoativos, a receção ou transmissão de ordens relativas a criptoativos em nome de clientes, a execução de ordens relativas a criptoativos em nome de clientes, a consultoria sobre criptoativos e a gestão de carteiras de criptoativos. Qualquer pessoa que preste esses serviços de criptoativos de forma profissional em conformidade com o presente regulamento deverá ser considerada um «prestador de serviços de criptoativos».</w:t>
            </w:r>
          </w:p>
        </w:tc>
      </w:tr>
      <w:tr w:rsidR="00465964" w:rsidRPr="00465964" w14:paraId="20497D96" w14:textId="77777777" w:rsidTr="00465964">
        <w:tc>
          <w:tcPr>
            <w:tcW w:w="0" w:type="auto"/>
            <w:shd w:val="clear" w:color="auto" w:fill="auto"/>
            <w:hideMark/>
          </w:tcPr>
          <w:p w14:paraId="20FF7559" w14:textId="77777777" w:rsidR="00465964" w:rsidRPr="00465964" w:rsidRDefault="00465964" w:rsidP="00465964">
            <w:r w:rsidRPr="00465964">
              <w:lastRenderedPageBreak/>
              <w:t>(22)</w:t>
            </w:r>
          </w:p>
        </w:tc>
        <w:tc>
          <w:tcPr>
            <w:tcW w:w="0" w:type="auto"/>
            <w:shd w:val="clear" w:color="auto" w:fill="auto"/>
            <w:hideMark/>
          </w:tcPr>
          <w:p w14:paraId="03459A9F" w14:textId="77777777" w:rsidR="00465964" w:rsidRPr="00465964" w:rsidRDefault="00465964" w:rsidP="00465964">
            <w:pPr>
              <w:rPr>
                <w:lang w:val="pt-PT"/>
              </w:rPr>
            </w:pPr>
            <w:r w:rsidRPr="00465964">
              <w:rPr>
                <w:lang w:val="pt-PT"/>
              </w:rPr>
              <w:t>O presente regulamento deverá aplicar-se às pessoas singulares e coletivas e a determinadas outras empresas, bem como aos serviços e atividades de criptoativos por elas realizados, prestados ou por elas direta ou indiretamente controlados, inclusive quando uma parte dessas atividades ou serviços é realizada de forma descentralizada. Caso os serviços de criptoativos sejam prestados de forma totalmente descentralizada, sem intermediário, não deverão ser abrangidos pelo âmbito de aplicação do presente regulamento. O presente regulamento abrange os direitos e obrigações dos emitentes de criptoativos, dos oferentes, das pessoas que solicitam a admissão à negociação de criptoativos e dos prestadores de serviços de criptoativos. Caso os criptoativos não tenham um emitente identificável, não deverão ser abrangidos pelo âmbito de aplicação dos títulos II, III ou IV do presente regulamento. Os prestadores de serviços de criptoativos que prestam serviços relativos a esses criptoativos deverão, no entanto, ser abrangidos pelo presente regulamento.</w:t>
            </w:r>
          </w:p>
        </w:tc>
      </w:tr>
    </w:tbl>
    <w:p w14:paraId="3E63A355"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364"/>
        <w:gridCol w:w="8662"/>
      </w:tblGrid>
      <w:tr w:rsidR="00465964" w:rsidRPr="00465964" w14:paraId="49199C55" w14:textId="77777777" w:rsidTr="00465964">
        <w:tc>
          <w:tcPr>
            <w:tcW w:w="0" w:type="auto"/>
            <w:shd w:val="clear" w:color="auto" w:fill="auto"/>
            <w:hideMark/>
          </w:tcPr>
          <w:p w14:paraId="0F7DDB6F" w14:textId="77777777" w:rsidR="00465964" w:rsidRPr="00465964" w:rsidRDefault="00465964" w:rsidP="00465964">
            <w:r w:rsidRPr="00465964">
              <w:t>(23)</w:t>
            </w:r>
          </w:p>
        </w:tc>
        <w:tc>
          <w:tcPr>
            <w:tcW w:w="0" w:type="auto"/>
            <w:shd w:val="clear" w:color="auto" w:fill="auto"/>
            <w:hideMark/>
          </w:tcPr>
          <w:p w14:paraId="6A57E5D9" w14:textId="3153D122" w:rsidR="00465964" w:rsidRPr="00465964" w:rsidRDefault="00465964" w:rsidP="00465964">
            <w:pPr>
              <w:rPr>
                <w:lang w:val="pt-PT"/>
              </w:rPr>
            </w:pPr>
            <w:r w:rsidRPr="00465964">
              <w:rPr>
                <w:lang w:val="pt-PT"/>
              </w:rPr>
              <w:t xml:space="preserve">Para assegurar que todas as ofertas públicas de criptoativos que não sejam </w:t>
            </w:r>
            <w:r>
              <w:rPr>
                <w:lang w:val="pt-PT"/>
              </w:rPr>
              <w:t>criptomoedas</w:t>
            </w:r>
            <w:r w:rsidRPr="00465964">
              <w:rPr>
                <w:lang w:val="pt-PT"/>
              </w:rPr>
              <w:t xml:space="preserve"> referenciadas a ativos nem </w:t>
            </w:r>
            <w:r>
              <w:rPr>
                <w:lang w:val="pt-PT"/>
              </w:rPr>
              <w:t>criptomoedas</w:t>
            </w:r>
            <w:r w:rsidRPr="00465964">
              <w:rPr>
                <w:lang w:val="pt-PT"/>
              </w:rPr>
              <w:t xml:space="preserve"> de moeda eletrónica que possam vir a ter uma utilidade financeira, tal como todas as admissões de criptoativos à negociação numa plataforma de negociação de criptoativos («admissão à negociação») na União sejam devidamente acompanhadas e supervisionadas pelas autoridades competentes, todos os oferentes e as pessoas que solicitam a admissão à negociação deverão ser pessoas coletivas.</w:t>
            </w:r>
          </w:p>
        </w:tc>
      </w:tr>
      <w:tr w:rsidR="00465964" w:rsidRPr="00465964" w14:paraId="64105C60" w14:textId="77777777" w:rsidTr="00465964">
        <w:tc>
          <w:tcPr>
            <w:tcW w:w="0" w:type="auto"/>
            <w:shd w:val="clear" w:color="auto" w:fill="auto"/>
            <w:hideMark/>
          </w:tcPr>
          <w:p w14:paraId="768F554C" w14:textId="77777777" w:rsidR="00465964" w:rsidRPr="00465964" w:rsidRDefault="00465964" w:rsidP="00465964">
            <w:r w:rsidRPr="00465964">
              <w:t>(24)</w:t>
            </w:r>
          </w:p>
        </w:tc>
        <w:tc>
          <w:tcPr>
            <w:tcW w:w="0" w:type="auto"/>
            <w:shd w:val="clear" w:color="auto" w:fill="auto"/>
            <w:hideMark/>
          </w:tcPr>
          <w:p w14:paraId="73C83E71" w14:textId="0B655184" w:rsidR="00465964" w:rsidRPr="00465964" w:rsidRDefault="00465964" w:rsidP="00465964">
            <w:pPr>
              <w:rPr>
                <w:lang w:val="pt-PT"/>
              </w:rPr>
            </w:pPr>
            <w:r w:rsidRPr="00465964">
              <w:rPr>
                <w:lang w:val="pt-PT"/>
              </w:rPr>
              <w:t xml:space="preserve">A fim de assegurar a sua proteção, os potenciais detentores não profissionais de criptoativos deverão ser informados das características, funções e riscos dos criptoativos que pretendam adquirir. Ao proceder, na União, a uma oferta pública de criptoativos que não sejam </w:t>
            </w:r>
            <w:r>
              <w:rPr>
                <w:lang w:val="pt-PT"/>
              </w:rPr>
              <w:t>criptomoedas</w:t>
            </w:r>
            <w:r w:rsidRPr="00465964">
              <w:rPr>
                <w:lang w:val="pt-PT"/>
              </w:rPr>
              <w:t xml:space="preserve"> referenciadas a ativos nem </w:t>
            </w:r>
            <w:r>
              <w:rPr>
                <w:lang w:val="pt-PT"/>
              </w:rPr>
              <w:t>criptomoedas</w:t>
            </w:r>
            <w:r w:rsidRPr="00465964">
              <w:rPr>
                <w:lang w:val="pt-PT"/>
              </w:rPr>
              <w:t xml:space="preserve"> de moeda eletrónica ou ao solicitar, na União, a admissão de tais criptoativos à negociação, os oferentes ou as pessoas que solicitam a admissão à negociação de criptoativos deverão redigir, notificar à respetiva autoridade competente e publicar um documento de informação («livrete do criptoativo») contendo as informações de divulgação obrigatória. Esse livrete do criptoativo deverá conter informações gerais sobre o emitente, o oferente ou a pessoa que solicita a admissão à negociação, o projeto a realizar com o capital mobilizado, a oferta pública de criptoativos ou a sua admissão à negociação, os direitos e obrigações inerentes aos criptoativos, a tecnologia subjacente utilizada para esses criptoativos e os riscos conexos. No entanto, o livrete do criptoativo não deverá conter uma descrição de riscos imprevisíveis nem dos riscos cuja materialização seja muito improvável. As informações contidas no livrete do criptoativo, bem como nas comunicações comerciais pertinentes, tais como as mensagens publicitárias e o material de promoção comercial, mesmo através de novos canais, como as plataformas de redes sociais, deverão ser corretas, claras e não induzir em erro. As mensagens publicitárias e o material de promoção comercial deverão ser coerentes com as informações incluídas no livrete do criptoativo.</w:t>
            </w:r>
          </w:p>
        </w:tc>
      </w:tr>
    </w:tbl>
    <w:p w14:paraId="62B4BB4B"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364"/>
        <w:gridCol w:w="8662"/>
      </w:tblGrid>
      <w:tr w:rsidR="00465964" w:rsidRPr="00465964" w14:paraId="3C463176" w14:textId="77777777" w:rsidTr="00465964">
        <w:tc>
          <w:tcPr>
            <w:tcW w:w="0" w:type="auto"/>
            <w:shd w:val="clear" w:color="auto" w:fill="auto"/>
            <w:hideMark/>
          </w:tcPr>
          <w:p w14:paraId="4A822614" w14:textId="77777777" w:rsidR="00465964" w:rsidRPr="00465964" w:rsidRDefault="00465964" w:rsidP="00465964">
            <w:r w:rsidRPr="00465964">
              <w:t>(25)</w:t>
            </w:r>
          </w:p>
        </w:tc>
        <w:tc>
          <w:tcPr>
            <w:tcW w:w="0" w:type="auto"/>
            <w:shd w:val="clear" w:color="auto" w:fill="auto"/>
            <w:hideMark/>
          </w:tcPr>
          <w:p w14:paraId="7DFBB470" w14:textId="77777777" w:rsidR="00465964" w:rsidRPr="00465964" w:rsidRDefault="00465964" w:rsidP="00465964">
            <w:pPr>
              <w:rPr>
                <w:lang w:val="pt-PT"/>
              </w:rPr>
            </w:pPr>
            <w:r w:rsidRPr="00465964">
              <w:rPr>
                <w:lang w:val="pt-PT"/>
              </w:rPr>
              <w:t>Os livretes do criptoativo, nomeadamente os respetivos resumos, e as regras de funcionamento das plataformas de negociação de criptoativos deverão ser redigidos em, pelo menos, uma das línguas oficiais do Estado-Membro de origem e dos Estados-Membros de acolhimento ou, em alternativa, numa língua habitual no sector financeiro internacional. No momento da adoção do presente regulamento, a língua inglesa é a língua habitual no sector financeiro internacional, embora tal possa evoluir no futuro.</w:t>
            </w:r>
          </w:p>
        </w:tc>
      </w:tr>
      <w:tr w:rsidR="00465964" w:rsidRPr="00465964" w14:paraId="4FB95892" w14:textId="77777777" w:rsidTr="00465964">
        <w:tc>
          <w:tcPr>
            <w:tcW w:w="0" w:type="auto"/>
            <w:shd w:val="clear" w:color="auto" w:fill="auto"/>
            <w:hideMark/>
          </w:tcPr>
          <w:p w14:paraId="6BE4509C" w14:textId="77777777" w:rsidR="00465964" w:rsidRPr="00465964" w:rsidRDefault="00465964" w:rsidP="00465964">
            <w:r w:rsidRPr="00465964">
              <w:lastRenderedPageBreak/>
              <w:t>(26)</w:t>
            </w:r>
          </w:p>
        </w:tc>
        <w:tc>
          <w:tcPr>
            <w:tcW w:w="0" w:type="auto"/>
            <w:shd w:val="clear" w:color="auto" w:fill="auto"/>
            <w:hideMark/>
          </w:tcPr>
          <w:p w14:paraId="30F55B39" w14:textId="6450DB02" w:rsidR="00465964" w:rsidRPr="00465964" w:rsidRDefault="00465964" w:rsidP="00465964">
            <w:pPr>
              <w:rPr>
                <w:lang w:val="pt-PT"/>
              </w:rPr>
            </w:pPr>
            <w:r w:rsidRPr="00465964">
              <w:rPr>
                <w:lang w:val="pt-PT"/>
              </w:rPr>
              <w:t xml:space="preserve">A fim de assegurar uma abordagem proporcionada, nenhum dos requisitos estabelecidos pelo presente regulamento deverá aplicar-se a ofertas públicas de criptoativos que não sejam </w:t>
            </w:r>
            <w:r>
              <w:rPr>
                <w:lang w:val="pt-PT"/>
              </w:rPr>
              <w:t>criptomoedas</w:t>
            </w:r>
            <w:r w:rsidRPr="00465964">
              <w:rPr>
                <w:lang w:val="pt-PT"/>
              </w:rPr>
              <w:t xml:space="preserve"> referenciadas a ativos nem </w:t>
            </w:r>
            <w:r>
              <w:rPr>
                <w:lang w:val="pt-PT"/>
              </w:rPr>
              <w:t>criptomoedas</w:t>
            </w:r>
            <w:r w:rsidRPr="00465964">
              <w:rPr>
                <w:lang w:val="pt-PT"/>
              </w:rPr>
              <w:t xml:space="preserve"> de moeda eletrónica, oferecidos gratuitamente ou criados automaticamente como recompensa pela manutenção de um registo distribuído ou pela validação das transações no contexto de um mecanismo de consenso. Além disso, nenhum requisito deverá ser aplicável a ofertas de </w:t>
            </w:r>
            <w:r>
              <w:rPr>
                <w:lang w:val="pt-PT"/>
              </w:rPr>
              <w:t>criptomoedas</w:t>
            </w:r>
            <w:r w:rsidRPr="00465964">
              <w:rPr>
                <w:lang w:val="pt-PT"/>
              </w:rPr>
              <w:t xml:space="preserve"> de consumo que deem acesso a um bem ou serviço existente, permitindo ao seu detentor mobilizar o bem ou utilizar o serviço, ou quando o detentor dos criptoativos tem o direito de os utilizar apenas em troca de bens e serviços numa rede restrita de comerciantes com disposições contratuais com o oferente. Não deverão ser abrangidos por essas exceções os criptoativos que representem bens armazenados que o comprador não pretenda colecionar na sequência da aquisição. A isenção relativa à rede restrita também não deverá aplicar-se aos criptoativos que geralmente se destinam a uma rede cada vez maior de prestadores de serviços. A isenção relativa à rede restrita deverá ser avaliada pela autoridade competente sempre que uma oferta, ou o valor agregado de mais do que uma oferta, exceda um determinado limiar, o que significa que uma nova oferta não deverá beneficiar automaticamente de uma isenção que tenha sido atribuída a uma oferta anterior. Essas isenções deverão deixar de ser aplicáveis quando o oferente, ou outra pessoa que atue em seu nome, comunica a intenção do oferente de solicitar a admissão à negociação ou quando os criptoativos isentos são admitidos à negociação.</w:t>
            </w:r>
          </w:p>
        </w:tc>
      </w:tr>
    </w:tbl>
    <w:p w14:paraId="1487C217"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364"/>
        <w:gridCol w:w="8662"/>
      </w:tblGrid>
      <w:tr w:rsidR="00465964" w:rsidRPr="00465964" w14:paraId="598A1B28" w14:textId="77777777" w:rsidTr="00465964">
        <w:tc>
          <w:tcPr>
            <w:tcW w:w="0" w:type="auto"/>
            <w:shd w:val="clear" w:color="auto" w:fill="auto"/>
            <w:hideMark/>
          </w:tcPr>
          <w:p w14:paraId="372DB928" w14:textId="77777777" w:rsidR="00465964" w:rsidRPr="00465964" w:rsidRDefault="00465964" w:rsidP="00465964">
            <w:r w:rsidRPr="00465964">
              <w:t>(27)</w:t>
            </w:r>
          </w:p>
        </w:tc>
        <w:tc>
          <w:tcPr>
            <w:tcW w:w="0" w:type="auto"/>
            <w:shd w:val="clear" w:color="auto" w:fill="auto"/>
            <w:hideMark/>
          </w:tcPr>
          <w:p w14:paraId="70251456" w14:textId="41E8F6D9" w:rsidR="00465964" w:rsidRPr="00465964" w:rsidRDefault="00465964" w:rsidP="00465964">
            <w:pPr>
              <w:rPr>
                <w:lang w:val="pt-PT"/>
              </w:rPr>
            </w:pPr>
            <w:r w:rsidRPr="00465964">
              <w:rPr>
                <w:lang w:val="pt-PT"/>
              </w:rPr>
              <w:t xml:space="preserve">De modo a assegurar uma abordagem proporcionada, os requisitos de elaboração e publicação de um livrete do criptoativo previstos no presente regulamento não deverão aplicar-se às ofertas de criptoativos que não sejam </w:t>
            </w:r>
            <w:r>
              <w:rPr>
                <w:lang w:val="pt-PT"/>
              </w:rPr>
              <w:t>criptomoedas</w:t>
            </w:r>
            <w:r w:rsidRPr="00465964">
              <w:rPr>
                <w:lang w:val="pt-PT"/>
              </w:rPr>
              <w:t xml:space="preserve"> referenciadas a ativos nem </w:t>
            </w:r>
            <w:r>
              <w:rPr>
                <w:lang w:val="pt-PT"/>
              </w:rPr>
              <w:t>criptomoedas</w:t>
            </w:r>
            <w:r w:rsidRPr="00465964">
              <w:rPr>
                <w:lang w:val="pt-PT"/>
              </w:rPr>
              <w:t xml:space="preserve"> de moeda eletrónica efetuadas a menos de 150 pessoas por Estado-Membro ou que se destinem apenas a investidores qualificados em que os criptoativos só possam ser detidos por esses investidores qualificados. As PME e as empresas em fase de arranque não deverão ser sujeitas a encargos administrativos excessivos e desproporcionais. Consequentemente, as ofertas públicas de criptoativos na União que não sejam </w:t>
            </w:r>
            <w:r>
              <w:rPr>
                <w:lang w:val="pt-PT"/>
              </w:rPr>
              <w:t>criptomoedas</w:t>
            </w:r>
            <w:r w:rsidRPr="00465964">
              <w:rPr>
                <w:lang w:val="pt-PT"/>
              </w:rPr>
              <w:t xml:space="preserve"> referenciadas a ativos nem </w:t>
            </w:r>
            <w:r>
              <w:rPr>
                <w:lang w:val="pt-PT"/>
              </w:rPr>
              <w:t>criptomoedas</w:t>
            </w:r>
            <w:r w:rsidRPr="00465964">
              <w:rPr>
                <w:lang w:val="pt-PT"/>
              </w:rPr>
              <w:t xml:space="preserve"> de moeda eletrónica que, ao longo de um período de 12 meses, não excedam 1 000 000 EUR deverão, por conseguinte, ficar isentas da obrigatoriedade de elaboração de um livrete do criptoativo.</w:t>
            </w:r>
          </w:p>
        </w:tc>
      </w:tr>
      <w:tr w:rsidR="00465964" w:rsidRPr="00465964" w14:paraId="310A1977" w14:textId="77777777" w:rsidTr="00465964">
        <w:tc>
          <w:tcPr>
            <w:tcW w:w="0" w:type="auto"/>
            <w:shd w:val="clear" w:color="auto" w:fill="auto"/>
            <w:hideMark/>
          </w:tcPr>
          <w:p w14:paraId="2240A75F" w14:textId="77777777" w:rsidR="00465964" w:rsidRPr="00465964" w:rsidRDefault="00465964" w:rsidP="00465964">
            <w:r w:rsidRPr="00465964">
              <w:t>(28)</w:t>
            </w:r>
          </w:p>
        </w:tc>
        <w:tc>
          <w:tcPr>
            <w:tcW w:w="0" w:type="auto"/>
            <w:shd w:val="clear" w:color="auto" w:fill="auto"/>
            <w:hideMark/>
          </w:tcPr>
          <w:p w14:paraId="2561B92F" w14:textId="77777777" w:rsidR="00465964" w:rsidRPr="00465964" w:rsidRDefault="00465964" w:rsidP="00465964">
            <w:pPr>
              <w:rPr>
                <w:lang w:val="pt-PT"/>
              </w:rPr>
            </w:pPr>
            <w:r w:rsidRPr="00465964">
              <w:rPr>
                <w:lang w:val="pt-PT"/>
              </w:rPr>
              <w:t>A mera admissão à negociação ou a publicação dos preços de compra e venda não deverá, por si só, ser considerada uma oferta pública de criptoativos. Uma tal admissão ou publicação só deverá constituir uma oferta pública de criptoativos se incluir uma comunicação que constitua uma oferta pública nos termos do presente regulamento.</w:t>
            </w:r>
          </w:p>
        </w:tc>
      </w:tr>
    </w:tbl>
    <w:p w14:paraId="6B7FB874"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364"/>
        <w:gridCol w:w="8662"/>
      </w:tblGrid>
      <w:tr w:rsidR="00465964" w:rsidRPr="00465964" w14:paraId="347E7065" w14:textId="77777777" w:rsidTr="00465964">
        <w:tc>
          <w:tcPr>
            <w:tcW w:w="0" w:type="auto"/>
            <w:shd w:val="clear" w:color="auto" w:fill="auto"/>
            <w:hideMark/>
          </w:tcPr>
          <w:p w14:paraId="1DD42C42" w14:textId="77777777" w:rsidR="00465964" w:rsidRPr="00465964" w:rsidRDefault="00465964" w:rsidP="00465964">
            <w:r w:rsidRPr="00465964">
              <w:t>(29)</w:t>
            </w:r>
          </w:p>
        </w:tc>
        <w:tc>
          <w:tcPr>
            <w:tcW w:w="0" w:type="auto"/>
            <w:shd w:val="clear" w:color="auto" w:fill="auto"/>
            <w:hideMark/>
          </w:tcPr>
          <w:p w14:paraId="6FB2AC07" w14:textId="2FE96AB9" w:rsidR="00465964" w:rsidRPr="00465964" w:rsidRDefault="00465964" w:rsidP="00465964">
            <w:pPr>
              <w:rPr>
                <w:lang w:val="pt-PT"/>
              </w:rPr>
            </w:pPr>
            <w:r w:rsidRPr="00465964">
              <w:rPr>
                <w:lang w:val="pt-PT"/>
              </w:rPr>
              <w:t xml:space="preserve">Ainda que algumas ofertas de criptoativos que não sejam </w:t>
            </w:r>
            <w:r>
              <w:rPr>
                <w:lang w:val="pt-PT"/>
              </w:rPr>
              <w:t>criptomoedas</w:t>
            </w:r>
            <w:r w:rsidRPr="00465964">
              <w:rPr>
                <w:lang w:val="pt-PT"/>
              </w:rPr>
              <w:t xml:space="preserve"> referenciadas a ativos nem </w:t>
            </w:r>
            <w:r>
              <w:rPr>
                <w:lang w:val="pt-PT"/>
              </w:rPr>
              <w:t>criptomoedas</w:t>
            </w:r>
            <w:r w:rsidRPr="00465964">
              <w:rPr>
                <w:lang w:val="pt-PT"/>
              </w:rPr>
              <w:t xml:space="preserve"> de moeda eletrónica estejam isentas de várias obrigações do presente regulamento, os atos legislativos da União que garantem a proteção do consumidor, como a Diretiva 2005/29/CE do Parlamento Europeu e do Conselho </w:t>
            </w:r>
            <w:hyperlink r:id="rId21" w:anchor="ntr14-L_2023150PT.01004001-E0014" w:history="1">
              <w:r w:rsidRPr="00465964">
                <w:rPr>
                  <w:rStyle w:val="Hyperlink"/>
                  <w:lang w:val="pt-PT"/>
                </w:rPr>
                <w:t>(</w:t>
              </w:r>
              <w:r w:rsidRPr="00465964">
                <w:rPr>
                  <w:rStyle w:val="Hyperlink"/>
                  <w:vertAlign w:val="superscript"/>
                  <w:lang w:val="pt-PT"/>
                </w:rPr>
                <w:t>14</w:t>
              </w:r>
              <w:r w:rsidRPr="00465964">
                <w:rPr>
                  <w:rStyle w:val="Hyperlink"/>
                  <w:lang w:val="pt-PT"/>
                </w:rPr>
                <w:t>)</w:t>
              </w:r>
            </w:hyperlink>
            <w:r w:rsidRPr="00465964">
              <w:rPr>
                <w:lang w:val="pt-PT"/>
              </w:rPr>
              <w:t> ou a Diretiva 93/13/CEE do Conselho </w:t>
            </w:r>
            <w:hyperlink r:id="rId22" w:anchor="ntr15-L_2023150PT.01004001-E0015" w:history="1">
              <w:r w:rsidRPr="00465964">
                <w:rPr>
                  <w:rStyle w:val="Hyperlink"/>
                  <w:lang w:val="pt-PT"/>
                </w:rPr>
                <w:t>(</w:t>
              </w:r>
              <w:r w:rsidRPr="00465964">
                <w:rPr>
                  <w:rStyle w:val="Hyperlink"/>
                  <w:vertAlign w:val="superscript"/>
                  <w:lang w:val="pt-PT"/>
                </w:rPr>
                <w:t>15</w:t>
              </w:r>
              <w:r w:rsidRPr="00465964">
                <w:rPr>
                  <w:rStyle w:val="Hyperlink"/>
                  <w:lang w:val="pt-PT"/>
                </w:rPr>
                <w:t>)</w:t>
              </w:r>
            </w:hyperlink>
            <w:r w:rsidRPr="00465964">
              <w:rPr>
                <w:lang w:val="pt-PT"/>
              </w:rPr>
              <w:t>, incluindo quaisquer obrigações de informação nela contidas, continuam a ser aplicáveis às ofertas públicas de criptoativos sempre que digam respeito a relações entre empresas e consumidores.</w:t>
            </w:r>
          </w:p>
        </w:tc>
      </w:tr>
      <w:tr w:rsidR="00465964" w:rsidRPr="00465964" w14:paraId="0D93215E" w14:textId="77777777" w:rsidTr="00465964">
        <w:tc>
          <w:tcPr>
            <w:tcW w:w="0" w:type="auto"/>
            <w:shd w:val="clear" w:color="auto" w:fill="auto"/>
            <w:hideMark/>
          </w:tcPr>
          <w:p w14:paraId="71AAA33D" w14:textId="77777777" w:rsidR="00465964" w:rsidRPr="00465964" w:rsidRDefault="00465964" w:rsidP="00465964">
            <w:r w:rsidRPr="00465964">
              <w:t>(30)</w:t>
            </w:r>
          </w:p>
        </w:tc>
        <w:tc>
          <w:tcPr>
            <w:tcW w:w="0" w:type="auto"/>
            <w:shd w:val="clear" w:color="auto" w:fill="auto"/>
            <w:hideMark/>
          </w:tcPr>
          <w:p w14:paraId="3A453F1D" w14:textId="05B9E3D2" w:rsidR="00465964" w:rsidRPr="00465964" w:rsidRDefault="00465964" w:rsidP="00465964">
            <w:pPr>
              <w:rPr>
                <w:lang w:val="pt-PT"/>
              </w:rPr>
            </w:pPr>
            <w:r w:rsidRPr="00465964">
              <w:rPr>
                <w:lang w:val="pt-PT"/>
              </w:rPr>
              <w:t xml:space="preserve">Caso uma oferta pública diga respeito a </w:t>
            </w:r>
            <w:r>
              <w:rPr>
                <w:lang w:val="pt-PT"/>
              </w:rPr>
              <w:t>criptomoedas</w:t>
            </w:r>
            <w:r w:rsidRPr="00465964">
              <w:rPr>
                <w:lang w:val="pt-PT"/>
              </w:rPr>
              <w:t xml:space="preserve"> de consumo relativas a bens que ainda não existam ou a serviços que ainda não estejam em funcionamento, a duração da oferta pública, conforme descrita no livrete do criptoativo, não deverá exceder 12 meses. </w:t>
            </w:r>
            <w:r w:rsidRPr="00465964">
              <w:rPr>
                <w:lang w:val="pt-PT"/>
              </w:rPr>
              <w:lastRenderedPageBreak/>
              <w:t xml:space="preserve">Esta limitação da duração da oferta pública não está relacionada com o momento em que os bens ou serviços passam a existir e se tornam operacionais, podendo ser utilizados pelo detentor de uma </w:t>
            </w:r>
            <w:proofErr w:type="spellStart"/>
            <w:r w:rsidRPr="00465964">
              <w:rPr>
                <w:lang w:val="pt-PT"/>
              </w:rPr>
              <w:t>criptoficha</w:t>
            </w:r>
            <w:proofErr w:type="spellEnd"/>
            <w:r w:rsidRPr="00465964">
              <w:rPr>
                <w:lang w:val="pt-PT"/>
              </w:rPr>
              <w:t xml:space="preserve"> de consumo, após o término da oferta pública.</w:t>
            </w:r>
          </w:p>
        </w:tc>
      </w:tr>
    </w:tbl>
    <w:p w14:paraId="6073C0DA"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364"/>
        <w:gridCol w:w="8662"/>
      </w:tblGrid>
      <w:tr w:rsidR="00465964" w:rsidRPr="00465964" w14:paraId="6388FD1C" w14:textId="77777777" w:rsidTr="00465964">
        <w:tc>
          <w:tcPr>
            <w:tcW w:w="0" w:type="auto"/>
            <w:shd w:val="clear" w:color="auto" w:fill="auto"/>
            <w:hideMark/>
          </w:tcPr>
          <w:p w14:paraId="53BA63C1" w14:textId="77777777" w:rsidR="00465964" w:rsidRPr="00465964" w:rsidRDefault="00465964" w:rsidP="00465964">
            <w:r w:rsidRPr="00465964">
              <w:t>(31)</w:t>
            </w:r>
          </w:p>
        </w:tc>
        <w:tc>
          <w:tcPr>
            <w:tcW w:w="0" w:type="auto"/>
            <w:shd w:val="clear" w:color="auto" w:fill="auto"/>
            <w:hideMark/>
          </w:tcPr>
          <w:p w14:paraId="3091C6EB" w14:textId="3B349594" w:rsidR="00465964" w:rsidRPr="00465964" w:rsidRDefault="00465964" w:rsidP="00465964">
            <w:pPr>
              <w:rPr>
                <w:lang w:val="pt-PT"/>
              </w:rPr>
            </w:pPr>
            <w:r w:rsidRPr="00465964">
              <w:rPr>
                <w:lang w:val="pt-PT"/>
              </w:rPr>
              <w:t xml:space="preserve">A fim de permitir a supervisão, os oferentes e as pessoas que solicitam a admissão à negociação de criptoativos que não sejam </w:t>
            </w:r>
            <w:r>
              <w:rPr>
                <w:lang w:val="pt-PT"/>
              </w:rPr>
              <w:t>criptomoedas</w:t>
            </w:r>
            <w:r w:rsidRPr="00465964">
              <w:rPr>
                <w:lang w:val="pt-PT"/>
              </w:rPr>
              <w:t xml:space="preserve"> referenciadas a ativos nem </w:t>
            </w:r>
            <w:r>
              <w:rPr>
                <w:lang w:val="pt-PT"/>
              </w:rPr>
              <w:t>criptomoedas</w:t>
            </w:r>
            <w:r w:rsidRPr="00465964">
              <w:rPr>
                <w:lang w:val="pt-PT"/>
              </w:rPr>
              <w:t xml:space="preserve"> de moeda eletrónica deverão, antes de qualquer oferta pública de criptoativos na União ou antes de esses criptoativos serem admitidos à negociação, notificar os seus livretes do criptoativo e, mediante pedido da autoridade competente, as suas comunicações comerciais, à autoridade competente do Estado-Membro onde têm a sua sede social, ou, no caso de não terem sede social na União, o Estado-Membro onde têm uma sucursal. Os oferentes estabelecidos num país terceiro deverão notificar o seu livrete do criptoativo e, mediante pedido da autoridade competente, as suas comunicações promocionais à autoridade competente do Estado-Membro onde tencionam oferecer os criptoativos. As comunicações comerciais deverão ser, a pedido, transmitidas a essas autoridades competentes.</w:t>
            </w:r>
          </w:p>
        </w:tc>
      </w:tr>
      <w:tr w:rsidR="00465964" w:rsidRPr="00465964" w14:paraId="5465A1FA" w14:textId="77777777" w:rsidTr="00465964">
        <w:tc>
          <w:tcPr>
            <w:tcW w:w="0" w:type="auto"/>
            <w:shd w:val="clear" w:color="auto" w:fill="auto"/>
            <w:hideMark/>
          </w:tcPr>
          <w:p w14:paraId="19630FEA" w14:textId="77777777" w:rsidR="00465964" w:rsidRPr="00465964" w:rsidRDefault="00465964" w:rsidP="00465964">
            <w:r w:rsidRPr="00465964">
              <w:t>(32)</w:t>
            </w:r>
          </w:p>
        </w:tc>
        <w:tc>
          <w:tcPr>
            <w:tcW w:w="0" w:type="auto"/>
            <w:shd w:val="clear" w:color="auto" w:fill="auto"/>
            <w:hideMark/>
          </w:tcPr>
          <w:p w14:paraId="08663756" w14:textId="77777777" w:rsidR="00465964" w:rsidRPr="00465964" w:rsidRDefault="00465964" w:rsidP="00465964">
            <w:pPr>
              <w:rPr>
                <w:lang w:val="pt-PT"/>
              </w:rPr>
            </w:pPr>
            <w:r w:rsidRPr="00465964">
              <w:rPr>
                <w:lang w:val="pt-PT"/>
              </w:rPr>
              <w:t>O operador de uma plataforma de negociação deverá ser responsável pelo cumprimento dos requisitos estabelecidos no título II do presente regulamento sempre que os criptoativos sejam admitidos à negociação por sua própria iniciativa e o livrete do criptoativo ainda não tenha sido publicado nos casos exigidos pelo presente regulamento. O operador de uma plataforma de negociação deverá também assumir a responsabilidade pelo cumprimento desses requisitos caso tenha celebrado, por escrito, um acordo para o efeito com a pessoa que solicita a admissão à negociação. A pessoa que solicita a admissão à negociação deverá continuar a ser responsável nos casos em que preste ao operador da plataforma de negociação informação que induza em erro. A pessoa que solicita a admissão à negociação deverá igualmente continuar a ser responsável pelos assuntos que não tenham sido delegados no operador da plataforma de negociação.</w:t>
            </w:r>
          </w:p>
        </w:tc>
      </w:tr>
    </w:tbl>
    <w:p w14:paraId="5A03D573"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364"/>
        <w:gridCol w:w="8662"/>
      </w:tblGrid>
      <w:tr w:rsidR="00465964" w:rsidRPr="00465964" w14:paraId="5637DCFD" w14:textId="77777777" w:rsidTr="00465964">
        <w:tc>
          <w:tcPr>
            <w:tcW w:w="0" w:type="auto"/>
            <w:shd w:val="clear" w:color="auto" w:fill="auto"/>
            <w:hideMark/>
          </w:tcPr>
          <w:p w14:paraId="6020909D" w14:textId="77777777" w:rsidR="00465964" w:rsidRPr="00465964" w:rsidRDefault="00465964" w:rsidP="00465964">
            <w:r w:rsidRPr="00465964">
              <w:t>(33)</w:t>
            </w:r>
          </w:p>
        </w:tc>
        <w:tc>
          <w:tcPr>
            <w:tcW w:w="0" w:type="auto"/>
            <w:shd w:val="clear" w:color="auto" w:fill="auto"/>
            <w:hideMark/>
          </w:tcPr>
          <w:p w14:paraId="5C58D031" w14:textId="77777777" w:rsidR="00465964" w:rsidRPr="00465964" w:rsidRDefault="00465964" w:rsidP="00465964">
            <w:pPr>
              <w:rPr>
                <w:lang w:val="pt-PT"/>
              </w:rPr>
            </w:pPr>
            <w:r w:rsidRPr="00465964">
              <w:rPr>
                <w:lang w:val="pt-PT"/>
              </w:rPr>
              <w:t>A fim de evitar encargos administrativos desnecessários, as autoridades competentes não deverão ser obrigadas a aprovar um livrete do criptoativo antes da sua publicação. As autoridades competentes deverão, no entanto, ter poderes para solicitar alterações ao livrete do criptoativo e a quaisquer comunicações comerciais e, se necessário, para solicitar a inclusão de informações adicionais no livrete do criptoativo.</w:t>
            </w:r>
          </w:p>
        </w:tc>
      </w:tr>
      <w:tr w:rsidR="00465964" w:rsidRPr="00465964" w14:paraId="12867DD1" w14:textId="77777777" w:rsidTr="00465964">
        <w:tc>
          <w:tcPr>
            <w:tcW w:w="0" w:type="auto"/>
            <w:shd w:val="clear" w:color="auto" w:fill="auto"/>
            <w:hideMark/>
          </w:tcPr>
          <w:p w14:paraId="3825B30C" w14:textId="77777777" w:rsidR="00465964" w:rsidRPr="00465964" w:rsidRDefault="00465964" w:rsidP="00465964">
            <w:r w:rsidRPr="00465964">
              <w:t>(34)</w:t>
            </w:r>
          </w:p>
        </w:tc>
        <w:tc>
          <w:tcPr>
            <w:tcW w:w="0" w:type="auto"/>
            <w:shd w:val="clear" w:color="auto" w:fill="auto"/>
            <w:hideMark/>
          </w:tcPr>
          <w:p w14:paraId="1952A4BC" w14:textId="04CDEA20" w:rsidR="00465964" w:rsidRPr="00465964" w:rsidRDefault="00465964" w:rsidP="00465964">
            <w:pPr>
              <w:rPr>
                <w:lang w:val="pt-PT"/>
              </w:rPr>
            </w:pPr>
            <w:r w:rsidRPr="00465964">
              <w:rPr>
                <w:lang w:val="pt-PT"/>
              </w:rPr>
              <w:t xml:space="preserve">As autoridades competentes deverão poder suspender ou proibir uma oferta pública de criptoativos que não sejam </w:t>
            </w:r>
            <w:r>
              <w:rPr>
                <w:lang w:val="pt-PT"/>
              </w:rPr>
              <w:t>criptomoedas</w:t>
            </w:r>
            <w:r w:rsidRPr="00465964">
              <w:rPr>
                <w:lang w:val="pt-PT"/>
              </w:rPr>
              <w:t xml:space="preserve"> referenciadas a ativos nem </w:t>
            </w:r>
            <w:r>
              <w:rPr>
                <w:lang w:val="pt-PT"/>
              </w:rPr>
              <w:t>criptomoedas</w:t>
            </w:r>
            <w:r w:rsidRPr="00465964">
              <w:rPr>
                <w:lang w:val="pt-PT"/>
              </w:rPr>
              <w:t xml:space="preserve"> de moeda eletrónica ou a admissão à negociação desses criptoativos, caso essa oferta pública ou admissão à negociação não cumpra os requisitos previstos no presente regulamento, nomeadamente quando o livrete ou as comunicações comerciais não forem corretas, claras ou induzirem em erro. As autoridades competentes deverão também ter o poder de publicar uma advertência informando que um oferente ou uma pessoa que solicita a admissão à negociação não cumpriu esses requisitos, quer no seu sítio Web quer através de um comunicado de imprensa.</w:t>
            </w:r>
          </w:p>
        </w:tc>
      </w:tr>
    </w:tbl>
    <w:p w14:paraId="4C957345"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364"/>
        <w:gridCol w:w="8662"/>
      </w:tblGrid>
      <w:tr w:rsidR="00465964" w:rsidRPr="00465964" w14:paraId="3C9E38CB" w14:textId="77777777" w:rsidTr="00465964">
        <w:tc>
          <w:tcPr>
            <w:tcW w:w="0" w:type="auto"/>
            <w:shd w:val="clear" w:color="auto" w:fill="auto"/>
            <w:hideMark/>
          </w:tcPr>
          <w:p w14:paraId="1C740EB0" w14:textId="77777777" w:rsidR="00465964" w:rsidRPr="00465964" w:rsidRDefault="00465964" w:rsidP="00465964">
            <w:r w:rsidRPr="00465964">
              <w:t>(35)</w:t>
            </w:r>
          </w:p>
        </w:tc>
        <w:tc>
          <w:tcPr>
            <w:tcW w:w="0" w:type="auto"/>
            <w:shd w:val="clear" w:color="auto" w:fill="auto"/>
            <w:hideMark/>
          </w:tcPr>
          <w:p w14:paraId="2B6429A4" w14:textId="0C98D1E3" w:rsidR="00465964" w:rsidRPr="00465964" w:rsidRDefault="00465964" w:rsidP="00465964">
            <w:pPr>
              <w:rPr>
                <w:lang w:val="pt-PT"/>
              </w:rPr>
            </w:pPr>
            <w:r w:rsidRPr="00465964">
              <w:rPr>
                <w:lang w:val="pt-PT"/>
              </w:rPr>
              <w:t xml:space="preserve">Os livretes do criptoativo que tenham sido devidamente notificados a uma autoridade competente e as comunicações comerciais deverão ser publicados. Após essa publicação, os oferentes e as pessoas que solicitam a admissão à negociação de criptoativos que não sejam </w:t>
            </w:r>
            <w:r>
              <w:rPr>
                <w:lang w:val="pt-PT"/>
              </w:rPr>
              <w:t>criptomoedas</w:t>
            </w:r>
            <w:r w:rsidRPr="00465964">
              <w:rPr>
                <w:lang w:val="pt-PT"/>
              </w:rPr>
              <w:t xml:space="preserve"> referenciadas a ativos nem </w:t>
            </w:r>
            <w:r>
              <w:rPr>
                <w:lang w:val="pt-PT"/>
              </w:rPr>
              <w:t>criptomoedas</w:t>
            </w:r>
            <w:r w:rsidRPr="00465964">
              <w:rPr>
                <w:lang w:val="pt-PT"/>
              </w:rPr>
              <w:t xml:space="preserve"> de moeda eletrónica deverão ser autorizados a oferecer esses criptoativos em toda a União e solicitar a </w:t>
            </w:r>
            <w:r w:rsidRPr="00465964">
              <w:rPr>
                <w:lang w:val="pt-PT"/>
              </w:rPr>
              <w:lastRenderedPageBreak/>
              <w:t>admissão à negociação desses criptoativos numa plataforma de negociação de criptoativos na União.</w:t>
            </w:r>
          </w:p>
        </w:tc>
      </w:tr>
      <w:tr w:rsidR="00465964" w:rsidRPr="00465964" w14:paraId="3FE64A58" w14:textId="77777777" w:rsidTr="00465964">
        <w:tc>
          <w:tcPr>
            <w:tcW w:w="0" w:type="auto"/>
            <w:shd w:val="clear" w:color="auto" w:fill="auto"/>
            <w:hideMark/>
          </w:tcPr>
          <w:p w14:paraId="1CF590C6" w14:textId="77777777" w:rsidR="00465964" w:rsidRPr="00465964" w:rsidRDefault="00465964" w:rsidP="00465964">
            <w:r w:rsidRPr="00465964">
              <w:lastRenderedPageBreak/>
              <w:t>(36)</w:t>
            </w:r>
          </w:p>
        </w:tc>
        <w:tc>
          <w:tcPr>
            <w:tcW w:w="0" w:type="auto"/>
            <w:shd w:val="clear" w:color="auto" w:fill="auto"/>
            <w:hideMark/>
          </w:tcPr>
          <w:p w14:paraId="13BFCB48" w14:textId="251AC462" w:rsidR="00465964" w:rsidRPr="00465964" w:rsidRDefault="00465964" w:rsidP="00465964">
            <w:pPr>
              <w:rPr>
                <w:lang w:val="pt-PT"/>
              </w:rPr>
            </w:pPr>
            <w:r w:rsidRPr="00465964">
              <w:rPr>
                <w:lang w:val="pt-PT"/>
              </w:rPr>
              <w:t xml:space="preserve">Os oferentes de criptoativos que não sejam </w:t>
            </w:r>
            <w:r>
              <w:rPr>
                <w:lang w:val="pt-PT"/>
              </w:rPr>
              <w:t>criptomoedas</w:t>
            </w:r>
            <w:r w:rsidRPr="00465964">
              <w:rPr>
                <w:lang w:val="pt-PT"/>
              </w:rPr>
              <w:t xml:space="preserve"> referenciadas a ativos nem </w:t>
            </w:r>
            <w:r>
              <w:rPr>
                <w:lang w:val="pt-PT"/>
              </w:rPr>
              <w:t>criptomoedas</w:t>
            </w:r>
            <w:r w:rsidRPr="00465964">
              <w:rPr>
                <w:lang w:val="pt-PT"/>
              </w:rPr>
              <w:t xml:space="preserve"> de moeda eletrónica deverão dispor de mecanismos eficazes para acompanhar e proteger os fundos ou outros criptoativos mobilizados durante a oferta pública. Esses mecanismos deverão também assegurar que os fundos ou outros criptoativos mobilizados junto de detentores ou de potenciais detentores sejam devidamente devolvidos o mais rapidamente possível, caso uma oferta pública seja, por qualquer motivo, cancelada. Os oferentes deverão assegurar que os fundos ou outros criptoativos mobilizados durante a oferta pública sejam conservados por um terceiro.</w:t>
            </w:r>
          </w:p>
        </w:tc>
      </w:tr>
    </w:tbl>
    <w:p w14:paraId="00BEECDC"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364"/>
        <w:gridCol w:w="8662"/>
      </w:tblGrid>
      <w:tr w:rsidR="00465964" w:rsidRPr="00465964" w14:paraId="3FEAFCF2" w14:textId="77777777" w:rsidTr="00465964">
        <w:tc>
          <w:tcPr>
            <w:tcW w:w="0" w:type="auto"/>
            <w:shd w:val="clear" w:color="auto" w:fill="auto"/>
            <w:hideMark/>
          </w:tcPr>
          <w:p w14:paraId="37917410" w14:textId="77777777" w:rsidR="00465964" w:rsidRPr="00465964" w:rsidRDefault="00465964" w:rsidP="00465964">
            <w:r w:rsidRPr="00465964">
              <w:t>(37)</w:t>
            </w:r>
          </w:p>
        </w:tc>
        <w:tc>
          <w:tcPr>
            <w:tcW w:w="0" w:type="auto"/>
            <w:shd w:val="clear" w:color="auto" w:fill="auto"/>
            <w:hideMark/>
          </w:tcPr>
          <w:p w14:paraId="621E4FDF" w14:textId="0AD3CB83" w:rsidR="00465964" w:rsidRPr="00465964" w:rsidRDefault="00465964" w:rsidP="00465964">
            <w:pPr>
              <w:rPr>
                <w:lang w:val="pt-PT"/>
              </w:rPr>
            </w:pPr>
            <w:r w:rsidRPr="00465964">
              <w:rPr>
                <w:lang w:val="pt-PT"/>
              </w:rPr>
              <w:t xml:space="preserve">A fim de reforçar a proteção dos detentores não profissionais de criptoativos, os detentores não profissionais de criptoativos que adquiram criptoativos que não sejam </w:t>
            </w:r>
            <w:r>
              <w:rPr>
                <w:lang w:val="pt-PT"/>
              </w:rPr>
              <w:t>criptomoedas</w:t>
            </w:r>
            <w:r w:rsidRPr="00465964">
              <w:rPr>
                <w:lang w:val="pt-PT"/>
              </w:rPr>
              <w:t xml:space="preserve"> referenciadas a ativos nem </w:t>
            </w:r>
            <w:r>
              <w:rPr>
                <w:lang w:val="pt-PT"/>
              </w:rPr>
              <w:t>criptomoedas</w:t>
            </w:r>
            <w:r w:rsidRPr="00465964">
              <w:rPr>
                <w:lang w:val="pt-PT"/>
              </w:rPr>
              <w:t xml:space="preserve"> de moeda eletrónica, diretamente ao oferente ou a um prestador de serviços de criptoativos que proceda à sua colocação em nome do oferente, deverão ter o direito de retratação durante um período de 14 dias após a sua aquisição. De modo a assegurar a boa conclusão de uma oferta pública de criptoativos com duração limitada, este direito de retratação não deverá poder ser exercido pelo detentor não profissional após o termo do período de subscrição. Além disso, o direito de retratação não deverá ser aplicável quando os criptoativos que não sejam </w:t>
            </w:r>
            <w:r>
              <w:rPr>
                <w:lang w:val="pt-PT"/>
              </w:rPr>
              <w:t>criptomoedas</w:t>
            </w:r>
            <w:r w:rsidRPr="00465964">
              <w:rPr>
                <w:lang w:val="pt-PT"/>
              </w:rPr>
              <w:t xml:space="preserve"> referenciadas a ativos nem </w:t>
            </w:r>
            <w:r>
              <w:rPr>
                <w:lang w:val="pt-PT"/>
              </w:rPr>
              <w:t>criptomoedas</w:t>
            </w:r>
            <w:r w:rsidRPr="00465964">
              <w:rPr>
                <w:lang w:val="pt-PT"/>
              </w:rPr>
              <w:t xml:space="preserve"> de moeda eletrónica forem admitidos à negociação antes de serem adquiridos pelo detentor não profissional, uma vez que, nesse caso, o preço desses criptoativos dependerá das flutuações dos mercados de criptoativos. Caso o detentor não profissional goze de um direito de retratação ao abrigo do presente regulamento, o direito de retratação previsto na Diretiva 2002/65/CE do Parlamento Europeu e do Conselho </w:t>
            </w:r>
            <w:hyperlink r:id="rId23" w:anchor="ntr16-L_2023150PT.01004001-E0016" w:history="1">
              <w:r w:rsidRPr="00465964">
                <w:rPr>
                  <w:rStyle w:val="Hyperlink"/>
                  <w:lang w:val="pt-PT"/>
                </w:rPr>
                <w:t>(</w:t>
              </w:r>
              <w:r w:rsidRPr="00465964">
                <w:rPr>
                  <w:rStyle w:val="Hyperlink"/>
                  <w:vertAlign w:val="superscript"/>
                  <w:lang w:val="pt-PT"/>
                </w:rPr>
                <w:t>16</w:t>
              </w:r>
              <w:r w:rsidRPr="00465964">
                <w:rPr>
                  <w:rStyle w:val="Hyperlink"/>
                  <w:lang w:val="pt-PT"/>
                </w:rPr>
                <w:t>)</w:t>
              </w:r>
            </w:hyperlink>
            <w:r w:rsidRPr="00465964">
              <w:rPr>
                <w:lang w:val="pt-PT"/>
              </w:rPr>
              <w:t> não deverá ser aplicável.</w:t>
            </w:r>
          </w:p>
        </w:tc>
      </w:tr>
      <w:tr w:rsidR="00465964" w:rsidRPr="00465964" w14:paraId="0859B0A6" w14:textId="77777777" w:rsidTr="00465964">
        <w:tc>
          <w:tcPr>
            <w:tcW w:w="0" w:type="auto"/>
            <w:shd w:val="clear" w:color="auto" w:fill="auto"/>
            <w:hideMark/>
          </w:tcPr>
          <w:p w14:paraId="34F6AF13" w14:textId="77777777" w:rsidR="00465964" w:rsidRPr="00465964" w:rsidRDefault="00465964" w:rsidP="00465964">
            <w:r w:rsidRPr="00465964">
              <w:t>(38)</w:t>
            </w:r>
          </w:p>
        </w:tc>
        <w:tc>
          <w:tcPr>
            <w:tcW w:w="0" w:type="auto"/>
            <w:shd w:val="clear" w:color="auto" w:fill="auto"/>
            <w:hideMark/>
          </w:tcPr>
          <w:p w14:paraId="76A7399A" w14:textId="69B166DC" w:rsidR="00465964" w:rsidRPr="00465964" w:rsidRDefault="00465964" w:rsidP="00465964">
            <w:pPr>
              <w:rPr>
                <w:lang w:val="pt-PT"/>
              </w:rPr>
            </w:pPr>
            <w:r w:rsidRPr="00465964">
              <w:rPr>
                <w:lang w:val="pt-PT"/>
              </w:rPr>
              <w:t xml:space="preserve">Mesmo quando isentos da obrigação de publicar um livrete do criptoativo, os oferentes e as pessoas que solicitam a admissão à negociação de criptoativos que não sejam </w:t>
            </w:r>
            <w:r>
              <w:rPr>
                <w:lang w:val="pt-PT"/>
              </w:rPr>
              <w:t>criptomoedas</w:t>
            </w:r>
            <w:r w:rsidRPr="00465964">
              <w:rPr>
                <w:lang w:val="pt-PT"/>
              </w:rPr>
              <w:t xml:space="preserve"> referenciadas a ativos nem </w:t>
            </w:r>
            <w:r>
              <w:rPr>
                <w:lang w:val="pt-PT"/>
              </w:rPr>
              <w:t>criptomoedas</w:t>
            </w:r>
            <w:r w:rsidRPr="00465964">
              <w:rPr>
                <w:lang w:val="pt-PT"/>
              </w:rPr>
              <w:t xml:space="preserve"> de moeda eletrónica deverão atuar com honestidade, lealdade e profissionalismo; comunicar com os detentores ou potenciais detentores de criptoativos de forma leal, clara e verdadeira; identificar, prevenir, gerir e divulgar os conflitos de interesses; e dispor de mecanismos administrativos eficazes para assegurar que os seus sistemas e protocolos de segurança cumprem as normas da União. A fim de assistir as autoridades competentes nas suas funções de supervisão, a ESMA, em estreita cooperação com a EBA, deverá ser incumbida de emitir orientações sobre esses sistemas e protocolos de segurança, destinadas a especificar melhor as normas da União.</w:t>
            </w:r>
          </w:p>
        </w:tc>
      </w:tr>
    </w:tbl>
    <w:p w14:paraId="73DA92C3"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364"/>
        <w:gridCol w:w="8662"/>
      </w:tblGrid>
      <w:tr w:rsidR="00465964" w:rsidRPr="00465964" w14:paraId="61E276CD" w14:textId="77777777" w:rsidTr="00465964">
        <w:tc>
          <w:tcPr>
            <w:tcW w:w="0" w:type="auto"/>
            <w:shd w:val="clear" w:color="auto" w:fill="auto"/>
            <w:hideMark/>
          </w:tcPr>
          <w:p w14:paraId="233D4777" w14:textId="77777777" w:rsidR="00465964" w:rsidRPr="00465964" w:rsidRDefault="00465964" w:rsidP="00465964">
            <w:r w:rsidRPr="00465964">
              <w:t>(39)</w:t>
            </w:r>
          </w:p>
        </w:tc>
        <w:tc>
          <w:tcPr>
            <w:tcW w:w="0" w:type="auto"/>
            <w:shd w:val="clear" w:color="auto" w:fill="auto"/>
            <w:hideMark/>
          </w:tcPr>
          <w:p w14:paraId="00EB6731" w14:textId="77777777" w:rsidR="00465964" w:rsidRPr="00465964" w:rsidRDefault="00465964" w:rsidP="00465964">
            <w:pPr>
              <w:rPr>
                <w:lang w:val="pt-PT"/>
              </w:rPr>
            </w:pPr>
            <w:r w:rsidRPr="00465964">
              <w:rPr>
                <w:lang w:val="pt-PT"/>
              </w:rPr>
              <w:t>Tendo em vista uma proteção acrescida dos detentores de criptoativos, deverão ser aplicadas aos oferentes, às pessoas que solicitam a admissão à negociação e aos membros do respetivo órgão de administração regras de responsabilidade civil no que diz respeito às informações prestadas ao público no livrete do criptoativo.</w:t>
            </w:r>
          </w:p>
        </w:tc>
      </w:tr>
      <w:tr w:rsidR="00465964" w:rsidRPr="00465964" w14:paraId="1554009F" w14:textId="77777777" w:rsidTr="00465964">
        <w:tc>
          <w:tcPr>
            <w:tcW w:w="0" w:type="auto"/>
            <w:shd w:val="clear" w:color="auto" w:fill="auto"/>
            <w:hideMark/>
          </w:tcPr>
          <w:p w14:paraId="47F4728F" w14:textId="77777777" w:rsidR="00465964" w:rsidRPr="00465964" w:rsidRDefault="00465964" w:rsidP="00465964">
            <w:r w:rsidRPr="00465964">
              <w:t>(40)</w:t>
            </w:r>
          </w:p>
        </w:tc>
        <w:tc>
          <w:tcPr>
            <w:tcW w:w="0" w:type="auto"/>
            <w:shd w:val="clear" w:color="auto" w:fill="auto"/>
            <w:hideMark/>
          </w:tcPr>
          <w:p w14:paraId="07DBC653" w14:textId="495FE3EC" w:rsidR="00465964" w:rsidRPr="00465964" w:rsidRDefault="00465964" w:rsidP="00465964">
            <w:pPr>
              <w:rPr>
                <w:lang w:val="pt-PT"/>
              </w:rPr>
            </w:pPr>
            <w:r w:rsidRPr="00465964">
              <w:rPr>
                <w:lang w:val="pt-PT"/>
              </w:rPr>
              <w:t xml:space="preserve">As </w:t>
            </w:r>
            <w:r>
              <w:rPr>
                <w:lang w:val="pt-PT"/>
              </w:rPr>
              <w:t>criptomoedas</w:t>
            </w:r>
            <w:r w:rsidRPr="00465964">
              <w:rPr>
                <w:lang w:val="pt-PT"/>
              </w:rPr>
              <w:t xml:space="preserve"> referenciadas a ativos poderão ser amplamente adotadas pelos detentores para transferências de valor ou como meio de troca e, assim, acarretar riscos acrescidos em matéria de proteção dos detentores de criptoativos, em particular dos detentores não profissionais, e em matéria de integridade do mercado, em comparação com outros criptoativos. Os emitentes de </w:t>
            </w:r>
            <w:r>
              <w:rPr>
                <w:lang w:val="pt-PT"/>
              </w:rPr>
              <w:t>criptomoedas</w:t>
            </w:r>
            <w:r w:rsidRPr="00465964">
              <w:rPr>
                <w:lang w:val="pt-PT"/>
              </w:rPr>
              <w:t xml:space="preserve"> referenciadas a ativos deverão, </w:t>
            </w:r>
            <w:r w:rsidRPr="00465964">
              <w:rPr>
                <w:lang w:val="pt-PT"/>
              </w:rPr>
              <w:lastRenderedPageBreak/>
              <w:t>portanto, estar sujeitos a requisitos mais rigorosos do que os emitentes de outros criptoativos.</w:t>
            </w:r>
          </w:p>
        </w:tc>
      </w:tr>
    </w:tbl>
    <w:p w14:paraId="52A89C84"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364"/>
        <w:gridCol w:w="8662"/>
      </w:tblGrid>
      <w:tr w:rsidR="00465964" w:rsidRPr="00465964" w14:paraId="190F8161" w14:textId="77777777" w:rsidTr="00465964">
        <w:tc>
          <w:tcPr>
            <w:tcW w:w="0" w:type="auto"/>
            <w:shd w:val="clear" w:color="auto" w:fill="auto"/>
            <w:hideMark/>
          </w:tcPr>
          <w:p w14:paraId="29895C1B" w14:textId="77777777" w:rsidR="00465964" w:rsidRPr="00465964" w:rsidRDefault="00465964" w:rsidP="00465964">
            <w:r w:rsidRPr="00465964">
              <w:t>(41)</w:t>
            </w:r>
          </w:p>
        </w:tc>
        <w:tc>
          <w:tcPr>
            <w:tcW w:w="0" w:type="auto"/>
            <w:shd w:val="clear" w:color="auto" w:fill="auto"/>
            <w:hideMark/>
          </w:tcPr>
          <w:p w14:paraId="159F3DB8" w14:textId="77777777" w:rsidR="00465964" w:rsidRPr="00465964" w:rsidRDefault="00465964" w:rsidP="00465964">
            <w:pPr>
              <w:rPr>
                <w:lang w:val="pt-PT"/>
              </w:rPr>
            </w:pPr>
            <w:r w:rsidRPr="00465964">
              <w:rPr>
                <w:lang w:val="pt-PT"/>
              </w:rPr>
              <w:t xml:space="preserve">Se um criptoativo for abrangido pela definição de </w:t>
            </w:r>
            <w:proofErr w:type="spellStart"/>
            <w:r w:rsidRPr="00465964">
              <w:rPr>
                <w:lang w:val="pt-PT"/>
              </w:rPr>
              <w:t>criptoficha</w:t>
            </w:r>
            <w:proofErr w:type="spellEnd"/>
            <w:r w:rsidRPr="00465964">
              <w:rPr>
                <w:lang w:val="pt-PT"/>
              </w:rPr>
              <w:t xml:space="preserve"> referenciada a ativos ou </w:t>
            </w:r>
            <w:proofErr w:type="spellStart"/>
            <w:r w:rsidRPr="00465964">
              <w:rPr>
                <w:lang w:val="pt-PT"/>
              </w:rPr>
              <w:t>criptoficha</w:t>
            </w:r>
            <w:proofErr w:type="spellEnd"/>
            <w:r w:rsidRPr="00465964">
              <w:rPr>
                <w:lang w:val="pt-PT"/>
              </w:rPr>
              <w:t xml:space="preserve"> de moeda eletrónica, deverão aplicar-se o título III ou IV do presente regulamento, independentemente da forma como o emitente pretende conceber o criptoativo, incluindo o mecanismo para manter um valor estável do criptoativo. O mesmo se aplica às chamadas «criptomoedas estáveis» algorítmicas, que procuram manter um valor estável em relação a uma moeda oficial ou em relação a um ou vários ativos por meio de protocolos que preveem o aumento ou a diminuição da oferta de tais criptoativos em função das alterações na procura. Os oferentes ou as pessoas que solicitam a admissão à negociação de criptoativos algorítmicos que não visem estabilizar o valor dos criptoativos por referência a um ou vários ativos deverão, em qualquer caso, cumprir o disposto no título II do presente regulamento.</w:t>
            </w:r>
          </w:p>
        </w:tc>
      </w:tr>
      <w:tr w:rsidR="00465964" w:rsidRPr="00465964" w14:paraId="15DFF913" w14:textId="77777777" w:rsidTr="00465964">
        <w:tc>
          <w:tcPr>
            <w:tcW w:w="0" w:type="auto"/>
            <w:shd w:val="clear" w:color="auto" w:fill="auto"/>
            <w:hideMark/>
          </w:tcPr>
          <w:p w14:paraId="02E32F4C" w14:textId="77777777" w:rsidR="00465964" w:rsidRPr="00465964" w:rsidRDefault="00465964" w:rsidP="00465964">
            <w:r w:rsidRPr="00465964">
              <w:t>(42)</w:t>
            </w:r>
          </w:p>
        </w:tc>
        <w:tc>
          <w:tcPr>
            <w:tcW w:w="0" w:type="auto"/>
            <w:shd w:val="clear" w:color="auto" w:fill="auto"/>
            <w:hideMark/>
          </w:tcPr>
          <w:p w14:paraId="609A2DE8" w14:textId="662460EB" w:rsidR="00465964" w:rsidRPr="00465964" w:rsidRDefault="00465964" w:rsidP="00465964">
            <w:pPr>
              <w:rPr>
                <w:lang w:val="pt-PT"/>
              </w:rPr>
            </w:pPr>
            <w:r w:rsidRPr="00465964">
              <w:rPr>
                <w:lang w:val="pt-PT"/>
              </w:rPr>
              <w:t xml:space="preserve">A fim de assegurar a supervisão e o acompanhamento adequados das ofertas públicas de </w:t>
            </w:r>
            <w:r>
              <w:rPr>
                <w:lang w:val="pt-PT"/>
              </w:rPr>
              <w:t>criptomoedas</w:t>
            </w:r>
            <w:r w:rsidRPr="00465964">
              <w:rPr>
                <w:lang w:val="pt-PT"/>
              </w:rPr>
              <w:t xml:space="preserve"> referenciadas a ativos, os seus emitentes deverão ter uma sede social na União.</w:t>
            </w:r>
          </w:p>
        </w:tc>
      </w:tr>
    </w:tbl>
    <w:p w14:paraId="4C630593"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364"/>
        <w:gridCol w:w="8662"/>
      </w:tblGrid>
      <w:tr w:rsidR="00465964" w:rsidRPr="00465964" w14:paraId="14D495DA" w14:textId="77777777" w:rsidTr="00465964">
        <w:tc>
          <w:tcPr>
            <w:tcW w:w="0" w:type="auto"/>
            <w:shd w:val="clear" w:color="auto" w:fill="auto"/>
            <w:hideMark/>
          </w:tcPr>
          <w:p w14:paraId="0DD9B0AC" w14:textId="77777777" w:rsidR="00465964" w:rsidRPr="00465964" w:rsidRDefault="00465964" w:rsidP="00465964">
            <w:r w:rsidRPr="00465964">
              <w:t>(43)</w:t>
            </w:r>
          </w:p>
        </w:tc>
        <w:tc>
          <w:tcPr>
            <w:tcW w:w="0" w:type="auto"/>
            <w:shd w:val="clear" w:color="auto" w:fill="auto"/>
            <w:hideMark/>
          </w:tcPr>
          <w:p w14:paraId="735B68E9" w14:textId="5BD871E3" w:rsidR="00465964" w:rsidRPr="00465964" w:rsidRDefault="00465964" w:rsidP="00465964">
            <w:pPr>
              <w:rPr>
                <w:lang w:val="pt-PT"/>
              </w:rPr>
            </w:pPr>
            <w:r w:rsidRPr="00465964">
              <w:rPr>
                <w:lang w:val="pt-PT"/>
              </w:rPr>
              <w:t xml:space="preserve">As ofertas públicas de </w:t>
            </w:r>
            <w:r>
              <w:rPr>
                <w:lang w:val="pt-PT"/>
              </w:rPr>
              <w:t>criptomoedas</w:t>
            </w:r>
            <w:r w:rsidRPr="00465964">
              <w:rPr>
                <w:lang w:val="pt-PT"/>
              </w:rPr>
              <w:t xml:space="preserve"> referenciadas a ativos na União ou os pedidos de admissão à negociação desses criptoativos só deverão ser permitidos depois de a autoridade competente ter autorizado o emitente de tais criptoativos a tal e aprovado o respetivo livrete do criptoativo. O requisito de autorização não deverá, no entanto, aplicar-se quando as </w:t>
            </w:r>
            <w:r>
              <w:rPr>
                <w:lang w:val="pt-PT"/>
              </w:rPr>
              <w:t>criptomoedas</w:t>
            </w:r>
            <w:r w:rsidRPr="00465964">
              <w:rPr>
                <w:lang w:val="pt-PT"/>
              </w:rPr>
              <w:t xml:space="preserve"> referenciadas a ativos são apenas destinadas a investidores qualificados, ou quando a oferta pública de </w:t>
            </w:r>
            <w:r>
              <w:rPr>
                <w:lang w:val="pt-PT"/>
              </w:rPr>
              <w:t>criptomoedas</w:t>
            </w:r>
            <w:r w:rsidRPr="00465964">
              <w:rPr>
                <w:lang w:val="pt-PT"/>
              </w:rPr>
              <w:t xml:space="preserve"> referenciadas a ativos se situe abaixo de 5 000 000 EUR. Nesses casos, o emitente das </w:t>
            </w:r>
            <w:r>
              <w:rPr>
                <w:lang w:val="pt-PT"/>
              </w:rPr>
              <w:t>criptomoedas</w:t>
            </w:r>
            <w:r w:rsidRPr="00465964">
              <w:rPr>
                <w:lang w:val="pt-PT"/>
              </w:rPr>
              <w:t xml:space="preserve"> referenciadas a ativos deverá ainda ser obrigado a redigir um livrete do criptoativo, a fim de informar os compradores das características e riscos das </w:t>
            </w:r>
            <w:r>
              <w:rPr>
                <w:lang w:val="pt-PT"/>
              </w:rPr>
              <w:t>criptomoedas</w:t>
            </w:r>
            <w:r w:rsidRPr="00465964">
              <w:rPr>
                <w:lang w:val="pt-PT"/>
              </w:rPr>
              <w:t xml:space="preserve"> referenciadas a ativos, e deverá também ser obrigado a notificar à respetiva autoridade competente o livrete do criptoativo antes da sua publicação.</w:t>
            </w:r>
          </w:p>
        </w:tc>
      </w:tr>
      <w:tr w:rsidR="00465964" w:rsidRPr="00465964" w14:paraId="028C035F" w14:textId="77777777" w:rsidTr="00465964">
        <w:tc>
          <w:tcPr>
            <w:tcW w:w="0" w:type="auto"/>
            <w:shd w:val="clear" w:color="auto" w:fill="auto"/>
            <w:hideMark/>
          </w:tcPr>
          <w:p w14:paraId="3A85928E" w14:textId="77777777" w:rsidR="00465964" w:rsidRPr="00465964" w:rsidRDefault="00465964" w:rsidP="00465964">
            <w:r w:rsidRPr="00465964">
              <w:t>(44)</w:t>
            </w:r>
          </w:p>
        </w:tc>
        <w:tc>
          <w:tcPr>
            <w:tcW w:w="0" w:type="auto"/>
            <w:shd w:val="clear" w:color="auto" w:fill="auto"/>
            <w:hideMark/>
          </w:tcPr>
          <w:p w14:paraId="31541A91" w14:textId="7C5E8985" w:rsidR="00465964" w:rsidRPr="00465964" w:rsidRDefault="00465964" w:rsidP="00465964">
            <w:pPr>
              <w:rPr>
                <w:lang w:val="pt-PT"/>
              </w:rPr>
            </w:pPr>
            <w:r w:rsidRPr="00465964">
              <w:rPr>
                <w:lang w:val="pt-PT"/>
              </w:rPr>
              <w:t xml:space="preserve">As instituições de crédito autorizadas ao abrigo da Diretiva 2013/36/UE não deverão necessitar de outra autorização ao abrigo do presente regulamento para oferecer ou solicitar a admissão à negociação de </w:t>
            </w:r>
            <w:r>
              <w:rPr>
                <w:lang w:val="pt-PT"/>
              </w:rPr>
              <w:t>criptomoedas</w:t>
            </w:r>
            <w:r w:rsidRPr="00465964">
              <w:rPr>
                <w:lang w:val="pt-PT"/>
              </w:rPr>
              <w:t xml:space="preserve"> referenciadas a ativos. Deverão aplicar-se os procedimentos nacionais estabelecidos ao abrigo da referida diretiva, que, no entanto, deverão ser complementados pela obrigação de notificar a autoridade competente do Estado-Membro de origem, designada nos termos do presente regulamento, dos elementos que permitam à autoridade em causa verificar a capacidade do emitente para oferecer ou solicitar a admissão à negociação de </w:t>
            </w:r>
            <w:r>
              <w:rPr>
                <w:lang w:val="pt-PT"/>
              </w:rPr>
              <w:t>criptomoedas</w:t>
            </w:r>
            <w:r w:rsidRPr="00465964">
              <w:rPr>
                <w:lang w:val="pt-PT"/>
              </w:rPr>
              <w:t xml:space="preserve"> referenciadas a ativos. As instituições de crédito que oferecem ou solicitam a admissão à negociação de </w:t>
            </w:r>
            <w:r>
              <w:rPr>
                <w:lang w:val="pt-PT"/>
              </w:rPr>
              <w:t>criptomoedas</w:t>
            </w:r>
            <w:r w:rsidRPr="00465964">
              <w:rPr>
                <w:lang w:val="pt-PT"/>
              </w:rPr>
              <w:t xml:space="preserve"> referenciadas a ativos deverão estar sujeitas a todos os requisitos aplicáveis aos emitentes de </w:t>
            </w:r>
            <w:r>
              <w:rPr>
                <w:lang w:val="pt-PT"/>
              </w:rPr>
              <w:t>criptomoedas</w:t>
            </w:r>
            <w:r w:rsidRPr="00465964">
              <w:rPr>
                <w:lang w:val="pt-PT"/>
              </w:rPr>
              <w:t xml:space="preserve"> referenciadas a ativos, com exceção dos requisitos de autorização, dos requisitos de fundos próprios e do procedimento de aprovação no que diz respeito aos acionistas que possuam participações qualificadas, uma vez que essas matérias são abrangidas pela Diretiva 2013/36/UE e pelo Regulamento (UE) </w:t>
            </w:r>
            <w:proofErr w:type="spellStart"/>
            <w:r w:rsidRPr="00465964">
              <w:rPr>
                <w:lang w:val="pt-PT"/>
              </w:rPr>
              <w:t>n.</w:t>
            </w:r>
            <w:r w:rsidRPr="00465964">
              <w:rPr>
                <w:vertAlign w:val="superscript"/>
                <w:lang w:val="pt-PT"/>
              </w:rPr>
              <w:t>o</w:t>
            </w:r>
            <w:proofErr w:type="spellEnd"/>
            <w:r w:rsidRPr="00465964">
              <w:rPr>
                <w:lang w:val="pt-PT"/>
              </w:rPr>
              <w:t> 575/2013 do Parlamento Europeu e do Conselho </w:t>
            </w:r>
            <w:hyperlink r:id="rId24" w:anchor="ntr17-L_2023150PT.01004001-E0017" w:history="1">
              <w:r w:rsidRPr="00465964">
                <w:rPr>
                  <w:rStyle w:val="Hyperlink"/>
                  <w:lang w:val="pt-PT"/>
                </w:rPr>
                <w:t>(</w:t>
              </w:r>
              <w:r w:rsidRPr="00465964">
                <w:rPr>
                  <w:rStyle w:val="Hyperlink"/>
                  <w:vertAlign w:val="superscript"/>
                  <w:lang w:val="pt-PT"/>
                </w:rPr>
                <w:t>17</w:t>
              </w:r>
              <w:r w:rsidRPr="00465964">
                <w:rPr>
                  <w:rStyle w:val="Hyperlink"/>
                  <w:lang w:val="pt-PT"/>
                </w:rPr>
                <w:t>)</w:t>
              </w:r>
            </w:hyperlink>
            <w:r w:rsidRPr="00465964">
              <w:rPr>
                <w:lang w:val="pt-PT"/>
              </w:rPr>
              <w:t xml:space="preserve">. Um livrete do criptoativo que tenha sido redigido por uma tal instituição de crédito deverá ser aprovado pela autoridade competente do Estado-Membro de origem antes da sua publicação. As instituições de crédito autorizadas ao abrigo das disposições de direito nacional que transpõem a Diretiva </w:t>
            </w:r>
            <w:r w:rsidRPr="00465964">
              <w:rPr>
                <w:lang w:val="pt-PT"/>
              </w:rPr>
              <w:lastRenderedPageBreak/>
              <w:t xml:space="preserve">2013/36/UE e que oferecem ou solicitam a admissão à negociação de </w:t>
            </w:r>
            <w:r>
              <w:rPr>
                <w:lang w:val="pt-PT"/>
              </w:rPr>
              <w:t>criptomoedas</w:t>
            </w:r>
            <w:r w:rsidRPr="00465964">
              <w:rPr>
                <w:lang w:val="pt-PT"/>
              </w:rPr>
              <w:t xml:space="preserve"> referenciadas a ativos deverão estar sujeitas aos poderes administrativos previstos nessa diretiva, bem como àqueles previstos no presente regulamento, inclusive uma restrição ou limitação da atividade exercida por uma instituição de crédito e a uma suspensão ou proibição de uma oferta pública de </w:t>
            </w:r>
            <w:r>
              <w:rPr>
                <w:lang w:val="pt-PT"/>
              </w:rPr>
              <w:t>criptomoedas</w:t>
            </w:r>
            <w:r w:rsidRPr="00465964">
              <w:rPr>
                <w:lang w:val="pt-PT"/>
              </w:rPr>
              <w:t xml:space="preserve"> referenciadas a ativos. Caso as obrigações aplicáveis a essas instituições de crédito nos termos do presente regulamento se sobreponham às obrigações previstas na Diretiva 2013/36/UE, as instituições de crédito deverão cumprir os requisitos mais específicos ou mais rigorosos, assegurando assim o cumprimento de ambos os conjuntos de normas. O procedimento de notificação para as instituições de crédito que pretendam oferecer ou solicitar a admissão à negociação de </w:t>
            </w:r>
            <w:r>
              <w:rPr>
                <w:lang w:val="pt-PT"/>
              </w:rPr>
              <w:t>criptomoedas</w:t>
            </w:r>
            <w:r w:rsidRPr="00465964">
              <w:rPr>
                <w:lang w:val="pt-PT"/>
              </w:rPr>
              <w:t xml:space="preserve"> referenciadas a ativos ao abrigo do presente regulamento não deverá prejudicar as disposições de direito nacional de transposição da Diretiva 2013/36/UE que estabelecem os procedimentos de autorização das instituições de crédito para efeitos de prestação dos serviços enumerados no anexo I dessa diretiva.</w:t>
            </w:r>
          </w:p>
        </w:tc>
      </w:tr>
    </w:tbl>
    <w:p w14:paraId="506A0D0E"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364"/>
        <w:gridCol w:w="8662"/>
      </w:tblGrid>
      <w:tr w:rsidR="00465964" w:rsidRPr="00465964" w14:paraId="6AD3DF43" w14:textId="77777777" w:rsidTr="00465964">
        <w:tc>
          <w:tcPr>
            <w:tcW w:w="0" w:type="auto"/>
            <w:shd w:val="clear" w:color="auto" w:fill="auto"/>
            <w:hideMark/>
          </w:tcPr>
          <w:p w14:paraId="0F83BF1D" w14:textId="77777777" w:rsidR="00465964" w:rsidRPr="00465964" w:rsidRDefault="00465964" w:rsidP="00465964">
            <w:r w:rsidRPr="00465964">
              <w:t>(45)</w:t>
            </w:r>
          </w:p>
        </w:tc>
        <w:tc>
          <w:tcPr>
            <w:tcW w:w="0" w:type="auto"/>
            <w:shd w:val="clear" w:color="auto" w:fill="auto"/>
            <w:hideMark/>
          </w:tcPr>
          <w:p w14:paraId="4C476AAA" w14:textId="40AF44DB" w:rsidR="00465964" w:rsidRPr="00465964" w:rsidRDefault="00465964" w:rsidP="00465964">
            <w:pPr>
              <w:rPr>
                <w:lang w:val="pt-PT"/>
              </w:rPr>
            </w:pPr>
            <w:r w:rsidRPr="00465964">
              <w:rPr>
                <w:lang w:val="pt-PT"/>
              </w:rPr>
              <w:t xml:space="preserve">A autorização deverá ser recusada pela autoridade competente por motivos objetivos e comprováveis, nomeadamente caso o modelo de negócio do emitente requerente de </w:t>
            </w:r>
            <w:r>
              <w:rPr>
                <w:lang w:val="pt-PT"/>
              </w:rPr>
              <w:t>criptomoedas</w:t>
            </w:r>
            <w:r w:rsidRPr="00465964">
              <w:rPr>
                <w:lang w:val="pt-PT"/>
              </w:rPr>
              <w:t xml:space="preserve"> referenciadas a ativos possa representar uma séria ameaça para a integridade do mercado, a estabilidade financeira ou o bom funcionamento dos sistemas de pagamento. Antes de conceder ou recusar uma autorização, a autoridade competente deverá consultar a EBA, a ESMA, o BCE e – se o emitente estiver estabelecido num Estado-Membro cuja moeda oficial não seja o euro ou se uma moeda oficial de um Estado-Membro que não seja o euro for referenciada pela </w:t>
            </w:r>
            <w:proofErr w:type="spellStart"/>
            <w:r w:rsidRPr="00465964">
              <w:rPr>
                <w:lang w:val="pt-PT"/>
              </w:rPr>
              <w:t>criptoficha</w:t>
            </w:r>
            <w:proofErr w:type="spellEnd"/>
            <w:r w:rsidRPr="00465964">
              <w:rPr>
                <w:lang w:val="pt-PT"/>
              </w:rPr>
              <w:t xml:space="preserve"> referenciada a ativos – o banco central do Estado-Membro em causa. Os pareceres não vinculativos da EBA e da ESMA deverão abordar a questão da classificação do criptoativo, enquanto o BCE e, quando aplicável, o banco central do Estado-Membro em causa deverão endereçar à autoridade competente um parecer sobre os riscos para a estabilidade financeira, o bom funcionamento dos sistemas de pagamento, a transmissão da política monetária ou a soberania monetária. As autoridades competentes deverão recusar a autorização nos casos em que o BCE ou o banco central de um Estado-Membro emita um parecer desfavorável com base num risco colocado para o bom funcionamento dos sistemas de pagamento, a transmissão da política monetária ou a soberania monetária. Caso seja concedida autorização a um emitente requerente de </w:t>
            </w:r>
            <w:r>
              <w:rPr>
                <w:lang w:val="pt-PT"/>
              </w:rPr>
              <w:t>criptomoedas</w:t>
            </w:r>
            <w:r w:rsidRPr="00465964">
              <w:rPr>
                <w:lang w:val="pt-PT"/>
              </w:rPr>
              <w:t xml:space="preserve"> referenciadas a ativos, o livrete do criptoativo redigido por esse emitente deverá também ser considerado aprovado. A autorização da autoridade competente deverá ser válida em toda a União e permitir ao emitente de </w:t>
            </w:r>
            <w:r>
              <w:rPr>
                <w:lang w:val="pt-PT"/>
              </w:rPr>
              <w:t>criptomoedas</w:t>
            </w:r>
            <w:r w:rsidRPr="00465964">
              <w:rPr>
                <w:lang w:val="pt-PT"/>
              </w:rPr>
              <w:t xml:space="preserve"> referenciadas a ativos oferecer esses criptoativos no mercado único e solicitar a respetiva admissão à negociação. De igual modo, o livrete do criptoativo deverá ser válido em toda a União, sem que exista a possibilidade de os Estados-Membros imporem requisitos adicionais.</w:t>
            </w:r>
          </w:p>
        </w:tc>
      </w:tr>
      <w:tr w:rsidR="00465964" w:rsidRPr="00465964" w14:paraId="4DC2399E" w14:textId="77777777" w:rsidTr="00465964">
        <w:tc>
          <w:tcPr>
            <w:tcW w:w="0" w:type="auto"/>
            <w:shd w:val="clear" w:color="auto" w:fill="auto"/>
            <w:hideMark/>
          </w:tcPr>
          <w:p w14:paraId="5D28EF92" w14:textId="77777777" w:rsidR="00465964" w:rsidRPr="00465964" w:rsidRDefault="00465964" w:rsidP="00465964">
            <w:r w:rsidRPr="00465964">
              <w:t>(46)</w:t>
            </w:r>
          </w:p>
        </w:tc>
        <w:tc>
          <w:tcPr>
            <w:tcW w:w="0" w:type="auto"/>
            <w:shd w:val="clear" w:color="auto" w:fill="auto"/>
            <w:hideMark/>
          </w:tcPr>
          <w:p w14:paraId="067B92FA" w14:textId="18C983B6" w:rsidR="00465964" w:rsidRPr="00465964" w:rsidRDefault="00465964" w:rsidP="00465964">
            <w:pPr>
              <w:rPr>
                <w:lang w:val="pt-PT"/>
              </w:rPr>
            </w:pPr>
            <w:r w:rsidRPr="00465964">
              <w:rPr>
                <w:lang w:val="pt-PT"/>
              </w:rPr>
              <w:t xml:space="preserve">Em vários casos em que o BCE é consultado ao abrigo do presente regulamento, o seu parecer deverá ser vinculativo, na medida em que obriga uma autoridade competente a recusar, revogar ou limitar uma autorização do emitente de </w:t>
            </w:r>
            <w:r>
              <w:rPr>
                <w:lang w:val="pt-PT"/>
              </w:rPr>
              <w:t>criptomoedas</w:t>
            </w:r>
            <w:r w:rsidRPr="00465964">
              <w:rPr>
                <w:lang w:val="pt-PT"/>
              </w:rPr>
              <w:t xml:space="preserve"> referenciadas a ativos ou a impor medidas específicas ao emitente de </w:t>
            </w:r>
            <w:r>
              <w:rPr>
                <w:lang w:val="pt-PT"/>
              </w:rPr>
              <w:t>criptomoedas</w:t>
            </w:r>
            <w:r w:rsidRPr="00465964">
              <w:rPr>
                <w:lang w:val="pt-PT"/>
              </w:rPr>
              <w:t xml:space="preserve"> referenciadas a ativos. Nos termos do artigo 263.</w:t>
            </w:r>
            <w:r w:rsidRPr="00465964">
              <w:rPr>
                <w:vertAlign w:val="superscript"/>
                <w:lang w:val="pt-PT"/>
              </w:rPr>
              <w:t>o</w:t>
            </w:r>
            <w:r w:rsidRPr="00465964">
              <w:rPr>
                <w:lang w:val="pt-PT"/>
              </w:rPr>
              <w:t>, primeiro parágrafo, do TFUE, o Tribunal de Justiça da União Europeia («Tribunal de Justiça») deverá fiscalizar a legalidade dos atos do BCE que não sejam recomendações ou pareceres. Importa, no entanto, recordar que cabe ao Tribunal de Justiça interpretar esta disposição à luz do conteúdo e dos efeitos de um parecer do BCE.</w:t>
            </w:r>
          </w:p>
        </w:tc>
      </w:tr>
    </w:tbl>
    <w:p w14:paraId="2F29301A"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364"/>
        <w:gridCol w:w="8662"/>
      </w:tblGrid>
      <w:tr w:rsidR="00465964" w:rsidRPr="00465964" w14:paraId="65074FF1" w14:textId="77777777" w:rsidTr="00465964">
        <w:tc>
          <w:tcPr>
            <w:tcW w:w="0" w:type="auto"/>
            <w:shd w:val="clear" w:color="auto" w:fill="auto"/>
            <w:hideMark/>
          </w:tcPr>
          <w:p w14:paraId="5A2716C8" w14:textId="77777777" w:rsidR="00465964" w:rsidRPr="00465964" w:rsidRDefault="00465964" w:rsidP="00465964">
            <w:r w:rsidRPr="00465964">
              <w:lastRenderedPageBreak/>
              <w:t>(47)</w:t>
            </w:r>
          </w:p>
        </w:tc>
        <w:tc>
          <w:tcPr>
            <w:tcW w:w="0" w:type="auto"/>
            <w:shd w:val="clear" w:color="auto" w:fill="auto"/>
            <w:hideMark/>
          </w:tcPr>
          <w:p w14:paraId="28A1DF7C" w14:textId="09113484" w:rsidR="00465964" w:rsidRPr="00465964" w:rsidRDefault="00465964" w:rsidP="00465964">
            <w:pPr>
              <w:rPr>
                <w:lang w:val="pt-PT"/>
              </w:rPr>
            </w:pPr>
            <w:r w:rsidRPr="00465964">
              <w:rPr>
                <w:lang w:val="pt-PT"/>
              </w:rPr>
              <w:t xml:space="preserve">Tendo em vista a proteção dos detentores não profissionais, os emitentes de </w:t>
            </w:r>
            <w:r>
              <w:rPr>
                <w:lang w:val="pt-PT"/>
              </w:rPr>
              <w:t>criptomoedas</w:t>
            </w:r>
            <w:r w:rsidRPr="00465964">
              <w:rPr>
                <w:lang w:val="pt-PT"/>
              </w:rPr>
              <w:t xml:space="preserve"> referenciadas a ativos deverão, em qualquer circunstância, prestar aos detentores dessas </w:t>
            </w:r>
            <w:r>
              <w:rPr>
                <w:lang w:val="pt-PT"/>
              </w:rPr>
              <w:t>criptomoedas</w:t>
            </w:r>
            <w:r w:rsidRPr="00465964">
              <w:rPr>
                <w:lang w:val="pt-PT"/>
              </w:rPr>
              <w:t xml:space="preserve"> informação completa, correta, clara e que não induza em erro. Os livretes do criptoativo relativos a </w:t>
            </w:r>
            <w:r>
              <w:rPr>
                <w:lang w:val="pt-PT"/>
              </w:rPr>
              <w:t>criptomoedas</w:t>
            </w:r>
            <w:r w:rsidRPr="00465964">
              <w:rPr>
                <w:lang w:val="pt-PT"/>
              </w:rPr>
              <w:t xml:space="preserve"> referenciadas a ativos deverão incluir informações sobre o mecanismo de estabilização, a política de investimento dos ativos de reserva, os mecanismos de custódia desses ativos e os direitos conferidos aos detentores.</w:t>
            </w:r>
          </w:p>
        </w:tc>
      </w:tr>
      <w:tr w:rsidR="00465964" w:rsidRPr="00465964" w14:paraId="4C5AE12E" w14:textId="77777777" w:rsidTr="00465964">
        <w:tc>
          <w:tcPr>
            <w:tcW w:w="0" w:type="auto"/>
            <w:shd w:val="clear" w:color="auto" w:fill="auto"/>
            <w:hideMark/>
          </w:tcPr>
          <w:p w14:paraId="6492BDB8" w14:textId="77777777" w:rsidR="00465964" w:rsidRPr="00465964" w:rsidRDefault="00465964" w:rsidP="00465964">
            <w:r w:rsidRPr="00465964">
              <w:t>(48)</w:t>
            </w:r>
          </w:p>
        </w:tc>
        <w:tc>
          <w:tcPr>
            <w:tcW w:w="0" w:type="auto"/>
            <w:shd w:val="clear" w:color="auto" w:fill="auto"/>
            <w:hideMark/>
          </w:tcPr>
          <w:p w14:paraId="6C852EA2" w14:textId="23058263" w:rsidR="00465964" w:rsidRPr="00465964" w:rsidRDefault="00465964" w:rsidP="00465964">
            <w:pPr>
              <w:rPr>
                <w:lang w:val="pt-PT"/>
              </w:rPr>
            </w:pPr>
            <w:r w:rsidRPr="00465964">
              <w:rPr>
                <w:lang w:val="pt-PT"/>
              </w:rPr>
              <w:t xml:space="preserve">Para além das informações incluídas no livrete do criptoativo, os emitentes de </w:t>
            </w:r>
            <w:r>
              <w:rPr>
                <w:lang w:val="pt-PT"/>
              </w:rPr>
              <w:t>criptomoedas</w:t>
            </w:r>
            <w:r w:rsidRPr="00465964">
              <w:rPr>
                <w:lang w:val="pt-PT"/>
              </w:rPr>
              <w:t xml:space="preserve"> referenciadas a ativos deverão também manter permanentemente informados os detentores dessas </w:t>
            </w:r>
            <w:r>
              <w:rPr>
                <w:lang w:val="pt-PT"/>
              </w:rPr>
              <w:t>criptomoedas</w:t>
            </w:r>
            <w:r w:rsidRPr="00465964">
              <w:rPr>
                <w:lang w:val="pt-PT"/>
              </w:rPr>
              <w:t xml:space="preserve">. Deverão, nomeadamente, divulgar no respetivo sítio Web a quantidade de </w:t>
            </w:r>
            <w:r>
              <w:rPr>
                <w:lang w:val="pt-PT"/>
              </w:rPr>
              <w:t>criptomoedas</w:t>
            </w:r>
            <w:r w:rsidRPr="00465964">
              <w:rPr>
                <w:lang w:val="pt-PT"/>
              </w:rPr>
              <w:t xml:space="preserve"> referenciadas a ativos em circulação e o valor e composição dos ativos de reserva. Os emitentes de </w:t>
            </w:r>
            <w:r>
              <w:rPr>
                <w:lang w:val="pt-PT"/>
              </w:rPr>
              <w:t>criptomoedas</w:t>
            </w:r>
            <w:r w:rsidRPr="00465964">
              <w:rPr>
                <w:lang w:val="pt-PT"/>
              </w:rPr>
              <w:t xml:space="preserve"> referenciadas a ativos deverão ainda divulgar qualquer evento que tenha ou seja passível de ter um impacto significativo no valor das </w:t>
            </w:r>
            <w:r>
              <w:rPr>
                <w:lang w:val="pt-PT"/>
              </w:rPr>
              <w:t>criptomoedas</w:t>
            </w:r>
            <w:r w:rsidRPr="00465964">
              <w:rPr>
                <w:lang w:val="pt-PT"/>
              </w:rPr>
              <w:t xml:space="preserve"> referenciadas a ativos ou nos ativos de reserva, independentemente de tais criptoativos serem ou não admitidos à negociação.</w:t>
            </w:r>
          </w:p>
        </w:tc>
      </w:tr>
    </w:tbl>
    <w:p w14:paraId="557D83F1"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364"/>
        <w:gridCol w:w="8662"/>
      </w:tblGrid>
      <w:tr w:rsidR="00465964" w:rsidRPr="00465964" w14:paraId="6CC0E410" w14:textId="77777777" w:rsidTr="00465964">
        <w:tc>
          <w:tcPr>
            <w:tcW w:w="0" w:type="auto"/>
            <w:shd w:val="clear" w:color="auto" w:fill="auto"/>
            <w:hideMark/>
          </w:tcPr>
          <w:p w14:paraId="4B3B9369" w14:textId="77777777" w:rsidR="00465964" w:rsidRPr="00465964" w:rsidRDefault="00465964" w:rsidP="00465964">
            <w:r w:rsidRPr="00465964">
              <w:t>(49)</w:t>
            </w:r>
          </w:p>
        </w:tc>
        <w:tc>
          <w:tcPr>
            <w:tcW w:w="0" w:type="auto"/>
            <w:shd w:val="clear" w:color="auto" w:fill="auto"/>
            <w:hideMark/>
          </w:tcPr>
          <w:p w14:paraId="4792FB56" w14:textId="03C5F8FE" w:rsidR="00465964" w:rsidRPr="00465964" w:rsidRDefault="00465964" w:rsidP="00465964">
            <w:pPr>
              <w:rPr>
                <w:lang w:val="pt-PT"/>
              </w:rPr>
            </w:pPr>
            <w:r w:rsidRPr="00465964">
              <w:rPr>
                <w:lang w:val="pt-PT"/>
              </w:rPr>
              <w:t xml:space="preserve">De modo a assegurar a proteção dos detentores não profissionais, os emitentes de </w:t>
            </w:r>
            <w:r>
              <w:rPr>
                <w:lang w:val="pt-PT"/>
              </w:rPr>
              <w:t>criptomoedas</w:t>
            </w:r>
            <w:r w:rsidRPr="00465964">
              <w:rPr>
                <w:lang w:val="pt-PT"/>
              </w:rPr>
              <w:t xml:space="preserve"> referenciadas a ativos deverão agir sempre com honestidade, lealdade e profissionalismo e no melhor interesse dos detentores dessas </w:t>
            </w:r>
            <w:r>
              <w:rPr>
                <w:lang w:val="pt-PT"/>
              </w:rPr>
              <w:t>criptomoedas</w:t>
            </w:r>
            <w:r w:rsidRPr="00465964">
              <w:rPr>
                <w:lang w:val="pt-PT"/>
              </w:rPr>
              <w:t xml:space="preserve"> referenciadas a ativos. Os emitentes de </w:t>
            </w:r>
            <w:r>
              <w:rPr>
                <w:lang w:val="pt-PT"/>
              </w:rPr>
              <w:t>criptomoedas</w:t>
            </w:r>
            <w:r w:rsidRPr="00465964">
              <w:rPr>
                <w:lang w:val="pt-PT"/>
              </w:rPr>
              <w:t xml:space="preserve"> referenciadas a ativos deverão também aplicar um procedimento claro para a tramitação das reclamações recebidas dos detentores das </w:t>
            </w:r>
            <w:r>
              <w:rPr>
                <w:lang w:val="pt-PT"/>
              </w:rPr>
              <w:t>criptomoedas</w:t>
            </w:r>
            <w:r w:rsidRPr="00465964">
              <w:rPr>
                <w:lang w:val="pt-PT"/>
              </w:rPr>
              <w:t xml:space="preserve"> referenciadas a ativos.</w:t>
            </w:r>
          </w:p>
        </w:tc>
      </w:tr>
      <w:tr w:rsidR="00465964" w:rsidRPr="00465964" w14:paraId="5ECE9A2F" w14:textId="77777777" w:rsidTr="00465964">
        <w:tc>
          <w:tcPr>
            <w:tcW w:w="0" w:type="auto"/>
            <w:shd w:val="clear" w:color="auto" w:fill="auto"/>
            <w:hideMark/>
          </w:tcPr>
          <w:p w14:paraId="3EFA2124" w14:textId="77777777" w:rsidR="00465964" w:rsidRPr="00465964" w:rsidRDefault="00465964" w:rsidP="00465964">
            <w:r w:rsidRPr="00465964">
              <w:t>(50)</w:t>
            </w:r>
          </w:p>
        </w:tc>
        <w:tc>
          <w:tcPr>
            <w:tcW w:w="0" w:type="auto"/>
            <w:shd w:val="clear" w:color="auto" w:fill="auto"/>
            <w:hideMark/>
          </w:tcPr>
          <w:p w14:paraId="1CD62823" w14:textId="29C6E0EF" w:rsidR="00465964" w:rsidRPr="00465964" w:rsidRDefault="00465964" w:rsidP="00465964">
            <w:pPr>
              <w:rPr>
                <w:lang w:val="pt-PT"/>
              </w:rPr>
            </w:pPr>
            <w:r w:rsidRPr="00465964">
              <w:rPr>
                <w:lang w:val="pt-PT"/>
              </w:rPr>
              <w:t xml:space="preserve">Os emitentes de </w:t>
            </w:r>
            <w:r>
              <w:rPr>
                <w:lang w:val="pt-PT"/>
              </w:rPr>
              <w:t>criptomoedas</w:t>
            </w:r>
            <w:r w:rsidRPr="00465964">
              <w:rPr>
                <w:lang w:val="pt-PT"/>
              </w:rPr>
              <w:t xml:space="preserve"> referenciadas a ativos deverão aplicar uma política que permita identificar, prevenir, gerir e divulgar os conflitos de interesse que possam surgir nas suas relações com os seus acionistas ou sócios, ou com qualquer acionista ou sócio, direto ou indireto, que detenha uma participação qualificada no emitente, ou com os membros do órgão de administração, os seus trabalhadores, clientes ou entidades terceiras prestadoras de serviços.</w:t>
            </w:r>
          </w:p>
        </w:tc>
      </w:tr>
    </w:tbl>
    <w:p w14:paraId="36FDE440"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364"/>
        <w:gridCol w:w="8662"/>
      </w:tblGrid>
      <w:tr w:rsidR="00465964" w:rsidRPr="00465964" w14:paraId="1EF70244" w14:textId="77777777" w:rsidTr="00465964">
        <w:tc>
          <w:tcPr>
            <w:tcW w:w="0" w:type="auto"/>
            <w:shd w:val="clear" w:color="auto" w:fill="auto"/>
            <w:hideMark/>
          </w:tcPr>
          <w:p w14:paraId="452A49A9" w14:textId="77777777" w:rsidR="00465964" w:rsidRPr="00465964" w:rsidRDefault="00465964" w:rsidP="00465964">
            <w:r w:rsidRPr="00465964">
              <w:t>(51)</w:t>
            </w:r>
          </w:p>
        </w:tc>
        <w:tc>
          <w:tcPr>
            <w:tcW w:w="0" w:type="auto"/>
            <w:shd w:val="clear" w:color="auto" w:fill="auto"/>
            <w:hideMark/>
          </w:tcPr>
          <w:p w14:paraId="0258AD24" w14:textId="714DFE1A" w:rsidR="00465964" w:rsidRPr="00465964" w:rsidRDefault="00465964" w:rsidP="00465964">
            <w:pPr>
              <w:rPr>
                <w:lang w:val="pt-PT"/>
              </w:rPr>
            </w:pPr>
            <w:r w:rsidRPr="00465964">
              <w:rPr>
                <w:lang w:val="pt-PT"/>
              </w:rPr>
              <w:t xml:space="preserve">Os emitentes de </w:t>
            </w:r>
            <w:r>
              <w:rPr>
                <w:lang w:val="pt-PT"/>
              </w:rPr>
              <w:t>criptomoedas</w:t>
            </w:r>
            <w:r w:rsidRPr="00465964">
              <w:rPr>
                <w:lang w:val="pt-PT"/>
              </w:rPr>
              <w:t xml:space="preserve"> referenciadas a ativos deverão dispor de mecanismos de governação robustos, incluindo uma estrutura organizativa clara, com linhas de responsabilidade bem definidas, transparentes e coerentes e processos eficazes de identificação, gestão, acompanhamento e comunicação dos riscos aos quais estão ou poderão vir a estar expostos. Os membros do órgão de administração desses emitentes deverão, em especial, ser competentes e idóneos e não podem ter sido condenados por infrações relacionadas com branqueamento de capitais ou financiamento do terrorismo, nem por quaisquer outras infrações que afetem a sua idoneidade. Os acionistas ou sócios, quer diretos ou indiretos, quer sejam pessoas singulares ou coletivas, que detenham participações qualificadas nesses emitentes deverão ter idoneidade suficiente e não poderão, em especial, ter sido condenados por infrações relacionadas com branqueamento de capitais ou financiamento do terrorismo, nem por quaisquer outras infrações que afetem a sua idoneidade. Os emitentes de </w:t>
            </w:r>
            <w:r>
              <w:rPr>
                <w:lang w:val="pt-PT"/>
              </w:rPr>
              <w:t>criptomoedas</w:t>
            </w:r>
            <w:r w:rsidRPr="00465964">
              <w:rPr>
                <w:lang w:val="pt-PT"/>
              </w:rPr>
              <w:t xml:space="preserve"> referenciadas a ativos deverão igualmente empregar recursos proporcionais à dimensão das atividades que desenvolvem e assegurar sempre a continuidade e regularidade das respetivas atividades. Para o efeito, os emitentes de </w:t>
            </w:r>
            <w:r>
              <w:rPr>
                <w:lang w:val="pt-PT"/>
              </w:rPr>
              <w:t>criptomoedas</w:t>
            </w:r>
            <w:r w:rsidRPr="00465964">
              <w:rPr>
                <w:lang w:val="pt-PT"/>
              </w:rPr>
              <w:t xml:space="preserve"> referenciadas a ativos deverão dispor de uma política de continuidade das suas atividades que procure garantir, em caso de interrupção dos seus sistemas e procedimentos, a prossecução das suas principais atividades relacionadas com as </w:t>
            </w:r>
            <w:r>
              <w:rPr>
                <w:lang w:val="pt-PT"/>
              </w:rPr>
              <w:t>criptomoedas</w:t>
            </w:r>
            <w:r w:rsidRPr="00465964">
              <w:rPr>
                <w:lang w:val="pt-PT"/>
              </w:rPr>
              <w:t xml:space="preserve"> referenciadas a ativos. Os emitentes de </w:t>
            </w:r>
            <w:r>
              <w:rPr>
                <w:lang w:val="pt-PT"/>
              </w:rPr>
              <w:t>criptomoedas</w:t>
            </w:r>
            <w:r w:rsidRPr="00465964">
              <w:rPr>
                <w:lang w:val="pt-PT"/>
              </w:rPr>
              <w:t xml:space="preserve"> </w:t>
            </w:r>
            <w:r w:rsidRPr="00465964">
              <w:rPr>
                <w:lang w:val="pt-PT"/>
              </w:rPr>
              <w:lastRenderedPageBreak/>
              <w:t xml:space="preserve">referenciadas a ativos deverão ainda dispor de um mecanismo sólido de controlo interno e avaliação de riscos, bem como de um sistema de garantia da integridade e confidencialidade das informações recebidas. Essas obrigações visam assegurar a proteção de detentores de </w:t>
            </w:r>
            <w:r>
              <w:rPr>
                <w:lang w:val="pt-PT"/>
              </w:rPr>
              <w:t>criptomoedas</w:t>
            </w:r>
            <w:r w:rsidRPr="00465964">
              <w:rPr>
                <w:lang w:val="pt-PT"/>
              </w:rPr>
              <w:t xml:space="preserve"> referenciadas a ativos, em especial detentores não profissionais, sem criar obstáculos desnecessários.</w:t>
            </w:r>
          </w:p>
        </w:tc>
      </w:tr>
      <w:tr w:rsidR="00465964" w:rsidRPr="00465964" w14:paraId="00AD38E4" w14:textId="77777777" w:rsidTr="00465964">
        <w:tc>
          <w:tcPr>
            <w:tcW w:w="0" w:type="auto"/>
            <w:shd w:val="clear" w:color="auto" w:fill="auto"/>
            <w:hideMark/>
          </w:tcPr>
          <w:p w14:paraId="051EA96D" w14:textId="77777777" w:rsidR="00465964" w:rsidRPr="00465964" w:rsidRDefault="00465964" w:rsidP="00465964">
            <w:r w:rsidRPr="00465964">
              <w:lastRenderedPageBreak/>
              <w:t>(52)</w:t>
            </w:r>
          </w:p>
        </w:tc>
        <w:tc>
          <w:tcPr>
            <w:tcW w:w="0" w:type="auto"/>
            <w:shd w:val="clear" w:color="auto" w:fill="auto"/>
            <w:hideMark/>
          </w:tcPr>
          <w:p w14:paraId="04565FFE" w14:textId="259F76FF" w:rsidR="00465964" w:rsidRPr="00465964" w:rsidRDefault="00465964" w:rsidP="00465964">
            <w:pPr>
              <w:rPr>
                <w:lang w:val="pt-PT"/>
              </w:rPr>
            </w:pPr>
            <w:r w:rsidRPr="00465964">
              <w:rPr>
                <w:lang w:val="pt-PT"/>
              </w:rPr>
              <w:t xml:space="preserve">Os emitentes de </w:t>
            </w:r>
            <w:r>
              <w:rPr>
                <w:lang w:val="pt-PT"/>
              </w:rPr>
              <w:t>criptomoedas</w:t>
            </w:r>
            <w:r w:rsidRPr="00465964">
              <w:rPr>
                <w:lang w:val="pt-PT"/>
              </w:rPr>
              <w:t xml:space="preserve"> referenciadas a ativos estão geralmente no centro de uma rede de entidades que garantem a emissão, a transferência e distribuição desses criptoativos aos detentores. Os emitentes de </w:t>
            </w:r>
            <w:r>
              <w:rPr>
                <w:lang w:val="pt-PT"/>
              </w:rPr>
              <w:t>criptomoedas</w:t>
            </w:r>
            <w:r w:rsidRPr="00465964">
              <w:rPr>
                <w:lang w:val="pt-PT"/>
              </w:rPr>
              <w:t xml:space="preserve"> referenciadas a ativos deverão, portanto, ser obrigados a acordar e a manter disposições contratuais adequadas com entidades terceiras para assegurar o mecanismo de estabilização e o investimento dos ativos de reserva que garantem o valor das </w:t>
            </w:r>
            <w:r>
              <w:rPr>
                <w:lang w:val="pt-PT"/>
              </w:rPr>
              <w:t>criptomoedas</w:t>
            </w:r>
            <w:r w:rsidRPr="00465964">
              <w:rPr>
                <w:lang w:val="pt-PT"/>
              </w:rPr>
              <w:t xml:space="preserve">, a custódia de tais ativos de reserva e, quando aplicável, a distribuição ao público das </w:t>
            </w:r>
            <w:r>
              <w:rPr>
                <w:lang w:val="pt-PT"/>
              </w:rPr>
              <w:t>criptomoedas</w:t>
            </w:r>
            <w:r w:rsidRPr="00465964">
              <w:rPr>
                <w:lang w:val="pt-PT"/>
              </w:rPr>
              <w:t xml:space="preserve"> referenciadas a ativos.</w:t>
            </w:r>
          </w:p>
        </w:tc>
      </w:tr>
    </w:tbl>
    <w:p w14:paraId="106C3D5A"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364"/>
        <w:gridCol w:w="8662"/>
      </w:tblGrid>
      <w:tr w:rsidR="00465964" w:rsidRPr="00465964" w14:paraId="54BFEA55" w14:textId="77777777" w:rsidTr="00465964">
        <w:tc>
          <w:tcPr>
            <w:tcW w:w="0" w:type="auto"/>
            <w:shd w:val="clear" w:color="auto" w:fill="auto"/>
            <w:hideMark/>
          </w:tcPr>
          <w:p w14:paraId="237A53DB" w14:textId="77777777" w:rsidR="00465964" w:rsidRPr="00465964" w:rsidRDefault="00465964" w:rsidP="00465964">
            <w:r w:rsidRPr="00465964">
              <w:t>(53)</w:t>
            </w:r>
          </w:p>
        </w:tc>
        <w:tc>
          <w:tcPr>
            <w:tcW w:w="0" w:type="auto"/>
            <w:shd w:val="clear" w:color="auto" w:fill="auto"/>
            <w:hideMark/>
          </w:tcPr>
          <w:p w14:paraId="26EFB357" w14:textId="775F4833" w:rsidR="00465964" w:rsidRPr="00465964" w:rsidRDefault="00465964" w:rsidP="00465964">
            <w:pPr>
              <w:rPr>
                <w:lang w:val="pt-PT"/>
              </w:rPr>
            </w:pPr>
            <w:r w:rsidRPr="00465964">
              <w:rPr>
                <w:lang w:val="pt-PT"/>
              </w:rPr>
              <w:t xml:space="preserve">Para enfrentar os riscos para a estabilidade do sistema financeiro em geral, os emitentes de </w:t>
            </w:r>
            <w:r>
              <w:rPr>
                <w:lang w:val="pt-PT"/>
              </w:rPr>
              <w:t>criptomoedas</w:t>
            </w:r>
            <w:r w:rsidRPr="00465964">
              <w:rPr>
                <w:lang w:val="pt-PT"/>
              </w:rPr>
              <w:t xml:space="preserve"> referenciadas a ativos deverão estar sujeitos a requisitos de fundos próprios. Esses requisitos deverão ser proporcionais à dimensão da emissão das </w:t>
            </w:r>
            <w:r>
              <w:rPr>
                <w:lang w:val="pt-PT"/>
              </w:rPr>
              <w:t>criptomoedas</w:t>
            </w:r>
            <w:r w:rsidRPr="00465964">
              <w:rPr>
                <w:lang w:val="pt-PT"/>
              </w:rPr>
              <w:t xml:space="preserve"> referenciadas a ativos e, por conseguinte, calculados em percentagem da reserva de ativos que garante o valor das </w:t>
            </w:r>
            <w:r>
              <w:rPr>
                <w:lang w:val="pt-PT"/>
              </w:rPr>
              <w:t>criptomoedas</w:t>
            </w:r>
            <w:r w:rsidRPr="00465964">
              <w:rPr>
                <w:lang w:val="pt-PT"/>
              </w:rPr>
              <w:t xml:space="preserve"> referenciadas a ativos. As autoridades competentes deverão, no entanto, ter a possibilidade de aumentar o montante de fundos próprios exigido, com base, nomeadamente, na análise do processo de gestão de risco e dos mecanismos de controlo interno do emitente, na qualidade e volatilidade dos ativos de reserva que garantem as </w:t>
            </w:r>
            <w:r>
              <w:rPr>
                <w:lang w:val="pt-PT"/>
              </w:rPr>
              <w:t>criptomoedas</w:t>
            </w:r>
            <w:r w:rsidRPr="00465964">
              <w:rPr>
                <w:lang w:val="pt-PT"/>
              </w:rPr>
              <w:t xml:space="preserve"> referenciadas a ativos ou no valor agregado e no número de transações liquidadas em </w:t>
            </w:r>
            <w:r>
              <w:rPr>
                <w:lang w:val="pt-PT"/>
              </w:rPr>
              <w:t>criptomoedas</w:t>
            </w:r>
            <w:r w:rsidRPr="00465964">
              <w:rPr>
                <w:lang w:val="pt-PT"/>
              </w:rPr>
              <w:t xml:space="preserve"> referenciadas a ativos.</w:t>
            </w:r>
          </w:p>
        </w:tc>
      </w:tr>
      <w:tr w:rsidR="00465964" w:rsidRPr="00465964" w14:paraId="3C1AD775" w14:textId="77777777" w:rsidTr="00465964">
        <w:tc>
          <w:tcPr>
            <w:tcW w:w="0" w:type="auto"/>
            <w:shd w:val="clear" w:color="auto" w:fill="auto"/>
            <w:hideMark/>
          </w:tcPr>
          <w:p w14:paraId="618D9947" w14:textId="77777777" w:rsidR="00465964" w:rsidRPr="00465964" w:rsidRDefault="00465964" w:rsidP="00465964">
            <w:r w:rsidRPr="00465964">
              <w:t>(54)</w:t>
            </w:r>
          </w:p>
        </w:tc>
        <w:tc>
          <w:tcPr>
            <w:tcW w:w="0" w:type="auto"/>
            <w:shd w:val="clear" w:color="auto" w:fill="auto"/>
            <w:hideMark/>
          </w:tcPr>
          <w:p w14:paraId="103E2B96" w14:textId="2A80ACC2" w:rsidR="00465964" w:rsidRPr="00465964" w:rsidRDefault="00465964" w:rsidP="00465964">
            <w:pPr>
              <w:rPr>
                <w:lang w:val="pt-PT"/>
              </w:rPr>
            </w:pPr>
            <w:r w:rsidRPr="00465964">
              <w:rPr>
                <w:lang w:val="pt-PT"/>
              </w:rPr>
              <w:t xml:space="preserve">A fim de cobrir as suas responsabilidades para com os detentores das </w:t>
            </w:r>
            <w:r>
              <w:rPr>
                <w:lang w:val="pt-PT"/>
              </w:rPr>
              <w:t>criptomoedas</w:t>
            </w:r>
            <w:r w:rsidRPr="00465964">
              <w:rPr>
                <w:lang w:val="pt-PT"/>
              </w:rPr>
              <w:t xml:space="preserve"> referenciadas a ativos, os emitentes de </w:t>
            </w:r>
            <w:r>
              <w:rPr>
                <w:lang w:val="pt-PT"/>
              </w:rPr>
              <w:t>criptomoedas</w:t>
            </w:r>
            <w:r w:rsidRPr="00465964">
              <w:rPr>
                <w:lang w:val="pt-PT"/>
              </w:rPr>
              <w:t xml:space="preserve"> referenciadas a ativos deverão constituir e manter uma reserva de ativos que corresponda aos riscos refletidos nessas responsabilidades. A reserva de ativos deverá ser utilizada em benefício dos detentores das </w:t>
            </w:r>
            <w:r>
              <w:rPr>
                <w:lang w:val="pt-PT"/>
              </w:rPr>
              <w:t>criptomoedas</w:t>
            </w:r>
            <w:r w:rsidRPr="00465964">
              <w:rPr>
                <w:lang w:val="pt-PT"/>
              </w:rPr>
              <w:t xml:space="preserve"> referenciadas a ativos quando o emitente não conseguir cumprir as suas obrigações relativamente aos detentores, como em caso de insolvência. A reserva de ativos deverá ser composta e gerida por forma a cobrir os riscos de mercado e os riscos cambiais. Os emitentes de </w:t>
            </w:r>
            <w:r>
              <w:rPr>
                <w:lang w:val="pt-PT"/>
              </w:rPr>
              <w:t>criptomoedas</w:t>
            </w:r>
            <w:r w:rsidRPr="00465964">
              <w:rPr>
                <w:lang w:val="pt-PT"/>
              </w:rPr>
              <w:t xml:space="preserve"> referenciadas a ativos deverão assegurar uma gestão prudente da reserva de ativos e garantir, em especial, que o valor da reserva seja pelo menos igual ao valor correspondente das </w:t>
            </w:r>
            <w:r>
              <w:rPr>
                <w:lang w:val="pt-PT"/>
              </w:rPr>
              <w:t>criptomoedas</w:t>
            </w:r>
            <w:r w:rsidRPr="00465964">
              <w:rPr>
                <w:lang w:val="pt-PT"/>
              </w:rPr>
              <w:t xml:space="preserve"> em circulação e que as variações a nível da reserva sejam geridas de forma adequada, de molde a evitar impactos adversos no mercado dos ativos de reserva. Os emitentes de criptoativos referenciados a ativos deverão, por conseguinte, dispor de políticas claras e pormenorizadas que descrevam, nomeadamente, a composição da reserva de ativos, a afetação desses ativos, uma avaliação exaustiva dos riscos que suscitam, o procedimento de emissão e reembolso das </w:t>
            </w:r>
            <w:r>
              <w:rPr>
                <w:lang w:val="pt-PT"/>
              </w:rPr>
              <w:t>criptomoedas</w:t>
            </w:r>
            <w:r w:rsidRPr="00465964">
              <w:rPr>
                <w:lang w:val="pt-PT"/>
              </w:rPr>
              <w:t xml:space="preserve"> referenciadas a ativos, o procedimento para aumentar e diminuir os ativos de reserva e, se os ativos de reserva forem investidos, a política de investimento seguida pelos emitentes. Os emitentes de </w:t>
            </w:r>
            <w:r>
              <w:rPr>
                <w:lang w:val="pt-PT"/>
              </w:rPr>
              <w:t>criptomoedas</w:t>
            </w:r>
            <w:r w:rsidRPr="00465964">
              <w:rPr>
                <w:lang w:val="pt-PT"/>
              </w:rPr>
              <w:t xml:space="preserve"> referenciadas a ativos comercializadas tanto na União como em países terceiros deverão assegurar que a sua reserva de ativos está disponível para cobrir as responsabilidades do emitente para com os detentores da União. O requisito que obriga a manter a reserva de ativos junto de empresas sujeitas ao direito da </w:t>
            </w:r>
            <w:r w:rsidRPr="00465964">
              <w:rPr>
                <w:lang w:val="pt-PT"/>
              </w:rPr>
              <w:lastRenderedPageBreak/>
              <w:t xml:space="preserve">União deverá, por conseguinte, aplicar-se proporcionalmente à quota de </w:t>
            </w:r>
            <w:r>
              <w:rPr>
                <w:lang w:val="pt-PT"/>
              </w:rPr>
              <w:t>criptomoedas</w:t>
            </w:r>
            <w:r w:rsidRPr="00465964">
              <w:rPr>
                <w:lang w:val="pt-PT"/>
              </w:rPr>
              <w:t xml:space="preserve"> referenciadas a ativos que, segundo se prevê, será comercializada na União.</w:t>
            </w:r>
          </w:p>
        </w:tc>
      </w:tr>
    </w:tbl>
    <w:p w14:paraId="6CC885A8"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364"/>
        <w:gridCol w:w="8662"/>
      </w:tblGrid>
      <w:tr w:rsidR="00465964" w:rsidRPr="00465964" w14:paraId="75A614B2" w14:textId="77777777" w:rsidTr="00465964">
        <w:tc>
          <w:tcPr>
            <w:tcW w:w="0" w:type="auto"/>
            <w:shd w:val="clear" w:color="auto" w:fill="auto"/>
            <w:hideMark/>
          </w:tcPr>
          <w:p w14:paraId="63BC7C49" w14:textId="77777777" w:rsidR="00465964" w:rsidRPr="00465964" w:rsidRDefault="00465964" w:rsidP="00465964">
            <w:r w:rsidRPr="00465964">
              <w:t>(55)</w:t>
            </w:r>
          </w:p>
        </w:tc>
        <w:tc>
          <w:tcPr>
            <w:tcW w:w="0" w:type="auto"/>
            <w:shd w:val="clear" w:color="auto" w:fill="auto"/>
            <w:hideMark/>
          </w:tcPr>
          <w:p w14:paraId="50F8D8E8" w14:textId="5E4F5426" w:rsidR="00465964" w:rsidRPr="00465964" w:rsidRDefault="00465964" w:rsidP="00465964">
            <w:r w:rsidRPr="00465964">
              <w:rPr>
                <w:lang w:val="pt-PT"/>
              </w:rPr>
              <w:t xml:space="preserve">Com vista a prevenir o risco de perda no caso das </w:t>
            </w:r>
            <w:r>
              <w:rPr>
                <w:lang w:val="pt-PT"/>
              </w:rPr>
              <w:t>criptomoedas</w:t>
            </w:r>
            <w:r w:rsidRPr="00465964">
              <w:rPr>
                <w:lang w:val="pt-PT"/>
              </w:rPr>
              <w:t xml:space="preserve"> referenciadas a ativos e de preservar o valor desses ativos, os emitentes de </w:t>
            </w:r>
            <w:r>
              <w:rPr>
                <w:lang w:val="pt-PT"/>
              </w:rPr>
              <w:t>criptomoedas</w:t>
            </w:r>
            <w:r w:rsidRPr="00465964">
              <w:rPr>
                <w:lang w:val="pt-PT"/>
              </w:rPr>
              <w:t xml:space="preserve"> referenciadas a ativos deverão dispor de uma política de custódia adequada para os seus ativos de reserva. Essa política deverá assegurar que os ativos de reserva estejam, a todo o tempo, totalmente segregados dos ativos próprios do emitente, não sejam onerados nem dados como garantia e que o emitente de </w:t>
            </w:r>
            <w:r>
              <w:rPr>
                <w:lang w:val="pt-PT"/>
              </w:rPr>
              <w:t>criptomoedas</w:t>
            </w:r>
            <w:r w:rsidRPr="00465964">
              <w:rPr>
                <w:lang w:val="pt-PT"/>
              </w:rPr>
              <w:t xml:space="preserve"> referenciadas a ativos possa ter um acesso imediato a esses ativos de reserva. Os ativos de reserva deverão, em função da sua natureza, ser mantidos em custódia por um prestador de serviços de criptoativos, por uma instituição de crédito autorizada nos termos da Diretiva 2013/36/UE ou por uma empresa de investimento autorizada ao abrigo da Diretiva 2014/65/UE. Tal não deverá prejudicar a possibilidade de delegar a detenção dos ativos físicos noutra entidade. Os prestadores de serviços de criptoativos, as instituições de crédito ou as empresas de investimento que atuem como entidades de custódia dos ativos de reserva deverão ser responsáveis pela perda de tais ativos de reserva perante o emitente ou os detentores de </w:t>
            </w:r>
            <w:r>
              <w:rPr>
                <w:lang w:val="pt-PT"/>
              </w:rPr>
              <w:t>criptomoedas</w:t>
            </w:r>
            <w:r w:rsidRPr="00465964">
              <w:rPr>
                <w:lang w:val="pt-PT"/>
              </w:rPr>
              <w:t xml:space="preserve"> referenciadas a ativos, salvo se provarem que tal perda resultou de um acontecimento externo fora do seu controlo razoável. Convém evitar concentrações de entidades de custódia de ativos de reserva. Todavia, em determinadas situações, tal poderá não ser possível devido à falta de alternativas adequadas. </w:t>
            </w:r>
            <w:proofErr w:type="spellStart"/>
            <w:r w:rsidRPr="00465964">
              <w:t>Nesses</w:t>
            </w:r>
            <w:proofErr w:type="spellEnd"/>
            <w:r w:rsidRPr="00465964">
              <w:t xml:space="preserve"> </w:t>
            </w:r>
            <w:proofErr w:type="spellStart"/>
            <w:r w:rsidRPr="00465964">
              <w:t>casos</w:t>
            </w:r>
            <w:proofErr w:type="spellEnd"/>
            <w:r w:rsidRPr="00465964">
              <w:t xml:space="preserve">, </w:t>
            </w:r>
            <w:proofErr w:type="spellStart"/>
            <w:r w:rsidRPr="00465964">
              <w:t>uma</w:t>
            </w:r>
            <w:proofErr w:type="spellEnd"/>
            <w:r w:rsidRPr="00465964">
              <w:t xml:space="preserve"> </w:t>
            </w:r>
            <w:proofErr w:type="spellStart"/>
            <w:r w:rsidRPr="00465964">
              <w:t>concentração</w:t>
            </w:r>
            <w:proofErr w:type="spellEnd"/>
            <w:r w:rsidRPr="00465964">
              <w:t xml:space="preserve"> </w:t>
            </w:r>
            <w:proofErr w:type="spellStart"/>
            <w:r w:rsidRPr="00465964">
              <w:t>temporária</w:t>
            </w:r>
            <w:proofErr w:type="spellEnd"/>
            <w:r w:rsidRPr="00465964">
              <w:t xml:space="preserve"> </w:t>
            </w:r>
            <w:proofErr w:type="spellStart"/>
            <w:r w:rsidRPr="00465964">
              <w:t>deverá</w:t>
            </w:r>
            <w:proofErr w:type="spellEnd"/>
            <w:r w:rsidRPr="00465964">
              <w:t xml:space="preserve"> ser </w:t>
            </w:r>
            <w:proofErr w:type="spellStart"/>
            <w:r w:rsidRPr="00465964">
              <w:t>considerada</w:t>
            </w:r>
            <w:proofErr w:type="spellEnd"/>
            <w:r w:rsidRPr="00465964">
              <w:t xml:space="preserve"> </w:t>
            </w:r>
            <w:proofErr w:type="spellStart"/>
            <w:r w:rsidRPr="00465964">
              <w:t>aceitável</w:t>
            </w:r>
            <w:proofErr w:type="spellEnd"/>
            <w:r w:rsidRPr="00465964">
              <w:t>.</w:t>
            </w:r>
          </w:p>
        </w:tc>
      </w:tr>
      <w:tr w:rsidR="00465964" w:rsidRPr="00465964" w14:paraId="5499CE4C" w14:textId="77777777" w:rsidTr="00465964">
        <w:tc>
          <w:tcPr>
            <w:tcW w:w="0" w:type="auto"/>
            <w:shd w:val="clear" w:color="auto" w:fill="auto"/>
            <w:hideMark/>
          </w:tcPr>
          <w:p w14:paraId="7F74D763" w14:textId="77777777" w:rsidR="00465964" w:rsidRPr="00465964" w:rsidRDefault="00465964" w:rsidP="00465964">
            <w:r w:rsidRPr="00465964">
              <w:t>(56)</w:t>
            </w:r>
          </w:p>
        </w:tc>
        <w:tc>
          <w:tcPr>
            <w:tcW w:w="0" w:type="auto"/>
            <w:shd w:val="clear" w:color="auto" w:fill="auto"/>
            <w:hideMark/>
          </w:tcPr>
          <w:p w14:paraId="4077F25E" w14:textId="3FABECB8" w:rsidR="00465964" w:rsidRPr="00465964" w:rsidRDefault="00465964" w:rsidP="00465964">
            <w:pPr>
              <w:rPr>
                <w:lang w:val="pt-PT"/>
              </w:rPr>
            </w:pPr>
            <w:r w:rsidRPr="00465964">
              <w:rPr>
                <w:lang w:val="pt-PT"/>
              </w:rPr>
              <w:t xml:space="preserve">Por forma a proteger os detentores de </w:t>
            </w:r>
            <w:r>
              <w:rPr>
                <w:lang w:val="pt-PT"/>
              </w:rPr>
              <w:t>criptomoedas</w:t>
            </w:r>
            <w:r w:rsidRPr="00465964">
              <w:rPr>
                <w:lang w:val="pt-PT"/>
              </w:rPr>
              <w:t xml:space="preserve"> referenciadas a ativos face a uma diminuição do valor dos ativos que garantem o valor das </w:t>
            </w:r>
            <w:r>
              <w:rPr>
                <w:lang w:val="pt-PT"/>
              </w:rPr>
              <w:t>criptomoedas</w:t>
            </w:r>
            <w:r w:rsidRPr="00465964">
              <w:rPr>
                <w:lang w:val="pt-PT"/>
              </w:rPr>
              <w:t xml:space="preserve">, os emitentes de </w:t>
            </w:r>
            <w:r>
              <w:rPr>
                <w:lang w:val="pt-PT"/>
              </w:rPr>
              <w:t>criptomoedas</w:t>
            </w:r>
            <w:r w:rsidRPr="00465964">
              <w:rPr>
                <w:lang w:val="pt-PT"/>
              </w:rPr>
              <w:t xml:space="preserve"> referenciadas a ativos só poderão investir os ativos de reserva em ativos seguros e de baixo risco, com riscos de mercado, de concentração e de crédito mínimos. Uma vez que as </w:t>
            </w:r>
            <w:r>
              <w:rPr>
                <w:lang w:val="pt-PT"/>
              </w:rPr>
              <w:t>criptomoedas</w:t>
            </w:r>
            <w:r w:rsidRPr="00465964">
              <w:rPr>
                <w:lang w:val="pt-PT"/>
              </w:rPr>
              <w:t xml:space="preserve"> referenciadas a ativos são suscetíveis de ser utilizadas como meio de troca, todos os lucros ou perdas resultantes do investimento dos ativos de reserva deverão ser assumidos pelo emitente das </w:t>
            </w:r>
            <w:r>
              <w:rPr>
                <w:lang w:val="pt-PT"/>
              </w:rPr>
              <w:t>criptomoedas</w:t>
            </w:r>
            <w:r w:rsidRPr="00465964">
              <w:rPr>
                <w:lang w:val="pt-PT"/>
              </w:rPr>
              <w:t xml:space="preserve"> referenciadas a ativos.</w:t>
            </w:r>
          </w:p>
        </w:tc>
      </w:tr>
    </w:tbl>
    <w:p w14:paraId="2B8C24C2"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364"/>
        <w:gridCol w:w="8662"/>
      </w:tblGrid>
      <w:tr w:rsidR="00465964" w:rsidRPr="00465964" w14:paraId="04C0D3B0" w14:textId="77777777" w:rsidTr="00465964">
        <w:tc>
          <w:tcPr>
            <w:tcW w:w="0" w:type="auto"/>
            <w:shd w:val="clear" w:color="auto" w:fill="auto"/>
            <w:hideMark/>
          </w:tcPr>
          <w:p w14:paraId="3A6AF693" w14:textId="77777777" w:rsidR="00465964" w:rsidRPr="00465964" w:rsidRDefault="00465964" w:rsidP="00465964">
            <w:r w:rsidRPr="00465964">
              <w:t>(57)</w:t>
            </w:r>
          </w:p>
        </w:tc>
        <w:tc>
          <w:tcPr>
            <w:tcW w:w="0" w:type="auto"/>
            <w:shd w:val="clear" w:color="auto" w:fill="auto"/>
            <w:hideMark/>
          </w:tcPr>
          <w:p w14:paraId="348245E9" w14:textId="4C64CF6B" w:rsidR="00465964" w:rsidRPr="00465964" w:rsidRDefault="00465964" w:rsidP="00465964">
            <w:pPr>
              <w:rPr>
                <w:lang w:val="pt-PT"/>
              </w:rPr>
            </w:pPr>
            <w:r w:rsidRPr="00465964">
              <w:rPr>
                <w:lang w:val="pt-PT"/>
              </w:rPr>
              <w:t xml:space="preserve">Os detentores de </w:t>
            </w:r>
            <w:r>
              <w:rPr>
                <w:lang w:val="pt-PT"/>
              </w:rPr>
              <w:t>criptomoedas</w:t>
            </w:r>
            <w:r w:rsidRPr="00465964">
              <w:rPr>
                <w:lang w:val="pt-PT"/>
              </w:rPr>
              <w:t xml:space="preserve"> referenciadas a ativos deverão ter um direito de reembolso permanente, </w:t>
            </w:r>
            <w:proofErr w:type="gramStart"/>
            <w:r w:rsidRPr="00465964">
              <w:rPr>
                <w:lang w:val="pt-PT"/>
              </w:rPr>
              <w:t>de modo a que</w:t>
            </w:r>
            <w:proofErr w:type="gramEnd"/>
            <w:r w:rsidRPr="00465964">
              <w:rPr>
                <w:lang w:val="pt-PT"/>
              </w:rPr>
              <w:t xml:space="preserve"> o emitente seja, a qualquer momento, obrigado a reembolsar as </w:t>
            </w:r>
            <w:r>
              <w:rPr>
                <w:lang w:val="pt-PT"/>
              </w:rPr>
              <w:t>criptomoedas</w:t>
            </w:r>
            <w:r w:rsidRPr="00465964">
              <w:rPr>
                <w:lang w:val="pt-PT"/>
              </w:rPr>
              <w:t xml:space="preserve"> referenciadas a ativos a pedido dos detentores das </w:t>
            </w:r>
            <w:r>
              <w:rPr>
                <w:lang w:val="pt-PT"/>
              </w:rPr>
              <w:t>criptomoedas</w:t>
            </w:r>
            <w:r w:rsidRPr="00465964">
              <w:rPr>
                <w:lang w:val="pt-PT"/>
              </w:rPr>
              <w:t xml:space="preserve"> referenciadas a ativos. O emitente de </w:t>
            </w:r>
            <w:r>
              <w:rPr>
                <w:lang w:val="pt-PT"/>
              </w:rPr>
              <w:t>criptomoedas</w:t>
            </w:r>
            <w:r w:rsidRPr="00465964">
              <w:rPr>
                <w:lang w:val="pt-PT"/>
              </w:rPr>
              <w:t xml:space="preserve"> referenciadas a ativos deverá proceder ao reembolso quer mediante o pagamento de um montante em fundos, que não sejam em moeda eletrónica, equivalente ao valor de mercado dos ativos referenciados pelas </w:t>
            </w:r>
            <w:r>
              <w:rPr>
                <w:lang w:val="pt-PT"/>
              </w:rPr>
              <w:t>criptomoedas</w:t>
            </w:r>
            <w:r w:rsidRPr="00465964">
              <w:rPr>
                <w:lang w:val="pt-PT"/>
              </w:rPr>
              <w:t xml:space="preserve"> referenciadas a ativos, quer mediante a entrega dos ativos referenciados pelas </w:t>
            </w:r>
            <w:r>
              <w:rPr>
                <w:lang w:val="pt-PT"/>
              </w:rPr>
              <w:t>criptomoedas</w:t>
            </w:r>
            <w:r w:rsidRPr="00465964">
              <w:rPr>
                <w:lang w:val="pt-PT"/>
              </w:rPr>
              <w:t xml:space="preserve">. O emitente de </w:t>
            </w:r>
            <w:r>
              <w:rPr>
                <w:lang w:val="pt-PT"/>
              </w:rPr>
              <w:t>criptomoedas</w:t>
            </w:r>
            <w:r w:rsidRPr="00465964">
              <w:rPr>
                <w:lang w:val="pt-PT"/>
              </w:rPr>
              <w:t xml:space="preserve"> referenciadas a ativos deverá conceder sempre ao detentor a opção de reembolso das </w:t>
            </w:r>
            <w:r>
              <w:rPr>
                <w:lang w:val="pt-PT"/>
              </w:rPr>
              <w:t>criptomoedas</w:t>
            </w:r>
            <w:r w:rsidRPr="00465964">
              <w:rPr>
                <w:lang w:val="pt-PT"/>
              </w:rPr>
              <w:t xml:space="preserve"> referenciadas a ativos em fundos que não sejam moeda eletrónica denominados na mesma moeda oficial que o emitente aceitou aquando da venda das </w:t>
            </w:r>
            <w:r>
              <w:rPr>
                <w:lang w:val="pt-PT"/>
              </w:rPr>
              <w:t>criptomoedas</w:t>
            </w:r>
            <w:r w:rsidRPr="00465964">
              <w:rPr>
                <w:lang w:val="pt-PT"/>
              </w:rPr>
              <w:t>. O emitente deverá prestar informações suficientemente pormenorizadas e facilmente compreensíveis sobre as diferentes formas de reembolso disponíveis.</w:t>
            </w:r>
          </w:p>
        </w:tc>
      </w:tr>
      <w:tr w:rsidR="00465964" w:rsidRPr="00465964" w14:paraId="0AC6C23C" w14:textId="77777777" w:rsidTr="00465964">
        <w:tc>
          <w:tcPr>
            <w:tcW w:w="0" w:type="auto"/>
            <w:shd w:val="clear" w:color="auto" w:fill="auto"/>
            <w:hideMark/>
          </w:tcPr>
          <w:p w14:paraId="7485CAD2" w14:textId="77777777" w:rsidR="00465964" w:rsidRPr="00465964" w:rsidRDefault="00465964" w:rsidP="00465964">
            <w:r w:rsidRPr="00465964">
              <w:t>(58)</w:t>
            </w:r>
          </w:p>
        </w:tc>
        <w:tc>
          <w:tcPr>
            <w:tcW w:w="0" w:type="auto"/>
            <w:shd w:val="clear" w:color="auto" w:fill="auto"/>
            <w:hideMark/>
          </w:tcPr>
          <w:p w14:paraId="4BC2C9DB" w14:textId="5681DA68" w:rsidR="00465964" w:rsidRPr="00465964" w:rsidRDefault="00465964" w:rsidP="00465964">
            <w:pPr>
              <w:rPr>
                <w:lang w:val="pt-PT"/>
              </w:rPr>
            </w:pPr>
            <w:r w:rsidRPr="00465964">
              <w:rPr>
                <w:lang w:val="pt-PT"/>
              </w:rPr>
              <w:t xml:space="preserve">A fim de reduzir o risco de as </w:t>
            </w:r>
            <w:r>
              <w:rPr>
                <w:lang w:val="pt-PT"/>
              </w:rPr>
              <w:t>criptomoedas</w:t>
            </w:r>
            <w:r w:rsidRPr="00465964">
              <w:rPr>
                <w:lang w:val="pt-PT"/>
              </w:rPr>
              <w:t xml:space="preserve"> referenciadas a ativos serem utilizadas como reserva de valor, os emitentes de </w:t>
            </w:r>
            <w:r>
              <w:rPr>
                <w:lang w:val="pt-PT"/>
              </w:rPr>
              <w:t>criptomoedas</w:t>
            </w:r>
            <w:r w:rsidRPr="00465964">
              <w:rPr>
                <w:lang w:val="pt-PT"/>
              </w:rPr>
              <w:t xml:space="preserve"> referenciadas a ativos e os prestadores de serviços de criptoativos, aquando da prestação de serviços de criptoativos relacionados com </w:t>
            </w:r>
            <w:r>
              <w:rPr>
                <w:lang w:val="pt-PT"/>
              </w:rPr>
              <w:t>criptomoedas</w:t>
            </w:r>
            <w:r w:rsidRPr="00465964">
              <w:rPr>
                <w:lang w:val="pt-PT"/>
              </w:rPr>
              <w:t xml:space="preserve"> referenciadas a ativos, não deverão pagar juros aos detentores dessas </w:t>
            </w:r>
            <w:r>
              <w:rPr>
                <w:lang w:val="pt-PT"/>
              </w:rPr>
              <w:lastRenderedPageBreak/>
              <w:t>criptomoedas</w:t>
            </w:r>
            <w:r w:rsidRPr="00465964">
              <w:rPr>
                <w:lang w:val="pt-PT"/>
              </w:rPr>
              <w:t xml:space="preserve"> referenciadas a ativos pelo </w:t>
            </w:r>
            <w:proofErr w:type="gramStart"/>
            <w:r w:rsidRPr="00465964">
              <w:rPr>
                <w:lang w:val="pt-PT"/>
              </w:rPr>
              <w:t>período de tempo</w:t>
            </w:r>
            <w:proofErr w:type="gramEnd"/>
            <w:r w:rsidRPr="00465964">
              <w:rPr>
                <w:lang w:val="pt-PT"/>
              </w:rPr>
              <w:t xml:space="preserve"> em que esses detentores as detêm.</w:t>
            </w:r>
          </w:p>
        </w:tc>
      </w:tr>
    </w:tbl>
    <w:p w14:paraId="06162BF3"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364"/>
        <w:gridCol w:w="8662"/>
      </w:tblGrid>
      <w:tr w:rsidR="00465964" w:rsidRPr="00465964" w14:paraId="56CB95CB" w14:textId="77777777" w:rsidTr="00465964">
        <w:tc>
          <w:tcPr>
            <w:tcW w:w="0" w:type="auto"/>
            <w:shd w:val="clear" w:color="auto" w:fill="auto"/>
            <w:hideMark/>
          </w:tcPr>
          <w:p w14:paraId="1BA0CCF1" w14:textId="77777777" w:rsidR="00465964" w:rsidRPr="00465964" w:rsidRDefault="00465964" w:rsidP="00465964">
            <w:r w:rsidRPr="00465964">
              <w:t>(59)</w:t>
            </w:r>
          </w:p>
        </w:tc>
        <w:tc>
          <w:tcPr>
            <w:tcW w:w="0" w:type="auto"/>
            <w:shd w:val="clear" w:color="auto" w:fill="auto"/>
            <w:hideMark/>
          </w:tcPr>
          <w:p w14:paraId="02E2EDDB" w14:textId="463080E1" w:rsidR="00465964" w:rsidRPr="00465964" w:rsidRDefault="00465964" w:rsidP="00465964">
            <w:pPr>
              <w:rPr>
                <w:lang w:val="pt-PT"/>
              </w:rPr>
            </w:pPr>
            <w:r w:rsidRPr="00465964">
              <w:rPr>
                <w:lang w:val="pt-PT"/>
              </w:rPr>
              <w:t xml:space="preserve">As </w:t>
            </w:r>
            <w:r>
              <w:rPr>
                <w:lang w:val="pt-PT"/>
              </w:rPr>
              <w:t>criptomoedas</w:t>
            </w:r>
            <w:r w:rsidRPr="00465964">
              <w:rPr>
                <w:lang w:val="pt-PT"/>
              </w:rPr>
              <w:t xml:space="preserve"> referenciadas a ativos e as </w:t>
            </w:r>
            <w:r>
              <w:rPr>
                <w:lang w:val="pt-PT"/>
              </w:rPr>
              <w:t>criptomoedas</w:t>
            </w:r>
            <w:r w:rsidRPr="00465964">
              <w:rPr>
                <w:lang w:val="pt-PT"/>
              </w:rPr>
              <w:t xml:space="preserve"> de moeda eletrónica deverão ser consideradas significativas quando preenchem, ou são suscetíveis de preencher, determinados critérios, nomeadamente uma grande clientela, uma elevada capitalização bolsista ou um grande número de transações. Como tal, são passíveis de ser utilizadas por um elevado número de detentores e a sua utilização pode suscitar desafios específicos em termos de estabilidade financeira, transmissão da política monetária ou soberania monetária. Essas </w:t>
            </w:r>
            <w:r>
              <w:rPr>
                <w:lang w:val="pt-PT"/>
              </w:rPr>
              <w:t>criptomoedas</w:t>
            </w:r>
            <w:r w:rsidRPr="00465964">
              <w:rPr>
                <w:lang w:val="pt-PT"/>
              </w:rPr>
              <w:t xml:space="preserve"> referenciadas a ativos significativas e </w:t>
            </w:r>
            <w:r>
              <w:rPr>
                <w:lang w:val="pt-PT"/>
              </w:rPr>
              <w:t>criptomoedas</w:t>
            </w:r>
            <w:r w:rsidRPr="00465964">
              <w:rPr>
                <w:lang w:val="pt-PT"/>
              </w:rPr>
              <w:t xml:space="preserve"> de moeda eletrónica significativas deverão, por conseguinte, estar sujeitas a requisitos mais rigorosos do que as demais </w:t>
            </w:r>
            <w:r>
              <w:rPr>
                <w:lang w:val="pt-PT"/>
              </w:rPr>
              <w:t>criptomoedas</w:t>
            </w:r>
            <w:r w:rsidRPr="00465964">
              <w:rPr>
                <w:lang w:val="pt-PT"/>
              </w:rPr>
              <w:t xml:space="preserve"> referenciadas a ativos ou </w:t>
            </w:r>
            <w:r>
              <w:rPr>
                <w:lang w:val="pt-PT"/>
              </w:rPr>
              <w:t>criptomoedas</w:t>
            </w:r>
            <w:r w:rsidRPr="00465964">
              <w:rPr>
                <w:lang w:val="pt-PT"/>
              </w:rPr>
              <w:t xml:space="preserve"> de moeda eletrónica. Em especial, os emitentes de </w:t>
            </w:r>
            <w:r>
              <w:rPr>
                <w:lang w:val="pt-PT"/>
              </w:rPr>
              <w:t>criptomoedas</w:t>
            </w:r>
            <w:r w:rsidRPr="00465964">
              <w:rPr>
                <w:lang w:val="pt-PT"/>
              </w:rPr>
              <w:t xml:space="preserve"> referenciadas a ativos significativas deverão estar sujeitos a requisitos de capital mais elevados e a requisitos de interoperabilidade e deverão definir uma política de gestão da liquidez. A adequação dos limiares para classificar uma </w:t>
            </w:r>
            <w:proofErr w:type="spellStart"/>
            <w:r w:rsidRPr="00465964">
              <w:rPr>
                <w:lang w:val="pt-PT"/>
              </w:rPr>
              <w:t>criptoficha</w:t>
            </w:r>
            <w:proofErr w:type="spellEnd"/>
            <w:r w:rsidRPr="00465964">
              <w:rPr>
                <w:lang w:val="pt-PT"/>
              </w:rPr>
              <w:t xml:space="preserve"> referenciada a ativos ou uma </w:t>
            </w:r>
            <w:proofErr w:type="spellStart"/>
            <w:r w:rsidRPr="00465964">
              <w:rPr>
                <w:lang w:val="pt-PT"/>
              </w:rPr>
              <w:t>criptoficha</w:t>
            </w:r>
            <w:proofErr w:type="spellEnd"/>
            <w:r w:rsidRPr="00465964">
              <w:rPr>
                <w:lang w:val="pt-PT"/>
              </w:rPr>
              <w:t xml:space="preserve"> de moeda eletrónica como significativa deverá ser revista pela Comissão no âmbito da sua análise da aplicação do presente regulamento. Se for caso disso, essa revisão deverá ser acompanhada de uma proposta legislativa.</w:t>
            </w:r>
          </w:p>
        </w:tc>
      </w:tr>
      <w:tr w:rsidR="00465964" w:rsidRPr="00465964" w14:paraId="61B15BC4" w14:textId="77777777" w:rsidTr="00465964">
        <w:tc>
          <w:tcPr>
            <w:tcW w:w="0" w:type="auto"/>
            <w:shd w:val="clear" w:color="auto" w:fill="auto"/>
            <w:hideMark/>
          </w:tcPr>
          <w:p w14:paraId="5B3E5F2B" w14:textId="77777777" w:rsidR="00465964" w:rsidRPr="00465964" w:rsidRDefault="00465964" w:rsidP="00465964">
            <w:r w:rsidRPr="00465964">
              <w:t>(60)</w:t>
            </w:r>
          </w:p>
        </w:tc>
        <w:tc>
          <w:tcPr>
            <w:tcW w:w="0" w:type="auto"/>
            <w:shd w:val="clear" w:color="auto" w:fill="auto"/>
            <w:hideMark/>
          </w:tcPr>
          <w:p w14:paraId="02D5DDF9" w14:textId="03B5EB19" w:rsidR="00465964" w:rsidRPr="00465964" w:rsidRDefault="00465964" w:rsidP="00465964">
            <w:pPr>
              <w:rPr>
                <w:lang w:val="pt-PT"/>
              </w:rPr>
            </w:pPr>
            <w:r w:rsidRPr="00465964">
              <w:rPr>
                <w:lang w:val="pt-PT"/>
              </w:rPr>
              <w:t xml:space="preserve">Um acompanhamento abrangente ao longo de todo o ecossistema de emitentes de </w:t>
            </w:r>
            <w:r>
              <w:rPr>
                <w:lang w:val="pt-PT"/>
              </w:rPr>
              <w:t>criptomoedas</w:t>
            </w:r>
            <w:r w:rsidRPr="00465964">
              <w:rPr>
                <w:lang w:val="pt-PT"/>
              </w:rPr>
              <w:t xml:space="preserve"> referenciadas a ativos é fundamental para determinar a verdadeira dimensão e o impacto real dessas </w:t>
            </w:r>
            <w:r>
              <w:rPr>
                <w:lang w:val="pt-PT"/>
              </w:rPr>
              <w:t>criptomoedas</w:t>
            </w:r>
            <w:r w:rsidRPr="00465964">
              <w:rPr>
                <w:lang w:val="pt-PT"/>
              </w:rPr>
              <w:t xml:space="preserve">. A fim de ter em conta todas as transações realizadas relativamente a uma determinada </w:t>
            </w:r>
            <w:proofErr w:type="spellStart"/>
            <w:r w:rsidRPr="00465964">
              <w:rPr>
                <w:lang w:val="pt-PT"/>
              </w:rPr>
              <w:t>criptoficha</w:t>
            </w:r>
            <w:proofErr w:type="spellEnd"/>
            <w:r w:rsidRPr="00465964">
              <w:rPr>
                <w:lang w:val="pt-PT"/>
              </w:rPr>
              <w:t xml:space="preserve"> referenciada a ativos, o acompanhamento dessas </w:t>
            </w:r>
            <w:r>
              <w:rPr>
                <w:lang w:val="pt-PT"/>
              </w:rPr>
              <w:t>criptomoedas</w:t>
            </w:r>
            <w:r w:rsidRPr="00465964">
              <w:rPr>
                <w:lang w:val="pt-PT"/>
              </w:rPr>
              <w:t xml:space="preserve"> inclui o acompanhamento de todas as transações liquidadas, independentemente de as liquidações em questão serem efetuadas no registo distribuído («em cadeia») ou fora dele («fora da cadeia»), incluindo as transações entre clientes do mesmo prestador de serviços de criptoativos.</w:t>
            </w:r>
          </w:p>
        </w:tc>
      </w:tr>
    </w:tbl>
    <w:p w14:paraId="6C1A64E4"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364"/>
        <w:gridCol w:w="8662"/>
      </w:tblGrid>
      <w:tr w:rsidR="00465964" w:rsidRPr="00465964" w14:paraId="1445960F" w14:textId="77777777" w:rsidTr="00465964">
        <w:tc>
          <w:tcPr>
            <w:tcW w:w="0" w:type="auto"/>
            <w:shd w:val="clear" w:color="auto" w:fill="auto"/>
            <w:hideMark/>
          </w:tcPr>
          <w:p w14:paraId="4B9D64E1" w14:textId="77777777" w:rsidR="00465964" w:rsidRPr="00465964" w:rsidRDefault="00465964" w:rsidP="00465964">
            <w:r w:rsidRPr="00465964">
              <w:t>(61)</w:t>
            </w:r>
          </w:p>
        </w:tc>
        <w:tc>
          <w:tcPr>
            <w:tcW w:w="0" w:type="auto"/>
            <w:shd w:val="clear" w:color="auto" w:fill="auto"/>
            <w:hideMark/>
          </w:tcPr>
          <w:p w14:paraId="7033F4DC" w14:textId="195AFB74" w:rsidR="00465964" w:rsidRPr="00465964" w:rsidRDefault="00465964" w:rsidP="00465964">
            <w:pPr>
              <w:rPr>
                <w:lang w:val="pt-PT"/>
              </w:rPr>
            </w:pPr>
            <w:r w:rsidRPr="00465964">
              <w:rPr>
                <w:lang w:val="pt-PT"/>
              </w:rPr>
              <w:t xml:space="preserve">É particularmente importante fazer uma estimativa das transações liquidadas com </w:t>
            </w:r>
            <w:r>
              <w:rPr>
                <w:lang w:val="pt-PT"/>
              </w:rPr>
              <w:t>criptomoedas</w:t>
            </w:r>
            <w:r w:rsidRPr="00465964">
              <w:rPr>
                <w:lang w:val="pt-PT"/>
              </w:rPr>
              <w:t xml:space="preserve"> referenciadas a ativos associadas a uma utilização como meio de troca dentro de uma área de moeda única, nomeadamente as transações associadas ao pagamento de dívidas, inclusive no âmbito de transações com comerciantes. Essas transações não deverão incluir transações associadas a funções e serviços de investimento, tais como um meio de troca por outros criptoativos ou fundos, a menos que existam provas de que a </w:t>
            </w:r>
            <w:proofErr w:type="spellStart"/>
            <w:r w:rsidRPr="00465964">
              <w:rPr>
                <w:lang w:val="pt-PT"/>
              </w:rPr>
              <w:t>criptoficha</w:t>
            </w:r>
            <w:proofErr w:type="spellEnd"/>
            <w:r w:rsidRPr="00465964">
              <w:rPr>
                <w:lang w:val="pt-PT"/>
              </w:rPr>
              <w:t xml:space="preserve"> referenciada a ativos esteja a ser utilizada para a liquidação de transações noutros criptoativos. Está-se perante uma utilização com vista à liquidação de transações noutros criptoativos sempre que uma transação que envolva duas componentes de criptoativos, diferentes das </w:t>
            </w:r>
            <w:r>
              <w:rPr>
                <w:lang w:val="pt-PT"/>
              </w:rPr>
              <w:t>criptomoedas</w:t>
            </w:r>
            <w:r w:rsidRPr="00465964">
              <w:rPr>
                <w:lang w:val="pt-PT"/>
              </w:rPr>
              <w:t xml:space="preserve"> referenciadas a ativos, seja liquidada nas </w:t>
            </w:r>
            <w:r>
              <w:rPr>
                <w:lang w:val="pt-PT"/>
              </w:rPr>
              <w:t>criptomoedas</w:t>
            </w:r>
            <w:r w:rsidRPr="00465964">
              <w:rPr>
                <w:lang w:val="pt-PT"/>
              </w:rPr>
              <w:t xml:space="preserve"> referenciadas a ativos. Além disso, caso as </w:t>
            </w:r>
            <w:r>
              <w:rPr>
                <w:lang w:val="pt-PT"/>
              </w:rPr>
              <w:t>criptomoedas</w:t>
            </w:r>
            <w:r w:rsidRPr="00465964">
              <w:rPr>
                <w:lang w:val="pt-PT"/>
              </w:rPr>
              <w:t xml:space="preserve"> referenciadas a ativos sejam amplamente utilizadas como meio de troca dentro de uma área de moeda única, os emitentes deverão ser obrigados a reduzir o nível de atividade. Uma </w:t>
            </w:r>
            <w:proofErr w:type="spellStart"/>
            <w:r w:rsidRPr="00465964">
              <w:rPr>
                <w:lang w:val="pt-PT"/>
              </w:rPr>
              <w:t>criptoficha</w:t>
            </w:r>
            <w:proofErr w:type="spellEnd"/>
            <w:r w:rsidRPr="00465964">
              <w:rPr>
                <w:lang w:val="pt-PT"/>
              </w:rPr>
              <w:t xml:space="preserve"> referenciada a ativos deverá ser considerada amplamente utilizada como meio de troca quando, dentro de uma área de moeda única, a média do número e do valor agregado das transações diárias associadas a utilizações como meio de troca forem superiores a, respetivamente, um milhão de transações e 2 000 000 EUR.</w:t>
            </w:r>
          </w:p>
        </w:tc>
      </w:tr>
      <w:tr w:rsidR="00465964" w:rsidRPr="00465964" w14:paraId="1D49BB96" w14:textId="77777777" w:rsidTr="00465964">
        <w:tc>
          <w:tcPr>
            <w:tcW w:w="0" w:type="auto"/>
            <w:shd w:val="clear" w:color="auto" w:fill="auto"/>
            <w:hideMark/>
          </w:tcPr>
          <w:p w14:paraId="4C9A73EC" w14:textId="77777777" w:rsidR="00465964" w:rsidRPr="00465964" w:rsidRDefault="00465964" w:rsidP="00465964">
            <w:r w:rsidRPr="00465964">
              <w:t>(62)</w:t>
            </w:r>
          </w:p>
        </w:tc>
        <w:tc>
          <w:tcPr>
            <w:tcW w:w="0" w:type="auto"/>
            <w:shd w:val="clear" w:color="auto" w:fill="auto"/>
            <w:hideMark/>
          </w:tcPr>
          <w:p w14:paraId="5C5E0098" w14:textId="6D42E2D4" w:rsidR="00465964" w:rsidRPr="00465964" w:rsidRDefault="00465964" w:rsidP="00465964">
            <w:pPr>
              <w:rPr>
                <w:lang w:val="pt-PT"/>
              </w:rPr>
            </w:pPr>
            <w:r w:rsidRPr="00465964">
              <w:rPr>
                <w:lang w:val="pt-PT"/>
              </w:rPr>
              <w:t xml:space="preserve">Caso as </w:t>
            </w:r>
            <w:r>
              <w:rPr>
                <w:lang w:val="pt-PT"/>
              </w:rPr>
              <w:t>criptomoedas</w:t>
            </w:r>
            <w:r w:rsidRPr="00465964">
              <w:rPr>
                <w:lang w:val="pt-PT"/>
              </w:rPr>
              <w:t xml:space="preserve"> referenciadas a ativos representem uma séria ameaça para o bom funcionamento dos sistemas de pagamento, a transmissão da política monetária ou a </w:t>
            </w:r>
            <w:r w:rsidRPr="00465964">
              <w:rPr>
                <w:lang w:val="pt-PT"/>
              </w:rPr>
              <w:lastRenderedPageBreak/>
              <w:t xml:space="preserve">soberania monetária, os bancos centrais deverão poder solicitar à autoridade competente que revogue a autorização do emitente dessas </w:t>
            </w:r>
            <w:r>
              <w:rPr>
                <w:lang w:val="pt-PT"/>
              </w:rPr>
              <w:t>criptomoedas</w:t>
            </w:r>
            <w:r w:rsidRPr="00465964">
              <w:rPr>
                <w:lang w:val="pt-PT"/>
              </w:rPr>
              <w:t xml:space="preserve"> referenciadas a ativos. Caso as </w:t>
            </w:r>
            <w:r>
              <w:rPr>
                <w:lang w:val="pt-PT"/>
              </w:rPr>
              <w:t>criptomoedas</w:t>
            </w:r>
            <w:r w:rsidRPr="00465964">
              <w:rPr>
                <w:lang w:val="pt-PT"/>
              </w:rPr>
              <w:t xml:space="preserve"> referenciadas a ativos representem uma séria ameaça para o bom funcionamento dos sistemas de pagamento, a transmissão da política monetária ou a soberania monetária, os bancos centrais deverão solicitar à autoridade competente que limite o montante dessas </w:t>
            </w:r>
            <w:r>
              <w:rPr>
                <w:lang w:val="pt-PT"/>
              </w:rPr>
              <w:t>criptomoedas</w:t>
            </w:r>
            <w:r w:rsidRPr="00465964">
              <w:rPr>
                <w:lang w:val="pt-PT"/>
              </w:rPr>
              <w:t xml:space="preserve"> referenciadas a ativos a emitir ou que imponha um montante nominal mínimo.</w:t>
            </w:r>
          </w:p>
        </w:tc>
      </w:tr>
    </w:tbl>
    <w:p w14:paraId="30AE2057"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364"/>
        <w:gridCol w:w="8662"/>
      </w:tblGrid>
      <w:tr w:rsidR="00465964" w:rsidRPr="00465964" w14:paraId="6507A591" w14:textId="77777777" w:rsidTr="00465964">
        <w:tc>
          <w:tcPr>
            <w:tcW w:w="0" w:type="auto"/>
            <w:shd w:val="clear" w:color="auto" w:fill="auto"/>
            <w:hideMark/>
          </w:tcPr>
          <w:p w14:paraId="231B81F3" w14:textId="77777777" w:rsidR="00465964" w:rsidRPr="00465964" w:rsidRDefault="00465964" w:rsidP="00465964">
            <w:r w:rsidRPr="00465964">
              <w:t>(63)</w:t>
            </w:r>
          </w:p>
        </w:tc>
        <w:tc>
          <w:tcPr>
            <w:tcW w:w="0" w:type="auto"/>
            <w:shd w:val="clear" w:color="auto" w:fill="auto"/>
            <w:hideMark/>
          </w:tcPr>
          <w:p w14:paraId="715500AB" w14:textId="77777777" w:rsidR="00465964" w:rsidRPr="00465964" w:rsidRDefault="00465964" w:rsidP="00465964">
            <w:pPr>
              <w:rPr>
                <w:lang w:val="pt-PT"/>
              </w:rPr>
            </w:pPr>
            <w:r w:rsidRPr="00465964">
              <w:rPr>
                <w:lang w:val="pt-PT"/>
              </w:rPr>
              <w:t>O presente regulamento não prejudica o direito nacional que regulamenta a utilização de moedas nacionais e estrangeiras em operações entre residentes, adotada por Estados-Membros não pertencentes à área do euro no exercício da sua prerrogativa de soberania monetária.</w:t>
            </w:r>
          </w:p>
        </w:tc>
      </w:tr>
      <w:tr w:rsidR="00465964" w:rsidRPr="00465964" w14:paraId="22218D4F" w14:textId="77777777" w:rsidTr="00465964">
        <w:tc>
          <w:tcPr>
            <w:tcW w:w="0" w:type="auto"/>
            <w:shd w:val="clear" w:color="auto" w:fill="auto"/>
            <w:hideMark/>
          </w:tcPr>
          <w:p w14:paraId="716798D8" w14:textId="77777777" w:rsidR="00465964" w:rsidRPr="00465964" w:rsidRDefault="00465964" w:rsidP="00465964">
            <w:r w:rsidRPr="00465964">
              <w:t>(64)</w:t>
            </w:r>
          </w:p>
        </w:tc>
        <w:tc>
          <w:tcPr>
            <w:tcW w:w="0" w:type="auto"/>
            <w:shd w:val="clear" w:color="auto" w:fill="auto"/>
            <w:hideMark/>
          </w:tcPr>
          <w:p w14:paraId="2E5F8943" w14:textId="1A786A6A" w:rsidR="00465964" w:rsidRPr="00465964" w:rsidRDefault="00465964" w:rsidP="00465964">
            <w:pPr>
              <w:rPr>
                <w:lang w:val="pt-PT"/>
              </w:rPr>
            </w:pPr>
            <w:r w:rsidRPr="00465964">
              <w:rPr>
                <w:lang w:val="pt-PT"/>
              </w:rPr>
              <w:t xml:space="preserve">Os emitentes de </w:t>
            </w:r>
            <w:r>
              <w:rPr>
                <w:lang w:val="pt-PT"/>
              </w:rPr>
              <w:t>criptomoedas</w:t>
            </w:r>
            <w:r w:rsidRPr="00465964">
              <w:rPr>
                <w:lang w:val="pt-PT"/>
              </w:rPr>
              <w:t xml:space="preserve"> referenciadas a ativos deverão elaborar um plano de recuperação que preveja medidas a tomar pelo emitente para restabelecer a conformidade com os requisitos aplicáveis à reserva de ativos, nomeadamente nos casos em que a satisfação dos pedidos de reembolso crie desequilíbrios temporários na reserva de ativos. A autoridade competente deverá ter poderes para suspender temporariamente o reembolso de </w:t>
            </w:r>
            <w:r>
              <w:rPr>
                <w:lang w:val="pt-PT"/>
              </w:rPr>
              <w:t>criptomoedas</w:t>
            </w:r>
            <w:r w:rsidRPr="00465964">
              <w:rPr>
                <w:lang w:val="pt-PT"/>
              </w:rPr>
              <w:t xml:space="preserve"> referenciadas a ativos, a fim de proteger os interesses dos detentores das </w:t>
            </w:r>
            <w:r>
              <w:rPr>
                <w:lang w:val="pt-PT"/>
              </w:rPr>
              <w:t>criptomoedas</w:t>
            </w:r>
            <w:r w:rsidRPr="00465964">
              <w:rPr>
                <w:lang w:val="pt-PT"/>
              </w:rPr>
              <w:t xml:space="preserve"> referenciadas a ativos e a estabilidade financeira.</w:t>
            </w:r>
          </w:p>
        </w:tc>
      </w:tr>
    </w:tbl>
    <w:p w14:paraId="7C36CB7D"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364"/>
        <w:gridCol w:w="8662"/>
      </w:tblGrid>
      <w:tr w:rsidR="00465964" w:rsidRPr="00465964" w14:paraId="73EAD9DB" w14:textId="77777777" w:rsidTr="00465964">
        <w:tc>
          <w:tcPr>
            <w:tcW w:w="0" w:type="auto"/>
            <w:shd w:val="clear" w:color="auto" w:fill="auto"/>
            <w:hideMark/>
          </w:tcPr>
          <w:p w14:paraId="5D2978AA" w14:textId="77777777" w:rsidR="00465964" w:rsidRPr="00465964" w:rsidRDefault="00465964" w:rsidP="00465964">
            <w:r w:rsidRPr="00465964">
              <w:t>(65)</w:t>
            </w:r>
          </w:p>
        </w:tc>
        <w:tc>
          <w:tcPr>
            <w:tcW w:w="0" w:type="auto"/>
            <w:shd w:val="clear" w:color="auto" w:fill="auto"/>
            <w:hideMark/>
          </w:tcPr>
          <w:p w14:paraId="1B06EE26" w14:textId="5F7B0D16" w:rsidR="00465964" w:rsidRPr="00465964" w:rsidRDefault="00465964" w:rsidP="00465964">
            <w:pPr>
              <w:rPr>
                <w:lang w:val="pt-PT"/>
              </w:rPr>
            </w:pPr>
            <w:r w:rsidRPr="00465964">
              <w:rPr>
                <w:lang w:val="pt-PT"/>
              </w:rPr>
              <w:t xml:space="preserve">Os emitentes de </w:t>
            </w:r>
            <w:r>
              <w:rPr>
                <w:lang w:val="pt-PT"/>
              </w:rPr>
              <w:t>criptomoedas</w:t>
            </w:r>
            <w:r w:rsidRPr="00465964">
              <w:rPr>
                <w:lang w:val="pt-PT"/>
              </w:rPr>
              <w:t xml:space="preserve"> referenciadas a ativos deverão dispor de um plano para o reembolso ordenado dos criptoativos, a fim de assegurar a proteção dos direitos dos detentores das </w:t>
            </w:r>
            <w:r>
              <w:rPr>
                <w:lang w:val="pt-PT"/>
              </w:rPr>
              <w:t>criptomoedas</w:t>
            </w:r>
            <w:r w:rsidRPr="00465964">
              <w:rPr>
                <w:lang w:val="pt-PT"/>
              </w:rPr>
              <w:t xml:space="preserve"> referenciadas a ativos sempre que os emitentes não estejam em condições de cumprir as suas obrigações, nomeadamente em caso de suspensão da emissão das </w:t>
            </w:r>
            <w:r>
              <w:rPr>
                <w:lang w:val="pt-PT"/>
              </w:rPr>
              <w:t>criptomoedas</w:t>
            </w:r>
            <w:r w:rsidRPr="00465964">
              <w:rPr>
                <w:lang w:val="pt-PT"/>
              </w:rPr>
              <w:t xml:space="preserve"> referenciadas a ativos. Caso o emitente de </w:t>
            </w:r>
            <w:r>
              <w:rPr>
                <w:lang w:val="pt-PT"/>
              </w:rPr>
              <w:t>criptomoedas</w:t>
            </w:r>
            <w:r w:rsidRPr="00465964">
              <w:rPr>
                <w:lang w:val="pt-PT"/>
              </w:rPr>
              <w:t xml:space="preserve"> referenciadas a ativos seja uma instituição de crédito ou uma entidade abrangida pelo âmbito de aplicação da Diretiva 2014/59/UE do Parlamento Europeu e do Conselho </w:t>
            </w:r>
            <w:hyperlink r:id="rId25" w:anchor="ntr18-L_2023150PT.01004001-E0018" w:history="1">
              <w:r w:rsidRPr="00465964">
                <w:rPr>
                  <w:rStyle w:val="Hyperlink"/>
                  <w:lang w:val="pt-PT"/>
                </w:rPr>
                <w:t>(</w:t>
              </w:r>
              <w:r w:rsidRPr="00465964">
                <w:rPr>
                  <w:rStyle w:val="Hyperlink"/>
                  <w:vertAlign w:val="superscript"/>
                  <w:lang w:val="pt-PT"/>
                </w:rPr>
                <w:t>18</w:t>
              </w:r>
              <w:r w:rsidRPr="00465964">
                <w:rPr>
                  <w:rStyle w:val="Hyperlink"/>
                  <w:lang w:val="pt-PT"/>
                </w:rPr>
                <w:t>)</w:t>
              </w:r>
            </w:hyperlink>
            <w:r w:rsidRPr="00465964">
              <w:rPr>
                <w:lang w:val="pt-PT"/>
              </w:rPr>
              <w:t xml:space="preserve">, a autoridade competente deverá consultar a autoridade de resolução responsável. Essa autoridade de resolução deverá estar autorizada a submeter o plano de reembolso a um exame, com vista a identificar os elementos suscetíveis de afetar negativamente a resolubilidade do emitente, a estratégia de resolução do emitente ou quaisquer medidas previstas no plano de resolução do emitente, e a formular recomendações à autoridade competente sobre essas matérias. Ao fazê-lo, a autoridade de resolução deverá também estar autorizada a examinar se deverão ser introduzidas alterações ao plano de resolução ou à estratégia de resolução, em conformidade com o disposto na Diretiva 2014/59/UE e no Regulamento (UE) </w:t>
            </w:r>
            <w:proofErr w:type="spellStart"/>
            <w:r w:rsidRPr="00465964">
              <w:rPr>
                <w:lang w:val="pt-PT"/>
              </w:rPr>
              <w:t>n.</w:t>
            </w:r>
            <w:r w:rsidRPr="00465964">
              <w:rPr>
                <w:vertAlign w:val="superscript"/>
                <w:lang w:val="pt-PT"/>
              </w:rPr>
              <w:t>o</w:t>
            </w:r>
            <w:proofErr w:type="spellEnd"/>
            <w:r w:rsidRPr="00465964">
              <w:rPr>
                <w:lang w:val="pt-PT"/>
              </w:rPr>
              <w:t> 806/2014 do Parlamento Europeu e do Conselho </w:t>
            </w:r>
            <w:hyperlink r:id="rId26" w:anchor="ntr19-L_2023150PT.01004001-E0019" w:history="1">
              <w:r w:rsidRPr="00465964">
                <w:rPr>
                  <w:rStyle w:val="Hyperlink"/>
                  <w:lang w:val="pt-PT"/>
                </w:rPr>
                <w:t>(</w:t>
              </w:r>
              <w:r w:rsidRPr="00465964">
                <w:rPr>
                  <w:rStyle w:val="Hyperlink"/>
                  <w:vertAlign w:val="superscript"/>
                  <w:lang w:val="pt-PT"/>
                </w:rPr>
                <w:t>19</w:t>
              </w:r>
              <w:r w:rsidRPr="00465964">
                <w:rPr>
                  <w:rStyle w:val="Hyperlink"/>
                  <w:lang w:val="pt-PT"/>
                </w:rPr>
                <w:t>)</w:t>
              </w:r>
            </w:hyperlink>
            <w:r w:rsidRPr="00465964">
              <w:rPr>
                <w:lang w:val="pt-PT"/>
              </w:rPr>
              <w:t>, conforme aplicável. Esse exame por parte da autoridade de resolução não deverá prejudicar os poderes da autoridade de supervisão prudencial nem da autoridade de resolução, consoante o caso, para tomar medidas de prevenção de crises ou de gestão de crises.</w:t>
            </w:r>
          </w:p>
        </w:tc>
      </w:tr>
      <w:tr w:rsidR="00465964" w:rsidRPr="00465964" w14:paraId="72C4B006" w14:textId="77777777" w:rsidTr="00465964">
        <w:tc>
          <w:tcPr>
            <w:tcW w:w="0" w:type="auto"/>
            <w:shd w:val="clear" w:color="auto" w:fill="auto"/>
            <w:hideMark/>
          </w:tcPr>
          <w:p w14:paraId="13B48D4A" w14:textId="77777777" w:rsidR="00465964" w:rsidRPr="00465964" w:rsidRDefault="00465964" w:rsidP="00465964">
            <w:r w:rsidRPr="00465964">
              <w:t>(66)</w:t>
            </w:r>
          </w:p>
        </w:tc>
        <w:tc>
          <w:tcPr>
            <w:tcW w:w="0" w:type="auto"/>
            <w:shd w:val="clear" w:color="auto" w:fill="auto"/>
            <w:hideMark/>
          </w:tcPr>
          <w:p w14:paraId="109D0490" w14:textId="4217F383" w:rsidR="00465964" w:rsidRPr="00465964" w:rsidRDefault="00465964" w:rsidP="00465964">
            <w:pPr>
              <w:rPr>
                <w:lang w:val="pt-PT"/>
              </w:rPr>
            </w:pPr>
            <w:r w:rsidRPr="00465964">
              <w:rPr>
                <w:lang w:val="pt-PT"/>
              </w:rPr>
              <w:t xml:space="preserve">Os emitentes de </w:t>
            </w:r>
            <w:r>
              <w:rPr>
                <w:lang w:val="pt-PT"/>
              </w:rPr>
              <w:t>criptomoedas</w:t>
            </w:r>
            <w:r w:rsidRPr="00465964">
              <w:rPr>
                <w:lang w:val="pt-PT"/>
              </w:rPr>
              <w:t xml:space="preserve"> de moeda eletrónica deverão estar autorizados como instituição de crédito ao abrigo da Diretiva 2013/36/UE ou como instituição de moeda eletrónica ao abrigo da Diretiva 2009/110/CE. As </w:t>
            </w:r>
            <w:r>
              <w:rPr>
                <w:lang w:val="pt-PT"/>
              </w:rPr>
              <w:t>criptomoedas</w:t>
            </w:r>
            <w:r w:rsidRPr="00465964">
              <w:rPr>
                <w:lang w:val="pt-PT"/>
              </w:rPr>
              <w:t xml:space="preserve"> de moeda eletrónica deverão ser consideradas «moeda eletrónica» conforme definida na Diretiva 2009/110/CE, e os seus emitentes devem, salvo indicação em contrário no presente regulamento, cumprir os requisitos relevantes estabelecidos na Diretiva 2009/110/CE para o acesso à atividade das instituições de moeda eletrónica, ao seu exercício e à sua supervisão prudencial, bem como os requisitos em matéria de emissão e reembolso de </w:t>
            </w:r>
            <w:r>
              <w:rPr>
                <w:lang w:val="pt-PT"/>
              </w:rPr>
              <w:t>criptomoedas</w:t>
            </w:r>
            <w:r w:rsidRPr="00465964">
              <w:rPr>
                <w:lang w:val="pt-PT"/>
              </w:rPr>
              <w:t xml:space="preserve"> </w:t>
            </w:r>
            <w:r w:rsidRPr="00465964">
              <w:rPr>
                <w:lang w:val="pt-PT"/>
              </w:rPr>
              <w:lastRenderedPageBreak/>
              <w:t xml:space="preserve">de moeda eletrónica. Os emitentes de </w:t>
            </w:r>
            <w:r>
              <w:rPr>
                <w:lang w:val="pt-PT"/>
              </w:rPr>
              <w:t>criptomoedas</w:t>
            </w:r>
            <w:r w:rsidRPr="00465964">
              <w:rPr>
                <w:lang w:val="pt-PT"/>
              </w:rPr>
              <w:t xml:space="preserve"> de moeda eletrónica deverão redigir um livrete do criptoativo e notificá-lo à sua autoridade competente. Deverão também aplicar-se às </w:t>
            </w:r>
            <w:r>
              <w:rPr>
                <w:lang w:val="pt-PT"/>
              </w:rPr>
              <w:t>criptomoedas</w:t>
            </w:r>
            <w:r w:rsidRPr="00465964">
              <w:rPr>
                <w:lang w:val="pt-PT"/>
              </w:rPr>
              <w:t xml:space="preserve"> de moeda eletrónica as isenções relativas a redes restritas, no que diz respeito a determinadas transações por fornecedores de redes de comunicações eletrónicas e a instituições de moeda eletrónica que emitam apenas um montante máximo limitado de moeda eletrónica, com base nas isenções facultativas especificadas na Diretiva 2009/110/CE. No entanto, os emitentes de </w:t>
            </w:r>
            <w:r>
              <w:rPr>
                <w:lang w:val="pt-PT"/>
              </w:rPr>
              <w:t>criptomoedas</w:t>
            </w:r>
            <w:r w:rsidRPr="00465964">
              <w:rPr>
                <w:lang w:val="pt-PT"/>
              </w:rPr>
              <w:t xml:space="preserve"> de moeda eletrónica deverão ainda ser obrigados a redigir um livrete do criptoativo, a fim de informar os compradores das características e riscos das </w:t>
            </w:r>
            <w:r>
              <w:rPr>
                <w:lang w:val="pt-PT"/>
              </w:rPr>
              <w:t>criptomoedas</w:t>
            </w:r>
            <w:r w:rsidRPr="00465964">
              <w:rPr>
                <w:lang w:val="pt-PT"/>
              </w:rPr>
              <w:t xml:space="preserve"> de moeda eletrónica, e deverão também ser obrigados a notificar à respetiva autoridade competente o livrete do criptoativo antes da sua publicação.</w:t>
            </w:r>
          </w:p>
        </w:tc>
      </w:tr>
    </w:tbl>
    <w:p w14:paraId="7EA1BA5B"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364"/>
        <w:gridCol w:w="8662"/>
      </w:tblGrid>
      <w:tr w:rsidR="00465964" w:rsidRPr="00465964" w14:paraId="26651971" w14:textId="77777777" w:rsidTr="00465964">
        <w:tc>
          <w:tcPr>
            <w:tcW w:w="0" w:type="auto"/>
            <w:shd w:val="clear" w:color="auto" w:fill="auto"/>
            <w:hideMark/>
          </w:tcPr>
          <w:p w14:paraId="1D772FB8" w14:textId="77777777" w:rsidR="00465964" w:rsidRPr="00465964" w:rsidRDefault="00465964" w:rsidP="00465964">
            <w:r w:rsidRPr="00465964">
              <w:t>(67)</w:t>
            </w:r>
          </w:p>
        </w:tc>
        <w:tc>
          <w:tcPr>
            <w:tcW w:w="0" w:type="auto"/>
            <w:shd w:val="clear" w:color="auto" w:fill="auto"/>
            <w:hideMark/>
          </w:tcPr>
          <w:p w14:paraId="006E66A9" w14:textId="7ED2B677" w:rsidR="00465964" w:rsidRPr="00465964" w:rsidRDefault="00465964" w:rsidP="00465964">
            <w:pPr>
              <w:rPr>
                <w:lang w:val="pt-PT"/>
              </w:rPr>
            </w:pPr>
            <w:r w:rsidRPr="00465964">
              <w:rPr>
                <w:lang w:val="pt-PT"/>
              </w:rPr>
              <w:t xml:space="preserve">Deverá ser conferido aos detentores de </w:t>
            </w:r>
            <w:r>
              <w:rPr>
                <w:lang w:val="pt-PT"/>
              </w:rPr>
              <w:t>criptomoedas</w:t>
            </w:r>
            <w:r w:rsidRPr="00465964">
              <w:rPr>
                <w:lang w:val="pt-PT"/>
              </w:rPr>
              <w:t xml:space="preserve"> de moeda eletrónica um crédito sobre o emitente das </w:t>
            </w:r>
            <w:r>
              <w:rPr>
                <w:lang w:val="pt-PT"/>
              </w:rPr>
              <w:t>criptomoedas</w:t>
            </w:r>
            <w:r w:rsidRPr="00465964">
              <w:rPr>
                <w:lang w:val="pt-PT"/>
              </w:rPr>
              <w:t xml:space="preserve"> de moeda eletrónica. Deverá ser sempre concedido aos detentores de </w:t>
            </w:r>
            <w:r>
              <w:rPr>
                <w:lang w:val="pt-PT"/>
              </w:rPr>
              <w:t>criptomoedas</w:t>
            </w:r>
            <w:r w:rsidRPr="00465964">
              <w:rPr>
                <w:lang w:val="pt-PT"/>
              </w:rPr>
              <w:t xml:space="preserve"> de moeda eletrónica o direito de reembolso pelo valor nominal dos fundos denominados na moeda oficial de referência das </w:t>
            </w:r>
            <w:r>
              <w:rPr>
                <w:lang w:val="pt-PT"/>
              </w:rPr>
              <w:t>criptomoedas</w:t>
            </w:r>
            <w:r w:rsidRPr="00465964">
              <w:rPr>
                <w:lang w:val="pt-PT"/>
              </w:rPr>
              <w:t xml:space="preserve"> de moeda eletrónica. As disposições da Diretiva 2009/110/CE sobre a possibilidade de sujeitar o reembolso a uma taxa não são pertinentes no contexto de </w:t>
            </w:r>
            <w:r>
              <w:rPr>
                <w:lang w:val="pt-PT"/>
              </w:rPr>
              <w:t>criptomoedas</w:t>
            </w:r>
            <w:r w:rsidRPr="00465964">
              <w:rPr>
                <w:lang w:val="pt-PT"/>
              </w:rPr>
              <w:t xml:space="preserve"> de moeda eletrónica.</w:t>
            </w:r>
          </w:p>
        </w:tc>
      </w:tr>
      <w:tr w:rsidR="00465964" w:rsidRPr="00465964" w14:paraId="012A347A" w14:textId="77777777" w:rsidTr="00465964">
        <w:tc>
          <w:tcPr>
            <w:tcW w:w="0" w:type="auto"/>
            <w:shd w:val="clear" w:color="auto" w:fill="auto"/>
            <w:hideMark/>
          </w:tcPr>
          <w:p w14:paraId="0F8DD8CD" w14:textId="77777777" w:rsidR="00465964" w:rsidRPr="00465964" w:rsidRDefault="00465964" w:rsidP="00465964">
            <w:r w:rsidRPr="00465964">
              <w:t>(68)</w:t>
            </w:r>
          </w:p>
        </w:tc>
        <w:tc>
          <w:tcPr>
            <w:tcW w:w="0" w:type="auto"/>
            <w:shd w:val="clear" w:color="auto" w:fill="auto"/>
            <w:hideMark/>
          </w:tcPr>
          <w:p w14:paraId="4FC2D9CC" w14:textId="42981909" w:rsidR="00465964" w:rsidRPr="00465964" w:rsidRDefault="00465964" w:rsidP="00465964">
            <w:pPr>
              <w:rPr>
                <w:lang w:val="pt-PT"/>
              </w:rPr>
            </w:pPr>
            <w:r w:rsidRPr="00465964">
              <w:rPr>
                <w:lang w:val="pt-PT"/>
              </w:rPr>
              <w:t xml:space="preserve">A fim de reduzir o risco de as </w:t>
            </w:r>
            <w:r>
              <w:rPr>
                <w:lang w:val="pt-PT"/>
              </w:rPr>
              <w:t>criptomoedas</w:t>
            </w:r>
            <w:r w:rsidRPr="00465964">
              <w:rPr>
                <w:lang w:val="pt-PT"/>
              </w:rPr>
              <w:t xml:space="preserve"> de moeda eletrónica serem utilizadas como reserva de valor, os emitentes de </w:t>
            </w:r>
            <w:r>
              <w:rPr>
                <w:lang w:val="pt-PT"/>
              </w:rPr>
              <w:t>criptomoedas</w:t>
            </w:r>
            <w:r w:rsidRPr="00465964">
              <w:rPr>
                <w:lang w:val="pt-PT"/>
              </w:rPr>
              <w:t xml:space="preserve"> de moeda eletrónica e os prestadores de serviços de criptoativos não deverão – quando prestam serviços de criptoativos relacionados com </w:t>
            </w:r>
            <w:r>
              <w:rPr>
                <w:lang w:val="pt-PT"/>
              </w:rPr>
              <w:t>criptomoedas</w:t>
            </w:r>
            <w:r w:rsidRPr="00465964">
              <w:rPr>
                <w:lang w:val="pt-PT"/>
              </w:rPr>
              <w:t xml:space="preserve"> de moeda eletrónica – pagar juros aos detentores dessas </w:t>
            </w:r>
            <w:r>
              <w:rPr>
                <w:lang w:val="pt-PT"/>
              </w:rPr>
              <w:t>criptomoedas</w:t>
            </w:r>
            <w:r w:rsidRPr="00465964">
              <w:rPr>
                <w:lang w:val="pt-PT"/>
              </w:rPr>
              <w:t xml:space="preserve">, incluindo juros que não sejam relativos ao </w:t>
            </w:r>
            <w:proofErr w:type="gramStart"/>
            <w:r w:rsidRPr="00465964">
              <w:rPr>
                <w:lang w:val="pt-PT"/>
              </w:rPr>
              <w:t>período de tempo</w:t>
            </w:r>
            <w:proofErr w:type="gramEnd"/>
            <w:r w:rsidRPr="00465964">
              <w:rPr>
                <w:lang w:val="pt-PT"/>
              </w:rPr>
              <w:t xml:space="preserve"> em que os mesmos as detêm.</w:t>
            </w:r>
          </w:p>
        </w:tc>
      </w:tr>
    </w:tbl>
    <w:p w14:paraId="4B2BE185"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364"/>
        <w:gridCol w:w="8662"/>
      </w:tblGrid>
      <w:tr w:rsidR="00465964" w:rsidRPr="00465964" w14:paraId="6796FB89" w14:textId="77777777" w:rsidTr="00465964">
        <w:tc>
          <w:tcPr>
            <w:tcW w:w="0" w:type="auto"/>
            <w:shd w:val="clear" w:color="auto" w:fill="auto"/>
            <w:hideMark/>
          </w:tcPr>
          <w:p w14:paraId="6D7783CE" w14:textId="77777777" w:rsidR="00465964" w:rsidRPr="00465964" w:rsidRDefault="00465964" w:rsidP="00465964">
            <w:r w:rsidRPr="00465964">
              <w:t>(69)</w:t>
            </w:r>
          </w:p>
        </w:tc>
        <w:tc>
          <w:tcPr>
            <w:tcW w:w="0" w:type="auto"/>
            <w:shd w:val="clear" w:color="auto" w:fill="auto"/>
            <w:hideMark/>
          </w:tcPr>
          <w:p w14:paraId="1D086EFF" w14:textId="17DC57FF" w:rsidR="00465964" w:rsidRPr="00465964" w:rsidRDefault="00465964" w:rsidP="00465964">
            <w:pPr>
              <w:rPr>
                <w:lang w:val="pt-PT"/>
              </w:rPr>
            </w:pPr>
            <w:r w:rsidRPr="00465964">
              <w:rPr>
                <w:lang w:val="pt-PT"/>
              </w:rPr>
              <w:t xml:space="preserve">O livrete do criptoativo redigido por um emitente de </w:t>
            </w:r>
            <w:r>
              <w:rPr>
                <w:lang w:val="pt-PT"/>
              </w:rPr>
              <w:t>criptomoedas</w:t>
            </w:r>
            <w:r w:rsidRPr="00465964">
              <w:rPr>
                <w:lang w:val="pt-PT"/>
              </w:rPr>
              <w:t xml:space="preserve"> de moeda eletrónica deverá conter toda a informação sobre esse emitente e sobre a oferta de </w:t>
            </w:r>
            <w:r>
              <w:rPr>
                <w:lang w:val="pt-PT"/>
              </w:rPr>
              <w:t>criptomoedas</w:t>
            </w:r>
            <w:r w:rsidRPr="00465964">
              <w:rPr>
                <w:lang w:val="pt-PT"/>
              </w:rPr>
              <w:t xml:space="preserve"> de moeda eletrónica ou a sua admissão à negociação que seja necessária para permitir a potenciais compradores tomar uma decisão de compra informada e compreender os riscos relacionados com a oferta de </w:t>
            </w:r>
            <w:r>
              <w:rPr>
                <w:lang w:val="pt-PT"/>
              </w:rPr>
              <w:t>criptomoedas</w:t>
            </w:r>
            <w:r w:rsidRPr="00465964">
              <w:rPr>
                <w:lang w:val="pt-PT"/>
              </w:rPr>
              <w:t xml:space="preserve"> de moeda eletrónica. O livrete do criptoativo deverá também mencionar expressamente o direito dos detentores de </w:t>
            </w:r>
            <w:r>
              <w:rPr>
                <w:lang w:val="pt-PT"/>
              </w:rPr>
              <w:t>criptomoedas</w:t>
            </w:r>
            <w:r w:rsidRPr="00465964">
              <w:rPr>
                <w:lang w:val="pt-PT"/>
              </w:rPr>
              <w:t xml:space="preserve"> de moeda eletrónica ao reembolso das suas </w:t>
            </w:r>
            <w:r>
              <w:rPr>
                <w:lang w:val="pt-PT"/>
              </w:rPr>
              <w:t>criptomoedas</w:t>
            </w:r>
            <w:r w:rsidRPr="00465964">
              <w:rPr>
                <w:lang w:val="pt-PT"/>
              </w:rPr>
              <w:t xml:space="preserve"> de moeda eletrónica em fundos denominados na moeda oficial de referência das </w:t>
            </w:r>
            <w:r>
              <w:rPr>
                <w:lang w:val="pt-PT"/>
              </w:rPr>
              <w:t>criptomoedas</w:t>
            </w:r>
            <w:r w:rsidRPr="00465964">
              <w:rPr>
                <w:lang w:val="pt-PT"/>
              </w:rPr>
              <w:t xml:space="preserve"> de moeda eletrónica pelo valor nominal e em qualquer momento.</w:t>
            </w:r>
          </w:p>
        </w:tc>
      </w:tr>
      <w:tr w:rsidR="00465964" w:rsidRPr="00465964" w14:paraId="0637EE62" w14:textId="77777777" w:rsidTr="00465964">
        <w:tc>
          <w:tcPr>
            <w:tcW w:w="0" w:type="auto"/>
            <w:shd w:val="clear" w:color="auto" w:fill="auto"/>
            <w:hideMark/>
          </w:tcPr>
          <w:p w14:paraId="263C9AE0" w14:textId="77777777" w:rsidR="00465964" w:rsidRPr="00465964" w:rsidRDefault="00465964" w:rsidP="00465964">
            <w:r w:rsidRPr="00465964">
              <w:t>(70)</w:t>
            </w:r>
          </w:p>
        </w:tc>
        <w:tc>
          <w:tcPr>
            <w:tcW w:w="0" w:type="auto"/>
            <w:shd w:val="clear" w:color="auto" w:fill="auto"/>
            <w:hideMark/>
          </w:tcPr>
          <w:p w14:paraId="7E0E509F" w14:textId="7ABC2CB3" w:rsidR="00465964" w:rsidRPr="00465964" w:rsidRDefault="00465964" w:rsidP="00465964">
            <w:pPr>
              <w:rPr>
                <w:lang w:val="pt-PT"/>
              </w:rPr>
            </w:pPr>
            <w:r w:rsidRPr="00465964">
              <w:rPr>
                <w:lang w:val="pt-PT"/>
              </w:rPr>
              <w:t xml:space="preserve">Quando um emitente de </w:t>
            </w:r>
            <w:r>
              <w:rPr>
                <w:lang w:val="pt-PT"/>
              </w:rPr>
              <w:t>criptomoedas</w:t>
            </w:r>
            <w:r w:rsidRPr="00465964">
              <w:rPr>
                <w:lang w:val="pt-PT"/>
              </w:rPr>
              <w:t xml:space="preserve"> de moeda eletrónica investe os fundos recebidos em troca de </w:t>
            </w:r>
            <w:r>
              <w:rPr>
                <w:lang w:val="pt-PT"/>
              </w:rPr>
              <w:t>criptomoedas</w:t>
            </w:r>
            <w:r w:rsidRPr="00465964">
              <w:rPr>
                <w:lang w:val="pt-PT"/>
              </w:rPr>
              <w:t xml:space="preserve"> de moeda eletrónica, tais fundos deverão ser investidos em ativos denominados na mesma moeda oficial de referência das </w:t>
            </w:r>
            <w:r>
              <w:rPr>
                <w:lang w:val="pt-PT"/>
              </w:rPr>
              <w:t>criptomoedas</w:t>
            </w:r>
            <w:r w:rsidRPr="00465964">
              <w:rPr>
                <w:lang w:val="pt-PT"/>
              </w:rPr>
              <w:t xml:space="preserve"> de moeda eletrónica, a fim de evitar riscos cambiais.</w:t>
            </w:r>
          </w:p>
        </w:tc>
      </w:tr>
    </w:tbl>
    <w:p w14:paraId="2AC0DA94"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364"/>
        <w:gridCol w:w="8662"/>
      </w:tblGrid>
      <w:tr w:rsidR="00465964" w:rsidRPr="00465964" w14:paraId="72FB5D0B" w14:textId="77777777" w:rsidTr="00465964">
        <w:tc>
          <w:tcPr>
            <w:tcW w:w="0" w:type="auto"/>
            <w:shd w:val="clear" w:color="auto" w:fill="auto"/>
            <w:hideMark/>
          </w:tcPr>
          <w:p w14:paraId="438E235A" w14:textId="77777777" w:rsidR="00465964" w:rsidRPr="00465964" w:rsidRDefault="00465964" w:rsidP="00465964">
            <w:r w:rsidRPr="00465964">
              <w:t>(71)</w:t>
            </w:r>
          </w:p>
        </w:tc>
        <w:tc>
          <w:tcPr>
            <w:tcW w:w="0" w:type="auto"/>
            <w:shd w:val="clear" w:color="auto" w:fill="auto"/>
            <w:hideMark/>
          </w:tcPr>
          <w:p w14:paraId="3EEF0764" w14:textId="42701F67" w:rsidR="00465964" w:rsidRPr="00465964" w:rsidRDefault="00465964" w:rsidP="00465964">
            <w:pPr>
              <w:rPr>
                <w:lang w:val="pt-PT"/>
              </w:rPr>
            </w:pPr>
            <w:r w:rsidRPr="00465964">
              <w:rPr>
                <w:lang w:val="pt-PT"/>
              </w:rPr>
              <w:t xml:space="preserve">As </w:t>
            </w:r>
            <w:r>
              <w:rPr>
                <w:lang w:val="pt-PT"/>
              </w:rPr>
              <w:t>criptomoedas</w:t>
            </w:r>
            <w:r w:rsidRPr="00465964">
              <w:rPr>
                <w:lang w:val="pt-PT"/>
              </w:rPr>
              <w:t xml:space="preserve"> de moeda eletrónica significativas são suscetíveis de representar riscos mais elevados para a estabilidade financeira do que </w:t>
            </w:r>
            <w:r>
              <w:rPr>
                <w:lang w:val="pt-PT"/>
              </w:rPr>
              <w:t>criptomoedas</w:t>
            </w:r>
            <w:r w:rsidRPr="00465964">
              <w:rPr>
                <w:lang w:val="pt-PT"/>
              </w:rPr>
              <w:t xml:space="preserve"> de moeda eletrónica que não sejam significativas e do que a moeda eletrónica tradicional. Os emitentes de </w:t>
            </w:r>
            <w:r>
              <w:rPr>
                <w:lang w:val="pt-PT"/>
              </w:rPr>
              <w:t>criptomoedas</w:t>
            </w:r>
            <w:r w:rsidRPr="00465964">
              <w:rPr>
                <w:lang w:val="pt-PT"/>
              </w:rPr>
              <w:t xml:space="preserve"> de moeda eletrónica significativas que sejam instituições de moeda eletrónica deverão, por isso, estar sujeitos a requisitos adicionais. Esses emitentes de </w:t>
            </w:r>
            <w:r>
              <w:rPr>
                <w:lang w:val="pt-PT"/>
              </w:rPr>
              <w:t>criptomoedas</w:t>
            </w:r>
            <w:r w:rsidRPr="00465964">
              <w:rPr>
                <w:lang w:val="pt-PT"/>
              </w:rPr>
              <w:t xml:space="preserve"> de moeda eletrónica significativas deverão, em especial, estar sujeitos a requisitos de capital mais elevados do que os outros emitentes de </w:t>
            </w:r>
            <w:r>
              <w:rPr>
                <w:lang w:val="pt-PT"/>
              </w:rPr>
              <w:t>criptomoedas</w:t>
            </w:r>
            <w:r w:rsidRPr="00465964">
              <w:rPr>
                <w:lang w:val="pt-PT"/>
              </w:rPr>
              <w:t xml:space="preserve"> de moeda eletrónica, bem como a requisitos de interoperabilidade, e estabelecer uma política de </w:t>
            </w:r>
            <w:r w:rsidRPr="00465964">
              <w:rPr>
                <w:lang w:val="pt-PT"/>
              </w:rPr>
              <w:lastRenderedPageBreak/>
              <w:t xml:space="preserve">gestão da liquidez. Deverão igualmente cumprir alguns dos requisitos que também se aplicam aos emitentes de </w:t>
            </w:r>
            <w:r>
              <w:rPr>
                <w:lang w:val="pt-PT"/>
              </w:rPr>
              <w:t>criptomoedas</w:t>
            </w:r>
            <w:r w:rsidRPr="00465964">
              <w:rPr>
                <w:lang w:val="pt-PT"/>
              </w:rPr>
              <w:t xml:space="preserve"> referenciadas a ativos em matéria de reserva de ativos, tais como os requisitos em matéria de custódia e investimento da reserva de ativos. Esses requisitos para os emitentes de </w:t>
            </w:r>
            <w:r>
              <w:rPr>
                <w:lang w:val="pt-PT"/>
              </w:rPr>
              <w:t>criptomoedas</w:t>
            </w:r>
            <w:r w:rsidRPr="00465964">
              <w:rPr>
                <w:lang w:val="pt-PT"/>
              </w:rPr>
              <w:t xml:space="preserve"> de moeda eletrónica significativas deverão aplicar-se em vez dos artigos 5.</w:t>
            </w:r>
            <w:r w:rsidRPr="00465964">
              <w:rPr>
                <w:vertAlign w:val="superscript"/>
                <w:lang w:val="pt-PT"/>
              </w:rPr>
              <w:t>o</w:t>
            </w:r>
            <w:r w:rsidRPr="00465964">
              <w:rPr>
                <w:lang w:val="pt-PT"/>
              </w:rPr>
              <w:t> e 7.</w:t>
            </w:r>
            <w:r w:rsidRPr="00465964">
              <w:rPr>
                <w:vertAlign w:val="superscript"/>
                <w:lang w:val="pt-PT"/>
              </w:rPr>
              <w:t>o</w:t>
            </w:r>
            <w:r w:rsidRPr="00465964">
              <w:rPr>
                <w:lang w:val="pt-PT"/>
              </w:rPr>
              <w:t xml:space="preserve"> da Diretiva 2009/110/CE. Uma vez que as referidas disposições da Diretiva 2009/110/CE não se aplicam às instituições de crédito quando emitam moeda eletrónica, também os requisitos adicionais estabelecidos ao abrigo do presente regulamento para as </w:t>
            </w:r>
            <w:r>
              <w:rPr>
                <w:lang w:val="pt-PT"/>
              </w:rPr>
              <w:t>criptomoedas</w:t>
            </w:r>
            <w:r w:rsidRPr="00465964">
              <w:rPr>
                <w:lang w:val="pt-PT"/>
              </w:rPr>
              <w:t xml:space="preserve"> de moeda eletrónica significativas não deverão aplicar-se.</w:t>
            </w:r>
          </w:p>
        </w:tc>
      </w:tr>
      <w:tr w:rsidR="00465964" w:rsidRPr="00465964" w14:paraId="5E0E5E28" w14:textId="77777777" w:rsidTr="00465964">
        <w:tc>
          <w:tcPr>
            <w:tcW w:w="0" w:type="auto"/>
            <w:shd w:val="clear" w:color="auto" w:fill="auto"/>
            <w:hideMark/>
          </w:tcPr>
          <w:p w14:paraId="302D6768" w14:textId="77777777" w:rsidR="00465964" w:rsidRPr="00465964" w:rsidRDefault="00465964" w:rsidP="00465964">
            <w:r w:rsidRPr="00465964">
              <w:lastRenderedPageBreak/>
              <w:t>(72)</w:t>
            </w:r>
          </w:p>
        </w:tc>
        <w:tc>
          <w:tcPr>
            <w:tcW w:w="0" w:type="auto"/>
            <w:shd w:val="clear" w:color="auto" w:fill="auto"/>
            <w:hideMark/>
          </w:tcPr>
          <w:p w14:paraId="58E4D6B9" w14:textId="742DDD2A" w:rsidR="00465964" w:rsidRPr="00465964" w:rsidRDefault="00465964" w:rsidP="00465964">
            <w:pPr>
              <w:rPr>
                <w:lang w:val="pt-PT"/>
              </w:rPr>
            </w:pPr>
            <w:r w:rsidRPr="00465964">
              <w:rPr>
                <w:lang w:val="pt-PT"/>
              </w:rPr>
              <w:t xml:space="preserve">Os emitentes de </w:t>
            </w:r>
            <w:r>
              <w:rPr>
                <w:lang w:val="pt-PT"/>
              </w:rPr>
              <w:t>criptomoedas</w:t>
            </w:r>
            <w:r w:rsidRPr="00465964">
              <w:rPr>
                <w:lang w:val="pt-PT"/>
              </w:rPr>
              <w:t xml:space="preserve"> de moeda eletrónica deverão dispor de planos de recuperação e reembolso, a fim de assegurar a proteção dos direitos dos detentores das </w:t>
            </w:r>
            <w:r>
              <w:rPr>
                <w:lang w:val="pt-PT"/>
              </w:rPr>
              <w:t>criptomoedas</w:t>
            </w:r>
            <w:r w:rsidRPr="00465964">
              <w:rPr>
                <w:lang w:val="pt-PT"/>
              </w:rPr>
              <w:t xml:space="preserve"> de moeda eletrónica caso os emitentes não estejam em condições de cumprir as suas obrigações.</w:t>
            </w:r>
          </w:p>
        </w:tc>
      </w:tr>
    </w:tbl>
    <w:p w14:paraId="683F1466"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364"/>
        <w:gridCol w:w="8662"/>
      </w:tblGrid>
      <w:tr w:rsidR="00465964" w:rsidRPr="00465964" w14:paraId="7C138711" w14:textId="77777777" w:rsidTr="00465964">
        <w:tc>
          <w:tcPr>
            <w:tcW w:w="0" w:type="auto"/>
            <w:shd w:val="clear" w:color="auto" w:fill="auto"/>
            <w:hideMark/>
          </w:tcPr>
          <w:p w14:paraId="56FE6E29" w14:textId="77777777" w:rsidR="00465964" w:rsidRPr="00465964" w:rsidRDefault="00465964" w:rsidP="00465964">
            <w:r w:rsidRPr="00465964">
              <w:t>(73)</w:t>
            </w:r>
          </w:p>
        </w:tc>
        <w:tc>
          <w:tcPr>
            <w:tcW w:w="0" w:type="auto"/>
            <w:shd w:val="clear" w:color="auto" w:fill="auto"/>
            <w:hideMark/>
          </w:tcPr>
          <w:p w14:paraId="79D50451" w14:textId="77777777" w:rsidR="00465964" w:rsidRPr="00465964" w:rsidRDefault="00465964" w:rsidP="00465964">
            <w:pPr>
              <w:rPr>
                <w:lang w:val="pt-PT"/>
              </w:rPr>
            </w:pPr>
            <w:r w:rsidRPr="00465964">
              <w:rPr>
                <w:lang w:val="pt-PT"/>
              </w:rPr>
              <w:t>Na maioria dos Estados-Membros, a prestação de serviços de criptoativos ainda não está regulamentada, apesar dos potenciais riscos que representam para a proteção dos investidores, a integridade do mercado e a estabilidade financeira. Para fazer face a esses riscos, o presente regulamento estabelece requisitos operacionais, organizacionais e prudenciais a nível da União aplicáveis aos prestadores de serviços de criptoativos.</w:t>
            </w:r>
          </w:p>
        </w:tc>
      </w:tr>
      <w:tr w:rsidR="00465964" w:rsidRPr="00465964" w14:paraId="1A667097" w14:textId="77777777" w:rsidTr="00465964">
        <w:tc>
          <w:tcPr>
            <w:tcW w:w="0" w:type="auto"/>
            <w:shd w:val="clear" w:color="auto" w:fill="auto"/>
            <w:hideMark/>
          </w:tcPr>
          <w:p w14:paraId="143189E5" w14:textId="77777777" w:rsidR="00465964" w:rsidRPr="00465964" w:rsidRDefault="00465964" w:rsidP="00465964">
            <w:r w:rsidRPr="00465964">
              <w:t>(74)</w:t>
            </w:r>
          </w:p>
        </w:tc>
        <w:tc>
          <w:tcPr>
            <w:tcW w:w="0" w:type="auto"/>
            <w:shd w:val="clear" w:color="auto" w:fill="auto"/>
            <w:hideMark/>
          </w:tcPr>
          <w:p w14:paraId="4B83CD43" w14:textId="77777777" w:rsidR="00465964" w:rsidRPr="00465964" w:rsidRDefault="00465964" w:rsidP="00465964">
            <w:pPr>
              <w:rPr>
                <w:lang w:val="pt-PT"/>
              </w:rPr>
            </w:pPr>
            <w:r w:rsidRPr="00465964">
              <w:rPr>
                <w:lang w:val="pt-PT"/>
              </w:rPr>
              <w:t>A fim de permitir uma supervisão eficaz e de eliminar a possibilidade de evadirem ou contornarem a supervisão, os serviços de criptoativos só deverão ser prestados por pessoas coletivas com sede social num Estado-Membro em que exerçam atividades comerciais substanciais, incluindo a prestação de serviços de criptoativos. Às empresas que não sejam pessoas coletivas, como as parcerias comerciais, deverá também, em determinadas condições, ser permitido prestar serviços de criptoativos. É fundamental que os prestadores de serviços de criptoativos mantenham a gestão efetiva das suas atividades na União, por forma a evitar que a eficácia da supervisão prudencial seja minada e assegurar a execução dos requisitos impostos pelo presente regulamento destinados a assegurar a proteção dos investidores, a integridade do mercado e a estabilidade financeira. O contacto direto regular entre os supervisores e a direção responsável pelos prestadores de criptoativos deverá constituir um elemento essencial dessa supervisão. Os prestadores de serviços de criptoativos deverão, por conseguinte, estabelecer o local de direção efetiva na União e pelo menos um dos membros do órgão de administração deverá residir na União. Por «local de direção efetiva» entende-se o lugar onde são tomadas as principais decisões comerciais e em matéria de gestão necessárias para o exercício da atividade da empresa.</w:t>
            </w:r>
          </w:p>
        </w:tc>
      </w:tr>
    </w:tbl>
    <w:p w14:paraId="66F9FDE3"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364"/>
        <w:gridCol w:w="8662"/>
      </w:tblGrid>
      <w:tr w:rsidR="00465964" w:rsidRPr="00465964" w14:paraId="1EDDC7D3" w14:textId="77777777" w:rsidTr="00465964">
        <w:tc>
          <w:tcPr>
            <w:tcW w:w="0" w:type="auto"/>
            <w:shd w:val="clear" w:color="auto" w:fill="auto"/>
            <w:hideMark/>
          </w:tcPr>
          <w:p w14:paraId="1F8DCDAD" w14:textId="77777777" w:rsidR="00465964" w:rsidRPr="00465964" w:rsidRDefault="00465964" w:rsidP="00465964">
            <w:r w:rsidRPr="00465964">
              <w:t>(75)</w:t>
            </w:r>
          </w:p>
        </w:tc>
        <w:tc>
          <w:tcPr>
            <w:tcW w:w="0" w:type="auto"/>
            <w:shd w:val="clear" w:color="auto" w:fill="auto"/>
            <w:hideMark/>
          </w:tcPr>
          <w:p w14:paraId="1E182204" w14:textId="77777777" w:rsidR="00465964" w:rsidRPr="00465964" w:rsidRDefault="00465964" w:rsidP="00465964">
            <w:pPr>
              <w:rPr>
                <w:lang w:val="pt-PT"/>
              </w:rPr>
            </w:pPr>
            <w:r w:rsidRPr="00465964">
              <w:rPr>
                <w:lang w:val="pt-PT"/>
              </w:rPr>
              <w:t>O presente regulamento não deverá obstar à possibilidade de pessoas estabelecidas na União recorrerem por iniciativa própria aos serviços de criptoativos de uma empresa de um país terceiro. Quando uma empresa de um país terceiro presta serviços de criptoativos por iniciativa própria de uma pessoa estabelecida na União, os serviços de criptoativos não deverão ser considerados como prestados na União. Caso uma empresa de um país terceiro angarie clientes ou potenciais clientes na União ou promova ou faça publicidade aos serviços ou atividades de criptoativos na União, tal não deverá ser considerado um serviço prestado por iniciativa própria do cliente. Nesse caso, a empresa do país terceiro deverá estar autorizada como prestador de serviços de criptoativos.</w:t>
            </w:r>
          </w:p>
        </w:tc>
      </w:tr>
      <w:tr w:rsidR="00465964" w:rsidRPr="00465964" w14:paraId="00F2F744" w14:textId="77777777" w:rsidTr="00465964">
        <w:tc>
          <w:tcPr>
            <w:tcW w:w="0" w:type="auto"/>
            <w:shd w:val="clear" w:color="auto" w:fill="auto"/>
            <w:hideMark/>
          </w:tcPr>
          <w:p w14:paraId="3D47B15C" w14:textId="77777777" w:rsidR="00465964" w:rsidRPr="00465964" w:rsidRDefault="00465964" w:rsidP="00465964">
            <w:r w:rsidRPr="00465964">
              <w:lastRenderedPageBreak/>
              <w:t>(76)</w:t>
            </w:r>
          </w:p>
        </w:tc>
        <w:tc>
          <w:tcPr>
            <w:tcW w:w="0" w:type="auto"/>
            <w:shd w:val="clear" w:color="auto" w:fill="auto"/>
            <w:hideMark/>
          </w:tcPr>
          <w:p w14:paraId="026BE9BF" w14:textId="77777777" w:rsidR="00465964" w:rsidRPr="00465964" w:rsidRDefault="00465964" w:rsidP="00465964">
            <w:pPr>
              <w:rPr>
                <w:lang w:val="pt-PT"/>
              </w:rPr>
            </w:pPr>
            <w:r w:rsidRPr="00465964">
              <w:rPr>
                <w:lang w:val="pt-PT"/>
              </w:rPr>
              <w:t>Dada a escala relativamente reduzida até à data dos prestadores de serviços de criptoativos, o poder de autorizar e supervisionar esses prestadores de serviços deverá ser conferido às autoridades nacionais competentes. A autorização como prestador de serviços de criptoativos requerida deverá ser concedida, recusada ou revogada pela autoridade competente do Estado-Membro no qual a entidade tem a sua sede social. Caso seja concedida, a autorização deverá indicar os serviços de criptoativos para os quais o prestador de serviços de criptoativos possui autorização e deverá ser válida para toda a União.</w:t>
            </w:r>
          </w:p>
        </w:tc>
      </w:tr>
    </w:tbl>
    <w:p w14:paraId="0404ABFF"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364"/>
        <w:gridCol w:w="8662"/>
      </w:tblGrid>
      <w:tr w:rsidR="00465964" w:rsidRPr="00465964" w14:paraId="4B5761D9" w14:textId="77777777" w:rsidTr="00465964">
        <w:tc>
          <w:tcPr>
            <w:tcW w:w="0" w:type="auto"/>
            <w:shd w:val="clear" w:color="auto" w:fill="auto"/>
            <w:hideMark/>
          </w:tcPr>
          <w:p w14:paraId="42471A44" w14:textId="77777777" w:rsidR="00465964" w:rsidRPr="00465964" w:rsidRDefault="00465964" w:rsidP="00465964">
            <w:r w:rsidRPr="00465964">
              <w:t>(77)</w:t>
            </w:r>
          </w:p>
        </w:tc>
        <w:tc>
          <w:tcPr>
            <w:tcW w:w="0" w:type="auto"/>
            <w:shd w:val="clear" w:color="auto" w:fill="auto"/>
            <w:hideMark/>
          </w:tcPr>
          <w:p w14:paraId="3CC7781A" w14:textId="77777777" w:rsidR="00465964" w:rsidRPr="00465964" w:rsidRDefault="00465964" w:rsidP="00465964">
            <w:pPr>
              <w:rPr>
                <w:lang w:val="pt-PT"/>
              </w:rPr>
            </w:pPr>
            <w:r w:rsidRPr="00465964">
              <w:rPr>
                <w:lang w:val="pt-PT"/>
              </w:rPr>
              <w:t>A fim de assegurar a continuidade da proteção do sistema financeiro da União contra os riscos de branqueamento de capitais e de financiamento do terrorismo, é necessário assegurar que os prestadores de serviços de criptoativos procedam a controlos reforçados das operações financeiras que envolvem clientes e instituições financeiras de países terceiros identificados como «países terceiros de risco elevado» porque são países terceiros com deficiências estratégicas nos seus regimes nacionais de luta contra o branqueamento de capitais e o financiamento do terrorismo que constituem uma ameaça significativa para o sistema financeiro da União, tal como referido na Diretiva (UE) 2015/849 do Parlamento Europeu e do Conselho </w:t>
            </w:r>
            <w:hyperlink r:id="rId27" w:anchor="ntr20-L_2023150PT.01004001-E0020" w:history="1">
              <w:r w:rsidRPr="00465964">
                <w:rPr>
                  <w:rStyle w:val="Hyperlink"/>
                  <w:lang w:val="pt-PT"/>
                </w:rPr>
                <w:t>(</w:t>
              </w:r>
              <w:r w:rsidRPr="00465964">
                <w:rPr>
                  <w:rStyle w:val="Hyperlink"/>
                  <w:vertAlign w:val="superscript"/>
                  <w:lang w:val="pt-PT"/>
                </w:rPr>
                <w:t>20</w:t>
              </w:r>
              <w:r w:rsidRPr="00465964">
                <w:rPr>
                  <w:rStyle w:val="Hyperlink"/>
                  <w:lang w:val="pt-PT"/>
                </w:rPr>
                <w:t>)</w:t>
              </w:r>
            </w:hyperlink>
            <w:r w:rsidRPr="00465964">
              <w:rPr>
                <w:lang w:val="pt-PT"/>
              </w:rPr>
              <w:t>.</w:t>
            </w:r>
          </w:p>
        </w:tc>
      </w:tr>
      <w:tr w:rsidR="00465964" w:rsidRPr="00465964" w14:paraId="394624C4" w14:textId="77777777" w:rsidTr="00465964">
        <w:tc>
          <w:tcPr>
            <w:tcW w:w="0" w:type="auto"/>
            <w:shd w:val="clear" w:color="auto" w:fill="auto"/>
            <w:hideMark/>
          </w:tcPr>
          <w:p w14:paraId="7251AAF4" w14:textId="77777777" w:rsidR="00465964" w:rsidRPr="00465964" w:rsidRDefault="00465964" w:rsidP="00465964">
            <w:r w:rsidRPr="00465964">
              <w:t>(78)</w:t>
            </w:r>
          </w:p>
        </w:tc>
        <w:tc>
          <w:tcPr>
            <w:tcW w:w="0" w:type="auto"/>
            <w:shd w:val="clear" w:color="auto" w:fill="auto"/>
            <w:hideMark/>
          </w:tcPr>
          <w:p w14:paraId="42184CC6" w14:textId="77777777" w:rsidR="00465964" w:rsidRPr="00465964" w:rsidRDefault="00465964" w:rsidP="00465964">
            <w:pPr>
              <w:rPr>
                <w:lang w:val="pt-PT"/>
              </w:rPr>
            </w:pPr>
            <w:r w:rsidRPr="00465964">
              <w:rPr>
                <w:lang w:val="pt-PT"/>
              </w:rPr>
              <w:t>A determinadas empresas sujeitas à legislação da União em matéria de serviços financeiros deverá ser permitido prestar todos ou alguns serviços de criptoativos sem serem obrigadas a obter uma autorização como prestador de serviços de criptoativos ao abrigo do presente regulamento se notificarem determinadas informações às respetivas autoridades competentes antes de prestarem esses serviços pela primeira vez. Nesses casos, essas empresas deverão ser consideradas prestadores de serviços de criptoativos e os poderes administrativos relevantes previstos no presente regulamento, nomeadamente o poder de suspender ou proibir determinados serviços de criptoativos, deverão ser aplicáveis relativamente a essas empresas. Essas empresas deverão estar sujeitas a todos os requisitos aplicáveis aos prestadores de serviços de criptoativos ao abrigo do presente regulamento, com exceção dos requisitos de autorização, dos requisitos de fundos próprios e do procedimento de aprovação no que diz respeito aos acionistas e sócios que detêm participações qualificadas, uma vez que essas matérias são abrangidas pelos atos legislativos da União ao abrigo dos quais foram autorizadas. O procedimento de notificação para as instituições de crédito que pretendam prestar serviços de criptoativos ao abrigo do presente regulamento não deverá prejudicar as disposições de direito nacional de transposição da Diretiva 2013/36/UE que estabelecem procedimentos de autorização das instituições de crédito para que prestem os serviços enumerados no anexo I dessa diretiva.</w:t>
            </w:r>
          </w:p>
        </w:tc>
      </w:tr>
    </w:tbl>
    <w:p w14:paraId="52FD4F10"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364"/>
        <w:gridCol w:w="8662"/>
      </w:tblGrid>
      <w:tr w:rsidR="00465964" w:rsidRPr="00465964" w14:paraId="366DCA4A" w14:textId="77777777" w:rsidTr="00465964">
        <w:tc>
          <w:tcPr>
            <w:tcW w:w="0" w:type="auto"/>
            <w:shd w:val="clear" w:color="auto" w:fill="auto"/>
            <w:hideMark/>
          </w:tcPr>
          <w:p w14:paraId="5ACF0D2D" w14:textId="77777777" w:rsidR="00465964" w:rsidRPr="00465964" w:rsidRDefault="00465964" w:rsidP="00465964">
            <w:r w:rsidRPr="00465964">
              <w:t>(79)</w:t>
            </w:r>
          </w:p>
        </w:tc>
        <w:tc>
          <w:tcPr>
            <w:tcW w:w="0" w:type="auto"/>
            <w:shd w:val="clear" w:color="auto" w:fill="auto"/>
            <w:hideMark/>
          </w:tcPr>
          <w:p w14:paraId="5439548F" w14:textId="77777777" w:rsidR="00465964" w:rsidRPr="00465964" w:rsidRDefault="00465964" w:rsidP="00465964">
            <w:pPr>
              <w:rPr>
                <w:lang w:val="pt-PT"/>
              </w:rPr>
            </w:pPr>
            <w:r w:rsidRPr="00465964">
              <w:rPr>
                <w:lang w:val="pt-PT"/>
              </w:rPr>
              <w:t xml:space="preserve">De modo a assegurar a proteção do consumidor, a integridade do mercado e a estabilidade financeira, os prestadores de serviços de criptoativos deverão atuar sempre com honestidade, lealdade e profissionalismo e no melhor interesse dos seus clientes. Os serviços de criptoativos deverão ser considerados «serviços financeiros» na aceção da Diretiva 2002/65/CE, nos casos em que preencham os critérios estabelecidos na referida diretiva. Quando comercializados à distância, os contratos entre prestadores de serviços de criptoativos e consumidores deverão também estar sujeitos à Diretiva 2002/65/CE, salvo indicação expressa em contrário no presente regulamento. Os prestadores de serviços de criptoativos deverão prestar aos seus clientes informação completa, correta, clara e que não induza em erro e alertá-los para os riscos associados aos criptoativos. Os prestadores de serviços de criptoativos deverão tornar públicas as suas políticas de preços, estabelecer </w:t>
            </w:r>
            <w:r w:rsidRPr="00465964">
              <w:rPr>
                <w:lang w:val="pt-PT"/>
              </w:rPr>
              <w:lastRenderedPageBreak/>
              <w:t>procedimentos para o tratamento das reclamações e dispor de uma política sólida de identificação, prevenção, gestão e divulgação de conflitos de interesse.</w:t>
            </w:r>
          </w:p>
        </w:tc>
      </w:tr>
      <w:tr w:rsidR="00465964" w:rsidRPr="00465964" w14:paraId="5B0FC27D" w14:textId="77777777" w:rsidTr="00465964">
        <w:tc>
          <w:tcPr>
            <w:tcW w:w="0" w:type="auto"/>
            <w:shd w:val="clear" w:color="auto" w:fill="auto"/>
            <w:hideMark/>
          </w:tcPr>
          <w:p w14:paraId="2CF658A5" w14:textId="77777777" w:rsidR="00465964" w:rsidRPr="00465964" w:rsidRDefault="00465964" w:rsidP="00465964">
            <w:r w:rsidRPr="00465964">
              <w:lastRenderedPageBreak/>
              <w:t>(80)</w:t>
            </w:r>
          </w:p>
        </w:tc>
        <w:tc>
          <w:tcPr>
            <w:tcW w:w="0" w:type="auto"/>
            <w:shd w:val="clear" w:color="auto" w:fill="auto"/>
            <w:hideMark/>
          </w:tcPr>
          <w:p w14:paraId="01B36AAB" w14:textId="77777777" w:rsidR="00465964" w:rsidRPr="00465964" w:rsidRDefault="00465964" w:rsidP="00465964">
            <w:pPr>
              <w:rPr>
                <w:lang w:val="pt-PT"/>
              </w:rPr>
            </w:pPr>
            <w:r w:rsidRPr="00465964">
              <w:rPr>
                <w:lang w:val="pt-PT"/>
              </w:rPr>
              <w:t>A fim de assegurar a proteção do consumidor, os prestadores de serviços de criptoativos autorizados ao abrigo do presente regulamento deverão cumprir determinados requisitos prudenciais. Esses requisitos prudenciais deverão ser definidos como um montante fixo ou proporcional às suas despesas gerais fixas do ano anterior, em função dos tipos de serviços que prestam.</w:t>
            </w:r>
          </w:p>
        </w:tc>
      </w:tr>
    </w:tbl>
    <w:p w14:paraId="06A5213D"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364"/>
        <w:gridCol w:w="8662"/>
      </w:tblGrid>
      <w:tr w:rsidR="00465964" w:rsidRPr="00465964" w14:paraId="530CB4F2" w14:textId="77777777" w:rsidTr="00465964">
        <w:tc>
          <w:tcPr>
            <w:tcW w:w="0" w:type="auto"/>
            <w:shd w:val="clear" w:color="auto" w:fill="auto"/>
            <w:hideMark/>
          </w:tcPr>
          <w:p w14:paraId="07F8D3E4" w14:textId="77777777" w:rsidR="00465964" w:rsidRPr="00465964" w:rsidRDefault="00465964" w:rsidP="00465964">
            <w:r w:rsidRPr="00465964">
              <w:t>(81)</w:t>
            </w:r>
          </w:p>
        </w:tc>
        <w:tc>
          <w:tcPr>
            <w:tcW w:w="0" w:type="auto"/>
            <w:shd w:val="clear" w:color="auto" w:fill="auto"/>
            <w:hideMark/>
          </w:tcPr>
          <w:p w14:paraId="6FE5842D" w14:textId="77777777" w:rsidR="00465964" w:rsidRPr="00465964" w:rsidRDefault="00465964" w:rsidP="00465964">
            <w:pPr>
              <w:rPr>
                <w:lang w:val="pt-PT"/>
              </w:rPr>
            </w:pPr>
            <w:r w:rsidRPr="00465964">
              <w:rPr>
                <w:lang w:val="pt-PT"/>
              </w:rPr>
              <w:t>Os prestadores de serviços de criptoativos deverão estar sujeitos a requisitos estritos em matéria de organização. Os membros do órgão de administração dos prestadores de serviços de criptoativos deverão ser competentes e idóneos e não podem, designadamente, ter sido condenados por infrações no domínio do branqueamento de capitais ou do financiamento do terrorismo, nem por quaisquer outras infrações que afetem a sua idoneidade. Os acionistas ou sócios, diretos ou indiretos, e quer sejam pessoas singulares ou coletivas, que detenham participações qualificadas em prestadores de serviços de criptoativos deverão ter idoneidade suficiente e, em especial, não poderão ter sido condenados por infrações no domínio do branqueamento de capitais ou do financiamento do terrorismo, nem por quaisquer outras infrações que afetem a sua idoneidade. Além disso, se a influência exercida por acionistas e sócios que detêm participações qualificadas em prestadores de serviços de criptoativos for suscetível de prejudicar a gestão sã e prudente do prestador de serviços de criptoativos, tendo em conta, nomeadamente, as suas atividades anteriores, o risco de se envolverem em atividades ilícitas ou ainda a influência ou o controlo por parte de um governo de um país terceiro, as autoridades competentes deverão ter o poder de fazer face a esses riscos. Os prestadores de serviços de criptoativos deverão empregar gestores e funcionários com conhecimentos, competências e experiência adequados e tomar todas as medidas razoáveis para o desempenho das suas funções, nomeadamente preparando um plano de continuidade das atividades. Deverão dispor de mecanismos de controlo interno e de avaliação dos riscos sólidos, bem como de sistemas e procedimentos adequados de garantia da integridade e confidencialidade das informações recebidas. Os prestadores de serviços de criptoativos deverão dispor de mecanismos adequados para a conservação de registos da totalidade das transações, ordens e serviços relacionados com os serviços de criptoativos que prestam. Deverão igualmente dispor de sistemas para detetar possíveis abusos de mercado cometidos por clientes.</w:t>
            </w:r>
          </w:p>
        </w:tc>
      </w:tr>
      <w:tr w:rsidR="00465964" w:rsidRPr="00465964" w14:paraId="7EF250BB" w14:textId="77777777" w:rsidTr="00465964">
        <w:tc>
          <w:tcPr>
            <w:tcW w:w="0" w:type="auto"/>
            <w:shd w:val="clear" w:color="auto" w:fill="auto"/>
            <w:hideMark/>
          </w:tcPr>
          <w:p w14:paraId="298698D5" w14:textId="77777777" w:rsidR="00465964" w:rsidRPr="00465964" w:rsidRDefault="00465964" w:rsidP="00465964">
            <w:r w:rsidRPr="00465964">
              <w:t>(82)</w:t>
            </w:r>
          </w:p>
        </w:tc>
        <w:tc>
          <w:tcPr>
            <w:tcW w:w="0" w:type="auto"/>
            <w:shd w:val="clear" w:color="auto" w:fill="auto"/>
            <w:hideMark/>
          </w:tcPr>
          <w:p w14:paraId="2BA1F2F4" w14:textId="77777777" w:rsidR="00465964" w:rsidRPr="00465964" w:rsidRDefault="00465964" w:rsidP="00465964">
            <w:pPr>
              <w:rPr>
                <w:lang w:val="pt-PT"/>
              </w:rPr>
            </w:pPr>
            <w:r w:rsidRPr="00465964">
              <w:rPr>
                <w:lang w:val="pt-PT"/>
              </w:rPr>
              <w:t xml:space="preserve">A fim de assegurar a proteção dos seus clientes, os prestadores de serviços de criptoativos deverão dispor de mecanismos adequados à salvaguarda dos direitos de propriedade dos clientes sobre os criptoativos que estes detêm. Quando o seu modelo de negócio exija que detenham fundos na aceção da Diretiva (UE) 2015/2366 sob a forma de notas, moedas, moeda </w:t>
            </w:r>
            <w:proofErr w:type="spellStart"/>
            <w:r w:rsidRPr="00465964">
              <w:rPr>
                <w:lang w:val="pt-PT"/>
              </w:rPr>
              <w:t>escritural</w:t>
            </w:r>
            <w:proofErr w:type="spellEnd"/>
            <w:r w:rsidRPr="00465964">
              <w:rPr>
                <w:lang w:val="pt-PT"/>
              </w:rPr>
              <w:t xml:space="preserve"> ou moeda eletrónica pertencente aos respetivos clientes, os prestadores de serviços de criptoativos deverão proceder à colocação desses fundos junto de uma instituição de crédito ou de um banco central, em que esteja disponível uma conta junto do banco central. Os prestadores de serviços de criptoativos só deverão ser autorizados a efetuar transações de pagamento relacionadas com os serviços de criptoativos que prestam se estiverem autorizados como instituições de pagamento na aceção da referida diretiva.</w:t>
            </w:r>
          </w:p>
        </w:tc>
      </w:tr>
    </w:tbl>
    <w:p w14:paraId="31100AD3"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364"/>
        <w:gridCol w:w="8662"/>
      </w:tblGrid>
      <w:tr w:rsidR="00465964" w:rsidRPr="00465964" w14:paraId="4D9EB3AA" w14:textId="77777777" w:rsidTr="00465964">
        <w:tc>
          <w:tcPr>
            <w:tcW w:w="0" w:type="auto"/>
            <w:shd w:val="clear" w:color="auto" w:fill="auto"/>
            <w:hideMark/>
          </w:tcPr>
          <w:p w14:paraId="4F7C01EA" w14:textId="77777777" w:rsidR="00465964" w:rsidRPr="00465964" w:rsidRDefault="00465964" w:rsidP="00465964">
            <w:r w:rsidRPr="00465964">
              <w:lastRenderedPageBreak/>
              <w:t>(83)</w:t>
            </w:r>
          </w:p>
        </w:tc>
        <w:tc>
          <w:tcPr>
            <w:tcW w:w="0" w:type="auto"/>
            <w:shd w:val="clear" w:color="auto" w:fill="auto"/>
            <w:hideMark/>
          </w:tcPr>
          <w:p w14:paraId="63624FDD" w14:textId="77777777" w:rsidR="00465964" w:rsidRPr="00465964" w:rsidRDefault="00465964" w:rsidP="00465964">
            <w:pPr>
              <w:rPr>
                <w:lang w:val="pt-PT"/>
              </w:rPr>
            </w:pPr>
            <w:r w:rsidRPr="00465964">
              <w:rPr>
                <w:lang w:val="pt-PT"/>
              </w:rPr>
              <w:t>Os prestadores de serviços de criptoativos, em função dos serviços que prestam e devido aos riscos específicos suscitados por cada tipo de serviço, deverão estar sujeitos a requisitos específicos para esses serviços. Os prestadores de serviços de criptoativos que prestam o serviço de custódia e de administração de criptoativos por conta dos clientes deverão celebrar um acordo com os seus clientes com determinadas cláusulas obrigatórias, e deverão definir e executar uma política de custódia que deverá ser disponibilizada aos clientes, a seu pedido, em formato eletrónico. Esse acordo deverá especificar, nomeadamente, a natureza do serviço prestado, que poderá incluir a detenção de criptoativos pertencentes a clientes ou os meios de acesso a esses criptoativos, caso em que o cliente poderá manter o controlo sobre os criptoativos em custódia. Em alternativa, os criptoativos ou os meios de acesso aos mesmos podem ser transferidos para o prestador de serviços de criptoativos, ficando plenamente sob o seu controlo. Os prestadores de serviços de criptoativos que detenham criptoativos pertencentes a clientes, ou os meios de acesso a esses criptoativos, deverão assegurar que esses criptoativos não sejam utilizados por conta própria. Os prestadores de serviços de criptoativos deverão assegurar que todos os criptoativos detidos estejam sempre livres de encargos. Esses prestadores de serviços de criptoativos deverão também ser responsabilizados por quaisquer perdas resultantes de incidentes relacionados com as tecnologias da informação e comunicação («TIC»), nomeadamente incidentes resultantes de um ataque cibernético, de um roubo ou de qualquer mau funcionamento. Os fornecedores de hardware ou software de carteiras sem custódia não deverão ser abrangidos pelo âmbito de aplicação do presente regulamento.</w:t>
            </w:r>
          </w:p>
        </w:tc>
      </w:tr>
      <w:tr w:rsidR="00465964" w:rsidRPr="00465964" w14:paraId="53534A57" w14:textId="77777777" w:rsidTr="00465964">
        <w:tc>
          <w:tcPr>
            <w:tcW w:w="0" w:type="auto"/>
            <w:shd w:val="clear" w:color="auto" w:fill="auto"/>
            <w:hideMark/>
          </w:tcPr>
          <w:p w14:paraId="5C5F6D8D" w14:textId="77777777" w:rsidR="00465964" w:rsidRPr="00465964" w:rsidRDefault="00465964" w:rsidP="00465964">
            <w:r w:rsidRPr="00465964">
              <w:t>(84)</w:t>
            </w:r>
          </w:p>
        </w:tc>
        <w:tc>
          <w:tcPr>
            <w:tcW w:w="0" w:type="auto"/>
            <w:shd w:val="clear" w:color="auto" w:fill="auto"/>
            <w:hideMark/>
          </w:tcPr>
          <w:p w14:paraId="53FAB089" w14:textId="77777777" w:rsidR="00465964" w:rsidRPr="00465964" w:rsidRDefault="00465964" w:rsidP="00465964">
            <w:pPr>
              <w:rPr>
                <w:lang w:val="pt-PT"/>
              </w:rPr>
            </w:pPr>
            <w:r w:rsidRPr="00465964">
              <w:rPr>
                <w:lang w:val="pt-PT"/>
              </w:rPr>
              <w:t>De modo a assegurar o funcionamento ordenado dos mercados de criptoativos, os prestadores de serviços de criptoativos que operam uma plataforma de negociação de criptoativos deverão dispor de regras de funcionamento pormenorizadas, assegurar que os seus sistemas e procedimentos sejam suficientemente resilientes, estar sujeitos a requisitos de transparência pré-negociação e pós-negociação adaptados ao mercado de criptoativos e definir regras transparentes e não discriminatórias, baseadas em critérios objetivos, que regulem o acesso à sua plataforma. Os prestadores de serviços de criptoativos que operam plataformas de negociação de criptoativos deverão igualmente dispor de uma estrutura transparente de comissões a cobrar pelos serviços prestados, a fim de evitar a colocação de ordens que possam contribuir para o abuso de mercado ou para condições de negociação desordenadas. Os prestadores de serviços de criptoativos que operam uma plataforma de negociação de criptoativos deverão ter a possibilidade de liquidar transações executadas em plataformas de negociação em cadeia e fora da cadeia, devendo assegurar uma liquidação atempada. A liquidação das transações deverá ser iniciada no prazo de 24 horas após a execução de uma transação na plataforma de negociação. No caso de uma liquidação fora da cadeia, a liquidação deverá ser iniciada no mesmo dia útil, ao passo que, no caso de uma liquidação em cadeia, a liquidação poderá exigir mais tempo, uma vez que não é controlada pelo prestador de serviços de criptoativos que opera a plataforma de negociação.</w:t>
            </w:r>
          </w:p>
        </w:tc>
      </w:tr>
    </w:tbl>
    <w:p w14:paraId="3D57CBE4"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364"/>
        <w:gridCol w:w="8662"/>
      </w:tblGrid>
      <w:tr w:rsidR="00465964" w:rsidRPr="00465964" w14:paraId="4BBE1857" w14:textId="77777777" w:rsidTr="00465964">
        <w:tc>
          <w:tcPr>
            <w:tcW w:w="0" w:type="auto"/>
            <w:shd w:val="clear" w:color="auto" w:fill="auto"/>
            <w:hideMark/>
          </w:tcPr>
          <w:p w14:paraId="6C35ACF6" w14:textId="77777777" w:rsidR="00465964" w:rsidRPr="00465964" w:rsidRDefault="00465964" w:rsidP="00465964">
            <w:r w:rsidRPr="00465964">
              <w:t>(85)</w:t>
            </w:r>
          </w:p>
        </w:tc>
        <w:tc>
          <w:tcPr>
            <w:tcW w:w="0" w:type="auto"/>
            <w:shd w:val="clear" w:color="auto" w:fill="auto"/>
            <w:hideMark/>
          </w:tcPr>
          <w:p w14:paraId="62394FFA" w14:textId="77777777" w:rsidR="00465964" w:rsidRPr="00465964" w:rsidRDefault="00465964" w:rsidP="00465964">
            <w:pPr>
              <w:rPr>
                <w:lang w:val="pt-PT"/>
              </w:rPr>
            </w:pPr>
            <w:r w:rsidRPr="00465964">
              <w:rPr>
                <w:lang w:val="pt-PT"/>
              </w:rPr>
              <w:t xml:space="preserve">A fim de assegurar a proteção do consumidor, os prestadores de serviços de criptoativos que troquem criptoativos por fundos ou outros criptoativos utilizando capital próprio deverão estabelecer uma política comercial não discriminatória. Deverão publicar as suas ofertas de preços firmes ou o método que utilizam para determinar o preço dos criptoativos </w:t>
            </w:r>
            <w:r w:rsidRPr="00465964">
              <w:rPr>
                <w:lang w:val="pt-PT"/>
              </w:rPr>
              <w:lastRenderedPageBreak/>
              <w:t>que pretendem trocar e quaisquer limites que pretendam estabelecer para o montante a trocar. Deverão igualmente estar sujeitos a requisitos de transparência pós-negociação.</w:t>
            </w:r>
          </w:p>
        </w:tc>
      </w:tr>
      <w:tr w:rsidR="00465964" w:rsidRPr="00465964" w14:paraId="4250CDDD" w14:textId="77777777" w:rsidTr="00465964">
        <w:tc>
          <w:tcPr>
            <w:tcW w:w="0" w:type="auto"/>
            <w:shd w:val="clear" w:color="auto" w:fill="auto"/>
            <w:hideMark/>
          </w:tcPr>
          <w:p w14:paraId="56B8985F" w14:textId="77777777" w:rsidR="00465964" w:rsidRPr="00465964" w:rsidRDefault="00465964" w:rsidP="00465964">
            <w:r w:rsidRPr="00465964">
              <w:lastRenderedPageBreak/>
              <w:t>(86)</w:t>
            </w:r>
          </w:p>
        </w:tc>
        <w:tc>
          <w:tcPr>
            <w:tcW w:w="0" w:type="auto"/>
            <w:shd w:val="clear" w:color="auto" w:fill="auto"/>
            <w:hideMark/>
          </w:tcPr>
          <w:p w14:paraId="02BA5B64" w14:textId="77777777" w:rsidR="00465964" w:rsidRPr="00465964" w:rsidRDefault="00465964" w:rsidP="00465964">
            <w:pPr>
              <w:rPr>
                <w:lang w:val="pt-PT"/>
              </w:rPr>
            </w:pPr>
            <w:r w:rsidRPr="00465964">
              <w:rPr>
                <w:lang w:val="pt-PT"/>
              </w:rPr>
              <w:t>Os prestadores de serviços de criptoativos que executam ordens relativas a criptoativos em nome de clientes deverão estabelecer uma política de execução e procurar sempre obter o melhor resultado possível para os seus clientes, inclusive quando atuam como contraparte dos clientes. Deverão tomar todas as medidas necessárias para evitar a utilização indevida, por parte dos seus trabalhadores, de informações relacionadas com as ordens dos clientes. Os prestadores de serviços de criptoativos que recebem ordens e as transmitem a outros prestadores de serviços de criptoativos deverão dispor de procedimentos para o envio imediato e correto dessas ordens. Os prestadores de serviços de criptoativos não deverão receber qualquer benefício pecuniário ou não pecuniário pela transmissão dessas ordens para uma determinada plataforma de negociação de criptoativos ou para outro prestador de serviços de criptoativos. Deverão vigiar a eficácia dos seus mecanismos de execução de ordens e da sua política de execução de ordens, examinando se a infraestrutura de execução prevista na política de execução de ordens proporciona o melhor resultado possível ao cliente ou se é necessário introduzir alterações nos seus mecanismos de execução, e deverão notificar os clientes com os quais mantêm uma relação de quaisquer alterações significativas aos seus mecanismos de execução de ordens ou à sua política de execução de ordens.</w:t>
            </w:r>
          </w:p>
        </w:tc>
      </w:tr>
    </w:tbl>
    <w:p w14:paraId="30F67C84"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364"/>
        <w:gridCol w:w="8662"/>
      </w:tblGrid>
      <w:tr w:rsidR="00465964" w:rsidRPr="00465964" w14:paraId="447F0C7B" w14:textId="77777777" w:rsidTr="00465964">
        <w:tc>
          <w:tcPr>
            <w:tcW w:w="0" w:type="auto"/>
            <w:shd w:val="clear" w:color="auto" w:fill="auto"/>
            <w:hideMark/>
          </w:tcPr>
          <w:p w14:paraId="7B13ADA4" w14:textId="77777777" w:rsidR="00465964" w:rsidRPr="00465964" w:rsidRDefault="00465964" w:rsidP="00465964">
            <w:r w:rsidRPr="00465964">
              <w:t>(87)</w:t>
            </w:r>
          </w:p>
        </w:tc>
        <w:tc>
          <w:tcPr>
            <w:tcW w:w="0" w:type="auto"/>
            <w:shd w:val="clear" w:color="auto" w:fill="auto"/>
            <w:hideMark/>
          </w:tcPr>
          <w:p w14:paraId="3CF956AD" w14:textId="77777777" w:rsidR="00465964" w:rsidRPr="00465964" w:rsidRDefault="00465964" w:rsidP="00465964">
            <w:pPr>
              <w:rPr>
                <w:lang w:val="pt-PT"/>
              </w:rPr>
            </w:pPr>
            <w:r w:rsidRPr="00465964">
              <w:rPr>
                <w:lang w:val="pt-PT"/>
              </w:rPr>
              <w:t>Quando um prestador de serviços de criptoativos que executa ordens relativas a criptoativos em nome de clientes é a contraparte do cliente, pode haver semelhanças com os serviços de troca de criptoativos por fundos ou outros criptoativos. No entanto, no âmbito de uma troca de criptoativos por fundos ou outros criptoativos, o prestador de serviços de criptoativos estabelece livremente o seu preço a título de câmbio de moedas. Porém, no âmbito da prestação do serviço de execução de ordens relativas a criptoativos em nome de clientes, o prestador de serviços de criptoativos deverá sempre assegurar a obtenção do melhor resultado possível para o seu cliente, inclusive quando atua como contraparte do cliente, em consonância com a sua melhor política de execução. A troca de criptoativos por fundos ou outros criptoativos, quando efetuada pelo emitente ou oferente, não deverá constituir um serviço de criptoativos.</w:t>
            </w:r>
          </w:p>
        </w:tc>
      </w:tr>
      <w:tr w:rsidR="00465964" w:rsidRPr="00465964" w14:paraId="5C626820" w14:textId="77777777" w:rsidTr="00465964">
        <w:tc>
          <w:tcPr>
            <w:tcW w:w="0" w:type="auto"/>
            <w:shd w:val="clear" w:color="auto" w:fill="auto"/>
            <w:hideMark/>
          </w:tcPr>
          <w:p w14:paraId="590E9829" w14:textId="77777777" w:rsidR="00465964" w:rsidRPr="00465964" w:rsidRDefault="00465964" w:rsidP="00465964">
            <w:r w:rsidRPr="00465964">
              <w:t>(88)</w:t>
            </w:r>
          </w:p>
        </w:tc>
        <w:tc>
          <w:tcPr>
            <w:tcW w:w="0" w:type="auto"/>
            <w:shd w:val="clear" w:color="auto" w:fill="auto"/>
            <w:hideMark/>
          </w:tcPr>
          <w:p w14:paraId="1FF02FB1" w14:textId="77777777" w:rsidR="00465964" w:rsidRPr="00465964" w:rsidRDefault="00465964" w:rsidP="00465964">
            <w:pPr>
              <w:rPr>
                <w:lang w:val="pt-PT"/>
              </w:rPr>
            </w:pPr>
            <w:r w:rsidRPr="00465964">
              <w:rPr>
                <w:lang w:val="pt-PT"/>
              </w:rPr>
              <w:t>Os prestadores de serviços de criptoativos que procedem à colocação de criptoativos por conta de potenciais detentores deverão, antes da celebração de um contrato, comunicar a essas pessoas informação sobre a forma como tencionam executar esse serviço. A fim de assegurar a proteção dos seus clientes, os prestadores de serviços de criptoativos autorizados a colocar criptoativos deverão dispor de procedimentos específicos e adequados para prevenir, acompanhar, gerir e divulgar quaisquer conflitos de interesses decorrentes da colocação dos criptoativos junto dos seus próprios clientes e do facto de o preço proposto para a colocação de criptoativos ter sido sobrestimado ou subestimado. A colocação de criptoativos em nome de um oferente não deverá ser considerada uma oferta separada.</w:t>
            </w:r>
          </w:p>
        </w:tc>
      </w:tr>
    </w:tbl>
    <w:p w14:paraId="464170C3"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364"/>
        <w:gridCol w:w="8662"/>
      </w:tblGrid>
      <w:tr w:rsidR="00465964" w:rsidRPr="00465964" w14:paraId="312C1FD9" w14:textId="77777777" w:rsidTr="00465964">
        <w:tc>
          <w:tcPr>
            <w:tcW w:w="0" w:type="auto"/>
            <w:shd w:val="clear" w:color="auto" w:fill="auto"/>
            <w:hideMark/>
          </w:tcPr>
          <w:p w14:paraId="578FBA36" w14:textId="77777777" w:rsidR="00465964" w:rsidRPr="00465964" w:rsidRDefault="00465964" w:rsidP="00465964">
            <w:r w:rsidRPr="00465964">
              <w:t>(89)</w:t>
            </w:r>
          </w:p>
        </w:tc>
        <w:tc>
          <w:tcPr>
            <w:tcW w:w="0" w:type="auto"/>
            <w:shd w:val="clear" w:color="auto" w:fill="auto"/>
            <w:hideMark/>
          </w:tcPr>
          <w:p w14:paraId="3FE78D7F" w14:textId="77777777" w:rsidR="00465964" w:rsidRPr="00465964" w:rsidRDefault="00465964" w:rsidP="00465964">
            <w:pPr>
              <w:rPr>
                <w:lang w:val="pt-PT"/>
              </w:rPr>
            </w:pPr>
            <w:r w:rsidRPr="00465964">
              <w:rPr>
                <w:lang w:val="pt-PT"/>
              </w:rPr>
              <w:t xml:space="preserve">A fim de assegurar a proteção do consumidor, os prestadores de serviços de criptoativos que prestam consultoria sobre criptoativos, a pedido de um cliente ou por sua iniciativa própria, ou que prestam serviços de gestão de carteiras de criptoativos deverão proceder a uma avaliação para determinar se esses serviços de criptoativos ou criptoativos são adequados para os clientes, tendo em conta a experiência, os conhecimentos, os objetivos </w:t>
            </w:r>
            <w:r w:rsidRPr="00465964">
              <w:rPr>
                <w:lang w:val="pt-PT"/>
              </w:rPr>
              <w:lastRenderedPageBreak/>
              <w:t>e a capacidade dos seus clientes para suportar perdas. Sempre que os clientes não prestem informações aos prestadores de serviços de criptoativos sobre a sua experiência, conhecimento, objetivos e capacidade de suportar perdas, ou resulte claramente que os criptoativos não são adequados para os clientes, os prestadores de serviços de criptoativos não deverão recomendar esses serviços de criptoativos ou criptoativos aos clientes, nem começar a prestar serviços de gestão de carteiras de criptoativos. Ao prestarem consultoria sobre criptoativos, os prestadores de serviços de criptoativos deverão apresentar aos clientes um relatório, que deverá incluir a avaliação da adequação, especificando a consultoria prestada e a forma como este vai ao encontro das preferências e dos objetivos dos clientes. Ao prestarem serviços de gestão de carteiras de criptoativos, os prestadores de serviços de criptoativos deverão facultar em intervalos regulares um relatório aos seus clientes, que deverá incluir uma análise das suas atividades e do desempenho da carteira, bem como uma declaração atualizada sobre a avaliação da adequação.</w:t>
            </w:r>
          </w:p>
        </w:tc>
      </w:tr>
      <w:tr w:rsidR="00465964" w:rsidRPr="00465964" w14:paraId="0B8B6FAB" w14:textId="77777777" w:rsidTr="00465964">
        <w:tc>
          <w:tcPr>
            <w:tcW w:w="0" w:type="auto"/>
            <w:shd w:val="clear" w:color="auto" w:fill="auto"/>
            <w:hideMark/>
          </w:tcPr>
          <w:p w14:paraId="04CE9217" w14:textId="77777777" w:rsidR="00465964" w:rsidRPr="00465964" w:rsidRDefault="00465964" w:rsidP="00465964">
            <w:r w:rsidRPr="00465964">
              <w:lastRenderedPageBreak/>
              <w:t>(90)</w:t>
            </w:r>
          </w:p>
        </w:tc>
        <w:tc>
          <w:tcPr>
            <w:tcW w:w="0" w:type="auto"/>
            <w:shd w:val="clear" w:color="auto" w:fill="auto"/>
            <w:hideMark/>
          </w:tcPr>
          <w:p w14:paraId="03C7300F" w14:textId="77777777" w:rsidR="00465964" w:rsidRPr="00465964" w:rsidRDefault="00465964" w:rsidP="00465964">
            <w:pPr>
              <w:rPr>
                <w:lang w:val="pt-PT"/>
              </w:rPr>
            </w:pPr>
            <w:r w:rsidRPr="00465964">
              <w:rPr>
                <w:lang w:val="pt-PT"/>
              </w:rPr>
              <w:t>É possível que alguns serviços de criptoativos, em especial a custódia e administração de criptoativos em nome de clientes, a colocação de criptoativos e os serviços de transferência de criptoativos em nome de clientes, coincidam com serviços de pagamento na aceção da Diretiva (UE) 2015/2366.</w:t>
            </w:r>
          </w:p>
        </w:tc>
      </w:tr>
    </w:tbl>
    <w:p w14:paraId="7F4799C8"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364"/>
        <w:gridCol w:w="8662"/>
      </w:tblGrid>
      <w:tr w:rsidR="00465964" w:rsidRPr="00465964" w14:paraId="14DF51DD" w14:textId="77777777" w:rsidTr="00465964">
        <w:tc>
          <w:tcPr>
            <w:tcW w:w="0" w:type="auto"/>
            <w:shd w:val="clear" w:color="auto" w:fill="auto"/>
            <w:hideMark/>
          </w:tcPr>
          <w:p w14:paraId="78E3835E" w14:textId="77777777" w:rsidR="00465964" w:rsidRPr="00465964" w:rsidRDefault="00465964" w:rsidP="00465964">
            <w:r w:rsidRPr="00465964">
              <w:t>(91)</w:t>
            </w:r>
          </w:p>
        </w:tc>
        <w:tc>
          <w:tcPr>
            <w:tcW w:w="0" w:type="auto"/>
            <w:shd w:val="clear" w:color="auto" w:fill="auto"/>
            <w:hideMark/>
          </w:tcPr>
          <w:p w14:paraId="4B3394C6" w14:textId="424968D3" w:rsidR="00465964" w:rsidRPr="00465964" w:rsidRDefault="00465964" w:rsidP="00465964">
            <w:pPr>
              <w:rPr>
                <w:lang w:val="pt-PT"/>
              </w:rPr>
            </w:pPr>
            <w:r w:rsidRPr="00465964">
              <w:rPr>
                <w:lang w:val="pt-PT"/>
              </w:rPr>
              <w:t xml:space="preserve">Os instrumentos disponibilizados pelos emitentes de moeda eletrónica aos seus clientes para efeitos de gestão de uma </w:t>
            </w:r>
            <w:proofErr w:type="spellStart"/>
            <w:r w:rsidRPr="00465964">
              <w:rPr>
                <w:lang w:val="pt-PT"/>
              </w:rPr>
              <w:t>criptoficha</w:t>
            </w:r>
            <w:proofErr w:type="spellEnd"/>
            <w:r w:rsidRPr="00465964">
              <w:rPr>
                <w:lang w:val="pt-PT"/>
              </w:rPr>
              <w:t xml:space="preserve"> de moeda eletrónica podem não ser distinguíveis da atividade de prestar serviços de custódia e administração conforme regidos pelo presente regulamento. Por conseguinte, as instituições de moeda eletrónica deverão poder prestar serviços de custódia sem a autorização prévia prevista no presente regulamento para a prestação de serviços de criptoativos apenas em relação às </w:t>
            </w:r>
            <w:r>
              <w:rPr>
                <w:lang w:val="pt-PT"/>
              </w:rPr>
              <w:t>criptomoedas</w:t>
            </w:r>
            <w:r w:rsidRPr="00465964">
              <w:rPr>
                <w:lang w:val="pt-PT"/>
              </w:rPr>
              <w:t xml:space="preserve"> de moeda eletrónica por elas emitidos.</w:t>
            </w:r>
          </w:p>
        </w:tc>
      </w:tr>
      <w:tr w:rsidR="00465964" w:rsidRPr="00465964" w14:paraId="1DBC6A59" w14:textId="77777777" w:rsidTr="00465964">
        <w:tc>
          <w:tcPr>
            <w:tcW w:w="0" w:type="auto"/>
            <w:shd w:val="clear" w:color="auto" w:fill="auto"/>
            <w:hideMark/>
          </w:tcPr>
          <w:p w14:paraId="56544E45" w14:textId="77777777" w:rsidR="00465964" w:rsidRPr="00465964" w:rsidRDefault="00465964" w:rsidP="00465964">
            <w:r w:rsidRPr="00465964">
              <w:t>(92)</w:t>
            </w:r>
          </w:p>
        </w:tc>
        <w:tc>
          <w:tcPr>
            <w:tcW w:w="0" w:type="auto"/>
            <w:shd w:val="clear" w:color="auto" w:fill="auto"/>
            <w:hideMark/>
          </w:tcPr>
          <w:p w14:paraId="7B4B95BD" w14:textId="1DA9B7D1" w:rsidR="00465964" w:rsidRPr="00465964" w:rsidRDefault="00465964" w:rsidP="00465964">
            <w:pPr>
              <w:rPr>
                <w:lang w:val="pt-PT"/>
              </w:rPr>
            </w:pPr>
            <w:r w:rsidRPr="00465964">
              <w:rPr>
                <w:lang w:val="pt-PT"/>
              </w:rPr>
              <w:t xml:space="preserve">A atividade dos distribuidores de moeda eletrónica tradicionais, a saber, a atividade de distribuição de moeda eletrónica em nome dos emitentes, equivaleria à atividade de colocação de criptoativos para efeitos do presente regulamento. Contudo, as pessoas singulares ou coletivas autorizadas a distribuir moeda eletrónica ao abrigo da Diretiva 2009/110/CE deverão também poder distribuir </w:t>
            </w:r>
            <w:r>
              <w:rPr>
                <w:lang w:val="pt-PT"/>
              </w:rPr>
              <w:t>criptomoedas</w:t>
            </w:r>
            <w:r w:rsidRPr="00465964">
              <w:rPr>
                <w:lang w:val="pt-PT"/>
              </w:rPr>
              <w:t xml:space="preserve"> de moeda eletrónica em nome de emitentes de </w:t>
            </w:r>
            <w:r>
              <w:rPr>
                <w:lang w:val="pt-PT"/>
              </w:rPr>
              <w:t>criptomoedas</w:t>
            </w:r>
            <w:r w:rsidRPr="00465964">
              <w:rPr>
                <w:lang w:val="pt-PT"/>
              </w:rPr>
              <w:t xml:space="preserve"> de moeda eletrónica sem serem obrigadas a obter uma autorização prévia ao abrigo do presente regulamento para prestar serviços de criptoativos. Esses distribuidores deverão, por isso, estar isentos da obrigação de solicitar autorização enquanto prestadores de serviços de criptoativos para a atividade de colocação de criptoativos.</w:t>
            </w:r>
          </w:p>
        </w:tc>
      </w:tr>
    </w:tbl>
    <w:p w14:paraId="6048A761"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364"/>
        <w:gridCol w:w="8662"/>
      </w:tblGrid>
      <w:tr w:rsidR="00465964" w:rsidRPr="00465964" w14:paraId="1221F944" w14:textId="77777777" w:rsidTr="00465964">
        <w:tc>
          <w:tcPr>
            <w:tcW w:w="0" w:type="auto"/>
            <w:shd w:val="clear" w:color="auto" w:fill="auto"/>
            <w:hideMark/>
          </w:tcPr>
          <w:p w14:paraId="5E4A2647" w14:textId="77777777" w:rsidR="00465964" w:rsidRPr="00465964" w:rsidRDefault="00465964" w:rsidP="00465964">
            <w:r w:rsidRPr="00465964">
              <w:t>(93)</w:t>
            </w:r>
          </w:p>
        </w:tc>
        <w:tc>
          <w:tcPr>
            <w:tcW w:w="0" w:type="auto"/>
            <w:shd w:val="clear" w:color="auto" w:fill="auto"/>
            <w:hideMark/>
          </w:tcPr>
          <w:p w14:paraId="5DAB5D2A" w14:textId="221142A5" w:rsidR="00465964" w:rsidRPr="00465964" w:rsidRDefault="00465964" w:rsidP="00465964">
            <w:pPr>
              <w:rPr>
                <w:lang w:val="pt-PT"/>
              </w:rPr>
            </w:pPr>
            <w:r w:rsidRPr="00465964">
              <w:rPr>
                <w:lang w:val="pt-PT"/>
              </w:rPr>
              <w:t xml:space="preserve">Um prestador de serviços de transferência de criptoativos deverá ser uma entidade que assegura a transferência, em nome de um cliente, de criptoativos de um endereço ou conta de registo distribuído para outro. Esse serviço de transferência não deverá incluir os validadores, nós ou «mineiros» que possam fazer parte da confirmação de uma transação e da atualização do estado do registo distribuído subjacente. Muitos prestadores de serviços de criptoativos também oferecem alguma espécie de serviços de transferência de criptoativos como fazendo parte, por exemplo, do serviço de custódia e administração de criptoativos em nome de clientes, da troca de criptoativos por fundos ou outros criptoativos, ou da execução de ordens relativas a criptoativos em nome de clientes. Em função das características precisas dos serviços associados à transferência de </w:t>
            </w:r>
            <w:r>
              <w:rPr>
                <w:lang w:val="pt-PT"/>
              </w:rPr>
              <w:t>criptomoedas</w:t>
            </w:r>
            <w:r w:rsidRPr="00465964">
              <w:rPr>
                <w:lang w:val="pt-PT"/>
              </w:rPr>
              <w:t xml:space="preserve"> de moeda eletrónica, é possível que esses serviços sejam abrangidos pela </w:t>
            </w:r>
            <w:r w:rsidRPr="00465964">
              <w:rPr>
                <w:lang w:val="pt-PT"/>
              </w:rPr>
              <w:lastRenderedPageBreak/>
              <w:t>definição de serviço de pagamento estabelecida na Diretiva (UE) 2015/2366. Nesses casos, essas transferências deverão ser efetuadas por uma entidade autorizada a prestar serviços de pagamento em conformidade com a referida diretiva.</w:t>
            </w:r>
          </w:p>
        </w:tc>
      </w:tr>
      <w:tr w:rsidR="00465964" w:rsidRPr="00465964" w14:paraId="08E0184E" w14:textId="77777777" w:rsidTr="00465964">
        <w:tc>
          <w:tcPr>
            <w:tcW w:w="0" w:type="auto"/>
            <w:shd w:val="clear" w:color="auto" w:fill="auto"/>
            <w:hideMark/>
          </w:tcPr>
          <w:p w14:paraId="3C64537C" w14:textId="77777777" w:rsidR="00465964" w:rsidRPr="00465964" w:rsidRDefault="00465964" w:rsidP="00465964">
            <w:r w:rsidRPr="00465964">
              <w:lastRenderedPageBreak/>
              <w:t>(94)</w:t>
            </w:r>
          </w:p>
        </w:tc>
        <w:tc>
          <w:tcPr>
            <w:tcW w:w="0" w:type="auto"/>
            <w:shd w:val="clear" w:color="auto" w:fill="auto"/>
            <w:hideMark/>
          </w:tcPr>
          <w:p w14:paraId="6FE39535" w14:textId="42C2732E" w:rsidR="00465964" w:rsidRPr="00465964" w:rsidRDefault="00465964" w:rsidP="00465964">
            <w:pPr>
              <w:rPr>
                <w:lang w:val="pt-PT"/>
              </w:rPr>
            </w:pPr>
            <w:r w:rsidRPr="00465964">
              <w:rPr>
                <w:lang w:val="pt-PT"/>
              </w:rPr>
              <w:t xml:space="preserve">O presente regulamento não deverá abranger a concessão e a contração de empréstimos em criptoativos, incluindo </w:t>
            </w:r>
            <w:r>
              <w:rPr>
                <w:lang w:val="pt-PT"/>
              </w:rPr>
              <w:t>criptomoedas</w:t>
            </w:r>
            <w:r w:rsidRPr="00465964">
              <w:rPr>
                <w:lang w:val="pt-PT"/>
              </w:rPr>
              <w:t xml:space="preserve"> de moeda eletrónica, pelo que não deverá prejudicar a legislação nacional aplicável. A viabilidade e a necessidade de regulamentar essas atividades deverão ser objeto de uma avaliação mais aprofundada.</w:t>
            </w:r>
          </w:p>
        </w:tc>
      </w:tr>
    </w:tbl>
    <w:p w14:paraId="18111A2B"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364"/>
        <w:gridCol w:w="8662"/>
      </w:tblGrid>
      <w:tr w:rsidR="00465964" w:rsidRPr="00465964" w14:paraId="101E6234" w14:textId="77777777" w:rsidTr="00465964">
        <w:tc>
          <w:tcPr>
            <w:tcW w:w="0" w:type="auto"/>
            <w:shd w:val="clear" w:color="auto" w:fill="auto"/>
            <w:hideMark/>
          </w:tcPr>
          <w:p w14:paraId="63258F14" w14:textId="77777777" w:rsidR="00465964" w:rsidRPr="00465964" w:rsidRDefault="00465964" w:rsidP="00465964">
            <w:r w:rsidRPr="00465964">
              <w:t>(95)</w:t>
            </w:r>
          </w:p>
        </w:tc>
        <w:tc>
          <w:tcPr>
            <w:tcW w:w="0" w:type="auto"/>
            <w:shd w:val="clear" w:color="auto" w:fill="auto"/>
            <w:hideMark/>
          </w:tcPr>
          <w:p w14:paraId="32EED998" w14:textId="77777777" w:rsidR="00465964" w:rsidRPr="00465964" w:rsidRDefault="00465964" w:rsidP="00465964">
            <w:pPr>
              <w:rPr>
                <w:lang w:val="pt-PT"/>
              </w:rPr>
            </w:pPr>
            <w:r w:rsidRPr="00465964">
              <w:rPr>
                <w:lang w:val="pt-PT"/>
              </w:rPr>
              <w:t xml:space="preserve">É importante assegurar a confiança nos mercados de criptoativos e na integridade desses mercados. É, por conseguinte, necessário estabelecer regras para dissuadir o abuso de mercado no que diz respeito aos criptoativos admitidos à negociação. No entanto, dado que os emitentes de criptoativos e os prestadores de serviços de criptoativos são muitas vezes PME, seria desproporcionado aplicar a totalidade das disposições do Regulamento (UE) </w:t>
            </w:r>
            <w:proofErr w:type="spellStart"/>
            <w:r w:rsidRPr="00465964">
              <w:rPr>
                <w:lang w:val="pt-PT"/>
              </w:rPr>
              <w:t>n.</w:t>
            </w:r>
            <w:r w:rsidRPr="00465964">
              <w:rPr>
                <w:vertAlign w:val="superscript"/>
                <w:lang w:val="pt-PT"/>
              </w:rPr>
              <w:t>o</w:t>
            </w:r>
            <w:proofErr w:type="spellEnd"/>
            <w:r w:rsidRPr="00465964">
              <w:rPr>
                <w:lang w:val="pt-PT"/>
              </w:rPr>
              <w:t> 596/2014 do Parlamento Europeu e do Conselho </w:t>
            </w:r>
            <w:hyperlink r:id="rId28" w:anchor="ntr21-L_2023150PT.01004001-E0021" w:history="1">
              <w:r w:rsidRPr="00465964">
                <w:rPr>
                  <w:rStyle w:val="Hyperlink"/>
                  <w:lang w:val="pt-PT"/>
                </w:rPr>
                <w:t>(</w:t>
              </w:r>
              <w:r w:rsidRPr="00465964">
                <w:rPr>
                  <w:rStyle w:val="Hyperlink"/>
                  <w:vertAlign w:val="superscript"/>
                  <w:lang w:val="pt-PT"/>
                </w:rPr>
                <w:t>21</w:t>
              </w:r>
              <w:r w:rsidRPr="00465964">
                <w:rPr>
                  <w:rStyle w:val="Hyperlink"/>
                  <w:lang w:val="pt-PT"/>
                </w:rPr>
                <w:t>)</w:t>
              </w:r>
            </w:hyperlink>
            <w:r w:rsidRPr="00465964">
              <w:rPr>
                <w:lang w:val="pt-PT"/>
              </w:rPr>
              <w:t> a estas empresas. Por conseguinte, cumpre estabelecer regras específicas que proíbam determinados comportamentos suscetíveis de minar a confiança do utilizador nos mercados de criptoativos e na integridade desses mercados, incluindo transações com base em informação privilegiada, a transmissão ilícita de informação privilegiada e a manipulação de mercado relacionadas com criptoativos. Essas regras específicas sobre o abuso de mercado cometido em relação a criptoativos deverão também aplicar-se nos casos em que os criptoativos sejam admitidos à negociação.</w:t>
            </w:r>
          </w:p>
        </w:tc>
      </w:tr>
      <w:tr w:rsidR="00465964" w:rsidRPr="00465964" w14:paraId="0B5F3C2A" w14:textId="77777777" w:rsidTr="00465964">
        <w:tc>
          <w:tcPr>
            <w:tcW w:w="0" w:type="auto"/>
            <w:shd w:val="clear" w:color="auto" w:fill="auto"/>
            <w:hideMark/>
          </w:tcPr>
          <w:p w14:paraId="78AA3164" w14:textId="77777777" w:rsidR="00465964" w:rsidRPr="00465964" w:rsidRDefault="00465964" w:rsidP="00465964">
            <w:r w:rsidRPr="00465964">
              <w:t>(96)</w:t>
            </w:r>
          </w:p>
        </w:tc>
        <w:tc>
          <w:tcPr>
            <w:tcW w:w="0" w:type="auto"/>
            <w:shd w:val="clear" w:color="auto" w:fill="auto"/>
            <w:hideMark/>
          </w:tcPr>
          <w:p w14:paraId="3435B4A0" w14:textId="77777777" w:rsidR="00465964" w:rsidRPr="00465964" w:rsidRDefault="00465964" w:rsidP="00465964">
            <w:pPr>
              <w:rPr>
                <w:lang w:val="pt-PT"/>
              </w:rPr>
            </w:pPr>
            <w:r w:rsidRPr="00465964">
              <w:rPr>
                <w:lang w:val="pt-PT"/>
              </w:rPr>
              <w:t>A segurança jurídica para os participantes nos mercados de criptoativos deverá ser reforçada através da caracterização de dois dos elementos essenciais para a definição de informação privilegiada, a saber, a natureza exata dessa informação e a importância do seu efeito potencial sobre os preços dos criptoativos. Esses elementos deverão também ser tidos em conta para efeitos de prevenção do abuso de mercado no âmbito dos mercados de criptoativos e do seu funcionamento, tendo em conta, nomeadamente, a utilização das redes sociais, a utilização de contratos inteligentes para a execução de ordens e a concentração de conjuntos de mineradores.</w:t>
            </w:r>
          </w:p>
        </w:tc>
      </w:tr>
    </w:tbl>
    <w:p w14:paraId="5F93C929"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364"/>
        <w:gridCol w:w="8662"/>
      </w:tblGrid>
      <w:tr w:rsidR="00465964" w:rsidRPr="00465964" w14:paraId="4E247D03" w14:textId="77777777" w:rsidTr="00465964">
        <w:tc>
          <w:tcPr>
            <w:tcW w:w="0" w:type="auto"/>
            <w:shd w:val="clear" w:color="auto" w:fill="auto"/>
            <w:hideMark/>
          </w:tcPr>
          <w:p w14:paraId="439902AF" w14:textId="77777777" w:rsidR="00465964" w:rsidRPr="00465964" w:rsidRDefault="00465964" w:rsidP="00465964">
            <w:r w:rsidRPr="00465964">
              <w:t>(97)</w:t>
            </w:r>
          </w:p>
        </w:tc>
        <w:tc>
          <w:tcPr>
            <w:tcW w:w="0" w:type="auto"/>
            <w:shd w:val="clear" w:color="auto" w:fill="auto"/>
            <w:hideMark/>
          </w:tcPr>
          <w:p w14:paraId="6008D6C7" w14:textId="77777777" w:rsidR="00465964" w:rsidRPr="00465964" w:rsidRDefault="00465964" w:rsidP="00465964">
            <w:pPr>
              <w:rPr>
                <w:lang w:val="pt-PT"/>
              </w:rPr>
            </w:pPr>
            <w:r w:rsidRPr="00465964">
              <w:rPr>
                <w:lang w:val="pt-PT"/>
              </w:rPr>
              <w:t xml:space="preserve">Um derivado que seja considerado um instrumento financeiro na aceção da Diretiva 2014/65/UE e cujo ativo subjacente seja um criptoativo está sujeito ao Regulamento (UE) </w:t>
            </w:r>
            <w:proofErr w:type="spellStart"/>
            <w:r w:rsidRPr="00465964">
              <w:rPr>
                <w:lang w:val="pt-PT"/>
              </w:rPr>
              <w:t>n.</w:t>
            </w:r>
            <w:r w:rsidRPr="00465964">
              <w:rPr>
                <w:vertAlign w:val="superscript"/>
                <w:lang w:val="pt-PT"/>
              </w:rPr>
              <w:t>o</w:t>
            </w:r>
            <w:proofErr w:type="spellEnd"/>
            <w:r w:rsidRPr="00465964">
              <w:rPr>
                <w:lang w:val="pt-PT"/>
              </w:rPr>
              <w:t> 596/2014 quando negociado num mercado regulamentado, num sistema de negociação multilateral ou num sistema de negociação organizado. Os criptoativos abrangidos pelo âmbito de aplicação do presente regulamento que sejam ativos subjacentes a esses derivados deverão estar sujeitos às disposições do presente regulamento em matéria de abuso de mercado.</w:t>
            </w:r>
          </w:p>
        </w:tc>
      </w:tr>
      <w:tr w:rsidR="00465964" w:rsidRPr="00465964" w14:paraId="20F2D15D" w14:textId="77777777" w:rsidTr="00465964">
        <w:tc>
          <w:tcPr>
            <w:tcW w:w="0" w:type="auto"/>
            <w:shd w:val="clear" w:color="auto" w:fill="auto"/>
            <w:hideMark/>
          </w:tcPr>
          <w:p w14:paraId="68DCCB6E" w14:textId="77777777" w:rsidR="00465964" w:rsidRPr="00465964" w:rsidRDefault="00465964" w:rsidP="00465964">
            <w:r w:rsidRPr="00465964">
              <w:t>(98)</w:t>
            </w:r>
          </w:p>
        </w:tc>
        <w:tc>
          <w:tcPr>
            <w:tcW w:w="0" w:type="auto"/>
            <w:shd w:val="clear" w:color="auto" w:fill="auto"/>
            <w:hideMark/>
          </w:tcPr>
          <w:p w14:paraId="79753803" w14:textId="2DDAC76E" w:rsidR="00465964" w:rsidRPr="00465964" w:rsidRDefault="00465964" w:rsidP="00465964">
            <w:pPr>
              <w:rPr>
                <w:lang w:val="pt-PT"/>
              </w:rPr>
            </w:pPr>
            <w:r w:rsidRPr="00465964">
              <w:rPr>
                <w:lang w:val="pt-PT"/>
              </w:rPr>
              <w:t xml:space="preserve">Deverão ser conferidos às autoridades competentes poderes suficientes para supervisionar a emissão, a oferta pública e admissão à negociação de criptoativos, incluindo </w:t>
            </w:r>
            <w:r>
              <w:rPr>
                <w:lang w:val="pt-PT"/>
              </w:rPr>
              <w:t>criptomoedas</w:t>
            </w:r>
            <w:r w:rsidRPr="00465964">
              <w:rPr>
                <w:lang w:val="pt-PT"/>
              </w:rPr>
              <w:t xml:space="preserve"> referenciadas a ativos ou </w:t>
            </w:r>
            <w:r>
              <w:rPr>
                <w:lang w:val="pt-PT"/>
              </w:rPr>
              <w:t>criptomoedas</w:t>
            </w:r>
            <w:r w:rsidRPr="00465964">
              <w:rPr>
                <w:lang w:val="pt-PT"/>
              </w:rPr>
              <w:t xml:space="preserve"> de moeda eletrónica, bem como para supervisionar os prestadores de serviços de criptoativos. Esses poderes deverão compreender o poder de suspender ou proibir uma oferta pública ou uma admissão à negociação de criptoativos ou a prestação de um serviço de criptoativos e de investigar infrações às regras relativas ao abuso de mercado. Os emitentes de criptoativos que não sejam </w:t>
            </w:r>
            <w:r>
              <w:rPr>
                <w:lang w:val="pt-PT"/>
              </w:rPr>
              <w:t>criptomoedas</w:t>
            </w:r>
            <w:r w:rsidRPr="00465964">
              <w:rPr>
                <w:lang w:val="pt-PT"/>
              </w:rPr>
              <w:t xml:space="preserve"> referenciadas a ativos nem </w:t>
            </w:r>
            <w:r>
              <w:rPr>
                <w:lang w:val="pt-PT"/>
              </w:rPr>
              <w:t>criptomoedas</w:t>
            </w:r>
            <w:r w:rsidRPr="00465964">
              <w:rPr>
                <w:lang w:val="pt-PT"/>
              </w:rPr>
              <w:t xml:space="preserve"> de moeda eletrónica não </w:t>
            </w:r>
            <w:r w:rsidRPr="00465964">
              <w:rPr>
                <w:lang w:val="pt-PT"/>
              </w:rPr>
              <w:lastRenderedPageBreak/>
              <w:t>deverão estar sujeitos a supervisão nos termos do presente regulamento quando o emitente não for um oferente ou uma pessoa que solicita a admissão à negociação.</w:t>
            </w:r>
          </w:p>
        </w:tc>
      </w:tr>
    </w:tbl>
    <w:p w14:paraId="1E56A372"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482"/>
        <w:gridCol w:w="8544"/>
      </w:tblGrid>
      <w:tr w:rsidR="00465964" w:rsidRPr="00465964" w14:paraId="661B98E4" w14:textId="77777777" w:rsidTr="00465964">
        <w:tc>
          <w:tcPr>
            <w:tcW w:w="0" w:type="auto"/>
            <w:shd w:val="clear" w:color="auto" w:fill="auto"/>
            <w:hideMark/>
          </w:tcPr>
          <w:p w14:paraId="7CC90AE7" w14:textId="77777777" w:rsidR="00465964" w:rsidRPr="00465964" w:rsidRDefault="00465964" w:rsidP="00465964">
            <w:r w:rsidRPr="00465964">
              <w:t>(99)</w:t>
            </w:r>
          </w:p>
        </w:tc>
        <w:tc>
          <w:tcPr>
            <w:tcW w:w="0" w:type="auto"/>
            <w:shd w:val="clear" w:color="auto" w:fill="auto"/>
            <w:hideMark/>
          </w:tcPr>
          <w:p w14:paraId="47B42C7D" w14:textId="45809495" w:rsidR="00465964" w:rsidRPr="00465964" w:rsidRDefault="00465964" w:rsidP="00465964">
            <w:pPr>
              <w:rPr>
                <w:lang w:val="pt-PT"/>
              </w:rPr>
            </w:pPr>
            <w:r w:rsidRPr="00465964">
              <w:rPr>
                <w:lang w:val="pt-PT"/>
              </w:rPr>
              <w:t xml:space="preserve">As autoridades competentes deverão igualmente ter poderes para impor sanções aos emitentes, aos oferentes ou às pessoas que solicitam a admissão à negociação de criptoativos, nomeadamente </w:t>
            </w:r>
            <w:r>
              <w:rPr>
                <w:lang w:val="pt-PT"/>
              </w:rPr>
              <w:t>criptomoedas</w:t>
            </w:r>
            <w:r w:rsidRPr="00465964">
              <w:rPr>
                <w:lang w:val="pt-PT"/>
              </w:rPr>
              <w:t xml:space="preserve"> referenciadas a ativos ou </w:t>
            </w:r>
            <w:r>
              <w:rPr>
                <w:lang w:val="pt-PT"/>
              </w:rPr>
              <w:t>criptomoedas</w:t>
            </w:r>
            <w:r w:rsidRPr="00465964">
              <w:rPr>
                <w:lang w:val="pt-PT"/>
              </w:rPr>
              <w:t xml:space="preserve"> de moeda eletrónica, e aos prestadores de serviços de criptoativos. Ao determinarem o tipo e o nível de uma sanção administrativa ou outra medida administrativa, as autoridades competentes deverão ter em conta todas as circunstâncias pertinentes, nomeadamente a gravidade e a duração da infração e se esta foi cometida com dolo.</w:t>
            </w:r>
          </w:p>
        </w:tc>
      </w:tr>
      <w:tr w:rsidR="00465964" w:rsidRPr="00465964" w14:paraId="66590688" w14:textId="77777777" w:rsidTr="00465964">
        <w:tc>
          <w:tcPr>
            <w:tcW w:w="0" w:type="auto"/>
            <w:shd w:val="clear" w:color="auto" w:fill="auto"/>
            <w:hideMark/>
          </w:tcPr>
          <w:p w14:paraId="4BC548BB" w14:textId="77777777" w:rsidR="00465964" w:rsidRPr="00465964" w:rsidRDefault="00465964" w:rsidP="00465964">
            <w:r w:rsidRPr="00465964">
              <w:t>(100)</w:t>
            </w:r>
          </w:p>
        </w:tc>
        <w:tc>
          <w:tcPr>
            <w:tcW w:w="0" w:type="auto"/>
            <w:shd w:val="clear" w:color="auto" w:fill="auto"/>
            <w:hideMark/>
          </w:tcPr>
          <w:p w14:paraId="6A8408F8" w14:textId="77777777" w:rsidR="00465964" w:rsidRPr="00465964" w:rsidRDefault="00465964" w:rsidP="00465964">
            <w:pPr>
              <w:rPr>
                <w:lang w:val="pt-PT"/>
              </w:rPr>
            </w:pPr>
            <w:r w:rsidRPr="00465964">
              <w:rPr>
                <w:lang w:val="pt-PT"/>
              </w:rPr>
              <w:t>Dada a natureza transfronteiriça dos mercados de criptoativos, as autoridades competentes deverão cooperar entre si para detetar e dissuadir eventuais infrações ao presente regulamento.</w:t>
            </w:r>
          </w:p>
        </w:tc>
      </w:tr>
    </w:tbl>
    <w:p w14:paraId="005C7397"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482"/>
        <w:gridCol w:w="8544"/>
      </w:tblGrid>
      <w:tr w:rsidR="00465964" w:rsidRPr="00465964" w14:paraId="0444CC47" w14:textId="77777777" w:rsidTr="00465964">
        <w:tc>
          <w:tcPr>
            <w:tcW w:w="0" w:type="auto"/>
            <w:shd w:val="clear" w:color="auto" w:fill="auto"/>
            <w:hideMark/>
          </w:tcPr>
          <w:p w14:paraId="75CB15B5" w14:textId="77777777" w:rsidR="00465964" w:rsidRPr="00465964" w:rsidRDefault="00465964" w:rsidP="00465964">
            <w:r w:rsidRPr="00465964">
              <w:t>(101)</w:t>
            </w:r>
          </w:p>
        </w:tc>
        <w:tc>
          <w:tcPr>
            <w:tcW w:w="0" w:type="auto"/>
            <w:shd w:val="clear" w:color="auto" w:fill="auto"/>
            <w:hideMark/>
          </w:tcPr>
          <w:p w14:paraId="0B0CC741" w14:textId="3DC29C0B" w:rsidR="00465964" w:rsidRPr="00465964" w:rsidRDefault="00465964" w:rsidP="00465964">
            <w:pPr>
              <w:rPr>
                <w:lang w:val="pt-PT"/>
              </w:rPr>
            </w:pPr>
            <w:r w:rsidRPr="00465964">
              <w:rPr>
                <w:lang w:val="pt-PT"/>
              </w:rPr>
              <w:t xml:space="preserve">Com vista a fomentar a transparência no que diz respeito aos criptoativos e aos prestadores de serviços de criptoativos, a ESMA deverá criar um registo de livretes do criptoativo, emitentes de </w:t>
            </w:r>
            <w:r>
              <w:rPr>
                <w:lang w:val="pt-PT"/>
              </w:rPr>
              <w:t>criptomoedas</w:t>
            </w:r>
            <w:r w:rsidRPr="00465964">
              <w:rPr>
                <w:lang w:val="pt-PT"/>
              </w:rPr>
              <w:t xml:space="preserve"> referenciadas a ativos, emitentes de </w:t>
            </w:r>
            <w:r>
              <w:rPr>
                <w:lang w:val="pt-PT"/>
              </w:rPr>
              <w:t>criptomoedas</w:t>
            </w:r>
            <w:r w:rsidRPr="00465964">
              <w:rPr>
                <w:lang w:val="pt-PT"/>
              </w:rPr>
              <w:t xml:space="preserve"> de moeda eletrónica e prestadores de serviços de criptoativos.</w:t>
            </w:r>
          </w:p>
        </w:tc>
      </w:tr>
      <w:tr w:rsidR="00465964" w:rsidRPr="00465964" w14:paraId="01CF8BDA" w14:textId="77777777" w:rsidTr="00465964">
        <w:tc>
          <w:tcPr>
            <w:tcW w:w="0" w:type="auto"/>
            <w:shd w:val="clear" w:color="auto" w:fill="auto"/>
            <w:hideMark/>
          </w:tcPr>
          <w:p w14:paraId="5E5D7417" w14:textId="77777777" w:rsidR="00465964" w:rsidRPr="00465964" w:rsidRDefault="00465964" w:rsidP="00465964">
            <w:r w:rsidRPr="00465964">
              <w:t>(102)</w:t>
            </w:r>
          </w:p>
        </w:tc>
        <w:tc>
          <w:tcPr>
            <w:tcW w:w="0" w:type="auto"/>
            <w:shd w:val="clear" w:color="auto" w:fill="auto"/>
            <w:hideMark/>
          </w:tcPr>
          <w:p w14:paraId="423B8E51" w14:textId="232009BE" w:rsidR="00465964" w:rsidRPr="00465964" w:rsidRDefault="00465964" w:rsidP="00465964">
            <w:pPr>
              <w:rPr>
                <w:lang w:val="pt-PT"/>
              </w:rPr>
            </w:pPr>
            <w:r w:rsidRPr="00465964">
              <w:rPr>
                <w:lang w:val="pt-PT"/>
              </w:rPr>
              <w:t xml:space="preserve">As </w:t>
            </w:r>
            <w:r>
              <w:rPr>
                <w:lang w:val="pt-PT"/>
              </w:rPr>
              <w:t>criptomoedas</w:t>
            </w:r>
            <w:r w:rsidRPr="00465964">
              <w:rPr>
                <w:lang w:val="pt-PT"/>
              </w:rPr>
              <w:t xml:space="preserve"> referenciadas a ativos significativas podem ser utilizadas como meio de troca e para realizar grandes volumes de transações de pagamento. Uma vez que esses grandes volumes podem representar riscos específicos para os canais de transmissão monetária e para a soberania monetária, é conveniente atribuir à EBA a tarefa de supervisionar os emitentes de </w:t>
            </w:r>
            <w:r>
              <w:rPr>
                <w:lang w:val="pt-PT"/>
              </w:rPr>
              <w:t>criptomoedas</w:t>
            </w:r>
            <w:r w:rsidRPr="00465964">
              <w:rPr>
                <w:lang w:val="pt-PT"/>
              </w:rPr>
              <w:t xml:space="preserve"> referenciadas a ativos a partir do momento em que estas tenham sido classificadas como significativas. Essa atribuição deverá ter em conta a natureza muito específica dos riscos colocados pelas </w:t>
            </w:r>
            <w:r>
              <w:rPr>
                <w:lang w:val="pt-PT"/>
              </w:rPr>
              <w:t>criptomoedas</w:t>
            </w:r>
            <w:r w:rsidRPr="00465964">
              <w:rPr>
                <w:lang w:val="pt-PT"/>
              </w:rPr>
              <w:t xml:space="preserve"> referenciadas a ativos e não deverá criar um precedente para quaisquer outros atos legislativos da União em matéria de serviços financeiros.</w:t>
            </w:r>
          </w:p>
        </w:tc>
      </w:tr>
    </w:tbl>
    <w:p w14:paraId="1234D62E"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482"/>
        <w:gridCol w:w="8544"/>
      </w:tblGrid>
      <w:tr w:rsidR="00465964" w:rsidRPr="00465964" w14:paraId="7CCB13FA" w14:textId="77777777" w:rsidTr="00465964">
        <w:tc>
          <w:tcPr>
            <w:tcW w:w="0" w:type="auto"/>
            <w:shd w:val="clear" w:color="auto" w:fill="auto"/>
            <w:hideMark/>
          </w:tcPr>
          <w:p w14:paraId="10096E18" w14:textId="77777777" w:rsidR="00465964" w:rsidRPr="00465964" w:rsidRDefault="00465964" w:rsidP="00465964">
            <w:r w:rsidRPr="00465964">
              <w:t>(103)</w:t>
            </w:r>
          </w:p>
        </w:tc>
        <w:tc>
          <w:tcPr>
            <w:tcW w:w="0" w:type="auto"/>
            <w:shd w:val="clear" w:color="auto" w:fill="auto"/>
            <w:hideMark/>
          </w:tcPr>
          <w:p w14:paraId="54D14EDB" w14:textId="3E6512F5" w:rsidR="00465964" w:rsidRPr="00465964" w:rsidRDefault="00465964" w:rsidP="00465964">
            <w:pPr>
              <w:rPr>
                <w:lang w:val="pt-PT"/>
              </w:rPr>
            </w:pPr>
            <w:r w:rsidRPr="00465964">
              <w:rPr>
                <w:lang w:val="pt-PT"/>
              </w:rPr>
              <w:t xml:space="preserve">Cabe às autoridades competentes responsáveis pela supervisão, nos termos da Diretiva 2009/110/CE, a supervisão dos emitentes de </w:t>
            </w:r>
            <w:r>
              <w:rPr>
                <w:lang w:val="pt-PT"/>
              </w:rPr>
              <w:t>criptomoedas</w:t>
            </w:r>
            <w:r w:rsidRPr="00465964">
              <w:rPr>
                <w:lang w:val="pt-PT"/>
              </w:rPr>
              <w:t xml:space="preserve"> de moeda eletrónica. No entanto, dada a potencial utilização generalizada de </w:t>
            </w:r>
            <w:r>
              <w:rPr>
                <w:lang w:val="pt-PT"/>
              </w:rPr>
              <w:t>criptomoedas</w:t>
            </w:r>
            <w:r w:rsidRPr="00465964">
              <w:rPr>
                <w:lang w:val="pt-PT"/>
              </w:rPr>
              <w:t xml:space="preserve"> de moeda eletrónica significativas como meio de pagamento e os riscos que podem representar para a estabilidade financeira, é necessária uma dupla supervisão, tanto pelas autoridades competentes como pela EBA, dos emitentes de </w:t>
            </w:r>
            <w:r>
              <w:rPr>
                <w:lang w:val="pt-PT"/>
              </w:rPr>
              <w:t>criptomoedas</w:t>
            </w:r>
            <w:r w:rsidRPr="00465964">
              <w:rPr>
                <w:lang w:val="pt-PT"/>
              </w:rPr>
              <w:t xml:space="preserve"> de moeda eletrónica significativas. A EBA deverá supervisionar o cumprimento, pelos emitentes de </w:t>
            </w:r>
            <w:r>
              <w:rPr>
                <w:lang w:val="pt-PT"/>
              </w:rPr>
              <w:t>criptomoedas</w:t>
            </w:r>
            <w:r w:rsidRPr="00465964">
              <w:rPr>
                <w:lang w:val="pt-PT"/>
              </w:rPr>
              <w:t xml:space="preserve"> de moeda eletrónica significativas, dos requisitos adicionais específicos estabelecidos no presente regulamento para essas </w:t>
            </w:r>
            <w:r>
              <w:rPr>
                <w:lang w:val="pt-PT"/>
              </w:rPr>
              <w:t>criptomoedas</w:t>
            </w:r>
            <w:r w:rsidRPr="00465964">
              <w:rPr>
                <w:lang w:val="pt-PT"/>
              </w:rPr>
              <w:t xml:space="preserve">. Uma vez que os requisitos adicionais específicos deverão aplicar-se apenas às instituições de moeda eletrónica que emitem </w:t>
            </w:r>
            <w:r>
              <w:rPr>
                <w:lang w:val="pt-PT"/>
              </w:rPr>
              <w:t>criptomoedas</w:t>
            </w:r>
            <w:r w:rsidRPr="00465964">
              <w:rPr>
                <w:lang w:val="pt-PT"/>
              </w:rPr>
              <w:t xml:space="preserve"> de moeda eletrónica significativas, as instituições de crédito que emitem </w:t>
            </w:r>
            <w:r>
              <w:rPr>
                <w:lang w:val="pt-PT"/>
              </w:rPr>
              <w:t>criptomoedas</w:t>
            </w:r>
            <w:r w:rsidRPr="00465964">
              <w:rPr>
                <w:lang w:val="pt-PT"/>
              </w:rPr>
              <w:t xml:space="preserve"> de moeda eletrónica significativas, às quais não se aplicam esses requisitos, deverão continuar a ser supervisionadas pelas respetivas autoridades competentes. A dupla supervisão deverá ter em conta a natureza muito específica dos riscos colocados pelas </w:t>
            </w:r>
            <w:r>
              <w:rPr>
                <w:lang w:val="pt-PT"/>
              </w:rPr>
              <w:t>criptomoedas</w:t>
            </w:r>
            <w:r w:rsidRPr="00465964">
              <w:rPr>
                <w:lang w:val="pt-PT"/>
              </w:rPr>
              <w:t xml:space="preserve"> de moeda eletrónica e não deverá criar um precedente para quaisquer outros atos legislativos da União em matéria de serviços financeiros.</w:t>
            </w:r>
          </w:p>
        </w:tc>
      </w:tr>
      <w:tr w:rsidR="00465964" w:rsidRPr="00465964" w14:paraId="004164A0" w14:textId="77777777" w:rsidTr="00465964">
        <w:tc>
          <w:tcPr>
            <w:tcW w:w="0" w:type="auto"/>
            <w:shd w:val="clear" w:color="auto" w:fill="auto"/>
            <w:hideMark/>
          </w:tcPr>
          <w:p w14:paraId="15CA57A8" w14:textId="77777777" w:rsidR="00465964" w:rsidRPr="00465964" w:rsidRDefault="00465964" w:rsidP="00465964">
            <w:r w:rsidRPr="00465964">
              <w:t>(104)</w:t>
            </w:r>
          </w:p>
        </w:tc>
        <w:tc>
          <w:tcPr>
            <w:tcW w:w="0" w:type="auto"/>
            <w:shd w:val="clear" w:color="auto" w:fill="auto"/>
            <w:hideMark/>
          </w:tcPr>
          <w:p w14:paraId="0E9188FF" w14:textId="6D7EE169" w:rsidR="00465964" w:rsidRPr="00465964" w:rsidRDefault="00465964" w:rsidP="00465964">
            <w:pPr>
              <w:rPr>
                <w:lang w:val="pt-PT"/>
              </w:rPr>
            </w:pPr>
            <w:r w:rsidRPr="00465964">
              <w:rPr>
                <w:lang w:val="pt-PT"/>
              </w:rPr>
              <w:t xml:space="preserve">As </w:t>
            </w:r>
            <w:r>
              <w:rPr>
                <w:lang w:val="pt-PT"/>
              </w:rPr>
              <w:t>criptomoedas</w:t>
            </w:r>
            <w:r w:rsidRPr="00465964">
              <w:rPr>
                <w:lang w:val="pt-PT"/>
              </w:rPr>
              <w:t xml:space="preserve"> de moeda eletrónica significativas denominadas numa moeda oficial de um Estado-Membro diferente do euro que são utilizadas como meio de troca e para </w:t>
            </w:r>
            <w:r w:rsidRPr="00465964">
              <w:rPr>
                <w:lang w:val="pt-PT"/>
              </w:rPr>
              <w:lastRenderedPageBreak/>
              <w:t xml:space="preserve">liquidar grandes volumes de transações de pagamento podem representar riscos específicos, embora improváveis, para a soberania monetária do Estado-Membro em cuja moeda oficial estão denominadas. Quando pelo menos 80 % do número de detentores e do volume de operações dessas </w:t>
            </w:r>
            <w:r>
              <w:rPr>
                <w:lang w:val="pt-PT"/>
              </w:rPr>
              <w:t>criptomoedas</w:t>
            </w:r>
            <w:r w:rsidRPr="00465964">
              <w:rPr>
                <w:lang w:val="pt-PT"/>
              </w:rPr>
              <w:t xml:space="preserve"> de moeda eletrónica significativas estiver concentrado no Estado-Membro de origem, as responsabilidades de supervisão não deverão ser transferidas para a EBA.</w:t>
            </w:r>
          </w:p>
        </w:tc>
      </w:tr>
    </w:tbl>
    <w:p w14:paraId="67BDF443"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482"/>
        <w:gridCol w:w="8544"/>
      </w:tblGrid>
      <w:tr w:rsidR="00465964" w:rsidRPr="00465964" w14:paraId="0F29B6C3" w14:textId="77777777" w:rsidTr="00465964">
        <w:tc>
          <w:tcPr>
            <w:tcW w:w="0" w:type="auto"/>
            <w:shd w:val="clear" w:color="auto" w:fill="auto"/>
            <w:hideMark/>
          </w:tcPr>
          <w:p w14:paraId="7D5099A3" w14:textId="77777777" w:rsidR="00465964" w:rsidRPr="00465964" w:rsidRDefault="00465964" w:rsidP="00465964">
            <w:r w:rsidRPr="00465964">
              <w:t>(105)</w:t>
            </w:r>
          </w:p>
        </w:tc>
        <w:tc>
          <w:tcPr>
            <w:tcW w:w="0" w:type="auto"/>
            <w:shd w:val="clear" w:color="auto" w:fill="auto"/>
            <w:hideMark/>
          </w:tcPr>
          <w:p w14:paraId="1822EEA4" w14:textId="6F86315A" w:rsidR="00465964" w:rsidRPr="00465964" w:rsidRDefault="00465964" w:rsidP="00465964">
            <w:pPr>
              <w:rPr>
                <w:lang w:val="pt-PT"/>
              </w:rPr>
            </w:pPr>
            <w:r w:rsidRPr="00465964">
              <w:rPr>
                <w:lang w:val="pt-PT"/>
              </w:rPr>
              <w:t xml:space="preserve">A EBA deverá criar um colégio de supervisores para os emitentes de </w:t>
            </w:r>
            <w:r>
              <w:rPr>
                <w:lang w:val="pt-PT"/>
              </w:rPr>
              <w:t>criptomoedas</w:t>
            </w:r>
            <w:r w:rsidRPr="00465964">
              <w:rPr>
                <w:lang w:val="pt-PT"/>
              </w:rPr>
              <w:t xml:space="preserve"> referenciadas a ativos significativas e de </w:t>
            </w:r>
            <w:r>
              <w:rPr>
                <w:lang w:val="pt-PT"/>
              </w:rPr>
              <w:t>criptomoedas</w:t>
            </w:r>
            <w:r w:rsidRPr="00465964">
              <w:rPr>
                <w:lang w:val="pt-PT"/>
              </w:rPr>
              <w:t xml:space="preserve"> de moeda eletrónica significativas. Uma vez que os emitentes de </w:t>
            </w:r>
            <w:r>
              <w:rPr>
                <w:lang w:val="pt-PT"/>
              </w:rPr>
              <w:t>criptomoedas</w:t>
            </w:r>
            <w:r w:rsidRPr="00465964">
              <w:rPr>
                <w:lang w:val="pt-PT"/>
              </w:rPr>
              <w:t xml:space="preserve"> referenciadas a ativos significativas e de </w:t>
            </w:r>
            <w:r>
              <w:rPr>
                <w:lang w:val="pt-PT"/>
              </w:rPr>
              <w:t>criptomoedas</w:t>
            </w:r>
            <w:r w:rsidRPr="00465964">
              <w:rPr>
                <w:lang w:val="pt-PT"/>
              </w:rPr>
              <w:t xml:space="preserve"> de moeda eletrónica significativas estão geralmente no centro de uma rede de entidades que garantem a emissão, a transferência e a distribuição desses criptoativos, os membros do colégio de supervisores para cada emitente deverão, por conseguinte, incluir, nomeadamente, as autoridades competentes das mais importantes plataformas de negociação de criptoativos, nos casos em que as </w:t>
            </w:r>
            <w:r>
              <w:rPr>
                <w:lang w:val="pt-PT"/>
              </w:rPr>
              <w:t>criptomoedas</w:t>
            </w:r>
            <w:r w:rsidRPr="00465964">
              <w:rPr>
                <w:lang w:val="pt-PT"/>
              </w:rPr>
              <w:t xml:space="preserve"> referenciadas a ativos significativas ou as </w:t>
            </w:r>
            <w:r>
              <w:rPr>
                <w:lang w:val="pt-PT"/>
              </w:rPr>
              <w:t>criptomoedas</w:t>
            </w:r>
            <w:r w:rsidRPr="00465964">
              <w:rPr>
                <w:lang w:val="pt-PT"/>
              </w:rPr>
              <w:t xml:space="preserve"> de moeda eletrónica significativas são admitidas à negociação, e as autoridades competentes das entidades mais relevantes e dos prestadores de serviços de criptoativos que asseguram a custódia e administração das </w:t>
            </w:r>
            <w:r>
              <w:rPr>
                <w:lang w:val="pt-PT"/>
              </w:rPr>
              <w:t>criptomoedas</w:t>
            </w:r>
            <w:r w:rsidRPr="00465964">
              <w:rPr>
                <w:lang w:val="pt-PT"/>
              </w:rPr>
              <w:t xml:space="preserve"> referenciadas a ativos significativas e das </w:t>
            </w:r>
            <w:r>
              <w:rPr>
                <w:lang w:val="pt-PT"/>
              </w:rPr>
              <w:t>criptomoedas</w:t>
            </w:r>
            <w:r w:rsidRPr="00465964">
              <w:rPr>
                <w:lang w:val="pt-PT"/>
              </w:rPr>
              <w:t xml:space="preserve"> de moeda eletrónica significativas por conta dos respetivos detentores. O colégio de supervisores para os emitentes de </w:t>
            </w:r>
            <w:r>
              <w:rPr>
                <w:lang w:val="pt-PT"/>
              </w:rPr>
              <w:t>criptomoedas</w:t>
            </w:r>
            <w:r w:rsidRPr="00465964">
              <w:rPr>
                <w:lang w:val="pt-PT"/>
              </w:rPr>
              <w:t xml:space="preserve"> referenciadas a ativos significativas e de </w:t>
            </w:r>
            <w:r>
              <w:rPr>
                <w:lang w:val="pt-PT"/>
              </w:rPr>
              <w:t>criptomoedas</w:t>
            </w:r>
            <w:r w:rsidRPr="00465964">
              <w:rPr>
                <w:lang w:val="pt-PT"/>
              </w:rPr>
              <w:t xml:space="preserve"> de moeda eletrónica significativas deverá facilitar a cooperação e o intercâmbio de informação entre os seus membros e emitir pareceres não vinculativos, nomeadamente, sobre as alterações à autorização desses emitentes ou sobre medidas de supervisão aplicáveis a tais emitentes.</w:t>
            </w:r>
          </w:p>
        </w:tc>
      </w:tr>
      <w:tr w:rsidR="00465964" w:rsidRPr="00465964" w14:paraId="23308BD8" w14:textId="77777777" w:rsidTr="00465964">
        <w:tc>
          <w:tcPr>
            <w:tcW w:w="0" w:type="auto"/>
            <w:shd w:val="clear" w:color="auto" w:fill="auto"/>
            <w:hideMark/>
          </w:tcPr>
          <w:p w14:paraId="4E551E9F" w14:textId="77777777" w:rsidR="00465964" w:rsidRPr="00465964" w:rsidRDefault="00465964" w:rsidP="00465964">
            <w:r w:rsidRPr="00465964">
              <w:t>(106)</w:t>
            </w:r>
          </w:p>
        </w:tc>
        <w:tc>
          <w:tcPr>
            <w:tcW w:w="0" w:type="auto"/>
            <w:shd w:val="clear" w:color="auto" w:fill="auto"/>
            <w:hideMark/>
          </w:tcPr>
          <w:p w14:paraId="3284940D" w14:textId="497CBA46" w:rsidR="00465964" w:rsidRPr="00465964" w:rsidRDefault="00465964" w:rsidP="00465964">
            <w:pPr>
              <w:rPr>
                <w:lang w:val="pt-PT"/>
              </w:rPr>
            </w:pPr>
            <w:r w:rsidRPr="00465964">
              <w:rPr>
                <w:lang w:val="pt-PT"/>
              </w:rPr>
              <w:t xml:space="preserve">Para efeitos de supervisão dos emitentes de </w:t>
            </w:r>
            <w:r>
              <w:rPr>
                <w:lang w:val="pt-PT"/>
              </w:rPr>
              <w:t>criptomoedas</w:t>
            </w:r>
            <w:r w:rsidRPr="00465964">
              <w:rPr>
                <w:lang w:val="pt-PT"/>
              </w:rPr>
              <w:t xml:space="preserve"> referenciadas a ativos significativas e de </w:t>
            </w:r>
            <w:r>
              <w:rPr>
                <w:lang w:val="pt-PT"/>
              </w:rPr>
              <w:t>criptomoedas</w:t>
            </w:r>
            <w:r w:rsidRPr="00465964">
              <w:rPr>
                <w:lang w:val="pt-PT"/>
              </w:rPr>
              <w:t xml:space="preserve"> de moeda eletrónica significativas, a EBA deverá ter poderes, nomeadamente, para efetuar inspeções no local, tomar medidas de supervisão e aplicar coimas.</w:t>
            </w:r>
          </w:p>
        </w:tc>
      </w:tr>
    </w:tbl>
    <w:p w14:paraId="18719E22"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482"/>
        <w:gridCol w:w="8544"/>
      </w:tblGrid>
      <w:tr w:rsidR="00465964" w:rsidRPr="00465964" w14:paraId="1D8F4404" w14:textId="77777777" w:rsidTr="00465964">
        <w:tc>
          <w:tcPr>
            <w:tcW w:w="0" w:type="auto"/>
            <w:shd w:val="clear" w:color="auto" w:fill="auto"/>
            <w:hideMark/>
          </w:tcPr>
          <w:p w14:paraId="59CC4ED3" w14:textId="77777777" w:rsidR="00465964" w:rsidRPr="00465964" w:rsidRDefault="00465964" w:rsidP="00465964">
            <w:r w:rsidRPr="00465964">
              <w:t>(107)</w:t>
            </w:r>
          </w:p>
        </w:tc>
        <w:tc>
          <w:tcPr>
            <w:tcW w:w="0" w:type="auto"/>
            <w:shd w:val="clear" w:color="auto" w:fill="auto"/>
            <w:hideMark/>
          </w:tcPr>
          <w:p w14:paraId="0DF8D1A4" w14:textId="5D5EACFD" w:rsidR="00465964" w:rsidRPr="00465964" w:rsidRDefault="00465964" w:rsidP="00465964">
            <w:pPr>
              <w:rPr>
                <w:lang w:val="pt-PT"/>
              </w:rPr>
            </w:pPr>
            <w:r w:rsidRPr="00465964">
              <w:rPr>
                <w:lang w:val="pt-PT"/>
              </w:rPr>
              <w:t xml:space="preserve">A EBA deverá cobrar taxas aos emitentes de </w:t>
            </w:r>
            <w:r>
              <w:rPr>
                <w:lang w:val="pt-PT"/>
              </w:rPr>
              <w:t>criptomoedas</w:t>
            </w:r>
            <w:r w:rsidRPr="00465964">
              <w:rPr>
                <w:lang w:val="pt-PT"/>
              </w:rPr>
              <w:t xml:space="preserve"> referenciadas a ativos significativas e de </w:t>
            </w:r>
            <w:r>
              <w:rPr>
                <w:lang w:val="pt-PT"/>
              </w:rPr>
              <w:t>criptomoedas</w:t>
            </w:r>
            <w:r w:rsidRPr="00465964">
              <w:rPr>
                <w:lang w:val="pt-PT"/>
              </w:rPr>
              <w:t xml:space="preserve"> de moeda eletrónica significativas para cobrir os seus custos, incluindo para as despesas gerais. No caso dos emitentes de </w:t>
            </w:r>
            <w:r>
              <w:rPr>
                <w:lang w:val="pt-PT"/>
              </w:rPr>
              <w:t>criptomoedas</w:t>
            </w:r>
            <w:r w:rsidRPr="00465964">
              <w:rPr>
                <w:lang w:val="pt-PT"/>
              </w:rPr>
              <w:t xml:space="preserve"> referenciadas a ativos significativas, a taxa deverá ser proporcional à dimensão da sua reserva de ativos. No caso dos emitentes de </w:t>
            </w:r>
            <w:r>
              <w:rPr>
                <w:lang w:val="pt-PT"/>
              </w:rPr>
              <w:t>criptomoedas</w:t>
            </w:r>
            <w:r w:rsidRPr="00465964">
              <w:rPr>
                <w:lang w:val="pt-PT"/>
              </w:rPr>
              <w:t xml:space="preserve"> de moeda eletrónica significativas, a taxa deverá ser proporcional ao valor dos fundos recebidos em troca das </w:t>
            </w:r>
            <w:r>
              <w:rPr>
                <w:lang w:val="pt-PT"/>
              </w:rPr>
              <w:t>criptomoedas</w:t>
            </w:r>
            <w:r w:rsidRPr="00465964">
              <w:rPr>
                <w:lang w:val="pt-PT"/>
              </w:rPr>
              <w:t xml:space="preserve"> de moeda eletrónica significativas.</w:t>
            </w:r>
          </w:p>
        </w:tc>
      </w:tr>
      <w:tr w:rsidR="00465964" w:rsidRPr="00465964" w14:paraId="18ACEB11" w14:textId="77777777" w:rsidTr="00465964">
        <w:tc>
          <w:tcPr>
            <w:tcW w:w="0" w:type="auto"/>
            <w:shd w:val="clear" w:color="auto" w:fill="auto"/>
            <w:hideMark/>
          </w:tcPr>
          <w:p w14:paraId="1C311337" w14:textId="77777777" w:rsidR="00465964" w:rsidRPr="00465964" w:rsidRDefault="00465964" w:rsidP="00465964">
            <w:r w:rsidRPr="00465964">
              <w:t>(108)</w:t>
            </w:r>
          </w:p>
        </w:tc>
        <w:tc>
          <w:tcPr>
            <w:tcW w:w="0" w:type="auto"/>
            <w:shd w:val="clear" w:color="auto" w:fill="auto"/>
            <w:hideMark/>
          </w:tcPr>
          <w:p w14:paraId="21BADC94" w14:textId="671D5D39" w:rsidR="00465964" w:rsidRPr="00465964" w:rsidRDefault="00465964" w:rsidP="00465964">
            <w:pPr>
              <w:rPr>
                <w:lang w:val="pt-PT"/>
              </w:rPr>
            </w:pPr>
            <w:r w:rsidRPr="00465964">
              <w:rPr>
                <w:lang w:val="pt-PT"/>
              </w:rPr>
              <w:t>A fim de assegurar a eficácia do presente regulamento, o poder de adotar atos nos termos do artigo 290.</w:t>
            </w:r>
            <w:r w:rsidRPr="00465964">
              <w:rPr>
                <w:vertAlign w:val="superscript"/>
                <w:lang w:val="pt-PT"/>
              </w:rPr>
              <w:t>o</w:t>
            </w:r>
            <w:r w:rsidRPr="00465964">
              <w:rPr>
                <w:lang w:val="pt-PT"/>
              </w:rPr>
              <w:t xml:space="preserve"> do TFUE deverá ser delegado na Comissão no que diz respeito à especificação mais pormenorizada das definições estabelecidas no presente regulamento a fim de as adaptar à evolução tecnológica e do mercado, especificando mais pormenorizadamente certos critérios para determinar se uma </w:t>
            </w:r>
            <w:proofErr w:type="spellStart"/>
            <w:r w:rsidRPr="00465964">
              <w:rPr>
                <w:lang w:val="pt-PT"/>
              </w:rPr>
              <w:t>criptoficha</w:t>
            </w:r>
            <w:proofErr w:type="spellEnd"/>
            <w:r w:rsidRPr="00465964">
              <w:rPr>
                <w:lang w:val="pt-PT"/>
              </w:rPr>
              <w:t xml:space="preserve"> referenciada a ativos ou uma </w:t>
            </w:r>
            <w:proofErr w:type="spellStart"/>
            <w:r w:rsidRPr="00465964">
              <w:rPr>
                <w:lang w:val="pt-PT"/>
              </w:rPr>
              <w:t>criptoficha</w:t>
            </w:r>
            <w:proofErr w:type="spellEnd"/>
            <w:r w:rsidRPr="00465964">
              <w:rPr>
                <w:lang w:val="pt-PT"/>
              </w:rPr>
              <w:t xml:space="preserve"> de moeda eletrónica deverá ser classificada como significativa, se existe uma preocupação relevante em matéria de proteção dos investidores ou uma ameaça ao funcionamento ordenado e à integridade dos mercados de criptoativos ou à estabilidade de todo o sistema financeiro da União ou de parte dele, especificando melhor as regras processuais para o exercício, pela EBA, do poder de </w:t>
            </w:r>
            <w:r w:rsidRPr="00465964">
              <w:rPr>
                <w:lang w:val="pt-PT"/>
              </w:rPr>
              <w:lastRenderedPageBreak/>
              <w:t xml:space="preserve">aplicação de coimas ou sanções pecuniárias compulsórias, incluindo disposições relativas aos direitos de defesa, a disposições temporais e à cobrança de coimas ou sanções pecuniárias compulsórias, bem como aos prazos de prescrição para a imposição e execução de coimas e sanções pecuniárias compulsórias, e especificando melhor o tipo e o montante das taxas de supervisão que podem ser cobradas pela EBA aos emitentes de </w:t>
            </w:r>
            <w:r>
              <w:rPr>
                <w:lang w:val="pt-PT"/>
              </w:rPr>
              <w:t>criptomoedas</w:t>
            </w:r>
            <w:r w:rsidRPr="00465964">
              <w:rPr>
                <w:lang w:val="pt-PT"/>
              </w:rPr>
              <w:t xml:space="preserve"> referenciadas a ativos significativas ou de </w:t>
            </w:r>
            <w:r>
              <w:rPr>
                <w:lang w:val="pt-PT"/>
              </w:rPr>
              <w:t>criptomoedas</w:t>
            </w:r>
            <w:r w:rsidRPr="00465964">
              <w:rPr>
                <w:lang w:val="pt-PT"/>
              </w:rPr>
              <w:t xml:space="preserve"> de moeda eletrónica significativas. É particularmente importante que a Comissão proceda às consultas adequadas durante os trabalhos preparatórios, inclusive ao nível de peritos, e que essas consultas sejam conduzidas de acordo com os princípios estabelecidos no Acordo Interinstitucional, de 13 de abril de 2016, sobre legislar melhor </w:t>
            </w:r>
            <w:hyperlink r:id="rId29" w:anchor="ntr22-L_2023150PT.01004001-E0022" w:history="1">
              <w:r w:rsidRPr="00465964">
                <w:rPr>
                  <w:rStyle w:val="Hyperlink"/>
                  <w:lang w:val="pt-PT"/>
                </w:rPr>
                <w:t>(</w:t>
              </w:r>
              <w:r w:rsidRPr="00465964">
                <w:rPr>
                  <w:rStyle w:val="Hyperlink"/>
                  <w:vertAlign w:val="superscript"/>
                  <w:lang w:val="pt-PT"/>
                </w:rPr>
                <w:t>22</w:t>
              </w:r>
              <w:r w:rsidRPr="00465964">
                <w:rPr>
                  <w:rStyle w:val="Hyperlink"/>
                  <w:lang w:val="pt-PT"/>
                </w:rPr>
                <w:t>)</w:t>
              </w:r>
            </w:hyperlink>
            <w:r w:rsidRPr="00465964">
              <w:rPr>
                <w:lang w:val="pt-PT"/>
              </w:rPr>
              <w:t>. Em particular, a fim de assegurar a igualdade de participação na preparação dos atos delegados, o Parlamento Europeu e o Conselho recebem todos os documentos ao mesmo tempo que os peritos dos Estados-Membros, e os respetivos peritos têm sistematicamente acesso às reuniões dos grupos de peritos da Comissão que tratem da preparação dos atos delegados.</w:t>
            </w:r>
          </w:p>
        </w:tc>
      </w:tr>
    </w:tbl>
    <w:p w14:paraId="3CC2A1B9"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482"/>
        <w:gridCol w:w="8544"/>
      </w:tblGrid>
      <w:tr w:rsidR="00465964" w:rsidRPr="00465964" w14:paraId="30CAA52D" w14:textId="77777777" w:rsidTr="00465964">
        <w:tc>
          <w:tcPr>
            <w:tcW w:w="0" w:type="auto"/>
            <w:shd w:val="clear" w:color="auto" w:fill="auto"/>
            <w:hideMark/>
          </w:tcPr>
          <w:p w14:paraId="11C3190A" w14:textId="77777777" w:rsidR="00465964" w:rsidRPr="00465964" w:rsidRDefault="00465964" w:rsidP="00465964">
            <w:r w:rsidRPr="00465964">
              <w:t>(109)</w:t>
            </w:r>
          </w:p>
        </w:tc>
        <w:tc>
          <w:tcPr>
            <w:tcW w:w="0" w:type="auto"/>
            <w:shd w:val="clear" w:color="auto" w:fill="auto"/>
            <w:hideMark/>
          </w:tcPr>
          <w:p w14:paraId="04A45E84" w14:textId="77777777" w:rsidR="00465964" w:rsidRPr="00465964" w:rsidRDefault="00465964" w:rsidP="00465964">
            <w:pPr>
              <w:rPr>
                <w:lang w:val="pt-PT"/>
              </w:rPr>
            </w:pPr>
            <w:r w:rsidRPr="00465964">
              <w:rPr>
                <w:lang w:val="pt-PT"/>
              </w:rPr>
              <w:t>A fim de promover a aplicação coerente do presente regulamento em toda a União, incluindo a proteção adequada dos detentores de criptoativos e dos clientes dos prestadores de serviços de criptoativos, em especial quando estes são consumidores, deverão ser desenvolvidas normas técnicas. É eficiente e adequado confiar à EBA e à ESMA, enquanto organismos com competências altamente especializadas, a elaboração de projetos de normas técnicas de regulamentação, que não envolvam opções políticas, para apresentação à Comissão.</w:t>
            </w:r>
          </w:p>
        </w:tc>
      </w:tr>
      <w:tr w:rsidR="00465964" w:rsidRPr="00465964" w14:paraId="72D1FCE2" w14:textId="77777777" w:rsidTr="00465964">
        <w:tc>
          <w:tcPr>
            <w:tcW w:w="0" w:type="auto"/>
            <w:shd w:val="clear" w:color="auto" w:fill="auto"/>
            <w:hideMark/>
          </w:tcPr>
          <w:p w14:paraId="692F842A" w14:textId="77777777" w:rsidR="00465964" w:rsidRPr="00465964" w:rsidRDefault="00465964" w:rsidP="00465964">
            <w:r w:rsidRPr="00465964">
              <w:t>(110)</w:t>
            </w:r>
          </w:p>
        </w:tc>
        <w:tc>
          <w:tcPr>
            <w:tcW w:w="0" w:type="auto"/>
            <w:shd w:val="clear" w:color="auto" w:fill="auto"/>
            <w:hideMark/>
          </w:tcPr>
          <w:p w14:paraId="5EEE30C6" w14:textId="158DB6C7" w:rsidR="00465964" w:rsidRPr="00465964" w:rsidRDefault="00465964" w:rsidP="00465964">
            <w:pPr>
              <w:rPr>
                <w:lang w:val="pt-PT"/>
              </w:rPr>
            </w:pPr>
            <w:r w:rsidRPr="00465964">
              <w:rPr>
                <w:lang w:val="pt-PT"/>
              </w:rPr>
              <w:t xml:space="preserve">Deverão ser atribuídos à Comissão poderes para adotar as normas técnicas de regulamentação que tenham sido elaboradas pela EBA e pela ESMA no que diz respeito: ao conteúdo, às metodologias e à apresentação de informações num livrete do criptoativo sobre os principais impactos negativos no clima e outros impactos negativos relacionados com o ambiente do mecanismo de consenso utilizado para emitir o criptoativo; ao procedimento de aprovação dos livretes do criptoativo apresentados pelas instituições de crédito aquando da emissão de </w:t>
            </w:r>
            <w:r>
              <w:rPr>
                <w:lang w:val="pt-PT"/>
              </w:rPr>
              <w:t>criptomoedas</w:t>
            </w:r>
            <w:r w:rsidRPr="00465964">
              <w:rPr>
                <w:lang w:val="pt-PT"/>
              </w:rPr>
              <w:t xml:space="preserve"> referenciadas a ativos; às informações que um pedido de autorização como emitente de </w:t>
            </w:r>
            <w:r>
              <w:rPr>
                <w:lang w:val="pt-PT"/>
              </w:rPr>
              <w:t>criptomoedas</w:t>
            </w:r>
            <w:r w:rsidRPr="00465964">
              <w:rPr>
                <w:lang w:val="pt-PT"/>
              </w:rPr>
              <w:t xml:space="preserve"> referenciadas a ativos deverá conter; à metodologia para estimar a média trimestral do número e do valor agregado das transações diárias associadas às utilizações das </w:t>
            </w:r>
            <w:r>
              <w:rPr>
                <w:lang w:val="pt-PT"/>
              </w:rPr>
              <w:t>criptomoedas</w:t>
            </w:r>
            <w:r w:rsidRPr="00465964">
              <w:rPr>
                <w:lang w:val="pt-PT"/>
              </w:rPr>
              <w:t xml:space="preserve"> referenciadas a ativos e das </w:t>
            </w:r>
            <w:r>
              <w:rPr>
                <w:lang w:val="pt-PT"/>
              </w:rPr>
              <w:t>criptomoedas</w:t>
            </w:r>
            <w:r w:rsidRPr="00465964">
              <w:rPr>
                <w:lang w:val="pt-PT"/>
              </w:rPr>
              <w:t xml:space="preserve"> de moeda eletrónica denominadas numa moeda que não seja uma moeda oficial de um Estado-Membro como meio de troca em cada área de moeda única; aos requisitos, modelos e procedimentos para o tratamento das reclamações apresentadas por detentores de </w:t>
            </w:r>
            <w:r>
              <w:rPr>
                <w:lang w:val="pt-PT"/>
              </w:rPr>
              <w:t>criptomoedas</w:t>
            </w:r>
            <w:r w:rsidRPr="00465964">
              <w:rPr>
                <w:lang w:val="pt-PT"/>
              </w:rPr>
              <w:t xml:space="preserve"> referenciadas a ativos ou por clientes de prestadores de serviços de criptoativos; aos requisitos aplicáveis às políticas e procedimentos para identificar, prevenir, gerir e divulgar os conflitos de interesses dos emitentes de </w:t>
            </w:r>
            <w:r>
              <w:rPr>
                <w:lang w:val="pt-PT"/>
              </w:rPr>
              <w:t>criptomoedas</w:t>
            </w:r>
            <w:r w:rsidRPr="00465964">
              <w:rPr>
                <w:lang w:val="pt-PT"/>
              </w:rPr>
              <w:t xml:space="preserve"> referenciadas a ativos, bem como as especificações e a metodologia aplicáveis ao conteúdo dessa divulgação; ao procedimento e o prazo de que dispõe um emitente de </w:t>
            </w:r>
            <w:r>
              <w:rPr>
                <w:lang w:val="pt-PT"/>
              </w:rPr>
              <w:t>criptomoedas</w:t>
            </w:r>
            <w:r w:rsidRPr="00465964">
              <w:rPr>
                <w:lang w:val="pt-PT"/>
              </w:rPr>
              <w:t xml:space="preserve"> referenciadas a ativos e de </w:t>
            </w:r>
            <w:r>
              <w:rPr>
                <w:lang w:val="pt-PT"/>
              </w:rPr>
              <w:t>criptomoedas</w:t>
            </w:r>
            <w:r w:rsidRPr="00465964">
              <w:rPr>
                <w:lang w:val="pt-PT"/>
              </w:rPr>
              <w:t xml:space="preserve"> de moeda eletrónica significativas para adaptar-se aos requisitos de fundos próprios mais elevados, os critérios para exigir fundos próprios mais elevados e os requisitos mínimos para a conceção dos programas de testes de esforço; aos requisitos de liquidez aplicáveis à reserva de ativos; aos instrumentos financeiros em que a reserva de ativos pode ser investida; ao conteúdo pormenorizado das informações necessárias para proceder à avaliação da proposta de aquisição da participação qualificada num emitente de </w:t>
            </w:r>
            <w:r>
              <w:rPr>
                <w:lang w:val="pt-PT"/>
              </w:rPr>
              <w:lastRenderedPageBreak/>
              <w:t>criptomoedas</w:t>
            </w:r>
            <w:r w:rsidRPr="00465964">
              <w:rPr>
                <w:lang w:val="pt-PT"/>
              </w:rPr>
              <w:t xml:space="preserve"> referenciadas a ativos; aos requisitos em matéria de obrigações adicionais para os emitentes de </w:t>
            </w:r>
            <w:r>
              <w:rPr>
                <w:lang w:val="pt-PT"/>
              </w:rPr>
              <w:t>criptomoedas</w:t>
            </w:r>
            <w:r w:rsidRPr="00465964">
              <w:rPr>
                <w:lang w:val="pt-PT"/>
              </w:rPr>
              <w:t xml:space="preserve"> referenciadas a ativos significativas; às informações que as instituições de crédito, as centrais de valores mobiliários, as empresas de investimento, os operadores de mercado, as instituições de moeda eletrónica, as sociedades gestoras de OICVM e os gestores de fundos de investimento alternativos que pretendam prestar serviços de criptoativos comunicam às autoridades competentes; às informações que um pedido de autorização de um prestador de serviços de criptoativos contém; ao conteúdo, as metodologias e a apresentação das informações que o prestador de serviços de criptoativos disponibiliza ao público e que estão relacionadas com os principais impactos negativos no clima e outros impactos negativos relacionados com o ambiente decorrentes do mecanismo de consenso utilizado para emitir cada um dos criptoativos em relação ao quais presta serviços; às medidas destinadas a assegurar a continuidade e a regularidade da prestação dos serviços de criptoativos e os registos a conservar de todos os serviços, ordens e transações de criptoativos que realizam; aos requisitos aplicáveis às políticas com vista a identificar, prevenir, gerir e divulgar conflitos de interesses dos prestadores de serviços de criptoativos, bem como os pormenores e a metodologia relativamente ao conteúdo dessa divulgação; à forma como os dados de transparência do operador de uma plataforma de negociação devem ser oferecidos e o conteúdo e formato dos registos das carteiras de ordens relativamente à plataforma de negociação; ao conteúdo pormenorizado das informações necessárias para realizar a avaliação da proposta de aquisição da participação qualificada num prestador de serviços de criptoativos; às disposições, sistemas e procedimentos adequados para vigiar e detetar abusos de mercado; ao modelo de notificação para comunicar suspeitas de abuso de mercado e procedimentos de coordenação entre as autoridades competentes pertinentes para a deteção de abuso de mercado; às informações a trocar entre as autoridades competentes; a um modelo de acordo de cooperação entre as autoridades competentes dos Estados-Membros e as autoridades de supervisão de países terceiros; aos dados necessários para a classificação dos livretes do criptoativo no registo e as disposições práticas para assegurar que esses dados sejam legíveis por máquina; às condições em que determinados membros do colégio de supervisores para os emitentes de </w:t>
            </w:r>
            <w:r>
              <w:rPr>
                <w:lang w:val="pt-PT"/>
              </w:rPr>
              <w:t>criptomoedas</w:t>
            </w:r>
            <w:r w:rsidRPr="00465964">
              <w:rPr>
                <w:lang w:val="pt-PT"/>
              </w:rPr>
              <w:t xml:space="preserve"> referenciadas a ativos significativas e para os emitentes de </w:t>
            </w:r>
            <w:r>
              <w:rPr>
                <w:lang w:val="pt-PT"/>
              </w:rPr>
              <w:t>criptomoedas</w:t>
            </w:r>
            <w:r w:rsidRPr="00465964">
              <w:rPr>
                <w:lang w:val="pt-PT"/>
              </w:rPr>
              <w:t xml:space="preserve"> de moeda eletrónica significativas devem ser considerados mais pertinentes na sua categoria; e às condições em que as </w:t>
            </w:r>
            <w:r>
              <w:rPr>
                <w:lang w:val="pt-PT"/>
              </w:rPr>
              <w:t>criptomoedas</w:t>
            </w:r>
            <w:r w:rsidRPr="00465964">
              <w:rPr>
                <w:lang w:val="pt-PT"/>
              </w:rPr>
              <w:t xml:space="preserve"> referenciadas a ativos ou as </w:t>
            </w:r>
            <w:r>
              <w:rPr>
                <w:lang w:val="pt-PT"/>
              </w:rPr>
              <w:t>criptomoedas</w:t>
            </w:r>
            <w:r w:rsidRPr="00465964">
              <w:rPr>
                <w:lang w:val="pt-PT"/>
              </w:rPr>
              <w:t xml:space="preserve"> de moeda eletrónica são consideradas como sendo utilizadas em grande escala para efeitos de classificação de determinados membros desse colégio e os pormenores das disposições práticas relativas ao funcionamento desse colégio. A Comissão deverá adotar essas normas técnicas regulamentares por meio de atos delegados nos termos do artigo 290.</w:t>
            </w:r>
            <w:r w:rsidRPr="00465964">
              <w:rPr>
                <w:vertAlign w:val="superscript"/>
                <w:lang w:val="pt-PT"/>
              </w:rPr>
              <w:t>o</w:t>
            </w:r>
            <w:r w:rsidRPr="00465964">
              <w:rPr>
                <w:lang w:val="pt-PT"/>
              </w:rPr>
              <w:t> do TFUE e em conformidade com os artigos 10.</w:t>
            </w:r>
            <w:r w:rsidRPr="00465964">
              <w:rPr>
                <w:vertAlign w:val="superscript"/>
                <w:lang w:val="pt-PT"/>
              </w:rPr>
              <w:t>o</w:t>
            </w:r>
            <w:r w:rsidRPr="00465964">
              <w:rPr>
                <w:lang w:val="pt-PT"/>
              </w:rPr>
              <w:t> a 14.</w:t>
            </w:r>
            <w:r w:rsidRPr="00465964">
              <w:rPr>
                <w:vertAlign w:val="superscript"/>
                <w:lang w:val="pt-PT"/>
              </w:rPr>
              <w:t>o</w:t>
            </w:r>
            <w:r w:rsidRPr="00465964">
              <w:rPr>
                <w:lang w:val="pt-PT"/>
              </w:rPr>
              <w:t xml:space="preserve"> do Regulamento (UE) </w:t>
            </w:r>
            <w:proofErr w:type="spellStart"/>
            <w:r w:rsidRPr="00465964">
              <w:rPr>
                <w:lang w:val="pt-PT"/>
              </w:rPr>
              <w:t>n.</w:t>
            </w:r>
            <w:r w:rsidRPr="00465964">
              <w:rPr>
                <w:vertAlign w:val="superscript"/>
                <w:lang w:val="pt-PT"/>
              </w:rPr>
              <w:t>o</w:t>
            </w:r>
            <w:proofErr w:type="spellEnd"/>
            <w:r w:rsidRPr="00465964">
              <w:rPr>
                <w:lang w:val="pt-PT"/>
              </w:rPr>
              <w:t> 1093/2010 e com os artigos 10.</w:t>
            </w:r>
            <w:r w:rsidRPr="00465964">
              <w:rPr>
                <w:vertAlign w:val="superscript"/>
                <w:lang w:val="pt-PT"/>
              </w:rPr>
              <w:t>o</w:t>
            </w:r>
            <w:r w:rsidRPr="00465964">
              <w:rPr>
                <w:lang w:val="pt-PT"/>
              </w:rPr>
              <w:t> a 14.</w:t>
            </w:r>
            <w:r w:rsidRPr="00465964">
              <w:rPr>
                <w:vertAlign w:val="superscript"/>
                <w:lang w:val="pt-PT"/>
              </w:rPr>
              <w:t>o</w:t>
            </w:r>
            <w:r w:rsidRPr="00465964">
              <w:rPr>
                <w:lang w:val="pt-PT"/>
              </w:rPr>
              <w:t xml:space="preserve"> do Regulamento (UE) </w:t>
            </w:r>
            <w:proofErr w:type="spellStart"/>
            <w:r w:rsidRPr="00465964">
              <w:rPr>
                <w:lang w:val="pt-PT"/>
              </w:rPr>
              <w:t>n.</w:t>
            </w:r>
            <w:r w:rsidRPr="00465964">
              <w:rPr>
                <w:vertAlign w:val="superscript"/>
                <w:lang w:val="pt-PT"/>
              </w:rPr>
              <w:t>o</w:t>
            </w:r>
            <w:proofErr w:type="spellEnd"/>
            <w:r w:rsidRPr="00465964">
              <w:rPr>
                <w:lang w:val="pt-PT"/>
              </w:rPr>
              <w:t> 1095/2010.</w:t>
            </w:r>
          </w:p>
        </w:tc>
      </w:tr>
    </w:tbl>
    <w:p w14:paraId="7CDF6BF3"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482"/>
        <w:gridCol w:w="8544"/>
      </w:tblGrid>
      <w:tr w:rsidR="00465964" w:rsidRPr="00465964" w14:paraId="4EB96D58" w14:textId="77777777" w:rsidTr="00465964">
        <w:tc>
          <w:tcPr>
            <w:tcW w:w="0" w:type="auto"/>
            <w:shd w:val="clear" w:color="auto" w:fill="auto"/>
            <w:hideMark/>
          </w:tcPr>
          <w:p w14:paraId="223D413D" w14:textId="77777777" w:rsidR="00465964" w:rsidRPr="00465964" w:rsidRDefault="00465964" w:rsidP="00465964">
            <w:r w:rsidRPr="00465964">
              <w:t>(111)</w:t>
            </w:r>
          </w:p>
        </w:tc>
        <w:tc>
          <w:tcPr>
            <w:tcW w:w="0" w:type="auto"/>
            <w:shd w:val="clear" w:color="auto" w:fill="auto"/>
            <w:hideMark/>
          </w:tcPr>
          <w:p w14:paraId="22FC93A9" w14:textId="0087BBC2" w:rsidR="00465964" w:rsidRPr="00465964" w:rsidRDefault="00465964" w:rsidP="00465964">
            <w:pPr>
              <w:rPr>
                <w:lang w:val="pt-PT"/>
              </w:rPr>
            </w:pPr>
            <w:r w:rsidRPr="00465964">
              <w:rPr>
                <w:lang w:val="pt-PT"/>
              </w:rPr>
              <w:t xml:space="preserve">Deverão ser conferidos à Comissão poderes para adotar as normas técnicas de execução elaboradas pela EBA e pela ESMA, no que respeita: à criação de formulários, formatos e modelos normalizados para os livretes do criptoativo; ao estabelecimento de formulários, modelos e procedimentos normalizados para transmitir informações para efeitos do pedido de autorização como emitente de </w:t>
            </w:r>
            <w:r>
              <w:rPr>
                <w:lang w:val="pt-PT"/>
              </w:rPr>
              <w:t>criptomoedas</w:t>
            </w:r>
            <w:r w:rsidRPr="00465964">
              <w:rPr>
                <w:lang w:val="pt-PT"/>
              </w:rPr>
              <w:t xml:space="preserve"> referenciadas a ativos; ao estabelecimento de formulários, formatos e modelos normalizados para efeitos de comunicação de informações sobre </w:t>
            </w:r>
            <w:r>
              <w:rPr>
                <w:lang w:val="pt-PT"/>
              </w:rPr>
              <w:t>criptomoedas</w:t>
            </w:r>
            <w:r w:rsidRPr="00465964">
              <w:rPr>
                <w:lang w:val="pt-PT"/>
              </w:rPr>
              <w:t xml:space="preserve"> referenciadas a ativos e </w:t>
            </w:r>
            <w:r>
              <w:rPr>
                <w:lang w:val="pt-PT"/>
              </w:rPr>
              <w:t>criptomoedas</w:t>
            </w:r>
            <w:r w:rsidRPr="00465964">
              <w:rPr>
                <w:lang w:val="pt-PT"/>
              </w:rPr>
              <w:t xml:space="preserve"> </w:t>
            </w:r>
            <w:r w:rsidRPr="00465964">
              <w:rPr>
                <w:lang w:val="pt-PT"/>
              </w:rPr>
              <w:lastRenderedPageBreak/>
              <w:t>de moeda eletrónica denominadas numa moeda que não seja uma moeda oficial de um Estado-Membro emitidas com um valor superior a 100 000 000 EUR; ao estabelecimento de formulários, modelos e procedimentos normalizados para a comunicação de informações às autoridades competentes pelas instituições de crédito, depositários centrais de valores mobiliários, empresas de investimento, operadores de mercado, instituições de moeda eletrónica, sociedades gestoras de OICVM e gestores de fundos de investimento alternativos que pretendam prestar serviços de criptoativos; ao estabelecimento de formulários, modelos e procedimentos normalizados para o pedido de autorização como prestadores de serviços de criptoativos; à determinação dos meios técnicos para a divulgação pública de informação privilegiada e para adiar a divulgação pública de informação privilegiada; e ao estabelecimento de formulários, modelos e procedimentos normalizados para a cooperação e o intercâmbio de informações entre as autoridades competentes e entre as autoridades competentes, a EBA e a ESMA. A Comissão deverá adotar essas normas técnicas de execução por meio de atos de execução nos termos do artigo 291.</w:t>
            </w:r>
            <w:r w:rsidRPr="00465964">
              <w:rPr>
                <w:vertAlign w:val="superscript"/>
                <w:lang w:val="pt-PT"/>
              </w:rPr>
              <w:t>o</w:t>
            </w:r>
            <w:r w:rsidRPr="00465964">
              <w:rPr>
                <w:lang w:val="pt-PT"/>
              </w:rPr>
              <w:t> do TFUE e em conformidade com o artigo 15.</w:t>
            </w:r>
            <w:r w:rsidRPr="00465964">
              <w:rPr>
                <w:vertAlign w:val="superscript"/>
                <w:lang w:val="pt-PT"/>
              </w:rPr>
              <w:t>o</w:t>
            </w:r>
            <w:r w:rsidRPr="00465964">
              <w:rPr>
                <w:lang w:val="pt-PT"/>
              </w:rPr>
              <w:t xml:space="preserve"> do Regulamento (UE) </w:t>
            </w:r>
            <w:proofErr w:type="spellStart"/>
            <w:r w:rsidRPr="00465964">
              <w:rPr>
                <w:lang w:val="pt-PT"/>
              </w:rPr>
              <w:t>n.</w:t>
            </w:r>
            <w:r w:rsidRPr="00465964">
              <w:rPr>
                <w:vertAlign w:val="superscript"/>
                <w:lang w:val="pt-PT"/>
              </w:rPr>
              <w:t>o</w:t>
            </w:r>
            <w:proofErr w:type="spellEnd"/>
            <w:r w:rsidRPr="00465964">
              <w:rPr>
                <w:lang w:val="pt-PT"/>
              </w:rPr>
              <w:t> 1093/2010 e do artigo 15.</w:t>
            </w:r>
            <w:r w:rsidRPr="00465964">
              <w:rPr>
                <w:vertAlign w:val="superscript"/>
                <w:lang w:val="pt-PT"/>
              </w:rPr>
              <w:t>o</w:t>
            </w:r>
            <w:r w:rsidRPr="00465964">
              <w:rPr>
                <w:lang w:val="pt-PT"/>
              </w:rPr>
              <w:t xml:space="preserve"> do Regulamento (UE) </w:t>
            </w:r>
            <w:proofErr w:type="spellStart"/>
            <w:r w:rsidRPr="00465964">
              <w:rPr>
                <w:lang w:val="pt-PT"/>
              </w:rPr>
              <w:t>n.</w:t>
            </w:r>
            <w:r w:rsidRPr="00465964">
              <w:rPr>
                <w:vertAlign w:val="superscript"/>
                <w:lang w:val="pt-PT"/>
              </w:rPr>
              <w:t>o</w:t>
            </w:r>
            <w:proofErr w:type="spellEnd"/>
            <w:r w:rsidRPr="00465964">
              <w:rPr>
                <w:lang w:val="pt-PT"/>
              </w:rPr>
              <w:t> 1095/2010.</w:t>
            </w:r>
          </w:p>
        </w:tc>
      </w:tr>
      <w:tr w:rsidR="00465964" w:rsidRPr="00465964" w14:paraId="2959678A" w14:textId="77777777" w:rsidTr="00465964">
        <w:tc>
          <w:tcPr>
            <w:tcW w:w="0" w:type="auto"/>
            <w:shd w:val="clear" w:color="auto" w:fill="auto"/>
            <w:hideMark/>
          </w:tcPr>
          <w:p w14:paraId="3AA4B697" w14:textId="77777777" w:rsidR="00465964" w:rsidRPr="00465964" w:rsidRDefault="00465964" w:rsidP="00465964">
            <w:r w:rsidRPr="00465964">
              <w:lastRenderedPageBreak/>
              <w:t>(112)</w:t>
            </w:r>
          </w:p>
        </w:tc>
        <w:tc>
          <w:tcPr>
            <w:tcW w:w="0" w:type="auto"/>
            <w:shd w:val="clear" w:color="auto" w:fill="auto"/>
            <w:hideMark/>
          </w:tcPr>
          <w:p w14:paraId="5BFD8EBA" w14:textId="1DACDA79" w:rsidR="00465964" w:rsidRPr="00465964" w:rsidRDefault="00465964" w:rsidP="00465964">
            <w:pPr>
              <w:rPr>
                <w:lang w:val="pt-PT"/>
              </w:rPr>
            </w:pPr>
            <w:r w:rsidRPr="00465964">
              <w:rPr>
                <w:lang w:val="pt-PT"/>
              </w:rPr>
              <w:t xml:space="preserve">Atendendo a que os objetivos do presente regulamento, a saber, obstar à fragmentação do regime jurídico aplicável aos oferentes ou às pessoas que solicitam a admissão à negociação de criptoativos que não sejam </w:t>
            </w:r>
            <w:r>
              <w:rPr>
                <w:lang w:val="pt-PT"/>
              </w:rPr>
              <w:t>criptomoedas</w:t>
            </w:r>
            <w:r w:rsidRPr="00465964">
              <w:rPr>
                <w:lang w:val="pt-PT"/>
              </w:rPr>
              <w:t xml:space="preserve"> referenciadas a ativos, aos emitentes de </w:t>
            </w:r>
            <w:r>
              <w:rPr>
                <w:lang w:val="pt-PT"/>
              </w:rPr>
              <w:t>criptomoedas</w:t>
            </w:r>
            <w:r w:rsidRPr="00465964">
              <w:rPr>
                <w:lang w:val="pt-PT"/>
              </w:rPr>
              <w:t xml:space="preserve"> referenciadas a ativos e de </w:t>
            </w:r>
            <w:r>
              <w:rPr>
                <w:lang w:val="pt-PT"/>
              </w:rPr>
              <w:t>criptomoedas</w:t>
            </w:r>
            <w:r w:rsidRPr="00465964">
              <w:rPr>
                <w:lang w:val="pt-PT"/>
              </w:rPr>
              <w:t xml:space="preserve"> de moeda eletrónica e aos prestadores de serviços de criptoativos, e assegurar o bom funcionamento dos mercados de criptoativos, assegurando simultaneamente a proteção dos detentores de criptoativos e dos clientes dos prestadores de serviços de criptoativos, mormente os detentores não profissionais, bem como a proteção da integridade do mercado e a estabilidade financeira, não podem ser suficientemente alcançados pelos Estados-Membros, mas podem, através da criação de um regime propício ao desenvolvimento de um mercado transfronteiriço de maior dimensão para os criptoativos e os prestadores de serviços de criptoativos, ser mais bem alcançados a nível da União, a União pode tomar medidas, em conformidade com o princípio da subsidiariedade consagrado no artigo 5.</w:t>
            </w:r>
            <w:r w:rsidRPr="00465964">
              <w:rPr>
                <w:vertAlign w:val="superscript"/>
                <w:lang w:val="pt-PT"/>
              </w:rPr>
              <w:t>o</w:t>
            </w:r>
            <w:r w:rsidRPr="00465964">
              <w:rPr>
                <w:lang w:val="pt-PT"/>
              </w:rPr>
              <w:t> do Tratado da União Europeia (TUE). Em conformidade com o princípio da proporcionalidade consagrado no mesmo artigo, o presente regulamento não excede o necessário para alcançar esses objetivos.</w:t>
            </w:r>
          </w:p>
        </w:tc>
      </w:tr>
    </w:tbl>
    <w:p w14:paraId="65E5D72C"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482"/>
        <w:gridCol w:w="8544"/>
      </w:tblGrid>
      <w:tr w:rsidR="00465964" w:rsidRPr="00465964" w14:paraId="2120473D" w14:textId="77777777" w:rsidTr="00465964">
        <w:tc>
          <w:tcPr>
            <w:tcW w:w="0" w:type="auto"/>
            <w:shd w:val="clear" w:color="auto" w:fill="auto"/>
            <w:hideMark/>
          </w:tcPr>
          <w:p w14:paraId="3D7C9C1C" w14:textId="77777777" w:rsidR="00465964" w:rsidRPr="00465964" w:rsidRDefault="00465964" w:rsidP="00465964">
            <w:r w:rsidRPr="00465964">
              <w:t>(113)</w:t>
            </w:r>
          </w:p>
        </w:tc>
        <w:tc>
          <w:tcPr>
            <w:tcW w:w="0" w:type="auto"/>
            <w:shd w:val="clear" w:color="auto" w:fill="auto"/>
            <w:hideMark/>
          </w:tcPr>
          <w:p w14:paraId="707DB1F0" w14:textId="7E386BDA" w:rsidR="00465964" w:rsidRPr="00465964" w:rsidRDefault="00465964" w:rsidP="00465964">
            <w:pPr>
              <w:rPr>
                <w:lang w:val="pt-PT"/>
              </w:rPr>
            </w:pPr>
            <w:r w:rsidRPr="00465964">
              <w:rPr>
                <w:lang w:val="pt-PT"/>
              </w:rPr>
              <w:t xml:space="preserve">A fim de evitar perturbações para os participantes no mercado que desenvolvem atividades e prestam serviços em relação a criptoativos que não sejam </w:t>
            </w:r>
            <w:r>
              <w:rPr>
                <w:lang w:val="pt-PT"/>
              </w:rPr>
              <w:t>criptomoedas</w:t>
            </w:r>
            <w:r w:rsidRPr="00465964">
              <w:rPr>
                <w:lang w:val="pt-PT"/>
              </w:rPr>
              <w:t xml:space="preserve"> referenciadas a ativos nem </w:t>
            </w:r>
            <w:r>
              <w:rPr>
                <w:lang w:val="pt-PT"/>
              </w:rPr>
              <w:t>criptomoedas</w:t>
            </w:r>
            <w:r w:rsidRPr="00465964">
              <w:rPr>
                <w:lang w:val="pt-PT"/>
              </w:rPr>
              <w:t xml:space="preserve"> de moeda eletrónica que tenham sido emitidos antes da entrada em vigor do presente regulamento, os emitentes desses criptoativos deverão ficar isentos da obrigação de publicação de um livrete do criptoativo e de outros requisitos previstos no presente regulamento. No entanto, determinadas obrigações deverão aplicar-se quando esses criptoativos foram admitidos à negociação antes da data de entrada em vigor do presente regulamento. A fim de evitar perturbações para os atuais participantes no mercado, é necessário prever disposições transitórias para os emitentes de </w:t>
            </w:r>
            <w:r>
              <w:rPr>
                <w:lang w:val="pt-PT"/>
              </w:rPr>
              <w:t>criptomoedas</w:t>
            </w:r>
            <w:r w:rsidRPr="00465964">
              <w:rPr>
                <w:lang w:val="pt-PT"/>
              </w:rPr>
              <w:t xml:space="preserve"> referenciadas a ativos em funcionamento no momento da entrada em vigor do presente regulamento.</w:t>
            </w:r>
          </w:p>
        </w:tc>
      </w:tr>
      <w:tr w:rsidR="00465964" w:rsidRPr="00465964" w14:paraId="2B430327" w14:textId="77777777" w:rsidTr="00465964">
        <w:tc>
          <w:tcPr>
            <w:tcW w:w="0" w:type="auto"/>
            <w:shd w:val="clear" w:color="auto" w:fill="auto"/>
            <w:hideMark/>
          </w:tcPr>
          <w:p w14:paraId="6E59BD28" w14:textId="77777777" w:rsidR="00465964" w:rsidRPr="00465964" w:rsidRDefault="00465964" w:rsidP="00465964">
            <w:r w:rsidRPr="00465964">
              <w:t>(114)</w:t>
            </w:r>
          </w:p>
        </w:tc>
        <w:tc>
          <w:tcPr>
            <w:tcW w:w="0" w:type="auto"/>
            <w:shd w:val="clear" w:color="auto" w:fill="auto"/>
            <w:hideMark/>
          </w:tcPr>
          <w:p w14:paraId="03BAAB1C" w14:textId="77777777" w:rsidR="00465964" w:rsidRPr="00465964" w:rsidRDefault="00465964" w:rsidP="00465964">
            <w:pPr>
              <w:rPr>
                <w:lang w:val="pt-PT"/>
              </w:rPr>
            </w:pPr>
            <w:r w:rsidRPr="00465964">
              <w:rPr>
                <w:lang w:val="pt-PT"/>
              </w:rPr>
              <w:t xml:space="preserve">Uma vez que os quadros regulamentares nacionais aplicáveis aos prestadores de serviços de criptoativos antes da entrada em vigor do presente regulamento diferem entre os Estados-Membros, é essencial que os Estados-Membros que não impõem atualmente </w:t>
            </w:r>
            <w:r w:rsidRPr="00465964">
              <w:rPr>
                <w:lang w:val="pt-PT"/>
              </w:rPr>
              <w:lastRenderedPageBreak/>
              <w:t>requisitos prudenciais rigorosos aos prestadores de serviços de criptoativos que operam atualmente ao abrigo dos seus quadros regulamentares nacionais tenham a possibilidade de exigir que esses prestadores de serviços de criptoativos estejam sujeitos a requisitos mais rigorosos do que os previstos nos quadros regulamentares nacionais. Em tais casos, os Estados-Membros deverão ser autorizados a não aplicar ou a reduzir o período transitório de 18 meses que, de outro modo, permitiria aos prestadores de serviços de criptoativos prestar serviços com base no quadro regulamentar nacional em vigor nos respetivos Estados-Membros. Dar aos Estados-Membros uma tal possibilidade não deverá criar um precedente para quaisquer outros atos legislativos da União em matéria de serviços financeiros.</w:t>
            </w:r>
          </w:p>
        </w:tc>
      </w:tr>
    </w:tbl>
    <w:p w14:paraId="44DCA890"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482"/>
        <w:gridCol w:w="8544"/>
      </w:tblGrid>
      <w:tr w:rsidR="00465964" w:rsidRPr="00465964" w14:paraId="5C1910D7" w14:textId="77777777" w:rsidTr="00465964">
        <w:tc>
          <w:tcPr>
            <w:tcW w:w="0" w:type="auto"/>
            <w:shd w:val="clear" w:color="auto" w:fill="auto"/>
            <w:hideMark/>
          </w:tcPr>
          <w:p w14:paraId="603B7B65" w14:textId="77777777" w:rsidR="00465964" w:rsidRPr="00465964" w:rsidRDefault="00465964" w:rsidP="00465964">
            <w:r w:rsidRPr="00465964">
              <w:t>(115)</w:t>
            </w:r>
          </w:p>
        </w:tc>
        <w:tc>
          <w:tcPr>
            <w:tcW w:w="0" w:type="auto"/>
            <w:shd w:val="clear" w:color="auto" w:fill="auto"/>
            <w:hideMark/>
          </w:tcPr>
          <w:p w14:paraId="64F9BEC9" w14:textId="77777777" w:rsidR="00465964" w:rsidRPr="00465964" w:rsidRDefault="00465964" w:rsidP="00465964">
            <w:pPr>
              <w:rPr>
                <w:lang w:val="pt-PT"/>
              </w:rPr>
            </w:pPr>
            <w:r w:rsidRPr="00465964">
              <w:rPr>
                <w:lang w:val="pt-PT"/>
              </w:rPr>
              <w:t>Os denunciantes de irregularidades deverão poder levar ao conhecimento das autoridades competentes novas informações que as ajudem a detetar infrações ao presente regulamento e a aplicar sanções. O presente regulamento deverá, por conseguinte, assegurar a existência de procedimentos que permitam que os denunciantes alertem as autoridades competentes para infrações reais ou potenciais ao presente regulamento e que os protejam de retaliações. Para o efeito, deverá proceder-se à alteração da Diretiva (UE) 2019/1937 do Parlamento Europeu e do Conselho </w:t>
            </w:r>
            <w:hyperlink r:id="rId30" w:anchor="ntr23-L_2023150PT.01004001-E0023" w:history="1">
              <w:r w:rsidRPr="00465964">
                <w:rPr>
                  <w:rStyle w:val="Hyperlink"/>
                  <w:lang w:val="pt-PT"/>
                </w:rPr>
                <w:t>(</w:t>
              </w:r>
              <w:r w:rsidRPr="00465964">
                <w:rPr>
                  <w:rStyle w:val="Hyperlink"/>
                  <w:vertAlign w:val="superscript"/>
                  <w:lang w:val="pt-PT"/>
                </w:rPr>
                <w:t>23</w:t>
              </w:r>
              <w:r w:rsidRPr="00465964">
                <w:rPr>
                  <w:rStyle w:val="Hyperlink"/>
                  <w:lang w:val="pt-PT"/>
                </w:rPr>
                <w:t>)</w:t>
              </w:r>
            </w:hyperlink>
            <w:r w:rsidRPr="00465964">
              <w:rPr>
                <w:lang w:val="pt-PT"/>
              </w:rPr>
              <w:t>, a fim de a tornar aplicável às infrações ao presente regulamento.</w:t>
            </w:r>
          </w:p>
        </w:tc>
      </w:tr>
      <w:tr w:rsidR="00465964" w:rsidRPr="00465964" w14:paraId="20A54690" w14:textId="77777777" w:rsidTr="00465964">
        <w:tc>
          <w:tcPr>
            <w:tcW w:w="0" w:type="auto"/>
            <w:shd w:val="clear" w:color="auto" w:fill="auto"/>
            <w:hideMark/>
          </w:tcPr>
          <w:p w14:paraId="48A7F08E" w14:textId="77777777" w:rsidR="00465964" w:rsidRPr="00465964" w:rsidRDefault="00465964" w:rsidP="00465964">
            <w:r w:rsidRPr="00465964">
              <w:t>(116)</w:t>
            </w:r>
          </w:p>
        </w:tc>
        <w:tc>
          <w:tcPr>
            <w:tcW w:w="0" w:type="auto"/>
            <w:shd w:val="clear" w:color="auto" w:fill="auto"/>
            <w:hideMark/>
          </w:tcPr>
          <w:p w14:paraId="6DC4595D" w14:textId="22818160" w:rsidR="00465964" w:rsidRPr="00465964" w:rsidRDefault="00465964" w:rsidP="00465964">
            <w:pPr>
              <w:rPr>
                <w:lang w:val="pt-PT"/>
              </w:rPr>
            </w:pPr>
            <w:r w:rsidRPr="00465964">
              <w:rPr>
                <w:lang w:val="pt-PT"/>
              </w:rPr>
              <w:t xml:space="preserve">Uma vez que a EBA deverá ser incumbida da supervisão direta dos emitentes de </w:t>
            </w:r>
            <w:r>
              <w:rPr>
                <w:lang w:val="pt-PT"/>
              </w:rPr>
              <w:t>criptomoedas</w:t>
            </w:r>
            <w:r w:rsidRPr="00465964">
              <w:rPr>
                <w:lang w:val="pt-PT"/>
              </w:rPr>
              <w:t xml:space="preserve"> referenciadas a ativos significativas e de </w:t>
            </w:r>
            <w:r>
              <w:rPr>
                <w:lang w:val="pt-PT"/>
              </w:rPr>
              <w:t>criptomoedas</w:t>
            </w:r>
            <w:r w:rsidRPr="00465964">
              <w:rPr>
                <w:lang w:val="pt-PT"/>
              </w:rPr>
              <w:t xml:space="preserve"> de moeda eletrónica significativas e que a ESMA deverá ser incumbida de fazer uso dos seus poderes em relação a prestadores de serviços de criptoativos significativos, é necessário assegurar que a EBA e a ESMA estejam em condições de exercer todos os seus poderes e atribuições, tendo em vista a realização dos seus objetivos de proteger o interesse público, contribuir para a estabilidade e a eficácia do sistema financeiro a curto, médio e longo prazo, em benefício da economia da União e dos respetivos cidadãos e empresas, e assegurar que os emitentes de criptoativos e prestadores de serviços de criptoativos estejam abrangidos pelos Regulamentos (UE) </w:t>
            </w:r>
            <w:proofErr w:type="spellStart"/>
            <w:r w:rsidRPr="00465964">
              <w:rPr>
                <w:lang w:val="pt-PT"/>
              </w:rPr>
              <w:t>n.</w:t>
            </w:r>
            <w:r w:rsidRPr="00465964">
              <w:rPr>
                <w:vertAlign w:val="superscript"/>
                <w:lang w:val="pt-PT"/>
              </w:rPr>
              <w:t>o</w:t>
            </w:r>
            <w:proofErr w:type="spellEnd"/>
            <w:r w:rsidRPr="00465964">
              <w:rPr>
                <w:lang w:val="pt-PT"/>
              </w:rPr>
              <w:t xml:space="preserve"> 1093/2010 e (UE) </w:t>
            </w:r>
            <w:proofErr w:type="spellStart"/>
            <w:r w:rsidRPr="00465964">
              <w:rPr>
                <w:lang w:val="pt-PT"/>
              </w:rPr>
              <w:t>n.</w:t>
            </w:r>
            <w:r w:rsidRPr="00465964">
              <w:rPr>
                <w:vertAlign w:val="superscript"/>
                <w:lang w:val="pt-PT"/>
              </w:rPr>
              <w:t>o</w:t>
            </w:r>
            <w:proofErr w:type="spellEnd"/>
            <w:r w:rsidRPr="00465964">
              <w:rPr>
                <w:lang w:val="pt-PT"/>
              </w:rPr>
              <w:t> 1095/2010. Os referidos regulamentos deverão, por conseguinte, ser alterados em conformidade.</w:t>
            </w:r>
          </w:p>
        </w:tc>
      </w:tr>
    </w:tbl>
    <w:p w14:paraId="7F90CCDD"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482"/>
        <w:gridCol w:w="8544"/>
      </w:tblGrid>
      <w:tr w:rsidR="00465964" w:rsidRPr="00465964" w14:paraId="275AD6D1" w14:textId="77777777" w:rsidTr="00465964">
        <w:tc>
          <w:tcPr>
            <w:tcW w:w="0" w:type="auto"/>
            <w:shd w:val="clear" w:color="auto" w:fill="auto"/>
            <w:hideMark/>
          </w:tcPr>
          <w:p w14:paraId="71103038" w14:textId="77777777" w:rsidR="00465964" w:rsidRPr="00465964" w:rsidRDefault="00465964" w:rsidP="00465964">
            <w:r w:rsidRPr="00465964">
              <w:t>(117)</w:t>
            </w:r>
          </w:p>
        </w:tc>
        <w:tc>
          <w:tcPr>
            <w:tcW w:w="0" w:type="auto"/>
            <w:shd w:val="clear" w:color="auto" w:fill="auto"/>
            <w:hideMark/>
          </w:tcPr>
          <w:p w14:paraId="1516D0F4" w14:textId="77777777" w:rsidR="00465964" w:rsidRPr="00465964" w:rsidRDefault="00465964" w:rsidP="00465964">
            <w:pPr>
              <w:rPr>
                <w:lang w:val="pt-PT"/>
              </w:rPr>
            </w:pPr>
            <w:r w:rsidRPr="00465964">
              <w:rPr>
                <w:lang w:val="pt-PT"/>
              </w:rPr>
              <w:t>A emissão, a oferta ou o pedido de admissão à negociação de criptoativos e a prestação de serviços de criptoativos podem envolver o tratamento de dados pessoais. Qualquer tratamento de dados pessoais ao abrigo do presente regulamento deverá ser efetuado em conformidade com a legislação da União aplicável em matéria de proteção de dados pessoais. O presente regulamento é aplicável sem prejuízo dos direitos e obrigações previstos no Regulamento (UE) 2016/679 do Parlamento Europeu e do Conselho </w:t>
            </w:r>
            <w:hyperlink r:id="rId31" w:anchor="ntr24-L_2023150PT.01004001-E0024" w:history="1">
              <w:r w:rsidRPr="00465964">
                <w:rPr>
                  <w:rStyle w:val="Hyperlink"/>
                  <w:lang w:val="pt-PT"/>
                </w:rPr>
                <w:t>(</w:t>
              </w:r>
              <w:r w:rsidRPr="00465964">
                <w:rPr>
                  <w:rStyle w:val="Hyperlink"/>
                  <w:vertAlign w:val="superscript"/>
                  <w:lang w:val="pt-PT"/>
                </w:rPr>
                <w:t>24</w:t>
              </w:r>
              <w:r w:rsidRPr="00465964">
                <w:rPr>
                  <w:rStyle w:val="Hyperlink"/>
                  <w:lang w:val="pt-PT"/>
                </w:rPr>
                <w:t>)</w:t>
              </w:r>
            </w:hyperlink>
            <w:r w:rsidRPr="00465964">
              <w:rPr>
                <w:lang w:val="pt-PT"/>
              </w:rPr>
              <w:t> e no Regulamento (UE) 2018/1725 do Parlamento Europeu e do Conselho </w:t>
            </w:r>
            <w:hyperlink r:id="rId32" w:anchor="ntr25-L_2023150PT.01004001-E0025" w:history="1">
              <w:r w:rsidRPr="00465964">
                <w:rPr>
                  <w:rStyle w:val="Hyperlink"/>
                  <w:lang w:val="pt-PT"/>
                </w:rPr>
                <w:t>(</w:t>
              </w:r>
              <w:r w:rsidRPr="00465964">
                <w:rPr>
                  <w:rStyle w:val="Hyperlink"/>
                  <w:vertAlign w:val="superscript"/>
                  <w:lang w:val="pt-PT"/>
                </w:rPr>
                <w:t>25</w:t>
              </w:r>
              <w:r w:rsidRPr="00465964">
                <w:rPr>
                  <w:rStyle w:val="Hyperlink"/>
                  <w:lang w:val="pt-PT"/>
                </w:rPr>
                <w:t>)</w:t>
              </w:r>
            </w:hyperlink>
            <w:r w:rsidRPr="00465964">
              <w:rPr>
                <w:lang w:val="pt-PT"/>
              </w:rPr>
              <w:t>.</w:t>
            </w:r>
          </w:p>
        </w:tc>
      </w:tr>
      <w:tr w:rsidR="00465964" w:rsidRPr="00465964" w14:paraId="4420177C" w14:textId="77777777" w:rsidTr="00465964">
        <w:tc>
          <w:tcPr>
            <w:tcW w:w="0" w:type="auto"/>
            <w:shd w:val="clear" w:color="auto" w:fill="auto"/>
            <w:hideMark/>
          </w:tcPr>
          <w:p w14:paraId="62EFCFEA" w14:textId="77777777" w:rsidR="00465964" w:rsidRPr="00465964" w:rsidRDefault="00465964" w:rsidP="00465964">
            <w:r w:rsidRPr="00465964">
              <w:t>(118)</w:t>
            </w:r>
          </w:p>
        </w:tc>
        <w:tc>
          <w:tcPr>
            <w:tcW w:w="0" w:type="auto"/>
            <w:shd w:val="clear" w:color="auto" w:fill="auto"/>
            <w:hideMark/>
          </w:tcPr>
          <w:p w14:paraId="2508227F" w14:textId="77777777" w:rsidR="00465964" w:rsidRPr="00465964" w:rsidRDefault="00465964" w:rsidP="00465964">
            <w:pPr>
              <w:rPr>
                <w:lang w:val="pt-PT"/>
              </w:rPr>
            </w:pPr>
            <w:r w:rsidRPr="00465964">
              <w:rPr>
                <w:lang w:val="pt-PT"/>
              </w:rPr>
              <w:t>A Autoridade Europeia para a Proteção de Dados foi consultada nos termos do artigo 42.</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1, do Regulamento (UE) 2018/1725 e emitiu parecer em 24 de junho de 2021 </w:t>
            </w:r>
            <w:hyperlink r:id="rId33" w:anchor="ntr26-L_2023150PT.01004001-E0026" w:history="1">
              <w:r w:rsidRPr="00465964">
                <w:rPr>
                  <w:rStyle w:val="Hyperlink"/>
                  <w:lang w:val="pt-PT"/>
                </w:rPr>
                <w:t>(</w:t>
              </w:r>
              <w:r w:rsidRPr="00465964">
                <w:rPr>
                  <w:rStyle w:val="Hyperlink"/>
                  <w:vertAlign w:val="superscript"/>
                  <w:lang w:val="pt-PT"/>
                </w:rPr>
                <w:t>26</w:t>
              </w:r>
              <w:r w:rsidRPr="00465964">
                <w:rPr>
                  <w:rStyle w:val="Hyperlink"/>
                  <w:lang w:val="pt-PT"/>
                </w:rPr>
                <w:t>)</w:t>
              </w:r>
            </w:hyperlink>
            <w:r w:rsidRPr="00465964">
              <w:rPr>
                <w:lang w:val="pt-PT"/>
              </w:rPr>
              <w:t>.</w:t>
            </w:r>
          </w:p>
        </w:tc>
      </w:tr>
    </w:tbl>
    <w:p w14:paraId="1E31D67A"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482"/>
        <w:gridCol w:w="8544"/>
      </w:tblGrid>
      <w:tr w:rsidR="00465964" w:rsidRPr="00465964" w14:paraId="070D272D" w14:textId="77777777" w:rsidTr="00465964">
        <w:tc>
          <w:tcPr>
            <w:tcW w:w="0" w:type="auto"/>
            <w:shd w:val="clear" w:color="auto" w:fill="auto"/>
            <w:hideMark/>
          </w:tcPr>
          <w:p w14:paraId="78FDC568" w14:textId="77777777" w:rsidR="00465964" w:rsidRPr="00465964" w:rsidRDefault="00465964" w:rsidP="00465964">
            <w:r w:rsidRPr="00465964">
              <w:t>(119)</w:t>
            </w:r>
          </w:p>
        </w:tc>
        <w:tc>
          <w:tcPr>
            <w:tcW w:w="0" w:type="auto"/>
            <w:shd w:val="clear" w:color="auto" w:fill="auto"/>
            <w:hideMark/>
          </w:tcPr>
          <w:p w14:paraId="3A8B24BD" w14:textId="77777777" w:rsidR="00465964" w:rsidRPr="00465964" w:rsidRDefault="00465964" w:rsidP="00465964">
            <w:pPr>
              <w:rPr>
                <w:lang w:val="pt-PT"/>
              </w:rPr>
            </w:pPr>
            <w:r w:rsidRPr="00465964">
              <w:rPr>
                <w:lang w:val="pt-PT"/>
              </w:rPr>
              <w:t>A data de aplicação do presente regulamento deverá ser diferida, a fim de permitir a adoção das normas técnicas de regulamentação, normas técnicas de execução e atos delegados necessários para especificar certos elementos do presente regulamento,</w:t>
            </w:r>
          </w:p>
        </w:tc>
      </w:tr>
    </w:tbl>
    <w:p w14:paraId="1EA4ABE3" w14:textId="77777777" w:rsidR="00465964" w:rsidRPr="00465964" w:rsidRDefault="00465964" w:rsidP="00465964">
      <w:pPr>
        <w:rPr>
          <w:lang w:val="pt-PT"/>
        </w:rPr>
      </w:pPr>
      <w:r w:rsidRPr="00465964">
        <w:rPr>
          <w:lang w:val="pt-PT"/>
        </w:rPr>
        <w:t>ADOTARAM O PRESENTE REGULAMENTO:</w:t>
      </w:r>
    </w:p>
    <w:p w14:paraId="2E62E255" w14:textId="77777777" w:rsidR="00465964" w:rsidRPr="00465964" w:rsidRDefault="00465964" w:rsidP="00465964">
      <w:pPr>
        <w:rPr>
          <w:b/>
          <w:bCs/>
          <w:lang w:val="pt-PT"/>
        </w:rPr>
      </w:pPr>
      <w:r w:rsidRPr="00465964">
        <w:rPr>
          <w:b/>
          <w:bCs/>
          <w:lang w:val="pt-PT"/>
        </w:rPr>
        <w:t>TÍTULO I</w:t>
      </w:r>
    </w:p>
    <w:p w14:paraId="22919991" w14:textId="77777777" w:rsidR="00465964" w:rsidRPr="00465964" w:rsidRDefault="00465964" w:rsidP="00465964">
      <w:pPr>
        <w:rPr>
          <w:b/>
          <w:bCs/>
          <w:lang w:val="pt-PT"/>
        </w:rPr>
      </w:pPr>
      <w:r w:rsidRPr="00465964">
        <w:rPr>
          <w:b/>
          <w:bCs/>
          <w:lang w:val="pt-PT"/>
        </w:rPr>
        <w:lastRenderedPageBreak/>
        <w:t>OBJETO, ÂMBITO DE APLICAÇÃO E DEFINIÇÕES</w:t>
      </w:r>
    </w:p>
    <w:p w14:paraId="46BD1C7A" w14:textId="77777777" w:rsidR="00465964" w:rsidRPr="00465964" w:rsidRDefault="00465964" w:rsidP="00465964">
      <w:pPr>
        <w:rPr>
          <w:i/>
          <w:iCs/>
          <w:lang w:val="pt-PT"/>
        </w:rPr>
      </w:pPr>
      <w:r w:rsidRPr="00465964">
        <w:rPr>
          <w:i/>
          <w:iCs/>
          <w:lang w:val="pt-PT"/>
        </w:rPr>
        <w:t>Artigo 1.</w:t>
      </w:r>
      <w:r w:rsidRPr="00465964">
        <w:rPr>
          <w:i/>
          <w:iCs/>
          <w:vertAlign w:val="superscript"/>
          <w:lang w:val="pt-PT"/>
        </w:rPr>
        <w:t>o</w:t>
      </w:r>
    </w:p>
    <w:p w14:paraId="5FFA5520" w14:textId="77777777" w:rsidR="00465964" w:rsidRPr="00465964" w:rsidRDefault="00465964" w:rsidP="00465964">
      <w:pPr>
        <w:rPr>
          <w:b/>
          <w:bCs/>
          <w:lang w:val="pt-PT"/>
        </w:rPr>
      </w:pPr>
      <w:r w:rsidRPr="00465964">
        <w:rPr>
          <w:b/>
          <w:bCs/>
          <w:lang w:val="pt-PT"/>
        </w:rPr>
        <w:t>Objeto</w:t>
      </w:r>
    </w:p>
    <w:p w14:paraId="21A0A08B" w14:textId="19793905" w:rsidR="00465964" w:rsidRPr="00465964" w:rsidRDefault="00465964" w:rsidP="00465964">
      <w:pPr>
        <w:rPr>
          <w:lang w:val="pt-PT"/>
        </w:rPr>
      </w:pPr>
      <w:r w:rsidRPr="00465964">
        <w:rPr>
          <w:lang w:val="pt-PT"/>
        </w:rPr>
        <w:t xml:space="preserve">1.   O presente regulamento estabelece requisitos uniformes para a oferta pública e a admissão à negociação numa plataforma de negociação de criptoativos que não sejam </w:t>
      </w:r>
      <w:r>
        <w:rPr>
          <w:lang w:val="pt-PT"/>
        </w:rPr>
        <w:t>criptomoedas</w:t>
      </w:r>
      <w:r w:rsidRPr="00465964">
        <w:rPr>
          <w:lang w:val="pt-PT"/>
        </w:rPr>
        <w:t xml:space="preserve"> referenciadas a ativos nem </w:t>
      </w:r>
      <w:r>
        <w:rPr>
          <w:lang w:val="pt-PT"/>
        </w:rPr>
        <w:t>criptomoedas</w:t>
      </w:r>
      <w:r w:rsidRPr="00465964">
        <w:rPr>
          <w:lang w:val="pt-PT"/>
        </w:rPr>
        <w:t xml:space="preserve"> de moeda eletrónica, de </w:t>
      </w:r>
      <w:r>
        <w:rPr>
          <w:lang w:val="pt-PT"/>
        </w:rPr>
        <w:t>criptomoedas</w:t>
      </w:r>
      <w:r w:rsidRPr="00465964">
        <w:rPr>
          <w:lang w:val="pt-PT"/>
        </w:rPr>
        <w:t xml:space="preserve"> referenciadas a ativos e de </w:t>
      </w:r>
      <w:r>
        <w:rPr>
          <w:lang w:val="pt-PT"/>
        </w:rPr>
        <w:t>criptomoedas</w:t>
      </w:r>
      <w:r w:rsidRPr="00465964">
        <w:rPr>
          <w:lang w:val="pt-PT"/>
        </w:rPr>
        <w:t xml:space="preserve"> de moeda eletrónica, bem como requisitos aplicáveis aos prestadores de serviços de criptoativos.</w:t>
      </w:r>
    </w:p>
    <w:p w14:paraId="2A3BA7E6" w14:textId="77777777" w:rsidR="00465964" w:rsidRPr="00465964" w:rsidRDefault="00465964" w:rsidP="00465964">
      <w:pPr>
        <w:rPr>
          <w:lang w:val="pt-PT"/>
        </w:rPr>
      </w:pPr>
      <w:r w:rsidRPr="00465964">
        <w:rPr>
          <w:lang w:val="pt-PT"/>
        </w:rPr>
        <w:t>2.   Em especial, o presente regulamento estabelece o seguinte:</w:t>
      </w:r>
    </w:p>
    <w:tbl>
      <w:tblPr>
        <w:tblW w:w="5000" w:type="pct"/>
        <w:tblCellMar>
          <w:left w:w="0" w:type="dxa"/>
          <w:right w:w="0" w:type="dxa"/>
        </w:tblCellMar>
        <w:tblLook w:val="04A0" w:firstRow="1" w:lastRow="0" w:firstColumn="1" w:lastColumn="0" w:noHBand="0" w:noVBand="1"/>
      </w:tblPr>
      <w:tblGrid>
        <w:gridCol w:w="182"/>
        <w:gridCol w:w="8844"/>
      </w:tblGrid>
      <w:tr w:rsidR="00465964" w:rsidRPr="00465964" w14:paraId="5F80BB42" w14:textId="77777777" w:rsidTr="00465964">
        <w:tc>
          <w:tcPr>
            <w:tcW w:w="0" w:type="auto"/>
            <w:shd w:val="clear" w:color="auto" w:fill="auto"/>
            <w:hideMark/>
          </w:tcPr>
          <w:p w14:paraId="4DA4ED42" w14:textId="77777777" w:rsidR="00465964" w:rsidRPr="00465964" w:rsidRDefault="00465964" w:rsidP="00465964">
            <w:r w:rsidRPr="00465964">
              <w:t>a)</w:t>
            </w:r>
          </w:p>
        </w:tc>
        <w:tc>
          <w:tcPr>
            <w:tcW w:w="0" w:type="auto"/>
            <w:shd w:val="clear" w:color="auto" w:fill="auto"/>
            <w:hideMark/>
          </w:tcPr>
          <w:p w14:paraId="4B2EDA7D" w14:textId="77777777" w:rsidR="00465964" w:rsidRPr="00465964" w:rsidRDefault="00465964" w:rsidP="00465964">
            <w:pPr>
              <w:rPr>
                <w:lang w:val="pt-PT"/>
              </w:rPr>
            </w:pPr>
            <w:r w:rsidRPr="00465964">
              <w:rPr>
                <w:lang w:val="pt-PT"/>
              </w:rPr>
              <w:t>Requisitos de transparência e divulgação para a emissão, a oferta pública e a admissão de criptoativos à negociação numa plataforma de negociação («admissão à negociação»);</w:t>
            </w:r>
          </w:p>
        </w:tc>
      </w:tr>
    </w:tbl>
    <w:p w14:paraId="689CC89D"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8"/>
        <w:gridCol w:w="8838"/>
      </w:tblGrid>
      <w:tr w:rsidR="00465964" w:rsidRPr="00465964" w14:paraId="4C1B1EE8" w14:textId="77777777" w:rsidTr="00465964">
        <w:tc>
          <w:tcPr>
            <w:tcW w:w="0" w:type="auto"/>
            <w:shd w:val="clear" w:color="auto" w:fill="auto"/>
            <w:hideMark/>
          </w:tcPr>
          <w:p w14:paraId="61C90F9E" w14:textId="77777777" w:rsidR="00465964" w:rsidRPr="00465964" w:rsidRDefault="00465964" w:rsidP="00465964">
            <w:r w:rsidRPr="00465964">
              <w:t>b)</w:t>
            </w:r>
          </w:p>
        </w:tc>
        <w:tc>
          <w:tcPr>
            <w:tcW w:w="0" w:type="auto"/>
            <w:shd w:val="clear" w:color="auto" w:fill="auto"/>
            <w:hideMark/>
          </w:tcPr>
          <w:p w14:paraId="7968FF68" w14:textId="53808004" w:rsidR="00465964" w:rsidRPr="00465964" w:rsidRDefault="00465964" w:rsidP="00465964">
            <w:pPr>
              <w:rPr>
                <w:lang w:val="pt-PT"/>
              </w:rPr>
            </w:pPr>
            <w:r w:rsidRPr="00465964">
              <w:rPr>
                <w:lang w:val="pt-PT"/>
              </w:rPr>
              <w:t xml:space="preserve">Requisitos para a autorização e supervisão de prestadores de serviços de criptoativos, emitentes de </w:t>
            </w:r>
            <w:r>
              <w:rPr>
                <w:lang w:val="pt-PT"/>
              </w:rPr>
              <w:t>criptomoedas</w:t>
            </w:r>
            <w:r w:rsidRPr="00465964">
              <w:rPr>
                <w:lang w:val="pt-PT"/>
              </w:rPr>
              <w:t xml:space="preserve"> referenciadas a ativos e emitentes de </w:t>
            </w:r>
            <w:r>
              <w:rPr>
                <w:lang w:val="pt-PT"/>
              </w:rPr>
              <w:t>criptomoedas</w:t>
            </w:r>
            <w:r w:rsidRPr="00465964">
              <w:rPr>
                <w:lang w:val="pt-PT"/>
              </w:rPr>
              <w:t xml:space="preserve"> de moeda eletrónica, bem como relativos à sua operação, organização e governação;</w:t>
            </w:r>
          </w:p>
        </w:tc>
      </w:tr>
    </w:tbl>
    <w:p w14:paraId="477D9A4D"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0"/>
        <w:gridCol w:w="8846"/>
      </w:tblGrid>
      <w:tr w:rsidR="00465964" w:rsidRPr="00465964" w14:paraId="74A2C439" w14:textId="77777777" w:rsidTr="00465964">
        <w:tc>
          <w:tcPr>
            <w:tcW w:w="0" w:type="auto"/>
            <w:shd w:val="clear" w:color="auto" w:fill="auto"/>
            <w:hideMark/>
          </w:tcPr>
          <w:p w14:paraId="389544A7" w14:textId="77777777" w:rsidR="00465964" w:rsidRPr="00465964" w:rsidRDefault="00465964" w:rsidP="00465964">
            <w:r w:rsidRPr="00465964">
              <w:t>c)</w:t>
            </w:r>
          </w:p>
        </w:tc>
        <w:tc>
          <w:tcPr>
            <w:tcW w:w="0" w:type="auto"/>
            <w:shd w:val="clear" w:color="auto" w:fill="auto"/>
            <w:hideMark/>
          </w:tcPr>
          <w:p w14:paraId="51779BD9" w14:textId="77777777" w:rsidR="00465964" w:rsidRPr="00465964" w:rsidRDefault="00465964" w:rsidP="00465964">
            <w:pPr>
              <w:rPr>
                <w:lang w:val="pt-PT"/>
              </w:rPr>
            </w:pPr>
            <w:r w:rsidRPr="00465964">
              <w:rPr>
                <w:lang w:val="pt-PT"/>
              </w:rPr>
              <w:t>Requisitos para a proteção dos detentores de criptoativos no que respeita à emissão, oferta pública e admissão à negociação de criptoativos;</w:t>
            </w:r>
          </w:p>
        </w:tc>
      </w:tr>
    </w:tbl>
    <w:p w14:paraId="234EAA3B"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212"/>
        <w:gridCol w:w="8814"/>
      </w:tblGrid>
      <w:tr w:rsidR="00465964" w:rsidRPr="00465964" w14:paraId="31E7F014" w14:textId="77777777" w:rsidTr="00465964">
        <w:tc>
          <w:tcPr>
            <w:tcW w:w="0" w:type="auto"/>
            <w:shd w:val="clear" w:color="auto" w:fill="auto"/>
            <w:hideMark/>
          </w:tcPr>
          <w:p w14:paraId="1BE56616" w14:textId="77777777" w:rsidR="00465964" w:rsidRPr="00465964" w:rsidRDefault="00465964" w:rsidP="00465964">
            <w:r w:rsidRPr="00465964">
              <w:t>d)</w:t>
            </w:r>
          </w:p>
        </w:tc>
        <w:tc>
          <w:tcPr>
            <w:tcW w:w="0" w:type="auto"/>
            <w:shd w:val="clear" w:color="auto" w:fill="auto"/>
            <w:hideMark/>
          </w:tcPr>
          <w:p w14:paraId="4A8A2CDD" w14:textId="77777777" w:rsidR="00465964" w:rsidRPr="00465964" w:rsidRDefault="00465964" w:rsidP="00465964">
            <w:pPr>
              <w:rPr>
                <w:lang w:val="pt-PT"/>
              </w:rPr>
            </w:pPr>
            <w:r w:rsidRPr="00465964">
              <w:rPr>
                <w:lang w:val="pt-PT"/>
              </w:rPr>
              <w:t>Requisitos para a proteção dos clientes de prestadores de serviços de criptoativos;</w:t>
            </w:r>
          </w:p>
        </w:tc>
      </w:tr>
    </w:tbl>
    <w:p w14:paraId="29F20848"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1"/>
        <w:gridCol w:w="8845"/>
      </w:tblGrid>
      <w:tr w:rsidR="00465964" w:rsidRPr="00465964" w14:paraId="5FFE0EE5" w14:textId="77777777" w:rsidTr="00465964">
        <w:tc>
          <w:tcPr>
            <w:tcW w:w="0" w:type="auto"/>
            <w:shd w:val="clear" w:color="auto" w:fill="auto"/>
            <w:hideMark/>
          </w:tcPr>
          <w:p w14:paraId="453483E7" w14:textId="77777777" w:rsidR="00465964" w:rsidRPr="00465964" w:rsidRDefault="00465964" w:rsidP="00465964">
            <w:r w:rsidRPr="00465964">
              <w:t>e)</w:t>
            </w:r>
          </w:p>
        </w:tc>
        <w:tc>
          <w:tcPr>
            <w:tcW w:w="0" w:type="auto"/>
            <w:shd w:val="clear" w:color="auto" w:fill="auto"/>
            <w:hideMark/>
          </w:tcPr>
          <w:p w14:paraId="0AB51548" w14:textId="77777777" w:rsidR="00465964" w:rsidRPr="00465964" w:rsidRDefault="00465964" w:rsidP="00465964">
            <w:pPr>
              <w:rPr>
                <w:lang w:val="pt-PT"/>
              </w:rPr>
            </w:pPr>
            <w:r w:rsidRPr="00465964">
              <w:rPr>
                <w:lang w:val="pt-PT"/>
              </w:rPr>
              <w:t>Medidas para prevenir o abuso de informação privilegiada, a divulgação ilícita de informação privilegiada e a manipulação de mercado relacionados com criptoativos, a fim de assegurar a integridade dos mercados de criptoativos.</w:t>
            </w:r>
          </w:p>
        </w:tc>
      </w:tr>
    </w:tbl>
    <w:p w14:paraId="308E59AF" w14:textId="77777777" w:rsidR="00465964" w:rsidRPr="00465964" w:rsidRDefault="00465964" w:rsidP="00465964">
      <w:pPr>
        <w:rPr>
          <w:i/>
          <w:iCs/>
          <w:lang w:val="pt-PT"/>
        </w:rPr>
      </w:pPr>
      <w:r w:rsidRPr="00465964">
        <w:rPr>
          <w:i/>
          <w:iCs/>
          <w:lang w:val="pt-PT"/>
        </w:rPr>
        <w:t>Artigo 2.</w:t>
      </w:r>
      <w:r w:rsidRPr="00465964">
        <w:rPr>
          <w:i/>
          <w:iCs/>
          <w:vertAlign w:val="superscript"/>
          <w:lang w:val="pt-PT"/>
        </w:rPr>
        <w:t>o</w:t>
      </w:r>
    </w:p>
    <w:p w14:paraId="60135707" w14:textId="77777777" w:rsidR="00465964" w:rsidRPr="00465964" w:rsidRDefault="00465964" w:rsidP="00465964">
      <w:pPr>
        <w:rPr>
          <w:b/>
          <w:bCs/>
          <w:lang w:val="pt-PT"/>
        </w:rPr>
      </w:pPr>
      <w:r w:rsidRPr="00465964">
        <w:rPr>
          <w:b/>
          <w:bCs/>
          <w:lang w:val="pt-PT"/>
        </w:rPr>
        <w:t>Âmbito de aplicação</w:t>
      </w:r>
    </w:p>
    <w:p w14:paraId="60FE9A2E" w14:textId="77777777" w:rsidR="00465964" w:rsidRPr="00465964" w:rsidRDefault="00465964" w:rsidP="00465964">
      <w:pPr>
        <w:rPr>
          <w:lang w:val="pt-PT"/>
        </w:rPr>
      </w:pPr>
      <w:r w:rsidRPr="00465964">
        <w:rPr>
          <w:lang w:val="pt-PT"/>
        </w:rPr>
        <w:t>1.   O presente regulamento aplica-se às pessoas singulares e coletivas e a determinadas outras empresas envolvidas na emissão, oferta pública e admissão à negociação de criptoativos ou que prestam serviços de criptoativos na União.</w:t>
      </w:r>
    </w:p>
    <w:p w14:paraId="226DD378" w14:textId="77777777" w:rsidR="00465964" w:rsidRPr="00465964" w:rsidRDefault="00465964" w:rsidP="00465964">
      <w:pPr>
        <w:rPr>
          <w:lang w:val="pt-PT"/>
        </w:rPr>
      </w:pPr>
      <w:r w:rsidRPr="00465964">
        <w:rPr>
          <w:lang w:val="pt-PT"/>
        </w:rPr>
        <w:t>2.   O presente regulamento não se aplica:</w:t>
      </w:r>
    </w:p>
    <w:tbl>
      <w:tblPr>
        <w:tblW w:w="5000" w:type="pct"/>
        <w:tblCellMar>
          <w:left w:w="0" w:type="dxa"/>
          <w:right w:w="0" w:type="dxa"/>
        </w:tblCellMar>
        <w:tblLook w:val="04A0" w:firstRow="1" w:lastRow="0" w:firstColumn="1" w:lastColumn="0" w:noHBand="0" w:noVBand="1"/>
      </w:tblPr>
      <w:tblGrid>
        <w:gridCol w:w="182"/>
        <w:gridCol w:w="8844"/>
      </w:tblGrid>
      <w:tr w:rsidR="00465964" w:rsidRPr="00465964" w14:paraId="5560D4D8" w14:textId="77777777" w:rsidTr="00465964">
        <w:tc>
          <w:tcPr>
            <w:tcW w:w="0" w:type="auto"/>
            <w:shd w:val="clear" w:color="auto" w:fill="auto"/>
            <w:hideMark/>
          </w:tcPr>
          <w:p w14:paraId="6A5666A0" w14:textId="77777777" w:rsidR="00465964" w:rsidRPr="00465964" w:rsidRDefault="00465964" w:rsidP="00465964">
            <w:r w:rsidRPr="00465964">
              <w:t>a)</w:t>
            </w:r>
          </w:p>
        </w:tc>
        <w:tc>
          <w:tcPr>
            <w:tcW w:w="0" w:type="auto"/>
            <w:shd w:val="clear" w:color="auto" w:fill="auto"/>
            <w:hideMark/>
          </w:tcPr>
          <w:p w14:paraId="0FAC05A2" w14:textId="77777777" w:rsidR="00465964" w:rsidRPr="00465964" w:rsidRDefault="00465964" w:rsidP="00465964">
            <w:pPr>
              <w:rPr>
                <w:lang w:val="pt-PT"/>
              </w:rPr>
            </w:pPr>
            <w:r w:rsidRPr="00465964">
              <w:rPr>
                <w:lang w:val="pt-PT"/>
              </w:rPr>
              <w:t>A pessoas que prestam serviços de criptoativos exclusivamente às suas empresas-mãe, às suas filiais ou a outras filiais das respetivas empresas-mãe;</w:t>
            </w:r>
          </w:p>
        </w:tc>
      </w:tr>
    </w:tbl>
    <w:p w14:paraId="7ED236C2"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8"/>
        <w:gridCol w:w="8838"/>
      </w:tblGrid>
      <w:tr w:rsidR="00465964" w:rsidRPr="00465964" w14:paraId="0473F224" w14:textId="77777777" w:rsidTr="00465964">
        <w:tc>
          <w:tcPr>
            <w:tcW w:w="0" w:type="auto"/>
            <w:shd w:val="clear" w:color="auto" w:fill="auto"/>
            <w:hideMark/>
          </w:tcPr>
          <w:p w14:paraId="618BBDF0" w14:textId="77777777" w:rsidR="00465964" w:rsidRPr="00465964" w:rsidRDefault="00465964" w:rsidP="00465964">
            <w:r w:rsidRPr="00465964">
              <w:t>b)</w:t>
            </w:r>
          </w:p>
        </w:tc>
        <w:tc>
          <w:tcPr>
            <w:tcW w:w="0" w:type="auto"/>
            <w:shd w:val="clear" w:color="auto" w:fill="auto"/>
            <w:hideMark/>
          </w:tcPr>
          <w:p w14:paraId="49029DFE" w14:textId="77777777" w:rsidR="00465964" w:rsidRPr="00465964" w:rsidRDefault="00465964" w:rsidP="00465964">
            <w:pPr>
              <w:rPr>
                <w:lang w:val="pt-PT"/>
              </w:rPr>
            </w:pPr>
            <w:r w:rsidRPr="00465964">
              <w:rPr>
                <w:lang w:val="pt-PT"/>
              </w:rPr>
              <w:t>A um liquidatário ou administrador que atue no decurso de um processo de insolvência, exceto para efeitos do artigo 47.</w:t>
            </w:r>
            <w:r w:rsidRPr="00465964">
              <w:rPr>
                <w:vertAlign w:val="superscript"/>
                <w:lang w:val="pt-PT"/>
              </w:rPr>
              <w:t>o</w:t>
            </w:r>
            <w:r w:rsidRPr="00465964">
              <w:rPr>
                <w:lang w:val="pt-PT"/>
              </w:rPr>
              <w:t>;</w:t>
            </w:r>
          </w:p>
        </w:tc>
      </w:tr>
    </w:tbl>
    <w:p w14:paraId="6F1D12E3"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0"/>
        <w:gridCol w:w="8846"/>
      </w:tblGrid>
      <w:tr w:rsidR="00465964" w:rsidRPr="00465964" w14:paraId="3DC38494" w14:textId="77777777" w:rsidTr="00465964">
        <w:tc>
          <w:tcPr>
            <w:tcW w:w="0" w:type="auto"/>
            <w:shd w:val="clear" w:color="auto" w:fill="auto"/>
            <w:hideMark/>
          </w:tcPr>
          <w:p w14:paraId="496A7711" w14:textId="77777777" w:rsidR="00465964" w:rsidRPr="00465964" w:rsidRDefault="00465964" w:rsidP="00465964">
            <w:r w:rsidRPr="00465964">
              <w:t>c)</w:t>
            </w:r>
          </w:p>
        </w:tc>
        <w:tc>
          <w:tcPr>
            <w:tcW w:w="0" w:type="auto"/>
            <w:shd w:val="clear" w:color="auto" w:fill="auto"/>
            <w:hideMark/>
          </w:tcPr>
          <w:p w14:paraId="14669089" w14:textId="77777777" w:rsidR="00465964" w:rsidRPr="00465964" w:rsidRDefault="00465964" w:rsidP="00465964">
            <w:pPr>
              <w:rPr>
                <w:lang w:val="pt-PT"/>
              </w:rPr>
            </w:pPr>
            <w:r w:rsidRPr="00465964">
              <w:rPr>
                <w:lang w:val="pt-PT"/>
              </w:rPr>
              <w:t>Ao BCE, aos bancos centrais dos Estados-Membros, quando atuarem na sua qualidade de autoridades monetárias, ou a outras autoridades públicas dos Estados—Membros;</w:t>
            </w:r>
          </w:p>
        </w:tc>
      </w:tr>
    </w:tbl>
    <w:p w14:paraId="10C1ED12"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337"/>
        <w:gridCol w:w="8689"/>
      </w:tblGrid>
      <w:tr w:rsidR="00465964" w:rsidRPr="00465964" w14:paraId="5B74765D" w14:textId="77777777" w:rsidTr="00465964">
        <w:tc>
          <w:tcPr>
            <w:tcW w:w="0" w:type="auto"/>
            <w:shd w:val="clear" w:color="auto" w:fill="auto"/>
            <w:hideMark/>
          </w:tcPr>
          <w:p w14:paraId="7AB09411" w14:textId="77777777" w:rsidR="00465964" w:rsidRPr="00465964" w:rsidRDefault="00465964" w:rsidP="00465964">
            <w:r w:rsidRPr="00465964">
              <w:t>d)</w:t>
            </w:r>
          </w:p>
        </w:tc>
        <w:tc>
          <w:tcPr>
            <w:tcW w:w="0" w:type="auto"/>
            <w:shd w:val="clear" w:color="auto" w:fill="auto"/>
            <w:hideMark/>
          </w:tcPr>
          <w:p w14:paraId="632D49C8" w14:textId="77777777" w:rsidR="00465964" w:rsidRPr="00465964" w:rsidRDefault="00465964" w:rsidP="00465964">
            <w:pPr>
              <w:rPr>
                <w:lang w:val="pt-PT"/>
              </w:rPr>
            </w:pPr>
            <w:r w:rsidRPr="00465964">
              <w:rPr>
                <w:lang w:val="pt-PT"/>
              </w:rPr>
              <w:t>Ao Banco Europeu de Investimento e às suas filiais;</w:t>
            </w:r>
          </w:p>
        </w:tc>
      </w:tr>
    </w:tbl>
    <w:p w14:paraId="1DEDBF87"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93"/>
        <w:gridCol w:w="8833"/>
      </w:tblGrid>
      <w:tr w:rsidR="00465964" w:rsidRPr="00465964" w14:paraId="5BBE7268" w14:textId="77777777" w:rsidTr="00465964">
        <w:tc>
          <w:tcPr>
            <w:tcW w:w="0" w:type="auto"/>
            <w:shd w:val="clear" w:color="auto" w:fill="auto"/>
            <w:hideMark/>
          </w:tcPr>
          <w:p w14:paraId="44D96D8B" w14:textId="77777777" w:rsidR="00465964" w:rsidRPr="00465964" w:rsidRDefault="00465964" w:rsidP="00465964">
            <w:r w:rsidRPr="00465964">
              <w:t>e)</w:t>
            </w:r>
          </w:p>
        </w:tc>
        <w:tc>
          <w:tcPr>
            <w:tcW w:w="0" w:type="auto"/>
            <w:shd w:val="clear" w:color="auto" w:fill="auto"/>
            <w:hideMark/>
          </w:tcPr>
          <w:p w14:paraId="644C3C9E" w14:textId="77777777" w:rsidR="00465964" w:rsidRPr="00465964" w:rsidRDefault="00465964" w:rsidP="00465964">
            <w:pPr>
              <w:rPr>
                <w:lang w:val="pt-PT"/>
              </w:rPr>
            </w:pPr>
            <w:r w:rsidRPr="00465964">
              <w:rPr>
                <w:lang w:val="pt-PT"/>
              </w:rPr>
              <w:t>Ao Fundo Europeu de Estabilidade Financeira e ao Mecanismo Europeu de Estabilidade;</w:t>
            </w:r>
          </w:p>
        </w:tc>
      </w:tr>
    </w:tbl>
    <w:p w14:paraId="3437E709"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307"/>
        <w:gridCol w:w="8719"/>
      </w:tblGrid>
      <w:tr w:rsidR="00465964" w:rsidRPr="00465964" w14:paraId="1DB1C801" w14:textId="77777777" w:rsidTr="00465964">
        <w:tc>
          <w:tcPr>
            <w:tcW w:w="0" w:type="auto"/>
            <w:shd w:val="clear" w:color="auto" w:fill="auto"/>
            <w:hideMark/>
          </w:tcPr>
          <w:p w14:paraId="5FA70348" w14:textId="77777777" w:rsidR="00465964" w:rsidRPr="00465964" w:rsidRDefault="00465964" w:rsidP="00465964">
            <w:r w:rsidRPr="00465964">
              <w:t>f)</w:t>
            </w:r>
          </w:p>
        </w:tc>
        <w:tc>
          <w:tcPr>
            <w:tcW w:w="0" w:type="auto"/>
            <w:shd w:val="clear" w:color="auto" w:fill="auto"/>
            <w:hideMark/>
          </w:tcPr>
          <w:p w14:paraId="2535D825" w14:textId="77777777" w:rsidR="00465964" w:rsidRPr="00465964" w:rsidRDefault="00465964" w:rsidP="00465964">
            <w:proofErr w:type="spellStart"/>
            <w:r w:rsidRPr="00465964">
              <w:t>Às</w:t>
            </w:r>
            <w:proofErr w:type="spellEnd"/>
            <w:r w:rsidRPr="00465964">
              <w:t xml:space="preserve"> </w:t>
            </w:r>
            <w:proofErr w:type="spellStart"/>
            <w:r w:rsidRPr="00465964">
              <w:t>organizações</w:t>
            </w:r>
            <w:proofErr w:type="spellEnd"/>
            <w:r w:rsidRPr="00465964">
              <w:t xml:space="preserve"> </w:t>
            </w:r>
            <w:proofErr w:type="spellStart"/>
            <w:r w:rsidRPr="00465964">
              <w:t>internacionais</w:t>
            </w:r>
            <w:proofErr w:type="spellEnd"/>
            <w:r w:rsidRPr="00465964">
              <w:t xml:space="preserve"> </w:t>
            </w:r>
            <w:proofErr w:type="spellStart"/>
            <w:r w:rsidRPr="00465964">
              <w:t>públicas</w:t>
            </w:r>
            <w:proofErr w:type="spellEnd"/>
            <w:r w:rsidRPr="00465964">
              <w:t>.</w:t>
            </w:r>
          </w:p>
        </w:tc>
      </w:tr>
    </w:tbl>
    <w:p w14:paraId="4852898E" w14:textId="77777777" w:rsidR="00465964" w:rsidRPr="00465964" w:rsidRDefault="00465964" w:rsidP="00465964">
      <w:pPr>
        <w:rPr>
          <w:lang w:val="pt-PT"/>
        </w:rPr>
      </w:pPr>
      <w:r w:rsidRPr="00465964">
        <w:rPr>
          <w:lang w:val="pt-PT"/>
        </w:rPr>
        <w:t>3.   O presente regulamento não se aplica aos criptoativos que sejam únicos e não fungíveis com outros criptoativos.</w:t>
      </w:r>
    </w:p>
    <w:p w14:paraId="2173F975" w14:textId="77777777" w:rsidR="00465964" w:rsidRPr="00465964" w:rsidRDefault="00465964" w:rsidP="00465964">
      <w:pPr>
        <w:rPr>
          <w:lang w:val="pt-PT"/>
        </w:rPr>
      </w:pPr>
      <w:r w:rsidRPr="00465964">
        <w:rPr>
          <w:lang w:val="pt-PT"/>
        </w:rPr>
        <w:lastRenderedPageBreak/>
        <w:t>4.   O presente regulamento não se aplica a criptoativos que que entrem numa ou mais das seguintes categorias:</w:t>
      </w:r>
    </w:p>
    <w:tbl>
      <w:tblPr>
        <w:tblW w:w="5000" w:type="pct"/>
        <w:tblCellMar>
          <w:left w:w="0" w:type="dxa"/>
          <w:right w:w="0" w:type="dxa"/>
        </w:tblCellMar>
        <w:tblLook w:val="04A0" w:firstRow="1" w:lastRow="0" w:firstColumn="1" w:lastColumn="0" w:noHBand="0" w:noVBand="1"/>
      </w:tblPr>
      <w:tblGrid>
        <w:gridCol w:w="626"/>
        <w:gridCol w:w="8400"/>
      </w:tblGrid>
      <w:tr w:rsidR="00465964" w:rsidRPr="00465964" w14:paraId="5704774E" w14:textId="77777777" w:rsidTr="00465964">
        <w:tc>
          <w:tcPr>
            <w:tcW w:w="0" w:type="auto"/>
            <w:shd w:val="clear" w:color="auto" w:fill="auto"/>
            <w:hideMark/>
          </w:tcPr>
          <w:p w14:paraId="7935D46B" w14:textId="77777777" w:rsidR="00465964" w:rsidRPr="00465964" w:rsidRDefault="00465964" w:rsidP="00465964">
            <w:r w:rsidRPr="00465964">
              <w:t>a)</w:t>
            </w:r>
          </w:p>
        </w:tc>
        <w:tc>
          <w:tcPr>
            <w:tcW w:w="0" w:type="auto"/>
            <w:shd w:val="clear" w:color="auto" w:fill="auto"/>
            <w:hideMark/>
          </w:tcPr>
          <w:p w14:paraId="212301B0" w14:textId="77777777" w:rsidR="00465964" w:rsidRPr="00465964" w:rsidRDefault="00465964" w:rsidP="00465964">
            <w:proofErr w:type="spellStart"/>
            <w:r w:rsidRPr="00465964">
              <w:t>Instrumentos</w:t>
            </w:r>
            <w:proofErr w:type="spellEnd"/>
            <w:r w:rsidRPr="00465964">
              <w:t xml:space="preserve"> </w:t>
            </w:r>
            <w:proofErr w:type="spellStart"/>
            <w:r w:rsidRPr="00465964">
              <w:t>financeiros</w:t>
            </w:r>
            <w:proofErr w:type="spellEnd"/>
            <w:r w:rsidRPr="00465964">
              <w:t>;</w:t>
            </w:r>
          </w:p>
        </w:tc>
      </w:tr>
    </w:tbl>
    <w:p w14:paraId="6161D848"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381"/>
        <w:gridCol w:w="8645"/>
      </w:tblGrid>
      <w:tr w:rsidR="00465964" w:rsidRPr="00465964" w14:paraId="083C2131" w14:textId="77777777" w:rsidTr="00465964">
        <w:tc>
          <w:tcPr>
            <w:tcW w:w="0" w:type="auto"/>
            <w:shd w:val="clear" w:color="auto" w:fill="auto"/>
            <w:hideMark/>
          </w:tcPr>
          <w:p w14:paraId="01B3200C" w14:textId="77777777" w:rsidR="00465964" w:rsidRPr="00465964" w:rsidRDefault="00465964" w:rsidP="00465964">
            <w:r w:rsidRPr="00465964">
              <w:t>b)</w:t>
            </w:r>
          </w:p>
        </w:tc>
        <w:tc>
          <w:tcPr>
            <w:tcW w:w="0" w:type="auto"/>
            <w:shd w:val="clear" w:color="auto" w:fill="auto"/>
            <w:hideMark/>
          </w:tcPr>
          <w:p w14:paraId="4FE11053" w14:textId="77777777" w:rsidR="00465964" w:rsidRPr="00465964" w:rsidRDefault="00465964" w:rsidP="00465964">
            <w:proofErr w:type="spellStart"/>
            <w:r w:rsidRPr="00465964">
              <w:t>Depósitos</w:t>
            </w:r>
            <w:proofErr w:type="spellEnd"/>
            <w:r w:rsidRPr="00465964">
              <w:t xml:space="preserve">, </w:t>
            </w:r>
            <w:proofErr w:type="spellStart"/>
            <w:r w:rsidRPr="00465964">
              <w:t>incluindo</w:t>
            </w:r>
            <w:proofErr w:type="spellEnd"/>
            <w:r w:rsidRPr="00465964">
              <w:t xml:space="preserve"> </w:t>
            </w:r>
            <w:proofErr w:type="spellStart"/>
            <w:r w:rsidRPr="00465964">
              <w:t>depósitos</w:t>
            </w:r>
            <w:proofErr w:type="spellEnd"/>
            <w:r w:rsidRPr="00465964">
              <w:t xml:space="preserve"> </w:t>
            </w:r>
            <w:proofErr w:type="spellStart"/>
            <w:r w:rsidRPr="00465964">
              <w:t>estruturados</w:t>
            </w:r>
            <w:proofErr w:type="spellEnd"/>
            <w:r w:rsidRPr="00465964">
              <w:t>;</w:t>
            </w:r>
          </w:p>
        </w:tc>
      </w:tr>
    </w:tbl>
    <w:p w14:paraId="05D20189"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274"/>
        <w:gridCol w:w="8752"/>
      </w:tblGrid>
      <w:tr w:rsidR="00465964" w:rsidRPr="00465964" w14:paraId="076FAABE" w14:textId="77777777" w:rsidTr="00465964">
        <w:tc>
          <w:tcPr>
            <w:tcW w:w="0" w:type="auto"/>
            <w:shd w:val="clear" w:color="auto" w:fill="auto"/>
            <w:hideMark/>
          </w:tcPr>
          <w:p w14:paraId="6491A91A" w14:textId="77777777" w:rsidR="00465964" w:rsidRPr="00465964" w:rsidRDefault="00465964" w:rsidP="00465964">
            <w:r w:rsidRPr="00465964">
              <w:t>c)</w:t>
            </w:r>
          </w:p>
        </w:tc>
        <w:tc>
          <w:tcPr>
            <w:tcW w:w="0" w:type="auto"/>
            <w:shd w:val="clear" w:color="auto" w:fill="auto"/>
            <w:hideMark/>
          </w:tcPr>
          <w:p w14:paraId="43113D76" w14:textId="5C96B43C" w:rsidR="00465964" w:rsidRPr="00465964" w:rsidRDefault="00465964" w:rsidP="00465964">
            <w:pPr>
              <w:rPr>
                <w:lang w:val="pt-PT"/>
              </w:rPr>
            </w:pPr>
            <w:r w:rsidRPr="00465964">
              <w:rPr>
                <w:lang w:val="pt-PT"/>
              </w:rPr>
              <w:t xml:space="preserve">Fundos, exceto se forem </w:t>
            </w:r>
            <w:r>
              <w:rPr>
                <w:lang w:val="pt-PT"/>
              </w:rPr>
              <w:t>criptomoedas</w:t>
            </w:r>
            <w:r w:rsidRPr="00465964">
              <w:rPr>
                <w:lang w:val="pt-PT"/>
              </w:rPr>
              <w:t xml:space="preserve"> de moeda eletrónica;</w:t>
            </w:r>
          </w:p>
        </w:tc>
      </w:tr>
    </w:tbl>
    <w:p w14:paraId="61F5EA74"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8"/>
        <w:gridCol w:w="8838"/>
      </w:tblGrid>
      <w:tr w:rsidR="00465964" w:rsidRPr="00465964" w14:paraId="43B5F927" w14:textId="77777777" w:rsidTr="00465964">
        <w:tc>
          <w:tcPr>
            <w:tcW w:w="0" w:type="auto"/>
            <w:shd w:val="clear" w:color="auto" w:fill="auto"/>
            <w:hideMark/>
          </w:tcPr>
          <w:p w14:paraId="32303D28" w14:textId="77777777" w:rsidR="00465964" w:rsidRPr="00465964" w:rsidRDefault="00465964" w:rsidP="00465964">
            <w:r w:rsidRPr="00465964">
              <w:t>d)</w:t>
            </w:r>
          </w:p>
        </w:tc>
        <w:tc>
          <w:tcPr>
            <w:tcW w:w="0" w:type="auto"/>
            <w:shd w:val="clear" w:color="auto" w:fill="auto"/>
            <w:hideMark/>
          </w:tcPr>
          <w:p w14:paraId="7FA6F946" w14:textId="77777777" w:rsidR="00465964" w:rsidRPr="00465964" w:rsidRDefault="00465964" w:rsidP="00465964">
            <w:pPr>
              <w:rPr>
                <w:lang w:val="pt-PT"/>
              </w:rPr>
            </w:pPr>
            <w:r w:rsidRPr="00465964">
              <w:rPr>
                <w:lang w:val="pt-PT"/>
              </w:rPr>
              <w:t>Posições de titularização no âmbito de uma titularização na aceção do artigo 2.</w:t>
            </w:r>
            <w:r w:rsidRPr="00465964">
              <w:rPr>
                <w:vertAlign w:val="superscript"/>
                <w:lang w:val="pt-PT"/>
              </w:rPr>
              <w:t>o</w:t>
            </w:r>
            <w:r w:rsidRPr="00465964">
              <w:rPr>
                <w:lang w:val="pt-PT"/>
              </w:rPr>
              <w:t>, ponto 1, do Regulamento (UE) 2017/2402;</w:t>
            </w:r>
          </w:p>
        </w:tc>
      </w:tr>
    </w:tbl>
    <w:p w14:paraId="3724176C"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1"/>
        <w:gridCol w:w="8845"/>
      </w:tblGrid>
      <w:tr w:rsidR="00465964" w:rsidRPr="00465964" w14:paraId="3900648A" w14:textId="77777777" w:rsidTr="00465964">
        <w:tc>
          <w:tcPr>
            <w:tcW w:w="0" w:type="auto"/>
            <w:shd w:val="clear" w:color="auto" w:fill="auto"/>
            <w:hideMark/>
          </w:tcPr>
          <w:p w14:paraId="7EA3644B" w14:textId="77777777" w:rsidR="00465964" w:rsidRPr="00465964" w:rsidRDefault="00465964" w:rsidP="00465964">
            <w:r w:rsidRPr="00465964">
              <w:t>e)</w:t>
            </w:r>
          </w:p>
        </w:tc>
        <w:tc>
          <w:tcPr>
            <w:tcW w:w="0" w:type="auto"/>
            <w:shd w:val="clear" w:color="auto" w:fill="auto"/>
            <w:hideMark/>
          </w:tcPr>
          <w:p w14:paraId="5D4B9E2F" w14:textId="77777777" w:rsidR="00465964" w:rsidRPr="00465964" w:rsidRDefault="00465964" w:rsidP="00465964">
            <w:pPr>
              <w:rPr>
                <w:lang w:val="pt-PT"/>
              </w:rPr>
            </w:pPr>
            <w:r w:rsidRPr="00465964">
              <w:rPr>
                <w:lang w:val="pt-PT"/>
              </w:rPr>
              <w:t>Produtos de seguros não vida ou de vida abrangidos pelos ramos de seguros enumerados nos anexos I e II da Diretiva 2009/138/CE do Parlamento Europeu e do Conselho </w:t>
            </w:r>
            <w:hyperlink r:id="rId34" w:anchor="ntr27-L_2023150PT.01004001-E0027" w:history="1">
              <w:r w:rsidRPr="00465964">
                <w:rPr>
                  <w:rStyle w:val="Hyperlink"/>
                  <w:lang w:val="pt-PT"/>
                </w:rPr>
                <w:t>(</w:t>
              </w:r>
              <w:r w:rsidRPr="00465964">
                <w:rPr>
                  <w:rStyle w:val="Hyperlink"/>
                  <w:vertAlign w:val="superscript"/>
                  <w:lang w:val="pt-PT"/>
                </w:rPr>
                <w:t>27</w:t>
              </w:r>
              <w:r w:rsidRPr="00465964">
                <w:rPr>
                  <w:rStyle w:val="Hyperlink"/>
                  <w:lang w:val="pt-PT"/>
                </w:rPr>
                <w:t>)</w:t>
              </w:r>
            </w:hyperlink>
            <w:r w:rsidRPr="00465964">
              <w:rPr>
                <w:lang w:val="pt-PT"/>
              </w:rPr>
              <w:t> ou contratos de resseguro e de retrocessão referidos nessa diretiva;</w:t>
            </w:r>
          </w:p>
        </w:tc>
      </w:tr>
    </w:tbl>
    <w:p w14:paraId="5F1DD873"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36"/>
        <w:gridCol w:w="8890"/>
      </w:tblGrid>
      <w:tr w:rsidR="00465964" w:rsidRPr="00465964" w14:paraId="64D555EE" w14:textId="77777777" w:rsidTr="00465964">
        <w:tc>
          <w:tcPr>
            <w:tcW w:w="0" w:type="auto"/>
            <w:shd w:val="clear" w:color="auto" w:fill="auto"/>
            <w:hideMark/>
          </w:tcPr>
          <w:p w14:paraId="17059736" w14:textId="77777777" w:rsidR="00465964" w:rsidRPr="00465964" w:rsidRDefault="00465964" w:rsidP="00465964">
            <w:r w:rsidRPr="00465964">
              <w:t>f)</w:t>
            </w:r>
          </w:p>
        </w:tc>
        <w:tc>
          <w:tcPr>
            <w:tcW w:w="0" w:type="auto"/>
            <w:shd w:val="clear" w:color="auto" w:fill="auto"/>
            <w:hideMark/>
          </w:tcPr>
          <w:p w14:paraId="4C86A784" w14:textId="77777777" w:rsidR="00465964" w:rsidRPr="00465964" w:rsidRDefault="00465964" w:rsidP="00465964">
            <w:pPr>
              <w:rPr>
                <w:lang w:val="pt-PT"/>
              </w:rPr>
            </w:pPr>
            <w:r w:rsidRPr="00465964">
              <w:rPr>
                <w:lang w:val="pt-PT"/>
              </w:rPr>
              <w:t>Produtos de pensões que, ao abrigo do direito nacional, sejam reconhecidos como tendo por principal objetivo proporcionar aos investidores um rendimento na reforma e que confiram ao investidor o direito de receber determinadas prestações;</w:t>
            </w:r>
          </w:p>
        </w:tc>
      </w:tr>
    </w:tbl>
    <w:p w14:paraId="674E89A3"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74"/>
        <w:gridCol w:w="8852"/>
      </w:tblGrid>
      <w:tr w:rsidR="00465964" w:rsidRPr="00465964" w14:paraId="73E45071" w14:textId="77777777" w:rsidTr="00465964">
        <w:tc>
          <w:tcPr>
            <w:tcW w:w="0" w:type="auto"/>
            <w:shd w:val="clear" w:color="auto" w:fill="auto"/>
            <w:hideMark/>
          </w:tcPr>
          <w:p w14:paraId="4B032DEC" w14:textId="77777777" w:rsidR="00465964" w:rsidRPr="00465964" w:rsidRDefault="00465964" w:rsidP="00465964">
            <w:r w:rsidRPr="00465964">
              <w:t>g)</w:t>
            </w:r>
          </w:p>
        </w:tc>
        <w:tc>
          <w:tcPr>
            <w:tcW w:w="0" w:type="auto"/>
            <w:shd w:val="clear" w:color="auto" w:fill="auto"/>
            <w:hideMark/>
          </w:tcPr>
          <w:p w14:paraId="54058C4D" w14:textId="77777777" w:rsidR="00465964" w:rsidRPr="00465964" w:rsidRDefault="00465964" w:rsidP="00465964">
            <w:pPr>
              <w:rPr>
                <w:lang w:val="pt-PT"/>
              </w:rPr>
            </w:pPr>
            <w:r w:rsidRPr="00465964">
              <w:rPr>
                <w:lang w:val="pt-PT"/>
              </w:rPr>
              <w:t>Planos de pensões profissionais oficialmente reconhecidos que caiam no âmbito de aplicação da Diretiva (UE) 2016/2341 do Parlamento Europeu e do Conselho </w:t>
            </w:r>
            <w:hyperlink r:id="rId35" w:anchor="ntr28-L_2023150PT.01004001-E0028" w:history="1">
              <w:r w:rsidRPr="00465964">
                <w:rPr>
                  <w:rStyle w:val="Hyperlink"/>
                  <w:lang w:val="pt-PT"/>
                </w:rPr>
                <w:t>(</w:t>
              </w:r>
              <w:r w:rsidRPr="00465964">
                <w:rPr>
                  <w:rStyle w:val="Hyperlink"/>
                  <w:vertAlign w:val="superscript"/>
                  <w:lang w:val="pt-PT"/>
                </w:rPr>
                <w:t>28</w:t>
              </w:r>
              <w:r w:rsidRPr="00465964">
                <w:rPr>
                  <w:rStyle w:val="Hyperlink"/>
                  <w:lang w:val="pt-PT"/>
                </w:rPr>
                <w:t>)</w:t>
              </w:r>
            </w:hyperlink>
            <w:r w:rsidRPr="00465964">
              <w:rPr>
                <w:lang w:val="pt-PT"/>
              </w:rPr>
              <w:t> ou da Diretiva 2009/138/CE;</w:t>
            </w:r>
          </w:p>
        </w:tc>
      </w:tr>
    </w:tbl>
    <w:p w14:paraId="18EF0387"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6"/>
        <w:gridCol w:w="8840"/>
      </w:tblGrid>
      <w:tr w:rsidR="00465964" w:rsidRPr="00465964" w14:paraId="34D3DB6E" w14:textId="77777777" w:rsidTr="00465964">
        <w:tc>
          <w:tcPr>
            <w:tcW w:w="0" w:type="auto"/>
            <w:shd w:val="clear" w:color="auto" w:fill="auto"/>
            <w:hideMark/>
          </w:tcPr>
          <w:p w14:paraId="24670AEA" w14:textId="77777777" w:rsidR="00465964" w:rsidRPr="00465964" w:rsidRDefault="00465964" w:rsidP="00465964">
            <w:r w:rsidRPr="00465964">
              <w:t>h)</w:t>
            </w:r>
          </w:p>
        </w:tc>
        <w:tc>
          <w:tcPr>
            <w:tcW w:w="0" w:type="auto"/>
            <w:shd w:val="clear" w:color="auto" w:fill="auto"/>
            <w:hideMark/>
          </w:tcPr>
          <w:p w14:paraId="201A87AE" w14:textId="77777777" w:rsidR="00465964" w:rsidRPr="00465964" w:rsidRDefault="00465964" w:rsidP="00465964">
            <w:pPr>
              <w:rPr>
                <w:lang w:val="pt-PT"/>
              </w:rPr>
            </w:pPr>
            <w:r w:rsidRPr="00465964">
              <w:rPr>
                <w:lang w:val="pt-PT"/>
              </w:rPr>
              <w:t>Produtos individuais de pensões de reforma relativamente aos quais o direito nacional exija uma contribuição financeira do empregador e no âmbito dos quais nem o empregador nem o trabalhador sejam livres de escolher o produto ou o prestador;</w:t>
            </w:r>
          </w:p>
        </w:tc>
      </w:tr>
    </w:tbl>
    <w:p w14:paraId="3E95CDCC"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17"/>
        <w:gridCol w:w="8909"/>
      </w:tblGrid>
      <w:tr w:rsidR="00465964" w:rsidRPr="00465964" w14:paraId="664DAD5A" w14:textId="77777777" w:rsidTr="00465964">
        <w:tc>
          <w:tcPr>
            <w:tcW w:w="0" w:type="auto"/>
            <w:shd w:val="clear" w:color="auto" w:fill="auto"/>
            <w:hideMark/>
          </w:tcPr>
          <w:p w14:paraId="1404E5DA" w14:textId="77777777" w:rsidR="00465964" w:rsidRPr="00465964" w:rsidRDefault="00465964" w:rsidP="00465964">
            <w:proofErr w:type="spellStart"/>
            <w:r w:rsidRPr="00465964">
              <w:t>i</w:t>
            </w:r>
            <w:proofErr w:type="spellEnd"/>
            <w:r w:rsidRPr="00465964">
              <w:t>)</w:t>
            </w:r>
          </w:p>
        </w:tc>
        <w:tc>
          <w:tcPr>
            <w:tcW w:w="0" w:type="auto"/>
            <w:shd w:val="clear" w:color="auto" w:fill="auto"/>
            <w:hideMark/>
          </w:tcPr>
          <w:p w14:paraId="1AF28E66" w14:textId="77777777" w:rsidR="00465964" w:rsidRPr="00465964" w:rsidRDefault="00465964" w:rsidP="00465964">
            <w:pPr>
              <w:rPr>
                <w:lang w:val="pt-PT"/>
              </w:rPr>
            </w:pPr>
            <w:r w:rsidRPr="00465964">
              <w:rPr>
                <w:lang w:val="pt-PT"/>
              </w:rPr>
              <w:t>Um Produto Individual de Reforma Pan-Europeu, na aceção do artigo 2.</w:t>
            </w:r>
            <w:r w:rsidRPr="00465964">
              <w:rPr>
                <w:vertAlign w:val="superscript"/>
                <w:lang w:val="pt-PT"/>
              </w:rPr>
              <w:t>o</w:t>
            </w:r>
            <w:r w:rsidRPr="00465964">
              <w:rPr>
                <w:lang w:val="pt-PT"/>
              </w:rPr>
              <w:t>, ponto 2, do Regulamento (UE) 2019/1238 do Parlamento Europeu e do Conselho </w:t>
            </w:r>
            <w:hyperlink r:id="rId36" w:anchor="ntr29-L_2023150PT.01004001-E0029" w:history="1">
              <w:r w:rsidRPr="00465964">
                <w:rPr>
                  <w:rStyle w:val="Hyperlink"/>
                  <w:lang w:val="pt-PT"/>
                </w:rPr>
                <w:t>(</w:t>
              </w:r>
              <w:r w:rsidRPr="00465964">
                <w:rPr>
                  <w:rStyle w:val="Hyperlink"/>
                  <w:vertAlign w:val="superscript"/>
                  <w:lang w:val="pt-PT"/>
                </w:rPr>
                <w:t>29</w:t>
              </w:r>
              <w:r w:rsidRPr="00465964">
                <w:rPr>
                  <w:rStyle w:val="Hyperlink"/>
                  <w:lang w:val="pt-PT"/>
                </w:rPr>
                <w:t>)</w:t>
              </w:r>
            </w:hyperlink>
            <w:r w:rsidRPr="00465964">
              <w:rPr>
                <w:lang w:val="pt-PT"/>
              </w:rPr>
              <w:t>;</w:t>
            </w:r>
          </w:p>
        </w:tc>
      </w:tr>
    </w:tbl>
    <w:p w14:paraId="4D004EC7"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17"/>
        <w:gridCol w:w="8909"/>
      </w:tblGrid>
      <w:tr w:rsidR="00465964" w:rsidRPr="00465964" w14:paraId="758AD5D4" w14:textId="77777777" w:rsidTr="00465964">
        <w:tc>
          <w:tcPr>
            <w:tcW w:w="0" w:type="auto"/>
            <w:shd w:val="clear" w:color="auto" w:fill="auto"/>
            <w:hideMark/>
          </w:tcPr>
          <w:p w14:paraId="1FDB1684" w14:textId="77777777" w:rsidR="00465964" w:rsidRPr="00465964" w:rsidRDefault="00465964" w:rsidP="00465964">
            <w:r w:rsidRPr="00465964">
              <w:t>j)</w:t>
            </w:r>
          </w:p>
        </w:tc>
        <w:tc>
          <w:tcPr>
            <w:tcW w:w="0" w:type="auto"/>
            <w:shd w:val="clear" w:color="auto" w:fill="auto"/>
            <w:hideMark/>
          </w:tcPr>
          <w:p w14:paraId="32FB80D9" w14:textId="77777777" w:rsidR="00465964" w:rsidRPr="00465964" w:rsidRDefault="00465964" w:rsidP="00465964">
            <w:pPr>
              <w:rPr>
                <w:lang w:val="pt-PT"/>
              </w:rPr>
            </w:pPr>
            <w:r w:rsidRPr="00465964">
              <w:rPr>
                <w:lang w:val="pt-PT"/>
              </w:rPr>
              <w:t xml:space="preserve">Regimes de segurança social abrangidos pelos Regulamentos (CE) </w:t>
            </w:r>
            <w:proofErr w:type="spellStart"/>
            <w:r w:rsidRPr="00465964">
              <w:rPr>
                <w:lang w:val="pt-PT"/>
              </w:rPr>
              <w:t>n.</w:t>
            </w:r>
            <w:r w:rsidRPr="00465964">
              <w:rPr>
                <w:vertAlign w:val="superscript"/>
                <w:lang w:val="pt-PT"/>
              </w:rPr>
              <w:t>o</w:t>
            </w:r>
            <w:proofErr w:type="spellEnd"/>
            <w:r w:rsidRPr="00465964">
              <w:rPr>
                <w:lang w:val="pt-PT"/>
              </w:rPr>
              <w:t> 883/2004 </w:t>
            </w:r>
            <w:hyperlink r:id="rId37" w:anchor="ntr30-L_2023150PT.01004001-E0030" w:history="1">
              <w:r w:rsidRPr="00465964">
                <w:rPr>
                  <w:rStyle w:val="Hyperlink"/>
                  <w:lang w:val="pt-PT"/>
                </w:rPr>
                <w:t>(</w:t>
              </w:r>
              <w:r w:rsidRPr="00465964">
                <w:rPr>
                  <w:rStyle w:val="Hyperlink"/>
                  <w:vertAlign w:val="superscript"/>
                  <w:lang w:val="pt-PT"/>
                </w:rPr>
                <w:t>30</w:t>
              </w:r>
              <w:r w:rsidRPr="00465964">
                <w:rPr>
                  <w:rStyle w:val="Hyperlink"/>
                  <w:lang w:val="pt-PT"/>
                </w:rPr>
                <w:t>)</w:t>
              </w:r>
            </w:hyperlink>
            <w:r w:rsidRPr="00465964">
              <w:rPr>
                <w:lang w:val="pt-PT"/>
              </w:rPr>
              <w:t xml:space="preserve"> e (CE) </w:t>
            </w:r>
            <w:proofErr w:type="spellStart"/>
            <w:r w:rsidRPr="00465964">
              <w:rPr>
                <w:lang w:val="pt-PT"/>
              </w:rPr>
              <w:t>n.</w:t>
            </w:r>
            <w:r w:rsidRPr="00465964">
              <w:rPr>
                <w:vertAlign w:val="superscript"/>
                <w:lang w:val="pt-PT"/>
              </w:rPr>
              <w:t>o</w:t>
            </w:r>
            <w:proofErr w:type="spellEnd"/>
            <w:r w:rsidRPr="00465964">
              <w:rPr>
                <w:lang w:val="pt-PT"/>
              </w:rPr>
              <w:t> 987/2009 do Parlamento Europeu e do Conselho </w:t>
            </w:r>
            <w:hyperlink r:id="rId38" w:anchor="ntr31-L_2023150PT.01004001-E0031" w:history="1">
              <w:r w:rsidRPr="00465964">
                <w:rPr>
                  <w:rStyle w:val="Hyperlink"/>
                  <w:lang w:val="pt-PT"/>
                </w:rPr>
                <w:t>(</w:t>
              </w:r>
              <w:r w:rsidRPr="00465964">
                <w:rPr>
                  <w:rStyle w:val="Hyperlink"/>
                  <w:vertAlign w:val="superscript"/>
                  <w:lang w:val="pt-PT"/>
                </w:rPr>
                <w:t>31</w:t>
              </w:r>
              <w:r w:rsidRPr="00465964">
                <w:rPr>
                  <w:rStyle w:val="Hyperlink"/>
                  <w:lang w:val="pt-PT"/>
                </w:rPr>
                <w:t>)</w:t>
              </w:r>
            </w:hyperlink>
            <w:r w:rsidRPr="00465964">
              <w:rPr>
                <w:lang w:val="pt-PT"/>
              </w:rPr>
              <w:t>.</w:t>
            </w:r>
          </w:p>
        </w:tc>
      </w:tr>
    </w:tbl>
    <w:p w14:paraId="6A3A0D6A" w14:textId="77777777" w:rsidR="00465964" w:rsidRPr="00465964" w:rsidRDefault="00465964" w:rsidP="00465964">
      <w:pPr>
        <w:rPr>
          <w:lang w:val="pt-PT"/>
        </w:rPr>
      </w:pPr>
      <w:r w:rsidRPr="00465964">
        <w:rPr>
          <w:lang w:val="pt-PT"/>
        </w:rPr>
        <w:t xml:space="preserve">5.   Até 30 de dezembro de 2024, a ESMA emite, para efeitos do </w:t>
      </w:r>
      <w:proofErr w:type="spellStart"/>
      <w:r w:rsidRPr="00465964">
        <w:rPr>
          <w:lang w:val="pt-PT"/>
        </w:rPr>
        <w:t>n.</w:t>
      </w:r>
      <w:r w:rsidRPr="00465964">
        <w:rPr>
          <w:vertAlign w:val="superscript"/>
          <w:lang w:val="pt-PT"/>
        </w:rPr>
        <w:t>o</w:t>
      </w:r>
      <w:proofErr w:type="spellEnd"/>
      <w:r w:rsidRPr="00465964">
        <w:rPr>
          <w:lang w:val="pt-PT"/>
        </w:rPr>
        <w:t> 4, alínea a), do presente artigo, orientações em conformidade com o artigo 16.</w:t>
      </w:r>
      <w:r w:rsidRPr="00465964">
        <w:rPr>
          <w:vertAlign w:val="superscript"/>
          <w:lang w:val="pt-PT"/>
        </w:rPr>
        <w:t>o</w:t>
      </w:r>
      <w:r w:rsidRPr="00465964">
        <w:rPr>
          <w:lang w:val="pt-PT"/>
        </w:rPr>
        <w:t xml:space="preserve"> do Regulamento (UE) </w:t>
      </w:r>
      <w:proofErr w:type="spellStart"/>
      <w:r w:rsidRPr="00465964">
        <w:rPr>
          <w:lang w:val="pt-PT"/>
        </w:rPr>
        <w:t>n.</w:t>
      </w:r>
      <w:r w:rsidRPr="00465964">
        <w:rPr>
          <w:vertAlign w:val="superscript"/>
          <w:lang w:val="pt-PT"/>
        </w:rPr>
        <w:t>o</w:t>
      </w:r>
      <w:proofErr w:type="spellEnd"/>
      <w:r w:rsidRPr="00465964">
        <w:rPr>
          <w:lang w:val="pt-PT"/>
        </w:rPr>
        <w:t> 1095/2010 sobre as condições e os critérios para a classificação de criptoativos como instrumentos financeiros.</w:t>
      </w:r>
    </w:p>
    <w:p w14:paraId="50218ED2" w14:textId="77777777" w:rsidR="00465964" w:rsidRPr="00465964" w:rsidRDefault="00465964" w:rsidP="00465964">
      <w:pPr>
        <w:rPr>
          <w:lang w:val="pt-PT"/>
        </w:rPr>
      </w:pPr>
      <w:r w:rsidRPr="00465964">
        <w:rPr>
          <w:lang w:val="pt-PT"/>
        </w:rPr>
        <w:t xml:space="preserve">6.   O presente regulamento não prejudica o disposto no Regulamento (UE) </w:t>
      </w:r>
      <w:proofErr w:type="spellStart"/>
      <w:r w:rsidRPr="00465964">
        <w:rPr>
          <w:lang w:val="pt-PT"/>
        </w:rPr>
        <w:t>n.</w:t>
      </w:r>
      <w:r w:rsidRPr="00465964">
        <w:rPr>
          <w:vertAlign w:val="superscript"/>
          <w:lang w:val="pt-PT"/>
        </w:rPr>
        <w:t>o</w:t>
      </w:r>
      <w:proofErr w:type="spellEnd"/>
      <w:r w:rsidRPr="00465964">
        <w:rPr>
          <w:lang w:val="pt-PT"/>
        </w:rPr>
        <w:t> 1024/2013.</w:t>
      </w:r>
    </w:p>
    <w:p w14:paraId="3270FD09" w14:textId="77777777" w:rsidR="00465964" w:rsidRPr="00465964" w:rsidRDefault="00465964" w:rsidP="00465964">
      <w:pPr>
        <w:rPr>
          <w:i/>
          <w:iCs/>
          <w:lang w:val="pt-PT"/>
        </w:rPr>
      </w:pPr>
      <w:r w:rsidRPr="00465964">
        <w:rPr>
          <w:i/>
          <w:iCs/>
          <w:lang w:val="pt-PT"/>
        </w:rPr>
        <w:t>Artigo 3.</w:t>
      </w:r>
      <w:r w:rsidRPr="00465964">
        <w:rPr>
          <w:i/>
          <w:iCs/>
          <w:vertAlign w:val="superscript"/>
          <w:lang w:val="pt-PT"/>
        </w:rPr>
        <w:t>o</w:t>
      </w:r>
    </w:p>
    <w:p w14:paraId="33A80794" w14:textId="77777777" w:rsidR="00465964" w:rsidRPr="00465964" w:rsidRDefault="00465964" w:rsidP="00465964">
      <w:pPr>
        <w:rPr>
          <w:b/>
          <w:bCs/>
          <w:lang w:val="pt-PT"/>
        </w:rPr>
      </w:pPr>
      <w:r w:rsidRPr="00465964">
        <w:rPr>
          <w:b/>
          <w:bCs/>
          <w:lang w:val="pt-PT"/>
        </w:rPr>
        <w:t>Definições</w:t>
      </w:r>
    </w:p>
    <w:p w14:paraId="50379347" w14:textId="77777777" w:rsidR="00465964" w:rsidRPr="00465964" w:rsidRDefault="00465964" w:rsidP="00465964">
      <w:pPr>
        <w:rPr>
          <w:lang w:val="pt-PT"/>
        </w:rPr>
      </w:pPr>
      <w:r w:rsidRPr="00465964">
        <w:rPr>
          <w:lang w:val="pt-PT"/>
        </w:rPr>
        <w:t>1.   Para efeitos do presente regulamento, entende-se por:</w:t>
      </w:r>
    </w:p>
    <w:tbl>
      <w:tblPr>
        <w:tblW w:w="5000" w:type="pct"/>
        <w:tblCellMar>
          <w:left w:w="0" w:type="dxa"/>
          <w:right w:w="0" w:type="dxa"/>
        </w:tblCellMar>
        <w:tblLook w:val="04A0" w:firstRow="1" w:lastRow="0" w:firstColumn="1" w:lastColumn="0" w:noHBand="0" w:noVBand="1"/>
      </w:tblPr>
      <w:tblGrid>
        <w:gridCol w:w="182"/>
        <w:gridCol w:w="8844"/>
      </w:tblGrid>
      <w:tr w:rsidR="00465964" w:rsidRPr="00465964" w14:paraId="093C029B" w14:textId="77777777" w:rsidTr="00465964">
        <w:tc>
          <w:tcPr>
            <w:tcW w:w="0" w:type="auto"/>
            <w:shd w:val="clear" w:color="auto" w:fill="auto"/>
            <w:hideMark/>
          </w:tcPr>
          <w:p w14:paraId="7F19F4D0" w14:textId="77777777" w:rsidR="00465964" w:rsidRPr="00465964" w:rsidRDefault="00465964" w:rsidP="00465964">
            <w:r w:rsidRPr="00465964">
              <w:t>1)</w:t>
            </w:r>
          </w:p>
        </w:tc>
        <w:tc>
          <w:tcPr>
            <w:tcW w:w="0" w:type="auto"/>
            <w:shd w:val="clear" w:color="auto" w:fill="auto"/>
            <w:hideMark/>
          </w:tcPr>
          <w:p w14:paraId="21D1D097" w14:textId="77777777" w:rsidR="00465964" w:rsidRPr="00465964" w:rsidRDefault="00465964" w:rsidP="00465964">
            <w:pPr>
              <w:rPr>
                <w:lang w:val="pt-PT"/>
              </w:rPr>
            </w:pPr>
            <w:r w:rsidRPr="00465964">
              <w:rPr>
                <w:lang w:val="pt-PT"/>
              </w:rPr>
              <w:t>«Tecnologia de registo distribuído» ou «DLT» (do inglês, </w:t>
            </w:r>
            <w:proofErr w:type="spellStart"/>
            <w:r w:rsidRPr="00465964">
              <w:rPr>
                <w:i/>
                <w:iCs/>
                <w:lang w:val="pt-PT"/>
              </w:rPr>
              <w:t>distributed</w:t>
            </w:r>
            <w:proofErr w:type="spellEnd"/>
            <w:r w:rsidRPr="00465964">
              <w:rPr>
                <w:i/>
                <w:iCs/>
                <w:lang w:val="pt-PT"/>
              </w:rPr>
              <w:t xml:space="preserve"> </w:t>
            </w:r>
            <w:proofErr w:type="spellStart"/>
            <w:r w:rsidRPr="00465964">
              <w:rPr>
                <w:i/>
                <w:iCs/>
                <w:lang w:val="pt-PT"/>
              </w:rPr>
              <w:t>ledger</w:t>
            </w:r>
            <w:proofErr w:type="spellEnd"/>
            <w:r w:rsidRPr="00465964">
              <w:rPr>
                <w:i/>
                <w:iCs/>
                <w:lang w:val="pt-PT"/>
              </w:rPr>
              <w:t xml:space="preserve"> </w:t>
            </w:r>
            <w:proofErr w:type="spellStart"/>
            <w:r w:rsidRPr="00465964">
              <w:rPr>
                <w:i/>
                <w:iCs/>
                <w:lang w:val="pt-PT"/>
              </w:rPr>
              <w:t>technology</w:t>
            </w:r>
            <w:proofErr w:type="spellEnd"/>
            <w:r w:rsidRPr="00465964">
              <w:rPr>
                <w:lang w:val="pt-PT"/>
              </w:rPr>
              <w:t>), uma tecnologia que permite o funcionamento e a utilização de registos distribuídos;</w:t>
            </w:r>
          </w:p>
        </w:tc>
      </w:tr>
    </w:tbl>
    <w:p w14:paraId="5E3CAE4D"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2"/>
        <w:gridCol w:w="8844"/>
      </w:tblGrid>
      <w:tr w:rsidR="00465964" w:rsidRPr="00465964" w14:paraId="660BCC2A" w14:textId="77777777" w:rsidTr="00465964">
        <w:tc>
          <w:tcPr>
            <w:tcW w:w="0" w:type="auto"/>
            <w:shd w:val="clear" w:color="auto" w:fill="auto"/>
            <w:hideMark/>
          </w:tcPr>
          <w:p w14:paraId="58F7B070" w14:textId="77777777" w:rsidR="00465964" w:rsidRPr="00465964" w:rsidRDefault="00465964" w:rsidP="00465964">
            <w:r w:rsidRPr="00465964">
              <w:t>2)</w:t>
            </w:r>
          </w:p>
        </w:tc>
        <w:tc>
          <w:tcPr>
            <w:tcW w:w="0" w:type="auto"/>
            <w:shd w:val="clear" w:color="auto" w:fill="auto"/>
            <w:hideMark/>
          </w:tcPr>
          <w:p w14:paraId="3138AB2E" w14:textId="77777777" w:rsidR="00465964" w:rsidRPr="00465964" w:rsidRDefault="00465964" w:rsidP="00465964">
            <w:pPr>
              <w:rPr>
                <w:lang w:val="pt-PT"/>
              </w:rPr>
            </w:pPr>
            <w:r w:rsidRPr="00465964">
              <w:rPr>
                <w:lang w:val="pt-PT"/>
              </w:rPr>
              <w:t>«Registo distribuído», um repositório de informações que mantém registos das transações e é partilhado através de um conjunto de nós da rede DLT e se encontra sincronizado entre os nós da rede DLT utilizando um mecanismo de consenso;</w:t>
            </w:r>
          </w:p>
        </w:tc>
      </w:tr>
    </w:tbl>
    <w:p w14:paraId="6DA459E5"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2"/>
        <w:gridCol w:w="8844"/>
      </w:tblGrid>
      <w:tr w:rsidR="00465964" w:rsidRPr="00465964" w14:paraId="64879C13" w14:textId="77777777" w:rsidTr="00465964">
        <w:tc>
          <w:tcPr>
            <w:tcW w:w="0" w:type="auto"/>
            <w:shd w:val="clear" w:color="auto" w:fill="auto"/>
            <w:hideMark/>
          </w:tcPr>
          <w:p w14:paraId="5519A2F2" w14:textId="77777777" w:rsidR="00465964" w:rsidRPr="00465964" w:rsidRDefault="00465964" w:rsidP="00465964">
            <w:r w:rsidRPr="00465964">
              <w:lastRenderedPageBreak/>
              <w:t>3)</w:t>
            </w:r>
          </w:p>
        </w:tc>
        <w:tc>
          <w:tcPr>
            <w:tcW w:w="0" w:type="auto"/>
            <w:shd w:val="clear" w:color="auto" w:fill="auto"/>
            <w:hideMark/>
          </w:tcPr>
          <w:p w14:paraId="538D0863" w14:textId="77777777" w:rsidR="00465964" w:rsidRPr="00465964" w:rsidRDefault="00465964" w:rsidP="00465964">
            <w:pPr>
              <w:rPr>
                <w:lang w:val="pt-PT"/>
              </w:rPr>
            </w:pPr>
            <w:r w:rsidRPr="00465964">
              <w:rPr>
                <w:lang w:val="pt-PT"/>
              </w:rPr>
              <w:t>«Mecanismo de consenso», regras e procedimentos através dos quais se chega a acordo, entre os nós da rede DLT, em como uma transação está validada;</w:t>
            </w:r>
          </w:p>
        </w:tc>
      </w:tr>
    </w:tbl>
    <w:p w14:paraId="417B6423"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2"/>
        <w:gridCol w:w="8844"/>
      </w:tblGrid>
      <w:tr w:rsidR="00465964" w:rsidRPr="00465964" w14:paraId="6BAB13E8" w14:textId="77777777" w:rsidTr="00465964">
        <w:tc>
          <w:tcPr>
            <w:tcW w:w="0" w:type="auto"/>
            <w:shd w:val="clear" w:color="auto" w:fill="auto"/>
            <w:hideMark/>
          </w:tcPr>
          <w:p w14:paraId="35BD6763" w14:textId="77777777" w:rsidR="00465964" w:rsidRPr="00465964" w:rsidRDefault="00465964" w:rsidP="00465964">
            <w:r w:rsidRPr="00465964">
              <w:t>4)</w:t>
            </w:r>
          </w:p>
        </w:tc>
        <w:tc>
          <w:tcPr>
            <w:tcW w:w="0" w:type="auto"/>
            <w:shd w:val="clear" w:color="auto" w:fill="auto"/>
            <w:hideMark/>
          </w:tcPr>
          <w:p w14:paraId="3E33FE2F" w14:textId="77777777" w:rsidR="00465964" w:rsidRPr="00465964" w:rsidRDefault="00465964" w:rsidP="00465964">
            <w:pPr>
              <w:rPr>
                <w:lang w:val="pt-PT"/>
              </w:rPr>
            </w:pPr>
            <w:r w:rsidRPr="00465964">
              <w:rPr>
                <w:lang w:val="pt-PT"/>
              </w:rPr>
              <w:t>«Nó da rede DLT», um dispositivo ou processo que faz parte de uma rede e que detém uma réplica total ou parcial de registos de todas as transações num registo distribuído;</w:t>
            </w:r>
          </w:p>
        </w:tc>
      </w:tr>
    </w:tbl>
    <w:p w14:paraId="1D27AC63"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2"/>
        <w:gridCol w:w="8844"/>
      </w:tblGrid>
      <w:tr w:rsidR="00465964" w:rsidRPr="00465964" w14:paraId="22FAA159" w14:textId="77777777" w:rsidTr="00465964">
        <w:tc>
          <w:tcPr>
            <w:tcW w:w="0" w:type="auto"/>
            <w:shd w:val="clear" w:color="auto" w:fill="auto"/>
            <w:hideMark/>
          </w:tcPr>
          <w:p w14:paraId="160D043F" w14:textId="77777777" w:rsidR="00465964" w:rsidRPr="00465964" w:rsidRDefault="00465964" w:rsidP="00465964">
            <w:r w:rsidRPr="00465964">
              <w:t>5)</w:t>
            </w:r>
          </w:p>
        </w:tc>
        <w:tc>
          <w:tcPr>
            <w:tcW w:w="0" w:type="auto"/>
            <w:shd w:val="clear" w:color="auto" w:fill="auto"/>
            <w:hideMark/>
          </w:tcPr>
          <w:p w14:paraId="0C6893CC" w14:textId="77777777" w:rsidR="00465964" w:rsidRPr="00465964" w:rsidRDefault="00465964" w:rsidP="00465964">
            <w:pPr>
              <w:rPr>
                <w:lang w:val="pt-PT"/>
              </w:rPr>
            </w:pPr>
            <w:r w:rsidRPr="00465964">
              <w:rPr>
                <w:lang w:val="pt-PT"/>
              </w:rPr>
              <w:t>«Criptoativo», uma representação digital de um valor ou de um direito que pode ser transferida e armazenada eletronicamente, recorrendo à tecnologia de registo distribuído ou a uma tecnologia semelhante;</w:t>
            </w:r>
          </w:p>
        </w:tc>
      </w:tr>
    </w:tbl>
    <w:p w14:paraId="040C9B91"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2"/>
        <w:gridCol w:w="8844"/>
      </w:tblGrid>
      <w:tr w:rsidR="00465964" w:rsidRPr="00465964" w14:paraId="15ED5DF6" w14:textId="77777777" w:rsidTr="00465964">
        <w:tc>
          <w:tcPr>
            <w:tcW w:w="0" w:type="auto"/>
            <w:shd w:val="clear" w:color="auto" w:fill="auto"/>
            <w:hideMark/>
          </w:tcPr>
          <w:p w14:paraId="72B8C10C" w14:textId="77777777" w:rsidR="00465964" w:rsidRPr="00465964" w:rsidRDefault="00465964" w:rsidP="00465964">
            <w:r w:rsidRPr="00465964">
              <w:t>6)</w:t>
            </w:r>
          </w:p>
        </w:tc>
        <w:tc>
          <w:tcPr>
            <w:tcW w:w="0" w:type="auto"/>
            <w:shd w:val="clear" w:color="auto" w:fill="auto"/>
            <w:hideMark/>
          </w:tcPr>
          <w:p w14:paraId="34D2CC1E" w14:textId="77777777" w:rsidR="00465964" w:rsidRPr="00465964" w:rsidRDefault="00465964" w:rsidP="00465964">
            <w:pPr>
              <w:rPr>
                <w:lang w:val="pt-PT"/>
              </w:rPr>
            </w:pPr>
            <w:r w:rsidRPr="00465964">
              <w:rPr>
                <w:lang w:val="pt-PT"/>
              </w:rPr>
              <w:t>«</w:t>
            </w:r>
            <w:proofErr w:type="spellStart"/>
            <w:r w:rsidRPr="00465964">
              <w:rPr>
                <w:lang w:val="pt-PT"/>
              </w:rPr>
              <w:t>Criptoficha</w:t>
            </w:r>
            <w:proofErr w:type="spellEnd"/>
            <w:r w:rsidRPr="00465964">
              <w:rPr>
                <w:lang w:val="pt-PT"/>
              </w:rPr>
              <w:t xml:space="preserve"> referenciada a ativos», um tipo de criptoativo que não é uma </w:t>
            </w:r>
            <w:proofErr w:type="spellStart"/>
            <w:r w:rsidRPr="00465964">
              <w:rPr>
                <w:lang w:val="pt-PT"/>
              </w:rPr>
              <w:t>criptoficha</w:t>
            </w:r>
            <w:proofErr w:type="spellEnd"/>
            <w:r w:rsidRPr="00465964">
              <w:rPr>
                <w:lang w:val="pt-PT"/>
              </w:rPr>
              <w:t xml:space="preserve"> de moeda eletrónica e que procura manter um valor estável por referência a outro valor ou direito, ou a uma combinação de ambos, nomeadamente uma ou várias moedas oficiais;</w:t>
            </w:r>
          </w:p>
        </w:tc>
      </w:tr>
    </w:tbl>
    <w:p w14:paraId="4E3A6FA6"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2"/>
        <w:gridCol w:w="8844"/>
      </w:tblGrid>
      <w:tr w:rsidR="00465964" w:rsidRPr="00465964" w14:paraId="6048E7D3" w14:textId="77777777" w:rsidTr="00465964">
        <w:tc>
          <w:tcPr>
            <w:tcW w:w="0" w:type="auto"/>
            <w:shd w:val="clear" w:color="auto" w:fill="auto"/>
            <w:hideMark/>
          </w:tcPr>
          <w:p w14:paraId="32D9FF82" w14:textId="77777777" w:rsidR="00465964" w:rsidRPr="00465964" w:rsidRDefault="00465964" w:rsidP="00465964">
            <w:r w:rsidRPr="00465964">
              <w:t>7)</w:t>
            </w:r>
          </w:p>
        </w:tc>
        <w:tc>
          <w:tcPr>
            <w:tcW w:w="0" w:type="auto"/>
            <w:shd w:val="clear" w:color="auto" w:fill="auto"/>
            <w:hideMark/>
          </w:tcPr>
          <w:p w14:paraId="702BEDA6" w14:textId="77777777" w:rsidR="00465964" w:rsidRPr="00465964" w:rsidRDefault="00465964" w:rsidP="00465964">
            <w:pPr>
              <w:rPr>
                <w:lang w:val="pt-PT"/>
              </w:rPr>
            </w:pPr>
            <w:r w:rsidRPr="00465964">
              <w:rPr>
                <w:lang w:val="pt-PT"/>
              </w:rPr>
              <w:t>«</w:t>
            </w:r>
            <w:proofErr w:type="spellStart"/>
            <w:r w:rsidRPr="00465964">
              <w:rPr>
                <w:lang w:val="pt-PT"/>
              </w:rPr>
              <w:t>Criptoficha</w:t>
            </w:r>
            <w:proofErr w:type="spellEnd"/>
            <w:r w:rsidRPr="00465964">
              <w:rPr>
                <w:lang w:val="pt-PT"/>
              </w:rPr>
              <w:t xml:space="preserve"> de moeda eletrónica», um tipo de criptoativo que procura manter um valor estável por referência ao valor de uma moeda oficial;</w:t>
            </w:r>
          </w:p>
        </w:tc>
      </w:tr>
    </w:tbl>
    <w:p w14:paraId="67F2607E"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2"/>
        <w:gridCol w:w="8844"/>
      </w:tblGrid>
      <w:tr w:rsidR="00465964" w:rsidRPr="00465964" w14:paraId="209114F4" w14:textId="77777777" w:rsidTr="00465964">
        <w:tc>
          <w:tcPr>
            <w:tcW w:w="0" w:type="auto"/>
            <w:shd w:val="clear" w:color="auto" w:fill="auto"/>
            <w:hideMark/>
          </w:tcPr>
          <w:p w14:paraId="586CAF9E" w14:textId="77777777" w:rsidR="00465964" w:rsidRPr="00465964" w:rsidRDefault="00465964" w:rsidP="00465964">
            <w:r w:rsidRPr="00465964">
              <w:t>8)</w:t>
            </w:r>
          </w:p>
        </w:tc>
        <w:tc>
          <w:tcPr>
            <w:tcW w:w="0" w:type="auto"/>
            <w:shd w:val="clear" w:color="auto" w:fill="auto"/>
            <w:hideMark/>
          </w:tcPr>
          <w:p w14:paraId="5C9A252D" w14:textId="77777777" w:rsidR="00465964" w:rsidRPr="00465964" w:rsidRDefault="00465964" w:rsidP="00465964">
            <w:pPr>
              <w:rPr>
                <w:lang w:val="pt-PT"/>
              </w:rPr>
            </w:pPr>
            <w:r w:rsidRPr="00465964">
              <w:rPr>
                <w:lang w:val="pt-PT"/>
              </w:rPr>
              <w:t>«Moeda oficial», uma moeda oficial de um país que é emitida por um banco central ou por outra autoridade monetária;</w:t>
            </w:r>
          </w:p>
        </w:tc>
      </w:tr>
    </w:tbl>
    <w:p w14:paraId="78DD93CD"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2"/>
        <w:gridCol w:w="8844"/>
      </w:tblGrid>
      <w:tr w:rsidR="00465964" w:rsidRPr="00465964" w14:paraId="6018F38F" w14:textId="77777777" w:rsidTr="00465964">
        <w:tc>
          <w:tcPr>
            <w:tcW w:w="0" w:type="auto"/>
            <w:shd w:val="clear" w:color="auto" w:fill="auto"/>
            <w:hideMark/>
          </w:tcPr>
          <w:p w14:paraId="677C2465" w14:textId="77777777" w:rsidR="00465964" w:rsidRPr="00465964" w:rsidRDefault="00465964" w:rsidP="00465964">
            <w:r w:rsidRPr="00465964">
              <w:t>9)</w:t>
            </w:r>
          </w:p>
        </w:tc>
        <w:tc>
          <w:tcPr>
            <w:tcW w:w="0" w:type="auto"/>
            <w:shd w:val="clear" w:color="auto" w:fill="auto"/>
            <w:hideMark/>
          </w:tcPr>
          <w:p w14:paraId="208D1986" w14:textId="77777777" w:rsidR="00465964" w:rsidRPr="00465964" w:rsidRDefault="00465964" w:rsidP="00465964">
            <w:pPr>
              <w:rPr>
                <w:lang w:val="pt-PT"/>
              </w:rPr>
            </w:pPr>
            <w:r w:rsidRPr="00465964">
              <w:rPr>
                <w:lang w:val="pt-PT"/>
              </w:rPr>
              <w:t>«</w:t>
            </w:r>
            <w:proofErr w:type="spellStart"/>
            <w:r w:rsidRPr="00465964">
              <w:rPr>
                <w:lang w:val="pt-PT"/>
              </w:rPr>
              <w:t>Criptoficha</w:t>
            </w:r>
            <w:proofErr w:type="spellEnd"/>
            <w:r w:rsidRPr="00465964">
              <w:rPr>
                <w:lang w:val="pt-PT"/>
              </w:rPr>
              <w:t xml:space="preserve"> de consumo», um tipo de criptoativo destinado exclusivamente a facultar o acesso a um bem ou serviço prestado pelo emitente dessa </w:t>
            </w:r>
            <w:proofErr w:type="spellStart"/>
            <w:r w:rsidRPr="00465964">
              <w:rPr>
                <w:lang w:val="pt-PT"/>
              </w:rPr>
              <w:t>criptoficha</w:t>
            </w:r>
            <w:proofErr w:type="spellEnd"/>
            <w:r w:rsidRPr="00465964">
              <w:rPr>
                <w:lang w:val="pt-PT"/>
              </w:rPr>
              <w:t>;</w:t>
            </w:r>
          </w:p>
        </w:tc>
      </w:tr>
    </w:tbl>
    <w:p w14:paraId="38449289"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317"/>
        <w:gridCol w:w="8709"/>
      </w:tblGrid>
      <w:tr w:rsidR="00465964" w:rsidRPr="00465964" w14:paraId="4C777FAF" w14:textId="77777777" w:rsidTr="00465964">
        <w:tc>
          <w:tcPr>
            <w:tcW w:w="0" w:type="auto"/>
            <w:shd w:val="clear" w:color="auto" w:fill="auto"/>
            <w:hideMark/>
          </w:tcPr>
          <w:p w14:paraId="39B66697" w14:textId="77777777" w:rsidR="00465964" w:rsidRPr="00465964" w:rsidRDefault="00465964" w:rsidP="00465964">
            <w:r w:rsidRPr="00465964">
              <w:t>10)</w:t>
            </w:r>
          </w:p>
        </w:tc>
        <w:tc>
          <w:tcPr>
            <w:tcW w:w="0" w:type="auto"/>
            <w:shd w:val="clear" w:color="auto" w:fill="auto"/>
            <w:hideMark/>
          </w:tcPr>
          <w:p w14:paraId="258A7A03" w14:textId="77777777" w:rsidR="00465964" w:rsidRPr="00465964" w:rsidRDefault="00465964" w:rsidP="00465964">
            <w:pPr>
              <w:rPr>
                <w:lang w:val="pt-PT"/>
              </w:rPr>
            </w:pPr>
            <w:r w:rsidRPr="00465964">
              <w:rPr>
                <w:lang w:val="pt-PT"/>
              </w:rPr>
              <w:t>«Emitente», uma pessoa singular ou coletiva, ou outra empresa, que emite criptoativos;</w:t>
            </w:r>
          </w:p>
        </w:tc>
      </w:tr>
    </w:tbl>
    <w:p w14:paraId="1F6A3810"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300"/>
        <w:gridCol w:w="8726"/>
      </w:tblGrid>
      <w:tr w:rsidR="00465964" w:rsidRPr="00465964" w14:paraId="07B00023" w14:textId="77777777" w:rsidTr="00465964">
        <w:tc>
          <w:tcPr>
            <w:tcW w:w="0" w:type="auto"/>
            <w:shd w:val="clear" w:color="auto" w:fill="auto"/>
            <w:hideMark/>
          </w:tcPr>
          <w:p w14:paraId="48F58F56" w14:textId="77777777" w:rsidR="00465964" w:rsidRPr="00465964" w:rsidRDefault="00465964" w:rsidP="00465964">
            <w:r w:rsidRPr="00465964">
              <w:t>11)</w:t>
            </w:r>
          </w:p>
        </w:tc>
        <w:tc>
          <w:tcPr>
            <w:tcW w:w="0" w:type="auto"/>
            <w:shd w:val="clear" w:color="auto" w:fill="auto"/>
            <w:hideMark/>
          </w:tcPr>
          <w:p w14:paraId="0F88A1B3" w14:textId="6E32AB38" w:rsidR="00465964" w:rsidRPr="00465964" w:rsidRDefault="00465964" w:rsidP="00465964">
            <w:pPr>
              <w:rPr>
                <w:lang w:val="pt-PT"/>
              </w:rPr>
            </w:pPr>
            <w:r w:rsidRPr="00465964">
              <w:rPr>
                <w:lang w:val="pt-PT"/>
              </w:rPr>
              <w:t xml:space="preserve">«Emitente requerente», um emitente de </w:t>
            </w:r>
            <w:r>
              <w:rPr>
                <w:lang w:val="pt-PT"/>
              </w:rPr>
              <w:t>criptomoedas</w:t>
            </w:r>
            <w:r w:rsidRPr="00465964">
              <w:rPr>
                <w:lang w:val="pt-PT"/>
              </w:rPr>
              <w:t xml:space="preserve"> referenciadas a ativos ou </w:t>
            </w:r>
            <w:r>
              <w:rPr>
                <w:lang w:val="pt-PT"/>
              </w:rPr>
              <w:t>criptomoedas</w:t>
            </w:r>
            <w:r w:rsidRPr="00465964">
              <w:rPr>
                <w:lang w:val="pt-PT"/>
              </w:rPr>
              <w:t xml:space="preserve"> de moeda eletrónica que requer autorização para fazer uma oferta pública ou solicita admissão à negociação desses criptoativos;</w:t>
            </w:r>
          </w:p>
        </w:tc>
      </w:tr>
    </w:tbl>
    <w:p w14:paraId="0601E35C"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300"/>
        <w:gridCol w:w="8726"/>
      </w:tblGrid>
      <w:tr w:rsidR="00465964" w:rsidRPr="00465964" w14:paraId="56CA3669" w14:textId="77777777" w:rsidTr="00465964">
        <w:tc>
          <w:tcPr>
            <w:tcW w:w="0" w:type="auto"/>
            <w:shd w:val="clear" w:color="auto" w:fill="auto"/>
            <w:hideMark/>
          </w:tcPr>
          <w:p w14:paraId="117BED15" w14:textId="77777777" w:rsidR="00465964" w:rsidRPr="00465964" w:rsidRDefault="00465964" w:rsidP="00465964">
            <w:r w:rsidRPr="00465964">
              <w:t>12)</w:t>
            </w:r>
          </w:p>
        </w:tc>
        <w:tc>
          <w:tcPr>
            <w:tcW w:w="0" w:type="auto"/>
            <w:shd w:val="clear" w:color="auto" w:fill="auto"/>
            <w:hideMark/>
          </w:tcPr>
          <w:p w14:paraId="5A42FBFE" w14:textId="77777777" w:rsidR="00465964" w:rsidRPr="00465964" w:rsidRDefault="00465964" w:rsidP="00465964">
            <w:pPr>
              <w:rPr>
                <w:lang w:val="pt-PT"/>
              </w:rPr>
            </w:pPr>
            <w:r w:rsidRPr="00465964">
              <w:rPr>
                <w:lang w:val="pt-PT"/>
              </w:rPr>
              <w:t xml:space="preserve">«Oferta pública», uma comunicação ao público, independentemente da sua forma e dos meios utilizados, que apresenta informações suficientes sobre os termos da oferta e sobre os criptoativos em causa, </w:t>
            </w:r>
            <w:proofErr w:type="gramStart"/>
            <w:r w:rsidRPr="00465964">
              <w:rPr>
                <w:lang w:val="pt-PT"/>
              </w:rPr>
              <w:t>de modo a que</w:t>
            </w:r>
            <w:proofErr w:type="gramEnd"/>
            <w:r w:rsidRPr="00465964">
              <w:rPr>
                <w:lang w:val="pt-PT"/>
              </w:rPr>
              <w:t xml:space="preserve"> potenciais detentores possam decidir se adquirem ou não esses criptoativos;</w:t>
            </w:r>
          </w:p>
        </w:tc>
      </w:tr>
    </w:tbl>
    <w:p w14:paraId="26962CA4"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300"/>
        <w:gridCol w:w="8726"/>
      </w:tblGrid>
      <w:tr w:rsidR="00465964" w:rsidRPr="00465964" w14:paraId="55366BA6" w14:textId="77777777" w:rsidTr="00465964">
        <w:tc>
          <w:tcPr>
            <w:tcW w:w="0" w:type="auto"/>
            <w:shd w:val="clear" w:color="auto" w:fill="auto"/>
            <w:hideMark/>
          </w:tcPr>
          <w:p w14:paraId="6A3B68E4" w14:textId="77777777" w:rsidR="00465964" w:rsidRPr="00465964" w:rsidRDefault="00465964" w:rsidP="00465964">
            <w:r w:rsidRPr="00465964">
              <w:t>13)</w:t>
            </w:r>
          </w:p>
        </w:tc>
        <w:tc>
          <w:tcPr>
            <w:tcW w:w="0" w:type="auto"/>
            <w:shd w:val="clear" w:color="auto" w:fill="auto"/>
            <w:hideMark/>
          </w:tcPr>
          <w:p w14:paraId="0433E074" w14:textId="77777777" w:rsidR="00465964" w:rsidRPr="00465964" w:rsidRDefault="00465964" w:rsidP="00465964">
            <w:pPr>
              <w:rPr>
                <w:lang w:val="pt-PT"/>
              </w:rPr>
            </w:pPr>
            <w:r w:rsidRPr="00465964">
              <w:rPr>
                <w:lang w:val="pt-PT"/>
              </w:rPr>
              <w:t>«Oferente», uma pessoa singular ou coletiva, outra empresa ou o emitente que faz uma oferta pública de criptoativos;</w:t>
            </w:r>
          </w:p>
        </w:tc>
      </w:tr>
    </w:tbl>
    <w:p w14:paraId="23CCB146"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336"/>
        <w:gridCol w:w="8690"/>
      </w:tblGrid>
      <w:tr w:rsidR="00465964" w:rsidRPr="00465964" w14:paraId="7C4D02AF" w14:textId="77777777" w:rsidTr="00465964">
        <w:tc>
          <w:tcPr>
            <w:tcW w:w="0" w:type="auto"/>
            <w:shd w:val="clear" w:color="auto" w:fill="auto"/>
            <w:hideMark/>
          </w:tcPr>
          <w:p w14:paraId="7EB98878" w14:textId="77777777" w:rsidR="00465964" w:rsidRPr="00465964" w:rsidRDefault="00465964" w:rsidP="00465964">
            <w:r w:rsidRPr="00465964">
              <w:t>14)</w:t>
            </w:r>
          </w:p>
        </w:tc>
        <w:tc>
          <w:tcPr>
            <w:tcW w:w="0" w:type="auto"/>
            <w:shd w:val="clear" w:color="auto" w:fill="auto"/>
            <w:hideMark/>
          </w:tcPr>
          <w:p w14:paraId="2EB54CB8" w14:textId="77777777" w:rsidR="00465964" w:rsidRPr="00465964" w:rsidRDefault="00465964" w:rsidP="00465964">
            <w:pPr>
              <w:rPr>
                <w:lang w:val="pt-PT"/>
              </w:rPr>
            </w:pPr>
            <w:r w:rsidRPr="00465964">
              <w:rPr>
                <w:lang w:val="pt-PT"/>
              </w:rPr>
              <w:t>«Fundos», os fundos na aceção do artigo 4.</w:t>
            </w:r>
            <w:r w:rsidRPr="00465964">
              <w:rPr>
                <w:vertAlign w:val="superscript"/>
                <w:lang w:val="pt-PT"/>
              </w:rPr>
              <w:t>o</w:t>
            </w:r>
            <w:r w:rsidRPr="00465964">
              <w:rPr>
                <w:lang w:val="pt-PT"/>
              </w:rPr>
              <w:t>, ponto 25, da Diretiva (UE) 2015/2366;</w:t>
            </w:r>
          </w:p>
        </w:tc>
      </w:tr>
    </w:tbl>
    <w:p w14:paraId="316CFD98"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300"/>
        <w:gridCol w:w="8726"/>
      </w:tblGrid>
      <w:tr w:rsidR="00465964" w:rsidRPr="00465964" w14:paraId="396054D5" w14:textId="77777777" w:rsidTr="00465964">
        <w:tc>
          <w:tcPr>
            <w:tcW w:w="0" w:type="auto"/>
            <w:shd w:val="clear" w:color="auto" w:fill="auto"/>
            <w:hideMark/>
          </w:tcPr>
          <w:p w14:paraId="3D497A2C" w14:textId="77777777" w:rsidR="00465964" w:rsidRPr="00465964" w:rsidRDefault="00465964" w:rsidP="00465964">
            <w:r w:rsidRPr="00465964">
              <w:t>15)</w:t>
            </w:r>
          </w:p>
        </w:tc>
        <w:tc>
          <w:tcPr>
            <w:tcW w:w="0" w:type="auto"/>
            <w:shd w:val="clear" w:color="auto" w:fill="auto"/>
            <w:hideMark/>
          </w:tcPr>
          <w:p w14:paraId="46E0CE8A" w14:textId="77777777" w:rsidR="00465964" w:rsidRPr="00465964" w:rsidRDefault="00465964" w:rsidP="00465964">
            <w:pPr>
              <w:rPr>
                <w:lang w:val="pt-PT"/>
              </w:rPr>
            </w:pPr>
            <w:r w:rsidRPr="00465964">
              <w:rPr>
                <w:lang w:val="pt-PT"/>
              </w:rPr>
              <w:t xml:space="preserve">«Prestador de serviços de criptoativos», uma pessoa coletiva ou outra empresa </w:t>
            </w:r>
            <w:proofErr w:type="gramStart"/>
            <w:r w:rsidRPr="00465964">
              <w:rPr>
                <w:lang w:val="pt-PT"/>
              </w:rPr>
              <w:t>cuja ocupação ou atividade económica seja</w:t>
            </w:r>
            <w:proofErr w:type="gramEnd"/>
            <w:r w:rsidRPr="00465964">
              <w:rPr>
                <w:lang w:val="pt-PT"/>
              </w:rPr>
              <w:t xml:space="preserve"> a prestação de um ou mais serviços de criptoativos a clientes a título profissional e que está autorizada a prestar serviços de criptoativos nos termos do artigo 59.</w:t>
            </w:r>
            <w:r w:rsidRPr="00465964">
              <w:rPr>
                <w:vertAlign w:val="superscript"/>
                <w:lang w:val="pt-PT"/>
              </w:rPr>
              <w:t>o</w:t>
            </w:r>
            <w:r w:rsidRPr="00465964">
              <w:rPr>
                <w:lang w:val="pt-PT"/>
              </w:rPr>
              <w:t>;</w:t>
            </w:r>
          </w:p>
        </w:tc>
      </w:tr>
    </w:tbl>
    <w:p w14:paraId="3FA33AE8"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300"/>
        <w:gridCol w:w="8726"/>
      </w:tblGrid>
      <w:tr w:rsidR="00465964" w:rsidRPr="00465964" w14:paraId="2B29BC64" w14:textId="77777777" w:rsidTr="00465964">
        <w:tc>
          <w:tcPr>
            <w:tcW w:w="0" w:type="auto"/>
            <w:shd w:val="clear" w:color="auto" w:fill="auto"/>
            <w:hideMark/>
          </w:tcPr>
          <w:p w14:paraId="7417B3B7" w14:textId="77777777" w:rsidR="00465964" w:rsidRPr="00465964" w:rsidRDefault="00465964" w:rsidP="00465964">
            <w:r w:rsidRPr="00465964">
              <w:t>16)</w:t>
            </w:r>
          </w:p>
        </w:tc>
        <w:tc>
          <w:tcPr>
            <w:tcW w:w="0" w:type="auto"/>
            <w:shd w:val="clear" w:color="auto" w:fill="auto"/>
            <w:hideMark/>
          </w:tcPr>
          <w:p w14:paraId="4C5660BA" w14:textId="77777777" w:rsidR="00465964" w:rsidRPr="00465964" w:rsidRDefault="00465964" w:rsidP="00465964">
            <w:pPr>
              <w:rPr>
                <w:lang w:val="pt-PT"/>
              </w:rPr>
            </w:pPr>
            <w:r w:rsidRPr="00465964">
              <w:rPr>
                <w:lang w:val="pt-PT"/>
              </w:rPr>
              <w:t>«Serviço de criptoativo», qualquer um dos seguintes serviços e atividades relacionados com qualquer criptoativo:</w:t>
            </w:r>
          </w:p>
          <w:tbl>
            <w:tblPr>
              <w:tblW w:w="5000" w:type="pct"/>
              <w:tblCellMar>
                <w:left w:w="0" w:type="dxa"/>
                <w:right w:w="0" w:type="dxa"/>
              </w:tblCellMar>
              <w:tblLook w:val="04A0" w:firstRow="1" w:lastRow="0" w:firstColumn="1" w:lastColumn="0" w:noHBand="0" w:noVBand="1"/>
            </w:tblPr>
            <w:tblGrid>
              <w:gridCol w:w="258"/>
              <w:gridCol w:w="8468"/>
            </w:tblGrid>
            <w:tr w:rsidR="00465964" w:rsidRPr="00465964" w14:paraId="059CC681" w14:textId="77777777">
              <w:tc>
                <w:tcPr>
                  <w:tcW w:w="0" w:type="auto"/>
                  <w:shd w:val="clear" w:color="auto" w:fill="auto"/>
                  <w:hideMark/>
                </w:tcPr>
                <w:p w14:paraId="28C9931E" w14:textId="77777777" w:rsidR="00465964" w:rsidRPr="00465964" w:rsidRDefault="00465964" w:rsidP="00465964">
                  <w:r w:rsidRPr="00465964">
                    <w:t>a)</w:t>
                  </w:r>
                </w:p>
              </w:tc>
              <w:tc>
                <w:tcPr>
                  <w:tcW w:w="0" w:type="auto"/>
                  <w:shd w:val="clear" w:color="auto" w:fill="auto"/>
                  <w:hideMark/>
                </w:tcPr>
                <w:p w14:paraId="581DADAE" w14:textId="77777777" w:rsidR="00465964" w:rsidRPr="00465964" w:rsidRDefault="00465964" w:rsidP="00465964">
                  <w:pPr>
                    <w:rPr>
                      <w:lang w:val="pt-PT"/>
                    </w:rPr>
                  </w:pPr>
                  <w:r w:rsidRPr="00465964">
                    <w:rPr>
                      <w:lang w:val="pt-PT"/>
                    </w:rPr>
                    <w:t>Custódia e administração de criptoativos em nome de clientes;</w:t>
                  </w:r>
                </w:p>
              </w:tc>
            </w:tr>
          </w:tbl>
          <w:p w14:paraId="6A77F19E"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278"/>
              <w:gridCol w:w="8448"/>
            </w:tblGrid>
            <w:tr w:rsidR="00465964" w:rsidRPr="00465964" w14:paraId="70E64686" w14:textId="77777777">
              <w:tc>
                <w:tcPr>
                  <w:tcW w:w="0" w:type="auto"/>
                  <w:shd w:val="clear" w:color="auto" w:fill="auto"/>
                  <w:hideMark/>
                </w:tcPr>
                <w:p w14:paraId="167D216D" w14:textId="77777777" w:rsidR="00465964" w:rsidRPr="00465964" w:rsidRDefault="00465964" w:rsidP="00465964">
                  <w:r w:rsidRPr="00465964">
                    <w:t>b)</w:t>
                  </w:r>
                </w:p>
              </w:tc>
              <w:tc>
                <w:tcPr>
                  <w:tcW w:w="0" w:type="auto"/>
                  <w:shd w:val="clear" w:color="auto" w:fill="auto"/>
                  <w:hideMark/>
                </w:tcPr>
                <w:p w14:paraId="59782312" w14:textId="77777777" w:rsidR="00465964" w:rsidRPr="00465964" w:rsidRDefault="00465964" w:rsidP="00465964">
                  <w:pPr>
                    <w:rPr>
                      <w:lang w:val="pt-PT"/>
                    </w:rPr>
                  </w:pPr>
                  <w:r w:rsidRPr="00465964">
                    <w:rPr>
                      <w:lang w:val="pt-PT"/>
                    </w:rPr>
                    <w:t>Operação de uma plataforma de negociação de criptoativos;</w:t>
                  </w:r>
                </w:p>
              </w:tc>
            </w:tr>
          </w:tbl>
          <w:p w14:paraId="4D2C6C7A"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479"/>
              <w:gridCol w:w="8247"/>
            </w:tblGrid>
            <w:tr w:rsidR="00465964" w:rsidRPr="00465964" w14:paraId="3C70AD63" w14:textId="77777777">
              <w:tc>
                <w:tcPr>
                  <w:tcW w:w="0" w:type="auto"/>
                  <w:shd w:val="clear" w:color="auto" w:fill="auto"/>
                  <w:hideMark/>
                </w:tcPr>
                <w:p w14:paraId="3C4A7071" w14:textId="77777777" w:rsidR="00465964" w:rsidRPr="00465964" w:rsidRDefault="00465964" w:rsidP="00465964">
                  <w:r w:rsidRPr="00465964">
                    <w:t>c)</w:t>
                  </w:r>
                </w:p>
              </w:tc>
              <w:tc>
                <w:tcPr>
                  <w:tcW w:w="0" w:type="auto"/>
                  <w:shd w:val="clear" w:color="auto" w:fill="auto"/>
                  <w:hideMark/>
                </w:tcPr>
                <w:p w14:paraId="0EC87D04" w14:textId="77777777" w:rsidR="00465964" w:rsidRPr="00465964" w:rsidRDefault="00465964" w:rsidP="00465964">
                  <w:pPr>
                    <w:rPr>
                      <w:lang w:val="pt-PT"/>
                    </w:rPr>
                  </w:pPr>
                  <w:r w:rsidRPr="00465964">
                    <w:rPr>
                      <w:lang w:val="pt-PT"/>
                    </w:rPr>
                    <w:t>Troca de criptoativos por fundos;</w:t>
                  </w:r>
                </w:p>
              </w:tc>
            </w:tr>
          </w:tbl>
          <w:p w14:paraId="49B88BE0"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373"/>
              <w:gridCol w:w="8353"/>
            </w:tblGrid>
            <w:tr w:rsidR="00465964" w:rsidRPr="00465964" w14:paraId="62ABAFEF" w14:textId="77777777">
              <w:tc>
                <w:tcPr>
                  <w:tcW w:w="0" w:type="auto"/>
                  <w:shd w:val="clear" w:color="auto" w:fill="auto"/>
                  <w:hideMark/>
                </w:tcPr>
                <w:p w14:paraId="47DAF335" w14:textId="77777777" w:rsidR="00465964" w:rsidRPr="00465964" w:rsidRDefault="00465964" w:rsidP="00465964">
                  <w:r w:rsidRPr="00465964">
                    <w:t>d)</w:t>
                  </w:r>
                </w:p>
              </w:tc>
              <w:tc>
                <w:tcPr>
                  <w:tcW w:w="0" w:type="auto"/>
                  <w:shd w:val="clear" w:color="auto" w:fill="auto"/>
                  <w:hideMark/>
                </w:tcPr>
                <w:p w14:paraId="35B10222" w14:textId="77777777" w:rsidR="00465964" w:rsidRPr="00465964" w:rsidRDefault="00465964" w:rsidP="00465964">
                  <w:pPr>
                    <w:rPr>
                      <w:lang w:val="pt-PT"/>
                    </w:rPr>
                  </w:pPr>
                  <w:r w:rsidRPr="00465964">
                    <w:rPr>
                      <w:lang w:val="pt-PT"/>
                    </w:rPr>
                    <w:t>Troca de criptoativos por outros criptoativos;</w:t>
                  </w:r>
                </w:p>
              </w:tc>
            </w:tr>
          </w:tbl>
          <w:p w14:paraId="6F895F01"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249"/>
              <w:gridCol w:w="8477"/>
            </w:tblGrid>
            <w:tr w:rsidR="00465964" w:rsidRPr="00465964" w14:paraId="42D08A06" w14:textId="77777777">
              <w:tc>
                <w:tcPr>
                  <w:tcW w:w="0" w:type="auto"/>
                  <w:shd w:val="clear" w:color="auto" w:fill="auto"/>
                  <w:hideMark/>
                </w:tcPr>
                <w:p w14:paraId="040E9AE2" w14:textId="77777777" w:rsidR="00465964" w:rsidRPr="00465964" w:rsidRDefault="00465964" w:rsidP="00465964">
                  <w:r w:rsidRPr="00465964">
                    <w:lastRenderedPageBreak/>
                    <w:t>e)</w:t>
                  </w:r>
                </w:p>
              </w:tc>
              <w:tc>
                <w:tcPr>
                  <w:tcW w:w="0" w:type="auto"/>
                  <w:shd w:val="clear" w:color="auto" w:fill="auto"/>
                  <w:hideMark/>
                </w:tcPr>
                <w:p w14:paraId="3F588AC5" w14:textId="77777777" w:rsidR="00465964" w:rsidRPr="00465964" w:rsidRDefault="00465964" w:rsidP="00465964">
                  <w:pPr>
                    <w:rPr>
                      <w:lang w:val="pt-PT"/>
                    </w:rPr>
                  </w:pPr>
                  <w:r w:rsidRPr="00465964">
                    <w:rPr>
                      <w:lang w:val="pt-PT"/>
                    </w:rPr>
                    <w:t>Execução de ordens relativas a criptoativos em nome de clientes;</w:t>
                  </w:r>
                </w:p>
              </w:tc>
            </w:tr>
          </w:tbl>
          <w:p w14:paraId="554BD594"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442"/>
              <w:gridCol w:w="8284"/>
            </w:tblGrid>
            <w:tr w:rsidR="00465964" w:rsidRPr="00465964" w14:paraId="2BDF8C0A" w14:textId="77777777">
              <w:tc>
                <w:tcPr>
                  <w:tcW w:w="0" w:type="auto"/>
                  <w:shd w:val="clear" w:color="auto" w:fill="auto"/>
                  <w:hideMark/>
                </w:tcPr>
                <w:p w14:paraId="594D80F5" w14:textId="77777777" w:rsidR="00465964" w:rsidRPr="00465964" w:rsidRDefault="00465964" w:rsidP="00465964">
                  <w:r w:rsidRPr="00465964">
                    <w:t>f)</w:t>
                  </w:r>
                </w:p>
              </w:tc>
              <w:tc>
                <w:tcPr>
                  <w:tcW w:w="0" w:type="auto"/>
                  <w:shd w:val="clear" w:color="auto" w:fill="auto"/>
                  <w:hideMark/>
                </w:tcPr>
                <w:p w14:paraId="0D5909F4" w14:textId="77777777" w:rsidR="00465964" w:rsidRPr="00465964" w:rsidRDefault="00465964" w:rsidP="00465964">
                  <w:proofErr w:type="spellStart"/>
                  <w:r w:rsidRPr="00465964">
                    <w:t>Colocação</w:t>
                  </w:r>
                  <w:proofErr w:type="spellEnd"/>
                  <w:r w:rsidRPr="00465964">
                    <w:t xml:space="preserve"> de criptoativos;</w:t>
                  </w:r>
                </w:p>
              </w:tc>
            </w:tr>
          </w:tbl>
          <w:p w14:paraId="3A0C3087"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99"/>
              <w:gridCol w:w="8527"/>
            </w:tblGrid>
            <w:tr w:rsidR="00465964" w:rsidRPr="00465964" w14:paraId="673F2194" w14:textId="77777777">
              <w:tc>
                <w:tcPr>
                  <w:tcW w:w="0" w:type="auto"/>
                  <w:shd w:val="clear" w:color="auto" w:fill="auto"/>
                  <w:hideMark/>
                </w:tcPr>
                <w:p w14:paraId="00AE7D2B" w14:textId="77777777" w:rsidR="00465964" w:rsidRPr="00465964" w:rsidRDefault="00465964" w:rsidP="00465964">
                  <w:r w:rsidRPr="00465964">
                    <w:t>g)</w:t>
                  </w:r>
                </w:p>
              </w:tc>
              <w:tc>
                <w:tcPr>
                  <w:tcW w:w="0" w:type="auto"/>
                  <w:shd w:val="clear" w:color="auto" w:fill="auto"/>
                  <w:hideMark/>
                </w:tcPr>
                <w:p w14:paraId="41049118" w14:textId="77777777" w:rsidR="00465964" w:rsidRPr="00465964" w:rsidRDefault="00465964" w:rsidP="00465964">
                  <w:pPr>
                    <w:rPr>
                      <w:lang w:val="pt-PT"/>
                    </w:rPr>
                  </w:pPr>
                  <w:r w:rsidRPr="00465964">
                    <w:rPr>
                      <w:lang w:val="pt-PT"/>
                    </w:rPr>
                    <w:t>Receção e transmissão de ordens relativas a criptoativos em nome de clientes;</w:t>
                  </w:r>
                </w:p>
              </w:tc>
            </w:tr>
          </w:tbl>
          <w:p w14:paraId="7BF82A97"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522"/>
              <w:gridCol w:w="8204"/>
            </w:tblGrid>
            <w:tr w:rsidR="00465964" w:rsidRPr="00465964" w14:paraId="1D852161" w14:textId="77777777">
              <w:tc>
                <w:tcPr>
                  <w:tcW w:w="0" w:type="auto"/>
                  <w:shd w:val="clear" w:color="auto" w:fill="auto"/>
                  <w:hideMark/>
                </w:tcPr>
                <w:p w14:paraId="7A86DE69" w14:textId="77777777" w:rsidR="00465964" w:rsidRPr="00465964" w:rsidRDefault="00465964" w:rsidP="00465964">
                  <w:r w:rsidRPr="00465964">
                    <w:t>h)</w:t>
                  </w:r>
                </w:p>
              </w:tc>
              <w:tc>
                <w:tcPr>
                  <w:tcW w:w="0" w:type="auto"/>
                  <w:shd w:val="clear" w:color="auto" w:fill="auto"/>
                  <w:hideMark/>
                </w:tcPr>
                <w:p w14:paraId="230F5037" w14:textId="77777777" w:rsidR="00465964" w:rsidRPr="00465964" w:rsidRDefault="00465964" w:rsidP="00465964">
                  <w:proofErr w:type="spellStart"/>
                  <w:r w:rsidRPr="00465964">
                    <w:t>Consultoria</w:t>
                  </w:r>
                  <w:proofErr w:type="spellEnd"/>
                  <w:r w:rsidRPr="00465964">
                    <w:t xml:space="preserve"> </w:t>
                  </w:r>
                  <w:proofErr w:type="spellStart"/>
                  <w:r w:rsidRPr="00465964">
                    <w:t>sobre</w:t>
                  </w:r>
                  <w:proofErr w:type="spellEnd"/>
                  <w:r w:rsidRPr="00465964">
                    <w:t xml:space="preserve"> criptoativos;</w:t>
                  </w:r>
                </w:p>
              </w:tc>
            </w:tr>
          </w:tbl>
          <w:p w14:paraId="175E4016"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294"/>
              <w:gridCol w:w="8432"/>
            </w:tblGrid>
            <w:tr w:rsidR="00465964" w:rsidRPr="00465964" w14:paraId="2646F569" w14:textId="77777777">
              <w:tc>
                <w:tcPr>
                  <w:tcW w:w="0" w:type="auto"/>
                  <w:shd w:val="clear" w:color="auto" w:fill="auto"/>
                  <w:hideMark/>
                </w:tcPr>
                <w:p w14:paraId="15CD482A" w14:textId="77777777" w:rsidR="00465964" w:rsidRPr="00465964" w:rsidRDefault="00465964" w:rsidP="00465964">
                  <w:proofErr w:type="spellStart"/>
                  <w:r w:rsidRPr="00465964">
                    <w:t>i</w:t>
                  </w:r>
                  <w:proofErr w:type="spellEnd"/>
                  <w:r w:rsidRPr="00465964">
                    <w:t>)</w:t>
                  </w:r>
                </w:p>
              </w:tc>
              <w:tc>
                <w:tcPr>
                  <w:tcW w:w="0" w:type="auto"/>
                  <w:shd w:val="clear" w:color="auto" w:fill="auto"/>
                  <w:hideMark/>
                </w:tcPr>
                <w:p w14:paraId="7F562143" w14:textId="77777777" w:rsidR="00465964" w:rsidRPr="00465964" w:rsidRDefault="00465964" w:rsidP="00465964">
                  <w:pPr>
                    <w:rPr>
                      <w:lang w:val="pt-PT"/>
                    </w:rPr>
                  </w:pPr>
                  <w:r w:rsidRPr="00465964">
                    <w:rPr>
                      <w:lang w:val="pt-PT"/>
                    </w:rPr>
                    <w:t>Gestão de carteiras de criptoativos;</w:t>
                  </w:r>
                </w:p>
              </w:tc>
            </w:tr>
          </w:tbl>
          <w:p w14:paraId="0B41908B"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69"/>
              <w:gridCol w:w="8557"/>
            </w:tblGrid>
            <w:tr w:rsidR="00465964" w:rsidRPr="00465964" w14:paraId="727B1D28" w14:textId="77777777">
              <w:tc>
                <w:tcPr>
                  <w:tcW w:w="0" w:type="auto"/>
                  <w:shd w:val="clear" w:color="auto" w:fill="auto"/>
                  <w:hideMark/>
                </w:tcPr>
                <w:p w14:paraId="6D52DE57" w14:textId="77777777" w:rsidR="00465964" w:rsidRPr="00465964" w:rsidRDefault="00465964" w:rsidP="00465964">
                  <w:r w:rsidRPr="00465964">
                    <w:t>j)</w:t>
                  </w:r>
                </w:p>
              </w:tc>
              <w:tc>
                <w:tcPr>
                  <w:tcW w:w="0" w:type="auto"/>
                  <w:shd w:val="clear" w:color="auto" w:fill="auto"/>
                  <w:hideMark/>
                </w:tcPr>
                <w:p w14:paraId="1F289223" w14:textId="77777777" w:rsidR="00465964" w:rsidRPr="00465964" w:rsidRDefault="00465964" w:rsidP="00465964">
                  <w:pPr>
                    <w:rPr>
                      <w:lang w:val="pt-PT"/>
                    </w:rPr>
                  </w:pPr>
                  <w:r w:rsidRPr="00465964">
                    <w:rPr>
                      <w:lang w:val="pt-PT"/>
                    </w:rPr>
                    <w:t>Serviços de transferência de criptoativos em nome de clientes;</w:t>
                  </w:r>
                </w:p>
              </w:tc>
            </w:tr>
          </w:tbl>
          <w:p w14:paraId="781A7C91" w14:textId="77777777" w:rsidR="00465964" w:rsidRPr="00465964" w:rsidRDefault="00465964" w:rsidP="00465964">
            <w:pPr>
              <w:rPr>
                <w:lang w:val="pt-PT"/>
              </w:rPr>
            </w:pPr>
          </w:p>
        </w:tc>
      </w:tr>
    </w:tbl>
    <w:p w14:paraId="7B2D0996"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300"/>
        <w:gridCol w:w="8726"/>
      </w:tblGrid>
      <w:tr w:rsidR="00465964" w:rsidRPr="00465964" w14:paraId="74707BAC" w14:textId="77777777" w:rsidTr="00465964">
        <w:tc>
          <w:tcPr>
            <w:tcW w:w="0" w:type="auto"/>
            <w:shd w:val="clear" w:color="auto" w:fill="auto"/>
            <w:hideMark/>
          </w:tcPr>
          <w:p w14:paraId="09D5C7B7" w14:textId="77777777" w:rsidR="00465964" w:rsidRPr="00465964" w:rsidRDefault="00465964" w:rsidP="00465964">
            <w:r w:rsidRPr="00465964">
              <w:t>17)</w:t>
            </w:r>
          </w:p>
        </w:tc>
        <w:tc>
          <w:tcPr>
            <w:tcW w:w="0" w:type="auto"/>
            <w:shd w:val="clear" w:color="auto" w:fill="auto"/>
            <w:hideMark/>
          </w:tcPr>
          <w:p w14:paraId="695B73A5" w14:textId="77777777" w:rsidR="00465964" w:rsidRPr="00465964" w:rsidRDefault="00465964" w:rsidP="00465964">
            <w:pPr>
              <w:rPr>
                <w:lang w:val="pt-PT"/>
              </w:rPr>
            </w:pPr>
            <w:r w:rsidRPr="00465964">
              <w:rPr>
                <w:lang w:val="pt-PT"/>
              </w:rPr>
              <w:t>«Custódia e administração de criptoativos em nome de clientes», a conservação ou controlo, em nome de clientes, de criptoativos ou dos meios de acesso a esses criptoativos, quando aplicável sob a forma de chaves criptográficas privadas;</w:t>
            </w:r>
          </w:p>
        </w:tc>
      </w:tr>
    </w:tbl>
    <w:p w14:paraId="1A45638F"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300"/>
        <w:gridCol w:w="8726"/>
      </w:tblGrid>
      <w:tr w:rsidR="00465964" w:rsidRPr="00465964" w14:paraId="2DACA0DC" w14:textId="77777777" w:rsidTr="00465964">
        <w:tc>
          <w:tcPr>
            <w:tcW w:w="0" w:type="auto"/>
            <w:shd w:val="clear" w:color="auto" w:fill="auto"/>
            <w:hideMark/>
          </w:tcPr>
          <w:p w14:paraId="730911FA" w14:textId="77777777" w:rsidR="00465964" w:rsidRPr="00465964" w:rsidRDefault="00465964" w:rsidP="00465964">
            <w:r w:rsidRPr="00465964">
              <w:t>18)</w:t>
            </w:r>
          </w:p>
        </w:tc>
        <w:tc>
          <w:tcPr>
            <w:tcW w:w="0" w:type="auto"/>
            <w:shd w:val="clear" w:color="auto" w:fill="auto"/>
            <w:hideMark/>
          </w:tcPr>
          <w:p w14:paraId="3E03AA64" w14:textId="77777777" w:rsidR="00465964" w:rsidRPr="00465964" w:rsidRDefault="00465964" w:rsidP="00465964">
            <w:pPr>
              <w:rPr>
                <w:lang w:val="pt-PT"/>
              </w:rPr>
            </w:pPr>
            <w:r w:rsidRPr="00465964">
              <w:rPr>
                <w:lang w:val="pt-PT"/>
              </w:rPr>
              <w:t>«Operação de uma plataforma de negociação de criptoativos», a gestão de um ou mais sistemas multilaterais que reúnem ou permitem reunir, no sistema e nos termos das regras que o regem, múltiplos interesses de compra e venda de criptoativos de terceiros de uma forma que resulta num contrato, quer através da troca de criptoativos por fundos quer através da troca de criptoativos por outros criptoativos;</w:t>
            </w:r>
          </w:p>
        </w:tc>
      </w:tr>
    </w:tbl>
    <w:p w14:paraId="52A3EC4A"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300"/>
        <w:gridCol w:w="8726"/>
      </w:tblGrid>
      <w:tr w:rsidR="00465964" w:rsidRPr="00465964" w14:paraId="7F376D9A" w14:textId="77777777" w:rsidTr="00465964">
        <w:tc>
          <w:tcPr>
            <w:tcW w:w="0" w:type="auto"/>
            <w:shd w:val="clear" w:color="auto" w:fill="auto"/>
            <w:hideMark/>
          </w:tcPr>
          <w:p w14:paraId="75ACC0F3" w14:textId="77777777" w:rsidR="00465964" w:rsidRPr="00465964" w:rsidRDefault="00465964" w:rsidP="00465964">
            <w:r w:rsidRPr="00465964">
              <w:t>19)</w:t>
            </w:r>
          </w:p>
        </w:tc>
        <w:tc>
          <w:tcPr>
            <w:tcW w:w="0" w:type="auto"/>
            <w:shd w:val="clear" w:color="auto" w:fill="auto"/>
            <w:hideMark/>
          </w:tcPr>
          <w:p w14:paraId="7F7323F5" w14:textId="77777777" w:rsidR="00465964" w:rsidRPr="00465964" w:rsidRDefault="00465964" w:rsidP="00465964">
            <w:pPr>
              <w:rPr>
                <w:lang w:val="pt-PT"/>
              </w:rPr>
            </w:pPr>
            <w:r w:rsidRPr="00465964">
              <w:rPr>
                <w:lang w:val="pt-PT"/>
              </w:rPr>
              <w:t>«Troca de criptoativos por fundos», a celebração, com clientes, de contratos de compra ou venda relativos a criptoativos em troca de fundos, recorrendo ao próprio capital;</w:t>
            </w:r>
          </w:p>
        </w:tc>
      </w:tr>
    </w:tbl>
    <w:p w14:paraId="0C74BA0A"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300"/>
        <w:gridCol w:w="8726"/>
      </w:tblGrid>
      <w:tr w:rsidR="00465964" w:rsidRPr="00465964" w14:paraId="5F989A42" w14:textId="77777777" w:rsidTr="00465964">
        <w:tc>
          <w:tcPr>
            <w:tcW w:w="0" w:type="auto"/>
            <w:shd w:val="clear" w:color="auto" w:fill="auto"/>
            <w:hideMark/>
          </w:tcPr>
          <w:p w14:paraId="7511C64E" w14:textId="77777777" w:rsidR="00465964" w:rsidRPr="00465964" w:rsidRDefault="00465964" w:rsidP="00465964">
            <w:r w:rsidRPr="00465964">
              <w:t>20)</w:t>
            </w:r>
          </w:p>
        </w:tc>
        <w:tc>
          <w:tcPr>
            <w:tcW w:w="0" w:type="auto"/>
            <w:shd w:val="clear" w:color="auto" w:fill="auto"/>
            <w:hideMark/>
          </w:tcPr>
          <w:p w14:paraId="45F192C6" w14:textId="77777777" w:rsidR="00465964" w:rsidRPr="00465964" w:rsidRDefault="00465964" w:rsidP="00465964">
            <w:pPr>
              <w:rPr>
                <w:lang w:val="pt-PT"/>
              </w:rPr>
            </w:pPr>
            <w:r w:rsidRPr="00465964">
              <w:rPr>
                <w:lang w:val="pt-PT"/>
              </w:rPr>
              <w:t>«Troca de criptoativos por outros criptoativos», a celebração, com clientes, de contratos de compra ou venda relativos a criptoativos em troca de outros criptoativos, recorrendo ao próprio capital;</w:t>
            </w:r>
          </w:p>
        </w:tc>
      </w:tr>
    </w:tbl>
    <w:p w14:paraId="7C62B821"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300"/>
        <w:gridCol w:w="8726"/>
      </w:tblGrid>
      <w:tr w:rsidR="00465964" w:rsidRPr="00465964" w14:paraId="00D29924" w14:textId="77777777" w:rsidTr="00465964">
        <w:tc>
          <w:tcPr>
            <w:tcW w:w="0" w:type="auto"/>
            <w:shd w:val="clear" w:color="auto" w:fill="auto"/>
            <w:hideMark/>
          </w:tcPr>
          <w:p w14:paraId="723EC83D" w14:textId="77777777" w:rsidR="00465964" w:rsidRPr="00465964" w:rsidRDefault="00465964" w:rsidP="00465964">
            <w:r w:rsidRPr="00465964">
              <w:t>21)</w:t>
            </w:r>
          </w:p>
        </w:tc>
        <w:tc>
          <w:tcPr>
            <w:tcW w:w="0" w:type="auto"/>
            <w:shd w:val="clear" w:color="auto" w:fill="auto"/>
            <w:hideMark/>
          </w:tcPr>
          <w:p w14:paraId="6D94CEE8" w14:textId="77777777" w:rsidR="00465964" w:rsidRPr="00465964" w:rsidRDefault="00465964" w:rsidP="00465964">
            <w:pPr>
              <w:rPr>
                <w:lang w:val="pt-PT"/>
              </w:rPr>
            </w:pPr>
            <w:r w:rsidRPr="00465964">
              <w:rPr>
                <w:lang w:val="pt-PT"/>
              </w:rPr>
              <w:t>«Execução de ordens relativas a criptoativos em nome de clientes», a celebração de acordos, em nome de clientes, para comprar ou vender um ou mais criptoativos ou a subscrição, em nome de clientes, de um ou mais criptoativos, aí incluída a celebração de contratos de venda de criptoativos no momento da sua oferta pública ou admissão à negociação;</w:t>
            </w:r>
          </w:p>
        </w:tc>
      </w:tr>
    </w:tbl>
    <w:p w14:paraId="2A499B20"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300"/>
        <w:gridCol w:w="8726"/>
      </w:tblGrid>
      <w:tr w:rsidR="00465964" w:rsidRPr="00465964" w14:paraId="43A2B9AE" w14:textId="77777777" w:rsidTr="00465964">
        <w:tc>
          <w:tcPr>
            <w:tcW w:w="0" w:type="auto"/>
            <w:shd w:val="clear" w:color="auto" w:fill="auto"/>
            <w:hideMark/>
          </w:tcPr>
          <w:p w14:paraId="64D0D212" w14:textId="77777777" w:rsidR="00465964" w:rsidRPr="00465964" w:rsidRDefault="00465964" w:rsidP="00465964">
            <w:r w:rsidRPr="00465964">
              <w:t>22)</w:t>
            </w:r>
          </w:p>
        </w:tc>
        <w:tc>
          <w:tcPr>
            <w:tcW w:w="0" w:type="auto"/>
            <w:shd w:val="clear" w:color="auto" w:fill="auto"/>
            <w:hideMark/>
          </w:tcPr>
          <w:p w14:paraId="3A17F1C4" w14:textId="77777777" w:rsidR="00465964" w:rsidRPr="00465964" w:rsidRDefault="00465964" w:rsidP="00465964">
            <w:pPr>
              <w:rPr>
                <w:lang w:val="pt-PT"/>
              </w:rPr>
            </w:pPr>
            <w:r w:rsidRPr="00465964">
              <w:rPr>
                <w:lang w:val="pt-PT"/>
              </w:rPr>
              <w:t>«Colocação de criptoativos», a comercialização de criptoativos junto de compradores, em nome ou por conta do oferente ou de uma parte relacionada com o oferente;</w:t>
            </w:r>
          </w:p>
        </w:tc>
      </w:tr>
    </w:tbl>
    <w:p w14:paraId="54BA1B01"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300"/>
        <w:gridCol w:w="8726"/>
      </w:tblGrid>
      <w:tr w:rsidR="00465964" w:rsidRPr="00465964" w14:paraId="5F1B9ACB" w14:textId="77777777" w:rsidTr="00465964">
        <w:tc>
          <w:tcPr>
            <w:tcW w:w="0" w:type="auto"/>
            <w:shd w:val="clear" w:color="auto" w:fill="auto"/>
            <w:hideMark/>
          </w:tcPr>
          <w:p w14:paraId="02AAEA8E" w14:textId="77777777" w:rsidR="00465964" w:rsidRPr="00465964" w:rsidRDefault="00465964" w:rsidP="00465964">
            <w:r w:rsidRPr="00465964">
              <w:t>23)</w:t>
            </w:r>
          </w:p>
        </w:tc>
        <w:tc>
          <w:tcPr>
            <w:tcW w:w="0" w:type="auto"/>
            <w:shd w:val="clear" w:color="auto" w:fill="auto"/>
            <w:hideMark/>
          </w:tcPr>
          <w:p w14:paraId="71F5005B" w14:textId="77777777" w:rsidR="00465964" w:rsidRPr="00465964" w:rsidRDefault="00465964" w:rsidP="00465964">
            <w:pPr>
              <w:rPr>
                <w:lang w:val="pt-PT"/>
              </w:rPr>
            </w:pPr>
            <w:r w:rsidRPr="00465964">
              <w:rPr>
                <w:lang w:val="pt-PT"/>
              </w:rPr>
              <w:t>«Receção e transmissão de ordens relativas a criptoativos em nome de clientes», a receção de uma ordem de uma pessoa para comprar ou vender um ou mais criptoativos ou para subscrever um ou mais criptoativos e a transmissão dessa ordem a um terceiro para a sua execução;</w:t>
            </w:r>
          </w:p>
        </w:tc>
      </w:tr>
    </w:tbl>
    <w:p w14:paraId="410E58B4"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300"/>
        <w:gridCol w:w="8726"/>
      </w:tblGrid>
      <w:tr w:rsidR="00465964" w:rsidRPr="00465964" w14:paraId="4145FB27" w14:textId="77777777" w:rsidTr="00465964">
        <w:tc>
          <w:tcPr>
            <w:tcW w:w="0" w:type="auto"/>
            <w:shd w:val="clear" w:color="auto" w:fill="auto"/>
            <w:hideMark/>
          </w:tcPr>
          <w:p w14:paraId="5E6DCE00" w14:textId="77777777" w:rsidR="00465964" w:rsidRPr="00465964" w:rsidRDefault="00465964" w:rsidP="00465964">
            <w:r w:rsidRPr="00465964">
              <w:t>24)</w:t>
            </w:r>
          </w:p>
        </w:tc>
        <w:tc>
          <w:tcPr>
            <w:tcW w:w="0" w:type="auto"/>
            <w:shd w:val="clear" w:color="auto" w:fill="auto"/>
            <w:hideMark/>
          </w:tcPr>
          <w:p w14:paraId="3584C352" w14:textId="77777777" w:rsidR="00465964" w:rsidRPr="00465964" w:rsidRDefault="00465964" w:rsidP="00465964">
            <w:pPr>
              <w:rPr>
                <w:lang w:val="pt-PT"/>
              </w:rPr>
            </w:pPr>
            <w:r w:rsidRPr="00465964">
              <w:rPr>
                <w:lang w:val="pt-PT"/>
              </w:rPr>
              <w:t>«Consultoria sobre criptoativos», oferecer, dar ou concordar em dar aconselhamento personalizado a um cliente, a pedido do cliente ou por iniciativa do prestador de serviços de criptoativos que presta a consultoria, a respeito de uma ou mais transações relacionadas com criptoativos ou da utilização de serviços de criptoativos;</w:t>
            </w:r>
          </w:p>
        </w:tc>
      </w:tr>
    </w:tbl>
    <w:p w14:paraId="34C0E341"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300"/>
        <w:gridCol w:w="8726"/>
      </w:tblGrid>
      <w:tr w:rsidR="00465964" w:rsidRPr="00465964" w14:paraId="7D5296B8" w14:textId="77777777" w:rsidTr="00465964">
        <w:tc>
          <w:tcPr>
            <w:tcW w:w="0" w:type="auto"/>
            <w:shd w:val="clear" w:color="auto" w:fill="auto"/>
            <w:hideMark/>
          </w:tcPr>
          <w:p w14:paraId="66DB1784" w14:textId="77777777" w:rsidR="00465964" w:rsidRPr="00465964" w:rsidRDefault="00465964" w:rsidP="00465964">
            <w:r w:rsidRPr="00465964">
              <w:t>25)</w:t>
            </w:r>
          </w:p>
        </w:tc>
        <w:tc>
          <w:tcPr>
            <w:tcW w:w="0" w:type="auto"/>
            <w:shd w:val="clear" w:color="auto" w:fill="auto"/>
            <w:hideMark/>
          </w:tcPr>
          <w:p w14:paraId="7E221A29" w14:textId="77777777" w:rsidR="00465964" w:rsidRPr="00465964" w:rsidRDefault="00465964" w:rsidP="00465964">
            <w:pPr>
              <w:rPr>
                <w:lang w:val="pt-PT"/>
              </w:rPr>
            </w:pPr>
            <w:r w:rsidRPr="00465964">
              <w:rPr>
                <w:lang w:val="pt-PT"/>
              </w:rPr>
              <w:t>«Gestão de carteiras de criptoativos», a gestão de carteiras com base em mandatos conferidos por clientes numa base individual e discricionária, sempre que essas carteiras incluam um ou mais criptoativos;</w:t>
            </w:r>
          </w:p>
        </w:tc>
      </w:tr>
    </w:tbl>
    <w:p w14:paraId="646D0C8C"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300"/>
        <w:gridCol w:w="8726"/>
      </w:tblGrid>
      <w:tr w:rsidR="00465964" w:rsidRPr="00465964" w14:paraId="46E78E8F" w14:textId="77777777" w:rsidTr="00465964">
        <w:tc>
          <w:tcPr>
            <w:tcW w:w="0" w:type="auto"/>
            <w:shd w:val="clear" w:color="auto" w:fill="auto"/>
            <w:hideMark/>
          </w:tcPr>
          <w:p w14:paraId="468752DE" w14:textId="77777777" w:rsidR="00465964" w:rsidRPr="00465964" w:rsidRDefault="00465964" w:rsidP="00465964">
            <w:r w:rsidRPr="00465964">
              <w:lastRenderedPageBreak/>
              <w:t>26)</w:t>
            </w:r>
          </w:p>
        </w:tc>
        <w:tc>
          <w:tcPr>
            <w:tcW w:w="0" w:type="auto"/>
            <w:shd w:val="clear" w:color="auto" w:fill="auto"/>
            <w:hideMark/>
          </w:tcPr>
          <w:p w14:paraId="5082D9BA" w14:textId="77777777" w:rsidR="00465964" w:rsidRPr="00465964" w:rsidRDefault="00465964" w:rsidP="00465964">
            <w:pPr>
              <w:rPr>
                <w:lang w:val="pt-PT"/>
              </w:rPr>
            </w:pPr>
            <w:r w:rsidRPr="00465964">
              <w:rPr>
                <w:lang w:val="pt-PT"/>
              </w:rPr>
              <w:t>«Serviços de transferência de criptoativos em nome de clientes», os serviços de transferência, em nome de uma pessoa singular ou coletiva, de criptoativos de um endereço ou conta de registo distribuído para outro;</w:t>
            </w:r>
          </w:p>
        </w:tc>
      </w:tr>
    </w:tbl>
    <w:p w14:paraId="3C54E38F"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300"/>
        <w:gridCol w:w="8726"/>
      </w:tblGrid>
      <w:tr w:rsidR="00465964" w:rsidRPr="00465964" w14:paraId="148D8029" w14:textId="77777777" w:rsidTr="00465964">
        <w:tc>
          <w:tcPr>
            <w:tcW w:w="0" w:type="auto"/>
            <w:shd w:val="clear" w:color="auto" w:fill="auto"/>
            <w:hideMark/>
          </w:tcPr>
          <w:p w14:paraId="1FAAB619" w14:textId="77777777" w:rsidR="00465964" w:rsidRPr="00465964" w:rsidRDefault="00465964" w:rsidP="00465964">
            <w:r w:rsidRPr="00465964">
              <w:t>27)</w:t>
            </w:r>
          </w:p>
        </w:tc>
        <w:tc>
          <w:tcPr>
            <w:tcW w:w="0" w:type="auto"/>
            <w:shd w:val="clear" w:color="auto" w:fill="auto"/>
            <w:hideMark/>
          </w:tcPr>
          <w:p w14:paraId="7318AC0E" w14:textId="77777777" w:rsidR="00465964" w:rsidRPr="00465964" w:rsidRDefault="00465964" w:rsidP="00465964">
            <w:pPr>
              <w:rPr>
                <w:lang w:val="pt-PT"/>
              </w:rPr>
            </w:pPr>
            <w:r w:rsidRPr="00465964">
              <w:rPr>
                <w:lang w:val="pt-PT"/>
              </w:rPr>
              <w:t>«Órgão de administração», o órgão, ou os órgãos, de um emissor, de um oferente ou de uma pessoa que solicita a admissão à negociação de criptoativos, ou de um prestador de serviços de criptoativos, que são nomeados de acordo com o direito nacional, que têm poderes para estabelecer a estratégia, os objetivos e a orientação geral da entidade e que supervisionam e acompanham a tomada de decisões em matéria de gestão na entidade e que incluem as pessoas que dirigem efetivamente as atividades da entidade;</w:t>
            </w:r>
          </w:p>
        </w:tc>
      </w:tr>
    </w:tbl>
    <w:p w14:paraId="137A6E1A"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300"/>
        <w:gridCol w:w="8726"/>
      </w:tblGrid>
      <w:tr w:rsidR="00465964" w:rsidRPr="00465964" w14:paraId="535B0842" w14:textId="77777777" w:rsidTr="00465964">
        <w:tc>
          <w:tcPr>
            <w:tcW w:w="0" w:type="auto"/>
            <w:shd w:val="clear" w:color="auto" w:fill="auto"/>
            <w:hideMark/>
          </w:tcPr>
          <w:p w14:paraId="5ADEA0AE" w14:textId="77777777" w:rsidR="00465964" w:rsidRPr="00465964" w:rsidRDefault="00465964" w:rsidP="00465964">
            <w:r w:rsidRPr="00465964">
              <w:t>28)</w:t>
            </w:r>
          </w:p>
        </w:tc>
        <w:tc>
          <w:tcPr>
            <w:tcW w:w="0" w:type="auto"/>
            <w:shd w:val="clear" w:color="auto" w:fill="auto"/>
            <w:hideMark/>
          </w:tcPr>
          <w:p w14:paraId="29C706C2" w14:textId="77777777" w:rsidR="00465964" w:rsidRPr="00465964" w:rsidRDefault="00465964" w:rsidP="00465964">
            <w:pPr>
              <w:rPr>
                <w:lang w:val="pt-PT"/>
              </w:rPr>
            </w:pPr>
            <w:r w:rsidRPr="00465964">
              <w:rPr>
                <w:lang w:val="pt-PT"/>
              </w:rPr>
              <w:t>«Instituição de crédito», uma instituição de crédito na aceção do artigo 4.</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xml:space="preserve"> 1, ponto 1, do Regulamento (UE) </w:t>
            </w:r>
            <w:proofErr w:type="spellStart"/>
            <w:r w:rsidRPr="00465964">
              <w:rPr>
                <w:lang w:val="pt-PT"/>
              </w:rPr>
              <w:t>n.</w:t>
            </w:r>
            <w:r w:rsidRPr="00465964">
              <w:rPr>
                <w:vertAlign w:val="superscript"/>
                <w:lang w:val="pt-PT"/>
              </w:rPr>
              <w:t>o</w:t>
            </w:r>
            <w:proofErr w:type="spellEnd"/>
            <w:r w:rsidRPr="00465964">
              <w:rPr>
                <w:lang w:val="pt-PT"/>
              </w:rPr>
              <w:t> 575/2013 autorizada nos termos da Diretiva 2013/36/UE;</w:t>
            </w:r>
          </w:p>
        </w:tc>
      </w:tr>
    </w:tbl>
    <w:p w14:paraId="6658A643"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300"/>
        <w:gridCol w:w="8726"/>
      </w:tblGrid>
      <w:tr w:rsidR="00465964" w:rsidRPr="00465964" w14:paraId="2280A1FA" w14:textId="77777777" w:rsidTr="00465964">
        <w:tc>
          <w:tcPr>
            <w:tcW w:w="0" w:type="auto"/>
            <w:shd w:val="clear" w:color="auto" w:fill="auto"/>
            <w:hideMark/>
          </w:tcPr>
          <w:p w14:paraId="71EF53D2" w14:textId="77777777" w:rsidR="00465964" w:rsidRPr="00465964" w:rsidRDefault="00465964" w:rsidP="00465964">
            <w:r w:rsidRPr="00465964">
              <w:t>29)</w:t>
            </w:r>
          </w:p>
        </w:tc>
        <w:tc>
          <w:tcPr>
            <w:tcW w:w="0" w:type="auto"/>
            <w:shd w:val="clear" w:color="auto" w:fill="auto"/>
            <w:hideMark/>
          </w:tcPr>
          <w:p w14:paraId="056F8652" w14:textId="77777777" w:rsidR="00465964" w:rsidRPr="00465964" w:rsidRDefault="00465964" w:rsidP="00465964">
            <w:pPr>
              <w:rPr>
                <w:lang w:val="pt-PT"/>
              </w:rPr>
            </w:pPr>
            <w:r w:rsidRPr="00465964">
              <w:rPr>
                <w:lang w:val="pt-PT"/>
              </w:rPr>
              <w:t>«Empresa de investimento», uma empresa de investimento na aceção do artigo 4.</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xml:space="preserve"> 1, ponto 2, do Regulamento (UE) </w:t>
            </w:r>
            <w:proofErr w:type="spellStart"/>
            <w:r w:rsidRPr="00465964">
              <w:rPr>
                <w:lang w:val="pt-PT"/>
              </w:rPr>
              <w:t>n.</w:t>
            </w:r>
            <w:r w:rsidRPr="00465964">
              <w:rPr>
                <w:vertAlign w:val="superscript"/>
                <w:lang w:val="pt-PT"/>
              </w:rPr>
              <w:t>o</w:t>
            </w:r>
            <w:proofErr w:type="spellEnd"/>
            <w:r w:rsidRPr="00465964">
              <w:rPr>
                <w:lang w:val="pt-PT"/>
              </w:rPr>
              <w:t> 575/2013 autorizada nos termos da Diretiva 2014/65/UE;</w:t>
            </w:r>
          </w:p>
        </w:tc>
      </w:tr>
    </w:tbl>
    <w:p w14:paraId="3BD2B169"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300"/>
        <w:gridCol w:w="8726"/>
      </w:tblGrid>
      <w:tr w:rsidR="00465964" w:rsidRPr="00465964" w14:paraId="44E02B75" w14:textId="77777777" w:rsidTr="00465964">
        <w:tc>
          <w:tcPr>
            <w:tcW w:w="0" w:type="auto"/>
            <w:shd w:val="clear" w:color="auto" w:fill="auto"/>
            <w:hideMark/>
          </w:tcPr>
          <w:p w14:paraId="1CECEED3" w14:textId="77777777" w:rsidR="00465964" w:rsidRPr="00465964" w:rsidRDefault="00465964" w:rsidP="00465964">
            <w:r w:rsidRPr="00465964">
              <w:t>30)</w:t>
            </w:r>
          </w:p>
        </w:tc>
        <w:tc>
          <w:tcPr>
            <w:tcW w:w="0" w:type="auto"/>
            <w:shd w:val="clear" w:color="auto" w:fill="auto"/>
            <w:hideMark/>
          </w:tcPr>
          <w:p w14:paraId="4892DAC9" w14:textId="77777777" w:rsidR="00465964" w:rsidRPr="00465964" w:rsidRDefault="00465964" w:rsidP="00465964">
            <w:pPr>
              <w:rPr>
                <w:lang w:val="pt-PT"/>
              </w:rPr>
            </w:pPr>
            <w:r w:rsidRPr="00465964">
              <w:rPr>
                <w:lang w:val="pt-PT"/>
              </w:rPr>
              <w:t>«Investidores qualificados», as pessoas ou entidades enumeradas na secção I, pontos 1 a 4, do anexo II da Diretiva 2014/65/UE;</w:t>
            </w:r>
          </w:p>
        </w:tc>
      </w:tr>
    </w:tbl>
    <w:p w14:paraId="66F00A8F"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300"/>
        <w:gridCol w:w="8726"/>
      </w:tblGrid>
      <w:tr w:rsidR="00465964" w:rsidRPr="00465964" w14:paraId="2B1C8B43" w14:textId="77777777" w:rsidTr="00465964">
        <w:tc>
          <w:tcPr>
            <w:tcW w:w="0" w:type="auto"/>
            <w:shd w:val="clear" w:color="auto" w:fill="auto"/>
            <w:hideMark/>
          </w:tcPr>
          <w:p w14:paraId="21D1EEBC" w14:textId="77777777" w:rsidR="00465964" w:rsidRPr="00465964" w:rsidRDefault="00465964" w:rsidP="00465964">
            <w:r w:rsidRPr="00465964">
              <w:t>31)</w:t>
            </w:r>
          </w:p>
        </w:tc>
        <w:tc>
          <w:tcPr>
            <w:tcW w:w="0" w:type="auto"/>
            <w:shd w:val="clear" w:color="auto" w:fill="auto"/>
            <w:hideMark/>
          </w:tcPr>
          <w:p w14:paraId="0DC07386" w14:textId="77777777" w:rsidR="00465964" w:rsidRPr="00465964" w:rsidRDefault="00465964" w:rsidP="00465964">
            <w:pPr>
              <w:rPr>
                <w:lang w:val="pt-PT"/>
              </w:rPr>
            </w:pPr>
            <w:r w:rsidRPr="00465964">
              <w:rPr>
                <w:lang w:val="pt-PT"/>
              </w:rPr>
              <w:t>«Relação estreita», uma relação estreita na aceção do artigo 4.</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1, ponto 35, da Diretiva 2014/65/UE;</w:t>
            </w:r>
          </w:p>
        </w:tc>
      </w:tr>
    </w:tbl>
    <w:p w14:paraId="011749EF"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314"/>
        <w:gridCol w:w="8712"/>
      </w:tblGrid>
      <w:tr w:rsidR="00465964" w:rsidRPr="00465964" w14:paraId="309292B5" w14:textId="77777777" w:rsidTr="00465964">
        <w:tc>
          <w:tcPr>
            <w:tcW w:w="0" w:type="auto"/>
            <w:shd w:val="clear" w:color="auto" w:fill="auto"/>
            <w:hideMark/>
          </w:tcPr>
          <w:p w14:paraId="757BF8F6" w14:textId="77777777" w:rsidR="00465964" w:rsidRPr="00465964" w:rsidRDefault="00465964" w:rsidP="00465964">
            <w:r w:rsidRPr="00465964">
              <w:t>32)</w:t>
            </w:r>
          </w:p>
        </w:tc>
        <w:tc>
          <w:tcPr>
            <w:tcW w:w="0" w:type="auto"/>
            <w:shd w:val="clear" w:color="auto" w:fill="auto"/>
            <w:hideMark/>
          </w:tcPr>
          <w:p w14:paraId="300AFCD7" w14:textId="77777777" w:rsidR="00465964" w:rsidRPr="00465964" w:rsidRDefault="00465964" w:rsidP="00465964">
            <w:pPr>
              <w:rPr>
                <w:lang w:val="pt-PT"/>
              </w:rPr>
            </w:pPr>
            <w:r w:rsidRPr="00465964">
              <w:rPr>
                <w:lang w:val="pt-PT"/>
              </w:rPr>
              <w:t>«Reserva de ativos», o cabaz de ativos de reserva que garante o crédito sobre o emitente;</w:t>
            </w:r>
          </w:p>
        </w:tc>
      </w:tr>
    </w:tbl>
    <w:p w14:paraId="0212F1FD"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300"/>
        <w:gridCol w:w="8726"/>
      </w:tblGrid>
      <w:tr w:rsidR="00465964" w:rsidRPr="00465964" w14:paraId="7E4F087A" w14:textId="77777777" w:rsidTr="00465964">
        <w:tc>
          <w:tcPr>
            <w:tcW w:w="0" w:type="auto"/>
            <w:shd w:val="clear" w:color="auto" w:fill="auto"/>
            <w:hideMark/>
          </w:tcPr>
          <w:p w14:paraId="2BDA2E49" w14:textId="77777777" w:rsidR="00465964" w:rsidRPr="00465964" w:rsidRDefault="00465964" w:rsidP="00465964">
            <w:r w:rsidRPr="00465964">
              <w:t>33)</w:t>
            </w:r>
          </w:p>
        </w:tc>
        <w:tc>
          <w:tcPr>
            <w:tcW w:w="0" w:type="auto"/>
            <w:shd w:val="clear" w:color="auto" w:fill="auto"/>
            <w:hideMark/>
          </w:tcPr>
          <w:p w14:paraId="6C2E62E9" w14:textId="77777777" w:rsidR="00465964" w:rsidRPr="00465964" w:rsidRDefault="00465964" w:rsidP="00465964">
            <w:r w:rsidRPr="00465964">
              <w:t>«Estado-</w:t>
            </w:r>
            <w:proofErr w:type="spellStart"/>
            <w:r w:rsidRPr="00465964">
              <w:t>Membro</w:t>
            </w:r>
            <w:proofErr w:type="spellEnd"/>
            <w:r w:rsidRPr="00465964">
              <w:t xml:space="preserve"> de </w:t>
            </w:r>
            <w:proofErr w:type="spellStart"/>
            <w:r w:rsidRPr="00465964">
              <w:t>origem</w:t>
            </w:r>
            <w:proofErr w:type="spellEnd"/>
            <w:r w:rsidRPr="00465964">
              <w:t>»,</w:t>
            </w:r>
          </w:p>
          <w:tbl>
            <w:tblPr>
              <w:tblW w:w="5000" w:type="pct"/>
              <w:tblCellMar>
                <w:left w:w="0" w:type="dxa"/>
                <w:right w:w="0" w:type="dxa"/>
              </w:tblCellMar>
              <w:tblLook w:val="04A0" w:firstRow="1" w:lastRow="0" w:firstColumn="1" w:lastColumn="0" w:noHBand="0" w:noVBand="1"/>
            </w:tblPr>
            <w:tblGrid>
              <w:gridCol w:w="182"/>
              <w:gridCol w:w="8544"/>
            </w:tblGrid>
            <w:tr w:rsidR="00465964" w:rsidRPr="00465964" w14:paraId="117B7A26" w14:textId="77777777">
              <w:tc>
                <w:tcPr>
                  <w:tcW w:w="0" w:type="auto"/>
                  <w:shd w:val="clear" w:color="auto" w:fill="auto"/>
                  <w:hideMark/>
                </w:tcPr>
                <w:p w14:paraId="4A9584EC" w14:textId="77777777" w:rsidR="00465964" w:rsidRPr="00465964" w:rsidRDefault="00465964" w:rsidP="00465964">
                  <w:r w:rsidRPr="00465964">
                    <w:t>a)</w:t>
                  </w:r>
                </w:p>
              </w:tc>
              <w:tc>
                <w:tcPr>
                  <w:tcW w:w="0" w:type="auto"/>
                  <w:shd w:val="clear" w:color="auto" w:fill="auto"/>
                  <w:hideMark/>
                </w:tcPr>
                <w:p w14:paraId="65192A5F" w14:textId="6787DE42" w:rsidR="00465964" w:rsidRPr="00465964" w:rsidRDefault="00465964" w:rsidP="00465964">
                  <w:pPr>
                    <w:rPr>
                      <w:lang w:val="pt-PT"/>
                    </w:rPr>
                  </w:pPr>
                  <w:r w:rsidRPr="00465964">
                    <w:rPr>
                      <w:lang w:val="pt-PT"/>
                    </w:rPr>
                    <w:t xml:space="preserve">O Estado-Membro em que o oferente ou a pessoa que solicita admissão à negociação de criptoativos que não sejam </w:t>
                  </w:r>
                  <w:r>
                    <w:rPr>
                      <w:lang w:val="pt-PT"/>
                    </w:rPr>
                    <w:t>criptomoedas</w:t>
                  </w:r>
                  <w:r w:rsidRPr="00465964">
                    <w:rPr>
                      <w:lang w:val="pt-PT"/>
                    </w:rPr>
                    <w:t xml:space="preserve"> referenciadas a ativos nem </w:t>
                  </w:r>
                  <w:r>
                    <w:rPr>
                      <w:lang w:val="pt-PT"/>
                    </w:rPr>
                    <w:t>criptomoedas</w:t>
                  </w:r>
                  <w:r w:rsidRPr="00465964">
                    <w:rPr>
                      <w:lang w:val="pt-PT"/>
                    </w:rPr>
                    <w:t xml:space="preserve"> de moeda eletrónica tem a sua sede social, sempre que o oferente ou a pessoa em causa tenha a sua sede social na União;</w:t>
                  </w:r>
                </w:p>
              </w:tc>
            </w:tr>
          </w:tbl>
          <w:p w14:paraId="4909AC0A"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8"/>
              <w:gridCol w:w="8538"/>
            </w:tblGrid>
            <w:tr w:rsidR="00465964" w:rsidRPr="00465964" w14:paraId="5C2F1197" w14:textId="77777777">
              <w:tc>
                <w:tcPr>
                  <w:tcW w:w="0" w:type="auto"/>
                  <w:shd w:val="clear" w:color="auto" w:fill="auto"/>
                  <w:hideMark/>
                </w:tcPr>
                <w:p w14:paraId="1319EA3B" w14:textId="77777777" w:rsidR="00465964" w:rsidRPr="00465964" w:rsidRDefault="00465964" w:rsidP="00465964">
                  <w:r w:rsidRPr="00465964">
                    <w:t>b)</w:t>
                  </w:r>
                </w:p>
              </w:tc>
              <w:tc>
                <w:tcPr>
                  <w:tcW w:w="0" w:type="auto"/>
                  <w:shd w:val="clear" w:color="auto" w:fill="auto"/>
                  <w:hideMark/>
                </w:tcPr>
                <w:p w14:paraId="643B90CE" w14:textId="1155DA5B" w:rsidR="00465964" w:rsidRPr="00465964" w:rsidRDefault="00465964" w:rsidP="00465964">
                  <w:pPr>
                    <w:rPr>
                      <w:lang w:val="pt-PT"/>
                    </w:rPr>
                  </w:pPr>
                  <w:r w:rsidRPr="00465964">
                    <w:rPr>
                      <w:lang w:val="pt-PT"/>
                    </w:rPr>
                    <w:t xml:space="preserve">O Estado-Membro escolhido pelo oferente ou pela pessoa que solicita admissão à negociação de criptoativos que não sejam </w:t>
                  </w:r>
                  <w:r>
                    <w:rPr>
                      <w:lang w:val="pt-PT"/>
                    </w:rPr>
                    <w:t>criptomoedas</w:t>
                  </w:r>
                  <w:r w:rsidRPr="00465964">
                    <w:rPr>
                      <w:lang w:val="pt-PT"/>
                    </w:rPr>
                    <w:t xml:space="preserve"> referenciadas a ativos nem </w:t>
                  </w:r>
                  <w:r>
                    <w:rPr>
                      <w:lang w:val="pt-PT"/>
                    </w:rPr>
                    <w:t>criptomoedas</w:t>
                  </w:r>
                  <w:r w:rsidRPr="00465964">
                    <w:rPr>
                      <w:lang w:val="pt-PT"/>
                    </w:rPr>
                    <w:t xml:space="preserve"> de moeda eletrónica entre aqueles Estados-Membros em que tem sucursais, sempre que o oferente ou a pessoa em causa não tenha sede social na </w:t>
                  </w:r>
                  <w:proofErr w:type="gramStart"/>
                  <w:r w:rsidRPr="00465964">
                    <w:rPr>
                      <w:lang w:val="pt-PT"/>
                    </w:rPr>
                    <w:t>União</w:t>
                  </w:r>
                  <w:proofErr w:type="gramEnd"/>
                  <w:r w:rsidRPr="00465964">
                    <w:rPr>
                      <w:lang w:val="pt-PT"/>
                    </w:rPr>
                    <w:t xml:space="preserve"> mas tenha uma ou mais sucursais na União;</w:t>
                  </w:r>
                </w:p>
              </w:tc>
            </w:tr>
          </w:tbl>
          <w:p w14:paraId="14C2B722"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0"/>
              <w:gridCol w:w="8546"/>
            </w:tblGrid>
            <w:tr w:rsidR="00465964" w:rsidRPr="00465964" w14:paraId="081C1BDA" w14:textId="77777777">
              <w:tc>
                <w:tcPr>
                  <w:tcW w:w="0" w:type="auto"/>
                  <w:shd w:val="clear" w:color="auto" w:fill="auto"/>
                  <w:hideMark/>
                </w:tcPr>
                <w:p w14:paraId="0CF84EB3" w14:textId="77777777" w:rsidR="00465964" w:rsidRPr="00465964" w:rsidRDefault="00465964" w:rsidP="00465964">
                  <w:r w:rsidRPr="00465964">
                    <w:t>c)</w:t>
                  </w:r>
                </w:p>
              </w:tc>
              <w:tc>
                <w:tcPr>
                  <w:tcW w:w="0" w:type="auto"/>
                  <w:shd w:val="clear" w:color="auto" w:fill="auto"/>
                  <w:hideMark/>
                </w:tcPr>
                <w:p w14:paraId="2CEFD71C" w14:textId="5794623D" w:rsidR="00465964" w:rsidRPr="00465964" w:rsidRDefault="00465964" w:rsidP="00465964">
                  <w:pPr>
                    <w:rPr>
                      <w:lang w:val="pt-PT"/>
                    </w:rPr>
                  </w:pPr>
                  <w:r w:rsidRPr="00465964">
                    <w:rPr>
                      <w:lang w:val="pt-PT"/>
                    </w:rPr>
                    <w:t xml:space="preserve">O Estado-Membro em que será feita a primeira oferta pública de criptoativos que não sejam </w:t>
                  </w:r>
                  <w:r>
                    <w:rPr>
                      <w:lang w:val="pt-PT"/>
                    </w:rPr>
                    <w:t>criptomoedas</w:t>
                  </w:r>
                  <w:r w:rsidRPr="00465964">
                    <w:rPr>
                      <w:lang w:val="pt-PT"/>
                    </w:rPr>
                    <w:t xml:space="preserve"> referenciadas a ativos nem </w:t>
                  </w:r>
                  <w:r>
                    <w:rPr>
                      <w:lang w:val="pt-PT"/>
                    </w:rPr>
                    <w:t>criptomoedas</w:t>
                  </w:r>
                  <w:r w:rsidRPr="00465964">
                    <w:rPr>
                      <w:lang w:val="pt-PT"/>
                    </w:rPr>
                    <w:t xml:space="preserve"> de moeda eletrónica ou o Estado-Membro onde é apresentado o primeiro pedido de admissão à negociação desses criptoativos, à escolha do oferente ou da pessoa que solicita admissão à negociação desses criptoativos, sempre que o oferente ou a pessoa que solicita admissão à negociação esteja estabelecido num país terceiro e não tenha sucursais na União;</w:t>
                  </w:r>
                </w:p>
              </w:tc>
            </w:tr>
          </w:tbl>
          <w:p w14:paraId="39652308"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8"/>
              <w:gridCol w:w="8538"/>
            </w:tblGrid>
            <w:tr w:rsidR="00465964" w:rsidRPr="00465964" w14:paraId="6145033D" w14:textId="77777777">
              <w:tc>
                <w:tcPr>
                  <w:tcW w:w="0" w:type="auto"/>
                  <w:shd w:val="clear" w:color="auto" w:fill="auto"/>
                  <w:hideMark/>
                </w:tcPr>
                <w:p w14:paraId="77FDC384" w14:textId="77777777" w:rsidR="00465964" w:rsidRPr="00465964" w:rsidRDefault="00465964" w:rsidP="00465964">
                  <w:r w:rsidRPr="00465964">
                    <w:t>d)</w:t>
                  </w:r>
                </w:p>
              </w:tc>
              <w:tc>
                <w:tcPr>
                  <w:tcW w:w="0" w:type="auto"/>
                  <w:shd w:val="clear" w:color="auto" w:fill="auto"/>
                  <w:hideMark/>
                </w:tcPr>
                <w:p w14:paraId="5D42A872" w14:textId="55FD51F1" w:rsidR="00465964" w:rsidRPr="00465964" w:rsidRDefault="00465964" w:rsidP="00465964">
                  <w:pPr>
                    <w:rPr>
                      <w:lang w:val="pt-PT"/>
                    </w:rPr>
                  </w:pPr>
                  <w:r w:rsidRPr="00465964">
                    <w:rPr>
                      <w:lang w:val="pt-PT"/>
                    </w:rPr>
                    <w:t xml:space="preserve">O Estado-Membro em que o emitente de </w:t>
                  </w:r>
                  <w:r>
                    <w:rPr>
                      <w:lang w:val="pt-PT"/>
                    </w:rPr>
                    <w:t>criptomoedas</w:t>
                  </w:r>
                  <w:r w:rsidRPr="00465964">
                    <w:rPr>
                      <w:lang w:val="pt-PT"/>
                    </w:rPr>
                    <w:t xml:space="preserve"> referenciadas a ativos tem a sua sede social, caso se trate de um emitente de </w:t>
                  </w:r>
                  <w:r>
                    <w:rPr>
                      <w:lang w:val="pt-PT"/>
                    </w:rPr>
                    <w:t>criptomoedas</w:t>
                  </w:r>
                  <w:r w:rsidRPr="00465964">
                    <w:rPr>
                      <w:lang w:val="pt-PT"/>
                    </w:rPr>
                    <w:t xml:space="preserve"> referenciadas a ativos;</w:t>
                  </w:r>
                </w:p>
              </w:tc>
            </w:tr>
          </w:tbl>
          <w:p w14:paraId="2F9A3598"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1"/>
              <w:gridCol w:w="8545"/>
            </w:tblGrid>
            <w:tr w:rsidR="00465964" w:rsidRPr="00465964" w14:paraId="0E43ECCF" w14:textId="77777777">
              <w:tc>
                <w:tcPr>
                  <w:tcW w:w="0" w:type="auto"/>
                  <w:shd w:val="clear" w:color="auto" w:fill="auto"/>
                  <w:hideMark/>
                </w:tcPr>
                <w:p w14:paraId="4A06DA6A" w14:textId="77777777" w:rsidR="00465964" w:rsidRPr="00465964" w:rsidRDefault="00465964" w:rsidP="00465964">
                  <w:r w:rsidRPr="00465964">
                    <w:t>e)</w:t>
                  </w:r>
                </w:p>
              </w:tc>
              <w:tc>
                <w:tcPr>
                  <w:tcW w:w="0" w:type="auto"/>
                  <w:shd w:val="clear" w:color="auto" w:fill="auto"/>
                  <w:hideMark/>
                </w:tcPr>
                <w:p w14:paraId="03F5F851" w14:textId="7640114B" w:rsidR="00465964" w:rsidRPr="00465964" w:rsidRDefault="00465964" w:rsidP="00465964">
                  <w:pPr>
                    <w:rPr>
                      <w:lang w:val="pt-PT"/>
                    </w:rPr>
                  </w:pPr>
                  <w:r w:rsidRPr="00465964">
                    <w:rPr>
                      <w:lang w:val="pt-PT"/>
                    </w:rPr>
                    <w:t xml:space="preserve">O Estado-Membro em que o emitente de </w:t>
                  </w:r>
                  <w:r>
                    <w:rPr>
                      <w:lang w:val="pt-PT"/>
                    </w:rPr>
                    <w:t>criptomoedas</w:t>
                  </w:r>
                  <w:r w:rsidRPr="00465964">
                    <w:rPr>
                      <w:lang w:val="pt-PT"/>
                    </w:rPr>
                    <w:t xml:space="preserve"> de moeda eletrónica está autorizado como instituição de crédito ao abrigo da Diretiva 2013/36/UE ou como instituição de moeda eletrónica ao abrigo da Diretiva 2009/110/CE, caso se trate de um emitente de </w:t>
                  </w:r>
                  <w:r>
                    <w:rPr>
                      <w:lang w:val="pt-PT"/>
                    </w:rPr>
                    <w:t>criptomoedas</w:t>
                  </w:r>
                  <w:r w:rsidRPr="00465964">
                    <w:rPr>
                      <w:lang w:val="pt-PT"/>
                    </w:rPr>
                    <w:t xml:space="preserve"> de moeda eletrónica;</w:t>
                  </w:r>
                </w:p>
              </w:tc>
            </w:tr>
          </w:tbl>
          <w:p w14:paraId="5EE06936"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36"/>
              <w:gridCol w:w="8590"/>
            </w:tblGrid>
            <w:tr w:rsidR="00465964" w:rsidRPr="00465964" w14:paraId="59B1BBF4" w14:textId="77777777">
              <w:tc>
                <w:tcPr>
                  <w:tcW w:w="0" w:type="auto"/>
                  <w:shd w:val="clear" w:color="auto" w:fill="auto"/>
                  <w:hideMark/>
                </w:tcPr>
                <w:p w14:paraId="6231164E" w14:textId="77777777" w:rsidR="00465964" w:rsidRPr="00465964" w:rsidRDefault="00465964" w:rsidP="00465964">
                  <w:r w:rsidRPr="00465964">
                    <w:lastRenderedPageBreak/>
                    <w:t>f)</w:t>
                  </w:r>
                </w:p>
              </w:tc>
              <w:tc>
                <w:tcPr>
                  <w:tcW w:w="0" w:type="auto"/>
                  <w:shd w:val="clear" w:color="auto" w:fill="auto"/>
                  <w:hideMark/>
                </w:tcPr>
                <w:p w14:paraId="10319870" w14:textId="77777777" w:rsidR="00465964" w:rsidRPr="00465964" w:rsidRDefault="00465964" w:rsidP="00465964">
                  <w:pPr>
                    <w:rPr>
                      <w:lang w:val="pt-PT"/>
                    </w:rPr>
                  </w:pPr>
                  <w:r w:rsidRPr="00465964">
                    <w:rPr>
                      <w:lang w:val="pt-PT"/>
                    </w:rPr>
                    <w:t>O Estado-Membro em que o prestador de serviços de criptoativos tem a sua sede social, caso se trate de um prestador de serviços de criptoativos;</w:t>
                  </w:r>
                </w:p>
              </w:tc>
            </w:tr>
          </w:tbl>
          <w:p w14:paraId="1284737C" w14:textId="77777777" w:rsidR="00465964" w:rsidRPr="00465964" w:rsidRDefault="00465964" w:rsidP="00465964">
            <w:pPr>
              <w:rPr>
                <w:lang w:val="pt-PT"/>
              </w:rPr>
            </w:pPr>
          </w:p>
        </w:tc>
      </w:tr>
    </w:tbl>
    <w:p w14:paraId="39052582"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300"/>
        <w:gridCol w:w="8726"/>
      </w:tblGrid>
      <w:tr w:rsidR="00465964" w:rsidRPr="00465964" w14:paraId="62CFD069" w14:textId="77777777" w:rsidTr="00465964">
        <w:tc>
          <w:tcPr>
            <w:tcW w:w="0" w:type="auto"/>
            <w:shd w:val="clear" w:color="auto" w:fill="auto"/>
            <w:hideMark/>
          </w:tcPr>
          <w:p w14:paraId="157CC95E" w14:textId="77777777" w:rsidR="00465964" w:rsidRPr="00465964" w:rsidRDefault="00465964" w:rsidP="00465964">
            <w:r w:rsidRPr="00465964">
              <w:t>34)</w:t>
            </w:r>
          </w:p>
        </w:tc>
        <w:tc>
          <w:tcPr>
            <w:tcW w:w="0" w:type="auto"/>
            <w:shd w:val="clear" w:color="auto" w:fill="auto"/>
            <w:hideMark/>
          </w:tcPr>
          <w:p w14:paraId="6F45C628" w14:textId="77777777" w:rsidR="00465964" w:rsidRPr="00465964" w:rsidRDefault="00465964" w:rsidP="00465964">
            <w:pPr>
              <w:rPr>
                <w:lang w:val="pt-PT"/>
              </w:rPr>
            </w:pPr>
            <w:r w:rsidRPr="00465964">
              <w:rPr>
                <w:lang w:val="pt-PT"/>
              </w:rPr>
              <w:t>«Estado-Membro de acolhimento», o Estado-Membro em que um oferente ou a pessoa que solicita admissão à negociação fez uma oferta pública de criptoativos ou procura obter a admissão à negociação, ou em que o prestador de serviços de criptoativos presta serviços de criptoativos, quando diferente do Estado-Membro de origem;</w:t>
            </w:r>
          </w:p>
        </w:tc>
      </w:tr>
    </w:tbl>
    <w:p w14:paraId="597B2AED"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300"/>
        <w:gridCol w:w="8726"/>
      </w:tblGrid>
      <w:tr w:rsidR="00465964" w:rsidRPr="00465964" w14:paraId="2210BBCA" w14:textId="77777777" w:rsidTr="00465964">
        <w:tc>
          <w:tcPr>
            <w:tcW w:w="0" w:type="auto"/>
            <w:shd w:val="clear" w:color="auto" w:fill="auto"/>
            <w:hideMark/>
          </w:tcPr>
          <w:p w14:paraId="652ABDAE" w14:textId="77777777" w:rsidR="00465964" w:rsidRPr="00465964" w:rsidRDefault="00465964" w:rsidP="00465964">
            <w:r w:rsidRPr="00465964">
              <w:t>35)</w:t>
            </w:r>
          </w:p>
        </w:tc>
        <w:tc>
          <w:tcPr>
            <w:tcW w:w="0" w:type="auto"/>
            <w:shd w:val="clear" w:color="auto" w:fill="auto"/>
            <w:hideMark/>
          </w:tcPr>
          <w:p w14:paraId="33BBB885" w14:textId="77777777" w:rsidR="00465964" w:rsidRPr="00465964" w:rsidRDefault="00465964" w:rsidP="00465964">
            <w:pPr>
              <w:rPr>
                <w:lang w:val="pt-PT"/>
              </w:rPr>
            </w:pPr>
            <w:r w:rsidRPr="00465964">
              <w:rPr>
                <w:lang w:val="pt-PT"/>
              </w:rPr>
              <w:t>«Autoridade competente», uma ou mais autoridades:</w:t>
            </w:r>
          </w:p>
          <w:tbl>
            <w:tblPr>
              <w:tblW w:w="5000" w:type="pct"/>
              <w:tblCellMar>
                <w:left w:w="0" w:type="dxa"/>
                <w:right w:w="0" w:type="dxa"/>
              </w:tblCellMar>
              <w:tblLook w:val="04A0" w:firstRow="1" w:lastRow="0" w:firstColumn="1" w:lastColumn="0" w:noHBand="0" w:noVBand="1"/>
            </w:tblPr>
            <w:tblGrid>
              <w:gridCol w:w="182"/>
              <w:gridCol w:w="8544"/>
            </w:tblGrid>
            <w:tr w:rsidR="00465964" w:rsidRPr="00465964" w14:paraId="1BE86F21" w14:textId="77777777">
              <w:tc>
                <w:tcPr>
                  <w:tcW w:w="0" w:type="auto"/>
                  <w:shd w:val="clear" w:color="auto" w:fill="auto"/>
                  <w:hideMark/>
                </w:tcPr>
                <w:p w14:paraId="43A286E8" w14:textId="77777777" w:rsidR="00465964" w:rsidRPr="00465964" w:rsidRDefault="00465964" w:rsidP="00465964">
                  <w:r w:rsidRPr="00465964">
                    <w:t>a)</w:t>
                  </w:r>
                </w:p>
              </w:tc>
              <w:tc>
                <w:tcPr>
                  <w:tcW w:w="0" w:type="auto"/>
                  <w:shd w:val="clear" w:color="auto" w:fill="auto"/>
                  <w:hideMark/>
                </w:tcPr>
                <w:p w14:paraId="4D1E3BC9" w14:textId="65BFEAB8" w:rsidR="00465964" w:rsidRPr="00465964" w:rsidRDefault="00465964" w:rsidP="00465964">
                  <w:pPr>
                    <w:rPr>
                      <w:lang w:val="pt-PT"/>
                    </w:rPr>
                  </w:pPr>
                  <w:r w:rsidRPr="00465964">
                    <w:rPr>
                      <w:lang w:val="pt-PT"/>
                    </w:rPr>
                    <w:t>Designadas por cada um dos Estados-Membros nos termos do artigo 93.</w:t>
                  </w:r>
                  <w:r w:rsidRPr="00465964">
                    <w:rPr>
                      <w:vertAlign w:val="superscript"/>
                      <w:lang w:val="pt-PT"/>
                    </w:rPr>
                    <w:t>o</w:t>
                  </w:r>
                  <w:r w:rsidRPr="00465964">
                    <w:rPr>
                      <w:lang w:val="pt-PT"/>
                    </w:rPr>
                    <w:t xml:space="preserve"> relativamente aos oferentes, às pessoas que solicitam a admissão à negociação de criptoativos que não sejam </w:t>
                  </w:r>
                  <w:r>
                    <w:rPr>
                      <w:lang w:val="pt-PT"/>
                    </w:rPr>
                    <w:t>criptomoedas</w:t>
                  </w:r>
                  <w:r w:rsidRPr="00465964">
                    <w:rPr>
                      <w:lang w:val="pt-PT"/>
                    </w:rPr>
                    <w:t xml:space="preserve"> referenciadas a ativos nem </w:t>
                  </w:r>
                  <w:r>
                    <w:rPr>
                      <w:lang w:val="pt-PT"/>
                    </w:rPr>
                    <w:t>criptomoedas</w:t>
                  </w:r>
                  <w:r w:rsidRPr="00465964">
                    <w:rPr>
                      <w:lang w:val="pt-PT"/>
                    </w:rPr>
                    <w:t xml:space="preserve"> de moeda eletrónica, aos emitentes de </w:t>
                  </w:r>
                  <w:r>
                    <w:rPr>
                      <w:lang w:val="pt-PT"/>
                    </w:rPr>
                    <w:t>criptomoedas</w:t>
                  </w:r>
                  <w:r w:rsidRPr="00465964">
                    <w:rPr>
                      <w:lang w:val="pt-PT"/>
                    </w:rPr>
                    <w:t xml:space="preserve"> referenciadas a ativos ou aos prestadores de serviços de criptoativos;</w:t>
                  </w:r>
                </w:p>
              </w:tc>
            </w:tr>
          </w:tbl>
          <w:p w14:paraId="3EFC080D"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8"/>
              <w:gridCol w:w="8538"/>
            </w:tblGrid>
            <w:tr w:rsidR="00465964" w:rsidRPr="00465964" w14:paraId="774C3819" w14:textId="77777777">
              <w:tc>
                <w:tcPr>
                  <w:tcW w:w="0" w:type="auto"/>
                  <w:shd w:val="clear" w:color="auto" w:fill="auto"/>
                  <w:hideMark/>
                </w:tcPr>
                <w:p w14:paraId="65CDA400" w14:textId="77777777" w:rsidR="00465964" w:rsidRPr="00465964" w:rsidRDefault="00465964" w:rsidP="00465964">
                  <w:r w:rsidRPr="00465964">
                    <w:t>b)</w:t>
                  </w:r>
                </w:p>
              </w:tc>
              <w:tc>
                <w:tcPr>
                  <w:tcW w:w="0" w:type="auto"/>
                  <w:shd w:val="clear" w:color="auto" w:fill="auto"/>
                  <w:hideMark/>
                </w:tcPr>
                <w:p w14:paraId="1D198691" w14:textId="22DBDAE9" w:rsidR="00465964" w:rsidRPr="00465964" w:rsidRDefault="00465964" w:rsidP="00465964">
                  <w:pPr>
                    <w:rPr>
                      <w:lang w:val="pt-PT"/>
                    </w:rPr>
                  </w:pPr>
                  <w:r w:rsidRPr="00465964">
                    <w:rPr>
                      <w:lang w:val="pt-PT"/>
                    </w:rPr>
                    <w:t xml:space="preserve">Designadas por cada um dos Estados-Membros para a aplicação da Diretiva 2009/110/CE relativamente aos emitentes de </w:t>
                  </w:r>
                  <w:r>
                    <w:rPr>
                      <w:lang w:val="pt-PT"/>
                    </w:rPr>
                    <w:t>criptomoedas</w:t>
                  </w:r>
                  <w:r w:rsidRPr="00465964">
                    <w:rPr>
                      <w:lang w:val="pt-PT"/>
                    </w:rPr>
                    <w:t xml:space="preserve"> de moeda eletrónica;</w:t>
                  </w:r>
                </w:p>
              </w:tc>
            </w:tr>
          </w:tbl>
          <w:p w14:paraId="4211059A" w14:textId="77777777" w:rsidR="00465964" w:rsidRPr="00465964" w:rsidRDefault="00465964" w:rsidP="00465964">
            <w:pPr>
              <w:rPr>
                <w:lang w:val="pt-PT"/>
              </w:rPr>
            </w:pPr>
          </w:p>
        </w:tc>
      </w:tr>
    </w:tbl>
    <w:p w14:paraId="7700FBDD"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300"/>
        <w:gridCol w:w="8726"/>
      </w:tblGrid>
      <w:tr w:rsidR="00465964" w:rsidRPr="00465964" w14:paraId="394428FB" w14:textId="77777777" w:rsidTr="00465964">
        <w:tc>
          <w:tcPr>
            <w:tcW w:w="0" w:type="auto"/>
            <w:shd w:val="clear" w:color="auto" w:fill="auto"/>
            <w:hideMark/>
          </w:tcPr>
          <w:p w14:paraId="7BCB320F" w14:textId="77777777" w:rsidR="00465964" w:rsidRPr="00465964" w:rsidRDefault="00465964" w:rsidP="00465964">
            <w:r w:rsidRPr="00465964">
              <w:t>36)</w:t>
            </w:r>
          </w:p>
        </w:tc>
        <w:tc>
          <w:tcPr>
            <w:tcW w:w="0" w:type="auto"/>
            <w:shd w:val="clear" w:color="auto" w:fill="auto"/>
            <w:hideMark/>
          </w:tcPr>
          <w:p w14:paraId="3D4C757E" w14:textId="4AFBBF6E" w:rsidR="00465964" w:rsidRPr="00465964" w:rsidRDefault="00465964" w:rsidP="00465964">
            <w:pPr>
              <w:rPr>
                <w:lang w:val="pt-PT"/>
              </w:rPr>
            </w:pPr>
            <w:r w:rsidRPr="00465964">
              <w:rPr>
                <w:lang w:val="pt-PT"/>
              </w:rPr>
              <w:t xml:space="preserve">«Participação qualificada», a detenção de uma participação direta ou indireta num emitente de </w:t>
            </w:r>
            <w:r>
              <w:rPr>
                <w:lang w:val="pt-PT"/>
              </w:rPr>
              <w:t>criptomoedas</w:t>
            </w:r>
            <w:r w:rsidRPr="00465964">
              <w:rPr>
                <w:lang w:val="pt-PT"/>
              </w:rPr>
              <w:t xml:space="preserve"> referenciadas a ativos ou num prestador de serviços de criptoativos que represente pelo menos 10 % do capital ou dos direitos de voto, conforme estabelecido nos artigos 9.</w:t>
            </w:r>
            <w:r w:rsidRPr="00465964">
              <w:rPr>
                <w:vertAlign w:val="superscript"/>
                <w:lang w:val="pt-PT"/>
              </w:rPr>
              <w:t>o</w:t>
            </w:r>
            <w:r w:rsidRPr="00465964">
              <w:rPr>
                <w:lang w:val="pt-PT"/>
              </w:rPr>
              <w:t> e 10.</w:t>
            </w:r>
            <w:r w:rsidRPr="00465964">
              <w:rPr>
                <w:vertAlign w:val="superscript"/>
                <w:lang w:val="pt-PT"/>
              </w:rPr>
              <w:t>o</w:t>
            </w:r>
            <w:r w:rsidRPr="00465964">
              <w:rPr>
                <w:lang w:val="pt-PT"/>
              </w:rPr>
              <w:t> da Diretiva 2004/109/CE do Parlamento Europeu e do Conselho </w:t>
            </w:r>
            <w:hyperlink r:id="rId39" w:anchor="ntr32-L_2023150PT.01004001-E0032" w:history="1">
              <w:r w:rsidRPr="00465964">
                <w:rPr>
                  <w:rStyle w:val="Hyperlink"/>
                  <w:lang w:val="pt-PT"/>
                </w:rPr>
                <w:t>(</w:t>
              </w:r>
              <w:r w:rsidRPr="00465964">
                <w:rPr>
                  <w:rStyle w:val="Hyperlink"/>
                  <w:vertAlign w:val="superscript"/>
                  <w:lang w:val="pt-PT"/>
                </w:rPr>
                <w:t>32</w:t>
              </w:r>
              <w:r w:rsidRPr="00465964">
                <w:rPr>
                  <w:rStyle w:val="Hyperlink"/>
                  <w:lang w:val="pt-PT"/>
                </w:rPr>
                <w:t>)</w:t>
              </w:r>
            </w:hyperlink>
            <w:r w:rsidRPr="00465964">
              <w:rPr>
                <w:lang w:val="pt-PT"/>
              </w:rPr>
              <w:t>, respetivamente, tendo em conta as condições relativas à sua agregação estabelecidas no artigo 12.</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os</w:t>
            </w:r>
            <w:proofErr w:type="spellEnd"/>
            <w:r w:rsidRPr="00465964">
              <w:rPr>
                <w:lang w:val="pt-PT"/>
              </w:rPr>
              <w:t xml:space="preserve"> 4 e 5 dessa diretiva, ou que permita exercer uma influência significativa na gestão do emitente de </w:t>
            </w:r>
            <w:r>
              <w:rPr>
                <w:lang w:val="pt-PT"/>
              </w:rPr>
              <w:t>criptomoedas</w:t>
            </w:r>
            <w:r w:rsidRPr="00465964">
              <w:rPr>
                <w:lang w:val="pt-PT"/>
              </w:rPr>
              <w:t xml:space="preserve"> referenciadas a ativos ou na gestão do prestador de serviços de criptoativos objeto da participação;</w:t>
            </w:r>
          </w:p>
        </w:tc>
      </w:tr>
    </w:tbl>
    <w:p w14:paraId="06E50698"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300"/>
        <w:gridCol w:w="8726"/>
      </w:tblGrid>
      <w:tr w:rsidR="00465964" w:rsidRPr="00465964" w14:paraId="26F08B33" w14:textId="77777777" w:rsidTr="00465964">
        <w:tc>
          <w:tcPr>
            <w:tcW w:w="0" w:type="auto"/>
            <w:shd w:val="clear" w:color="auto" w:fill="auto"/>
            <w:hideMark/>
          </w:tcPr>
          <w:p w14:paraId="1B3AADCB" w14:textId="77777777" w:rsidR="00465964" w:rsidRPr="00465964" w:rsidRDefault="00465964" w:rsidP="00465964">
            <w:r w:rsidRPr="00465964">
              <w:t>37)</w:t>
            </w:r>
          </w:p>
        </w:tc>
        <w:tc>
          <w:tcPr>
            <w:tcW w:w="0" w:type="auto"/>
            <w:shd w:val="clear" w:color="auto" w:fill="auto"/>
            <w:hideMark/>
          </w:tcPr>
          <w:p w14:paraId="3529FD8B" w14:textId="77777777" w:rsidR="00465964" w:rsidRPr="00465964" w:rsidRDefault="00465964" w:rsidP="00465964">
            <w:pPr>
              <w:rPr>
                <w:lang w:val="pt-PT"/>
              </w:rPr>
            </w:pPr>
            <w:r w:rsidRPr="00465964">
              <w:rPr>
                <w:lang w:val="pt-PT"/>
              </w:rPr>
              <w:t>«Detentor não profissional», qualquer pessoa singular que atue para fins que não se incluam na atividade comercial, industrial, artesanal ou profissional dessa pessoa;</w:t>
            </w:r>
          </w:p>
        </w:tc>
      </w:tr>
    </w:tbl>
    <w:p w14:paraId="7518E4DD"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300"/>
        <w:gridCol w:w="8726"/>
      </w:tblGrid>
      <w:tr w:rsidR="00465964" w:rsidRPr="00465964" w14:paraId="2B9E0C01" w14:textId="77777777" w:rsidTr="00465964">
        <w:tc>
          <w:tcPr>
            <w:tcW w:w="0" w:type="auto"/>
            <w:shd w:val="clear" w:color="auto" w:fill="auto"/>
            <w:hideMark/>
          </w:tcPr>
          <w:p w14:paraId="5710DB1C" w14:textId="77777777" w:rsidR="00465964" w:rsidRPr="00465964" w:rsidRDefault="00465964" w:rsidP="00465964">
            <w:r w:rsidRPr="00465964">
              <w:t>38)</w:t>
            </w:r>
          </w:p>
        </w:tc>
        <w:tc>
          <w:tcPr>
            <w:tcW w:w="0" w:type="auto"/>
            <w:shd w:val="clear" w:color="auto" w:fill="auto"/>
            <w:hideMark/>
          </w:tcPr>
          <w:p w14:paraId="3CB29F82" w14:textId="77777777" w:rsidR="00465964" w:rsidRPr="00465964" w:rsidRDefault="00465964" w:rsidP="00465964">
            <w:pPr>
              <w:rPr>
                <w:lang w:val="pt-PT"/>
              </w:rPr>
            </w:pPr>
            <w:r w:rsidRPr="00465964">
              <w:rPr>
                <w:lang w:val="pt-PT"/>
              </w:rPr>
              <w:t>«Interface em linha», qualquer </w:t>
            </w:r>
            <w:r w:rsidRPr="00465964">
              <w:rPr>
                <w:i/>
                <w:iCs/>
                <w:lang w:val="pt-PT"/>
              </w:rPr>
              <w:t>software</w:t>
            </w:r>
            <w:r w:rsidRPr="00465964">
              <w:rPr>
                <w:lang w:val="pt-PT"/>
              </w:rPr>
              <w:t>, nomeadamente um sítio Web, parte de um sítio Web ou uma aplicação, explorado por um oferente ou prestador de serviços de criptoativos, ou em seu nome, que se destina a facultar aos detentores de criptoativos acesso aos seus criptoativos e a facultar aos clientes acesso aos serviços de criptoativos;</w:t>
            </w:r>
          </w:p>
        </w:tc>
      </w:tr>
    </w:tbl>
    <w:p w14:paraId="693F4AAB"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300"/>
        <w:gridCol w:w="8726"/>
      </w:tblGrid>
      <w:tr w:rsidR="00465964" w:rsidRPr="00465964" w14:paraId="4F8D592B" w14:textId="77777777" w:rsidTr="00465964">
        <w:tc>
          <w:tcPr>
            <w:tcW w:w="0" w:type="auto"/>
            <w:shd w:val="clear" w:color="auto" w:fill="auto"/>
            <w:hideMark/>
          </w:tcPr>
          <w:p w14:paraId="3C2066D3" w14:textId="77777777" w:rsidR="00465964" w:rsidRPr="00465964" w:rsidRDefault="00465964" w:rsidP="00465964">
            <w:r w:rsidRPr="00465964">
              <w:t>39)</w:t>
            </w:r>
          </w:p>
        </w:tc>
        <w:tc>
          <w:tcPr>
            <w:tcW w:w="0" w:type="auto"/>
            <w:shd w:val="clear" w:color="auto" w:fill="auto"/>
            <w:hideMark/>
          </w:tcPr>
          <w:p w14:paraId="42158B49" w14:textId="77777777" w:rsidR="00465964" w:rsidRPr="00465964" w:rsidRDefault="00465964" w:rsidP="00465964">
            <w:pPr>
              <w:rPr>
                <w:lang w:val="pt-PT"/>
              </w:rPr>
            </w:pPr>
            <w:r w:rsidRPr="00465964">
              <w:rPr>
                <w:lang w:val="pt-PT"/>
              </w:rPr>
              <w:t>«Cliente», qualquer pessoa singular ou coletiva a quem um prestador de serviços de criptoativos presta serviços de criptoativos;</w:t>
            </w:r>
          </w:p>
        </w:tc>
      </w:tr>
    </w:tbl>
    <w:p w14:paraId="7CA2A4CD"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300"/>
        <w:gridCol w:w="8726"/>
      </w:tblGrid>
      <w:tr w:rsidR="00465964" w:rsidRPr="00465964" w14:paraId="5B42B9AA" w14:textId="77777777" w:rsidTr="00465964">
        <w:tc>
          <w:tcPr>
            <w:tcW w:w="0" w:type="auto"/>
            <w:shd w:val="clear" w:color="auto" w:fill="auto"/>
            <w:hideMark/>
          </w:tcPr>
          <w:p w14:paraId="0699590B" w14:textId="77777777" w:rsidR="00465964" w:rsidRPr="00465964" w:rsidRDefault="00465964" w:rsidP="00465964">
            <w:r w:rsidRPr="00465964">
              <w:t>40)</w:t>
            </w:r>
          </w:p>
        </w:tc>
        <w:tc>
          <w:tcPr>
            <w:tcW w:w="0" w:type="auto"/>
            <w:shd w:val="clear" w:color="auto" w:fill="auto"/>
            <w:hideMark/>
          </w:tcPr>
          <w:p w14:paraId="43F9A52E" w14:textId="77777777" w:rsidR="00465964" w:rsidRPr="00465964" w:rsidRDefault="00465964" w:rsidP="00465964">
            <w:pPr>
              <w:rPr>
                <w:lang w:val="pt-PT"/>
              </w:rPr>
            </w:pPr>
            <w:r w:rsidRPr="00465964">
              <w:rPr>
                <w:lang w:val="pt-PT"/>
              </w:rPr>
              <w:t>«Transações simultâneas por conta própria», as transações simultâneas por conta própria na aceção do artigo 4.</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1, ponto 38, da Diretiva 2014/65/UE;</w:t>
            </w:r>
          </w:p>
        </w:tc>
      </w:tr>
    </w:tbl>
    <w:p w14:paraId="29D99470"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300"/>
        <w:gridCol w:w="8726"/>
      </w:tblGrid>
      <w:tr w:rsidR="00465964" w:rsidRPr="00465964" w14:paraId="6558EEA0" w14:textId="77777777" w:rsidTr="00465964">
        <w:tc>
          <w:tcPr>
            <w:tcW w:w="0" w:type="auto"/>
            <w:shd w:val="clear" w:color="auto" w:fill="auto"/>
            <w:hideMark/>
          </w:tcPr>
          <w:p w14:paraId="1B2052D3" w14:textId="77777777" w:rsidR="00465964" w:rsidRPr="00465964" w:rsidRDefault="00465964" w:rsidP="00465964">
            <w:r w:rsidRPr="00465964">
              <w:t>41)</w:t>
            </w:r>
          </w:p>
        </w:tc>
        <w:tc>
          <w:tcPr>
            <w:tcW w:w="0" w:type="auto"/>
            <w:shd w:val="clear" w:color="auto" w:fill="auto"/>
            <w:hideMark/>
          </w:tcPr>
          <w:p w14:paraId="42161CBA" w14:textId="77777777" w:rsidR="00465964" w:rsidRPr="00465964" w:rsidRDefault="00465964" w:rsidP="00465964">
            <w:pPr>
              <w:rPr>
                <w:lang w:val="pt-PT"/>
              </w:rPr>
            </w:pPr>
            <w:r w:rsidRPr="00465964">
              <w:rPr>
                <w:lang w:val="pt-PT"/>
              </w:rPr>
              <w:t>«Serviços de pagamento», os serviços de pagamento na aceção do artigo 4.</w:t>
            </w:r>
            <w:r w:rsidRPr="00465964">
              <w:rPr>
                <w:vertAlign w:val="superscript"/>
                <w:lang w:val="pt-PT"/>
              </w:rPr>
              <w:t>o</w:t>
            </w:r>
            <w:r w:rsidRPr="00465964">
              <w:rPr>
                <w:lang w:val="pt-PT"/>
              </w:rPr>
              <w:t>, ponto 3, da Diretiva (UE) 2015/2366;</w:t>
            </w:r>
          </w:p>
        </w:tc>
      </w:tr>
    </w:tbl>
    <w:p w14:paraId="1FC74EE9"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300"/>
        <w:gridCol w:w="8726"/>
      </w:tblGrid>
      <w:tr w:rsidR="00465964" w:rsidRPr="00465964" w14:paraId="0B1C52CF" w14:textId="77777777" w:rsidTr="00465964">
        <w:tc>
          <w:tcPr>
            <w:tcW w:w="0" w:type="auto"/>
            <w:shd w:val="clear" w:color="auto" w:fill="auto"/>
            <w:hideMark/>
          </w:tcPr>
          <w:p w14:paraId="3C2B11DE" w14:textId="77777777" w:rsidR="00465964" w:rsidRPr="00465964" w:rsidRDefault="00465964" w:rsidP="00465964">
            <w:r w:rsidRPr="00465964">
              <w:t>42)</w:t>
            </w:r>
          </w:p>
        </w:tc>
        <w:tc>
          <w:tcPr>
            <w:tcW w:w="0" w:type="auto"/>
            <w:shd w:val="clear" w:color="auto" w:fill="auto"/>
            <w:hideMark/>
          </w:tcPr>
          <w:p w14:paraId="5B594797" w14:textId="77777777" w:rsidR="00465964" w:rsidRPr="00465964" w:rsidRDefault="00465964" w:rsidP="00465964">
            <w:pPr>
              <w:rPr>
                <w:lang w:val="pt-PT"/>
              </w:rPr>
            </w:pPr>
            <w:r w:rsidRPr="00465964">
              <w:rPr>
                <w:lang w:val="pt-PT"/>
              </w:rPr>
              <w:t>«Prestador de serviços de pagamento», um prestador de serviços de pagamento na aceção do artigo 4.</w:t>
            </w:r>
            <w:r w:rsidRPr="00465964">
              <w:rPr>
                <w:vertAlign w:val="superscript"/>
                <w:lang w:val="pt-PT"/>
              </w:rPr>
              <w:t>o</w:t>
            </w:r>
            <w:r w:rsidRPr="00465964">
              <w:rPr>
                <w:lang w:val="pt-PT"/>
              </w:rPr>
              <w:t>, ponto 11, da Diretiva (UE) 2015/2366;</w:t>
            </w:r>
          </w:p>
        </w:tc>
      </w:tr>
    </w:tbl>
    <w:p w14:paraId="58A198B4"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300"/>
        <w:gridCol w:w="8726"/>
      </w:tblGrid>
      <w:tr w:rsidR="00465964" w:rsidRPr="00465964" w14:paraId="59A70C97" w14:textId="77777777" w:rsidTr="00465964">
        <w:tc>
          <w:tcPr>
            <w:tcW w:w="0" w:type="auto"/>
            <w:shd w:val="clear" w:color="auto" w:fill="auto"/>
            <w:hideMark/>
          </w:tcPr>
          <w:p w14:paraId="4A6C127F" w14:textId="77777777" w:rsidR="00465964" w:rsidRPr="00465964" w:rsidRDefault="00465964" w:rsidP="00465964">
            <w:r w:rsidRPr="00465964">
              <w:t>43)</w:t>
            </w:r>
          </w:p>
        </w:tc>
        <w:tc>
          <w:tcPr>
            <w:tcW w:w="0" w:type="auto"/>
            <w:shd w:val="clear" w:color="auto" w:fill="auto"/>
            <w:hideMark/>
          </w:tcPr>
          <w:p w14:paraId="2F0E7B90" w14:textId="77777777" w:rsidR="00465964" w:rsidRPr="00465964" w:rsidRDefault="00465964" w:rsidP="00465964">
            <w:pPr>
              <w:rPr>
                <w:lang w:val="pt-PT"/>
              </w:rPr>
            </w:pPr>
            <w:r w:rsidRPr="00465964">
              <w:rPr>
                <w:lang w:val="pt-PT"/>
              </w:rPr>
              <w:t>«Instituição de moeda eletrónica», uma instituição de moeda eletrónica na aceção do artigo 2.</w:t>
            </w:r>
            <w:r w:rsidRPr="00465964">
              <w:rPr>
                <w:vertAlign w:val="superscript"/>
                <w:lang w:val="pt-PT"/>
              </w:rPr>
              <w:t>o</w:t>
            </w:r>
            <w:r w:rsidRPr="00465964">
              <w:rPr>
                <w:lang w:val="pt-PT"/>
              </w:rPr>
              <w:t>, ponto 1, da Diretiva 2009/110/CE;</w:t>
            </w:r>
          </w:p>
        </w:tc>
      </w:tr>
    </w:tbl>
    <w:p w14:paraId="789AEF6B"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300"/>
        <w:gridCol w:w="8726"/>
      </w:tblGrid>
      <w:tr w:rsidR="00465964" w:rsidRPr="00465964" w14:paraId="3603E011" w14:textId="77777777" w:rsidTr="00465964">
        <w:tc>
          <w:tcPr>
            <w:tcW w:w="0" w:type="auto"/>
            <w:shd w:val="clear" w:color="auto" w:fill="auto"/>
            <w:hideMark/>
          </w:tcPr>
          <w:p w14:paraId="6ADFD1A8" w14:textId="77777777" w:rsidR="00465964" w:rsidRPr="00465964" w:rsidRDefault="00465964" w:rsidP="00465964">
            <w:r w:rsidRPr="00465964">
              <w:t>44)</w:t>
            </w:r>
          </w:p>
        </w:tc>
        <w:tc>
          <w:tcPr>
            <w:tcW w:w="0" w:type="auto"/>
            <w:shd w:val="clear" w:color="auto" w:fill="auto"/>
            <w:hideMark/>
          </w:tcPr>
          <w:p w14:paraId="277B088D" w14:textId="77777777" w:rsidR="00465964" w:rsidRPr="00465964" w:rsidRDefault="00465964" w:rsidP="00465964">
            <w:pPr>
              <w:rPr>
                <w:lang w:val="pt-PT"/>
              </w:rPr>
            </w:pPr>
            <w:r w:rsidRPr="00465964">
              <w:rPr>
                <w:lang w:val="pt-PT"/>
              </w:rPr>
              <w:t>«Moeda eletrónica», a moeda eletrónica na aceção do artigo 2.</w:t>
            </w:r>
            <w:r w:rsidRPr="00465964">
              <w:rPr>
                <w:vertAlign w:val="superscript"/>
                <w:lang w:val="pt-PT"/>
              </w:rPr>
              <w:t>o</w:t>
            </w:r>
            <w:r w:rsidRPr="00465964">
              <w:rPr>
                <w:lang w:val="pt-PT"/>
              </w:rPr>
              <w:t>, ponto 2, da Diretiva 2009/110/CE;</w:t>
            </w:r>
          </w:p>
        </w:tc>
      </w:tr>
    </w:tbl>
    <w:p w14:paraId="4DB7B3A8"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300"/>
        <w:gridCol w:w="8726"/>
      </w:tblGrid>
      <w:tr w:rsidR="00465964" w:rsidRPr="00465964" w14:paraId="2ABA7801" w14:textId="77777777" w:rsidTr="00465964">
        <w:tc>
          <w:tcPr>
            <w:tcW w:w="0" w:type="auto"/>
            <w:shd w:val="clear" w:color="auto" w:fill="auto"/>
            <w:hideMark/>
          </w:tcPr>
          <w:p w14:paraId="1B7418D0" w14:textId="77777777" w:rsidR="00465964" w:rsidRPr="00465964" w:rsidRDefault="00465964" w:rsidP="00465964">
            <w:r w:rsidRPr="00465964">
              <w:lastRenderedPageBreak/>
              <w:t>45)</w:t>
            </w:r>
          </w:p>
        </w:tc>
        <w:tc>
          <w:tcPr>
            <w:tcW w:w="0" w:type="auto"/>
            <w:shd w:val="clear" w:color="auto" w:fill="auto"/>
            <w:hideMark/>
          </w:tcPr>
          <w:p w14:paraId="4FE8A2CD" w14:textId="77777777" w:rsidR="00465964" w:rsidRPr="00465964" w:rsidRDefault="00465964" w:rsidP="00465964">
            <w:pPr>
              <w:rPr>
                <w:lang w:val="pt-PT"/>
              </w:rPr>
            </w:pPr>
            <w:r w:rsidRPr="00465964">
              <w:rPr>
                <w:lang w:val="pt-PT"/>
              </w:rPr>
              <w:t>«Dados pessoais», os dados pessoais na aceção do artigo 4.</w:t>
            </w:r>
            <w:r w:rsidRPr="00465964">
              <w:rPr>
                <w:vertAlign w:val="superscript"/>
                <w:lang w:val="pt-PT"/>
              </w:rPr>
              <w:t>o</w:t>
            </w:r>
            <w:r w:rsidRPr="00465964">
              <w:rPr>
                <w:lang w:val="pt-PT"/>
              </w:rPr>
              <w:t>, ponto 1, do Regulamento (UE) 2016/679;</w:t>
            </w:r>
          </w:p>
        </w:tc>
      </w:tr>
    </w:tbl>
    <w:p w14:paraId="4E9A768F"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300"/>
        <w:gridCol w:w="8726"/>
      </w:tblGrid>
      <w:tr w:rsidR="00465964" w:rsidRPr="00465964" w14:paraId="401E2993" w14:textId="77777777" w:rsidTr="00465964">
        <w:tc>
          <w:tcPr>
            <w:tcW w:w="0" w:type="auto"/>
            <w:shd w:val="clear" w:color="auto" w:fill="auto"/>
            <w:hideMark/>
          </w:tcPr>
          <w:p w14:paraId="16C32EA2" w14:textId="77777777" w:rsidR="00465964" w:rsidRPr="00465964" w:rsidRDefault="00465964" w:rsidP="00465964">
            <w:r w:rsidRPr="00465964">
              <w:t>46)</w:t>
            </w:r>
          </w:p>
        </w:tc>
        <w:tc>
          <w:tcPr>
            <w:tcW w:w="0" w:type="auto"/>
            <w:shd w:val="clear" w:color="auto" w:fill="auto"/>
            <w:hideMark/>
          </w:tcPr>
          <w:p w14:paraId="58E0B8CB" w14:textId="77777777" w:rsidR="00465964" w:rsidRPr="00465964" w:rsidRDefault="00465964" w:rsidP="00465964">
            <w:pPr>
              <w:rPr>
                <w:lang w:val="pt-PT"/>
              </w:rPr>
            </w:pPr>
            <w:r w:rsidRPr="00465964">
              <w:rPr>
                <w:lang w:val="pt-PT"/>
              </w:rPr>
              <w:t>«Instituição de pagamento», uma instituição de pagamento na aceção do artigo 4.</w:t>
            </w:r>
            <w:r w:rsidRPr="00465964">
              <w:rPr>
                <w:vertAlign w:val="superscript"/>
                <w:lang w:val="pt-PT"/>
              </w:rPr>
              <w:t>o</w:t>
            </w:r>
            <w:r w:rsidRPr="00465964">
              <w:rPr>
                <w:lang w:val="pt-PT"/>
              </w:rPr>
              <w:t>, ponto 4, da Diretiva (UE) 2015/2366;</w:t>
            </w:r>
          </w:p>
        </w:tc>
      </w:tr>
    </w:tbl>
    <w:p w14:paraId="602DC078"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300"/>
        <w:gridCol w:w="8726"/>
      </w:tblGrid>
      <w:tr w:rsidR="00465964" w:rsidRPr="00465964" w14:paraId="49186B33" w14:textId="77777777" w:rsidTr="00465964">
        <w:tc>
          <w:tcPr>
            <w:tcW w:w="0" w:type="auto"/>
            <w:shd w:val="clear" w:color="auto" w:fill="auto"/>
            <w:hideMark/>
          </w:tcPr>
          <w:p w14:paraId="563DB427" w14:textId="77777777" w:rsidR="00465964" w:rsidRPr="00465964" w:rsidRDefault="00465964" w:rsidP="00465964">
            <w:r w:rsidRPr="00465964">
              <w:t>47)</w:t>
            </w:r>
          </w:p>
        </w:tc>
        <w:tc>
          <w:tcPr>
            <w:tcW w:w="0" w:type="auto"/>
            <w:shd w:val="clear" w:color="auto" w:fill="auto"/>
            <w:hideMark/>
          </w:tcPr>
          <w:p w14:paraId="18351FFA" w14:textId="77777777" w:rsidR="00465964" w:rsidRPr="00465964" w:rsidRDefault="00465964" w:rsidP="00465964">
            <w:pPr>
              <w:rPr>
                <w:lang w:val="pt-PT"/>
              </w:rPr>
            </w:pPr>
            <w:r w:rsidRPr="00465964">
              <w:rPr>
                <w:lang w:val="pt-PT"/>
              </w:rPr>
              <w:t>«Sociedade gestora de OICVM», uma sociedade gestora na aceção do artigo 2.</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1, alínea b), da Diretiva 2009/65/CE do Parlamento Europeu e do Conselho </w:t>
            </w:r>
            <w:hyperlink r:id="rId40" w:anchor="ntr33-L_2023150PT.01004001-E0033" w:history="1">
              <w:r w:rsidRPr="00465964">
                <w:rPr>
                  <w:rStyle w:val="Hyperlink"/>
                  <w:lang w:val="pt-PT"/>
                </w:rPr>
                <w:t>(</w:t>
              </w:r>
              <w:r w:rsidRPr="00465964">
                <w:rPr>
                  <w:rStyle w:val="Hyperlink"/>
                  <w:vertAlign w:val="superscript"/>
                  <w:lang w:val="pt-PT"/>
                </w:rPr>
                <w:t>33</w:t>
              </w:r>
              <w:r w:rsidRPr="00465964">
                <w:rPr>
                  <w:rStyle w:val="Hyperlink"/>
                  <w:lang w:val="pt-PT"/>
                </w:rPr>
                <w:t>)</w:t>
              </w:r>
            </w:hyperlink>
            <w:r w:rsidRPr="00465964">
              <w:rPr>
                <w:lang w:val="pt-PT"/>
              </w:rPr>
              <w:t>;</w:t>
            </w:r>
          </w:p>
        </w:tc>
      </w:tr>
    </w:tbl>
    <w:p w14:paraId="48D551E7"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300"/>
        <w:gridCol w:w="8726"/>
      </w:tblGrid>
      <w:tr w:rsidR="00465964" w:rsidRPr="00465964" w14:paraId="57278F69" w14:textId="77777777" w:rsidTr="00465964">
        <w:tc>
          <w:tcPr>
            <w:tcW w:w="0" w:type="auto"/>
            <w:shd w:val="clear" w:color="auto" w:fill="auto"/>
            <w:hideMark/>
          </w:tcPr>
          <w:p w14:paraId="3AB3E49C" w14:textId="77777777" w:rsidR="00465964" w:rsidRPr="00465964" w:rsidRDefault="00465964" w:rsidP="00465964">
            <w:r w:rsidRPr="00465964">
              <w:t>48)</w:t>
            </w:r>
          </w:p>
        </w:tc>
        <w:tc>
          <w:tcPr>
            <w:tcW w:w="0" w:type="auto"/>
            <w:shd w:val="clear" w:color="auto" w:fill="auto"/>
            <w:hideMark/>
          </w:tcPr>
          <w:p w14:paraId="2255F869" w14:textId="77777777" w:rsidR="00465964" w:rsidRPr="00465964" w:rsidRDefault="00465964" w:rsidP="00465964">
            <w:pPr>
              <w:rPr>
                <w:lang w:val="pt-PT"/>
              </w:rPr>
            </w:pPr>
            <w:r w:rsidRPr="00465964">
              <w:rPr>
                <w:lang w:val="pt-PT"/>
              </w:rPr>
              <w:t>«Gestores de fundos de investimento alternativos», os «GFIA» na aceção do artigo 4.</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1, alínea b), da Diretiva 2011/61/UE do Parlamento Europeu e do Conselho </w:t>
            </w:r>
            <w:hyperlink r:id="rId41" w:anchor="ntr34-L_2023150PT.01004001-E0034" w:history="1">
              <w:r w:rsidRPr="00465964">
                <w:rPr>
                  <w:rStyle w:val="Hyperlink"/>
                  <w:lang w:val="pt-PT"/>
                </w:rPr>
                <w:t>(</w:t>
              </w:r>
              <w:r w:rsidRPr="00465964">
                <w:rPr>
                  <w:rStyle w:val="Hyperlink"/>
                  <w:vertAlign w:val="superscript"/>
                  <w:lang w:val="pt-PT"/>
                </w:rPr>
                <w:t>34</w:t>
              </w:r>
              <w:r w:rsidRPr="00465964">
                <w:rPr>
                  <w:rStyle w:val="Hyperlink"/>
                  <w:lang w:val="pt-PT"/>
                </w:rPr>
                <w:t>)</w:t>
              </w:r>
            </w:hyperlink>
            <w:r w:rsidRPr="00465964">
              <w:rPr>
                <w:lang w:val="pt-PT"/>
              </w:rPr>
              <w:t>;</w:t>
            </w:r>
          </w:p>
        </w:tc>
      </w:tr>
    </w:tbl>
    <w:p w14:paraId="23B5A2FC"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300"/>
        <w:gridCol w:w="8726"/>
      </w:tblGrid>
      <w:tr w:rsidR="00465964" w:rsidRPr="00465964" w14:paraId="0BE27EE3" w14:textId="77777777" w:rsidTr="00465964">
        <w:tc>
          <w:tcPr>
            <w:tcW w:w="0" w:type="auto"/>
            <w:shd w:val="clear" w:color="auto" w:fill="auto"/>
            <w:hideMark/>
          </w:tcPr>
          <w:p w14:paraId="0A3A7059" w14:textId="77777777" w:rsidR="00465964" w:rsidRPr="00465964" w:rsidRDefault="00465964" w:rsidP="00465964">
            <w:r w:rsidRPr="00465964">
              <w:t>49)</w:t>
            </w:r>
          </w:p>
        </w:tc>
        <w:tc>
          <w:tcPr>
            <w:tcW w:w="0" w:type="auto"/>
            <w:shd w:val="clear" w:color="auto" w:fill="auto"/>
            <w:hideMark/>
          </w:tcPr>
          <w:p w14:paraId="7EF4AECA" w14:textId="77777777" w:rsidR="00465964" w:rsidRPr="00465964" w:rsidRDefault="00465964" w:rsidP="00465964">
            <w:pPr>
              <w:rPr>
                <w:lang w:val="pt-PT"/>
              </w:rPr>
            </w:pPr>
            <w:r w:rsidRPr="00465964">
              <w:rPr>
                <w:lang w:val="pt-PT"/>
              </w:rPr>
              <w:t>«Instrumento financeiro», um instrumento financeiro na aceção do artigo 4.</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1, ponto 15, da Diretiva 2014/65/UE;</w:t>
            </w:r>
          </w:p>
        </w:tc>
      </w:tr>
    </w:tbl>
    <w:p w14:paraId="0B2A758D"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317"/>
        <w:gridCol w:w="8709"/>
      </w:tblGrid>
      <w:tr w:rsidR="00465964" w:rsidRPr="00465964" w14:paraId="68A5E2AC" w14:textId="77777777" w:rsidTr="00465964">
        <w:tc>
          <w:tcPr>
            <w:tcW w:w="0" w:type="auto"/>
            <w:shd w:val="clear" w:color="auto" w:fill="auto"/>
            <w:hideMark/>
          </w:tcPr>
          <w:p w14:paraId="76EC66B4" w14:textId="77777777" w:rsidR="00465964" w:rsidRPr="00465964" w:rsidRDefault="00465964" w:rsidP="00465964">
            <w:r w:rsidRPr="00465964">
              <w:t>50)</w:t>
            </w:r>
          </w:p>
        </w:tc>
        <w:tc>
          <w:tcPr>
            <w:tcW w:w="0" w:type="auto"/>
            <w:shd w:val="clear" w:color="auto" w:fill="auto"/>
            <w:hideMark/>
          </w:tcPr>
          <w:p w14:paraId="662D0857" w14:textId="77777777" w:rsidR="00465964" w:rsidRPr="00465964" w:rsidRDefault="00465964" w:rsidP="00465964">
            <w:pPr>
              <w:rPr>
                <w:lang w:val="pt-PT"/>
              </w:rPr>
            </w:pPr>
            <w:r w:rsidRPr="00465964">
              <w:rPr>
                <w:lang w:val="pt-PT"/>
              </w:rPr>
              <w:t>«Depósito», um depósito na aceção do artigo 2.</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1, ponto 3, da Diretiva 2014/49/UE;</w:t>
            </w:r>
          </w:p>
        </w:tc>
      </w:tr>
    </w:tbl>
    <w:p w14:paraId="3EF5BDFF"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300"/>
        <w:gridCol w:w="8726"/>
      </w:tblGrid>
      <w:tr w:rsidR="00465964" w:rsidRPr="00465964" w14:paraId="228F114F" w14:textId="77777777" w:rsidTr="00465964">
        <w:tc>
          <w:tcPr>
            <w:tcW w:w="0" w:type="auto"/>
            <w:shd w:val="clear" w:color="auto" w:fill="auto"/>
            <w:hideMark/>
          </w:tcPr>
          <w:p w14:paraId="7486AD7C" w14:textId="77777777" w:rsidR="00465964" w:rsidRPr="00465964" w:rsidRDefault="00465964" w:rsidP="00465964">
            <w:r w:rsidRPr="00465964">
              <w:t>51)</w:t>
            </w:r>
          </w:p>
        </w:tc>
        <w:tc>
          <w:tcPr>
            <w:tcW w:w="0" w:type="auto"/>
            <w:shd w:val="clear" w:color="auto" w:fill="auto"/>
            <w:hideMark/>
          </w:tcPr>
          <w:p w14:paraId="6DBA63AF" w14:textId="77777777" w:rsidR="00465964" w:rsidRPr="00465964" w:rsidRDefault="00465964" w:rsidP="00465964">
            <w:pPr>
              <w:rPr>
                <w:lang w:val="pt-PT"/>
              </w:rPr>
            </w:pPr>
            <w:r w:rsidRPr="00465964">
              <w:rPr>
                <w:lang w:val="pt-PT"/>
              </w:rPr>
              <w:t>«Depósito estruturado», um depósito estruturado na aceção do artigo 4.</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1, ponto 43, da Diretiva 2014/65/UE.</w:t>
            </w:r>
          </w:p>
        </w:tc>
      </w:tr>
    </w:tbl>
    <w:p w14:paraId="6597CA5B" w14:textId="77777777" w:rsidR="00465964" w:rsidRPr="00465964" w:rsidRDefault="00465964" w:rsidP="00465964">
      <w:pPr>
        <w:rPr>
          <w:lang w:val="pt-PT"/>
        </w:rPr>
      </w:pPr>
      <w:r w:rsidRPr="00465964">
        <w:rPr>
          <w:lang w:val="pt-PT"/>
        </w:rPr>
        <w:t>2.   A Comissão adota atos delegados nos termos do artigo 139.</w:t>
      </w:r>
      <w:r w:rsidRPr="00465964">
        <w:rPr>
          <w:vertAlign w:val="superscript"/>
          <w:lang w:val="pt-PT"/>
        </w:rPr>
        <w:t>o</w:t>
      </w:r>
      <w:r w:rsidRPr="00465964">
        <w:rPr>
          <w:lang w:val="pt-PT"/>
        </w:rPr>
        <w:t xml:space="preserve"> a fim de completar o presente regulamento com a especificação mais pormenorizada de determinados elementos técnicos das definições estabelecidas no </w:t>
      </w:r>
      <w:proofErr w:type="spellStart"/>
      <w:r w:rsidRPr="00465964">
        <w:rPr>
          <w:lang w:val="pt-PT"/>
        </w:rPr>
        <w:t>n.</w:t>
      </w:r>
      <w:r w:rsidRPr="00465964">
        <w:rPr>
          <w:vertAlign w:val="superscript"/>
          <w:lang w:val="pt-PT"/>
        </w:rPr>
        <w:t>o</w:t>
      </w:r>
      <w:proofErr w:type="spellEnd"/>
      <w:r w:rsidRPr="00465964">
        <w:rPr>
          <w:lang w:val="pt-PT"/>
        </w:rPr>
        <w:t> 1 do presente artigo, e de adaptar essas definições à evolução dos mercados e à evolução tecnológica.</w:t>
      </w:r>
    </w:p>
    <w:p w14:paraId="0B3AE9EA" w14:textId="77777777" w:rsidR="00465964" w:rsidRPr="00465964" w:rsidRDefault="00465964" w:rsidP="00465964">
      <w:pPr>
        <w:rPr>
          <w:b/>
          <w:bCs/>
          <w:lang w:val="pt-PT"/>
        </w:rPr>
      </w:pPr>
      <w:r w:rsidRPr="00465964">
        <w:rPr>
          <w:b/>
          <w:bCs/>
          <w:lang w:val="pt-PT"/>
        </w:rPr>
        <w:t>TÍTULO II</w:t>
      </w:r>
    </w:p>
    <w:p w14:paraId="6E2C7C37" w14:textId="4B0F6B6B" w:rsidR="00465964" w:rsidRPr="00465964" w:rsidRDefault="00465964" w:rsidP="00465964">
      <w:pPr>
        <w:rPr>
          <w:b/>
          <w:bCs/>
          <w:lang w:val="pt-PT"/>
        </w:rPr>
      </w:pPr>
      <w:r w:rsidRPr="00465964">
        <w:rPr>
          <w:b/>
          <w:bCs/>
          <w:lang w:val="pt-PT"/>
        </w:rPr>
        <w:t xml:space="preserve">CRIPTOATIVOS QUE NÃO SEJAM </w:t>
      </w:r>
      <w:r>
        <w:rPr>
          <w:b/>
          <w:bCs/>
          <w:lang w:val="pt-PT"/>
        </w:rPr>
        <w:t>CRIPTOMOEDAS</w:t>
      </w:r>
      <w:r w:rsidRPr="00465964">
        <w:rPr>
          <w:b/>
          <w:bCs/>
          <w:lang w:val="pt-PT"/>
        </w:rPr>
        <w:t xml:space="preserve"> REFERENCIADAS A ATIVOS NEM </w:t>
      </w:r>
      <w:r>
        <w:rPr>
          <w:b/>
          <w:bCs/>
          <w:lang w:val="pt-PT"/>
        </w:rPr>
        <w:t>CRIPTOMOEDAS</w:t>
      </w:r>
      <w:r w:rsidRPr="00465964">
        <w:rPr>
          <w:b/>
          <w:bCs/>
          <w:lang w:val="pt-PT"/>
        </w:rPr>
        <w:t xml:space="preserve"> DE MOEDA ELETRÓNICA</w:t>
      </w:r>
    </w:p>
    <w:p w14:paraId="3BA62B63" w14:textId="77777777" w:rsidR="00465964" w:rsidRPr="00465964" w:rsidRDefault="00465964" w:rsidP="00465964">
      <w:pPr>
        <w:rPr>
          <w:i/>
          <w:iCs/>
          <w:lang w:val="pt-PT"/>
        </w:rPr>
      </w:pPr>
      <w:r w:rsidRPr="00465964">
        <w:rPr>
          <w:i/>
          <w:iCs/>
          <w:lang w:val="pt-PT"/>
        </w:rPr>
        <w:t>Artigo 4.</w:t>
      </w:r>
      <w:r w:rsidRPr="00465964">
        <w:rPr>
          <w:i/>
          <w:iCs/>
          <w:vertAlign w:val="superscript"/>
          <w:lang w:val="pt-PT"/>
        </w:rPr>
        <w:t>o</w:t>
      </w:r>
    </w:p>
    <w:p w14:paraId="70DB53E5" w14:textId="572A2DBD" w:rsidR="00465964" w:rsidRPr="00465964" w:rsidRDefault="00465964" w:rsidP="00465964">
      <w:pPr>
        <w:rPr>
          <w:b/>
          <w:bCs/>
          <w:lang w:val="pt-PT"/>
        </w:rPr>
      </w:pPr>
      <w:r w:rsidRPr="00465964">
        <w:rPr>
          <w:b/>
          <w:bCs/>
          <w:lang w:val="pt-PT"/>
        </w:rPr>
        <w:t xml:space="preserve">Ofertas públicas de criptoativos que não sejam </w:t>
      </w:r>
      <w:r>
        <w:rPr>
          <w:b/>
          <w:bCs/>
          <w:lang w:val="pt-PT"/>
        </w:rPr>
        <w:t>criptomoedas</w:t>
      </w:r>
      <w:r w:rsidRPr="00465964">
        <w:rPr>
          <w:b/>
          <w:bCs/>
          <w:lang w:val="pt-PT"/>
        </w:rPr>
        <w:t xml:space="preserve"> referenciadas a ativos nem </w:t>
      </w:r>
      <w:r>
        <w:rPr>
          <w:b/>
          <w:bCs/>
          <w:lang w:val="pt-PT"/>
        </w:rPr>
        <w:t>criptomoedas</w:t>
      </w:r>
      <w:r w:rsidRPr="00465964">
        <w:rPr>
          <w:b/>
          <w:bCs/>
          <w:lang w:val="pt-PT"/>
        </w:rPr>
        <w:t xml:space="preserve"> de moeda eletrónica</w:t>
      </w:r>
    </w:p>
    <w:p w14:paraId="292E7DB7" w14:textId="77777777" w:rsidR="00465964" w:rsidRPr="00465964" w:rsidRDefault="00465964" w:rsidP="00465964">
      <w:pPr>
        <w:rPr>
          <w:lang w:val="pt-PT"/>
        </w:rPr>
      </w:pPr>
      <w:r w:rsidRPr="00465964">
        <w:rPr>
          <w:lang w:val="pt-PT"/>
        </w:rPr>
        <w:t xml:space="preserve">1.   Uma pessoa não pode, na União, fazer uma oferta pública de um criptoativo que não seja uma </w:t>
      </w:r>
      <w:proofErr w:type="spellStart"/>
      <w:r w:rsidRPr="00465964">
        <w:rPr>
          <w:lang w:val="pt-PT"/>
        </w:rPr>
        <w:t>criptoficha</w:t>
      </w:r>
      <w:proofErr w:type="spellEnd"/>
      <w:r w:rsidRPr="00465964">
        <w:rPr>
          <w:lang w:val="pt-PT"/>
        </w:rPr>
        <w:t xml:space="preserve"> referenciada a ativos nem uma </w:t>
      </w:r>
      <w:proofErr w:type="spellStart"/>
      <w:r w:rsidRPr="00465964">
        <w:rPr>
          <w:lang w:val="pt-PT"/>
        </w:rPr>
        <w:t>criptoficha</w:t>
      </w:r>
      <w:proofErr w:type="spellEnd"/>
      <w:r w:rsidRPr="00465964">
        <w:rPr>
          <w:lang w:val="pt-PT"/>
        </w:rPr>
        <w:t xml:space="preserve"> de moeda eletrónica a menos que:</w:t>
      </w:r>
    </w:p>
    <w:tbl>
      <w:tblPr>
        <w:tblW w:w="5000" w:type="pct"/>
        <w:tblCellMar>
          <w:left w:w="0" w:type="dxa"/>
          <w:right w:w="0" w:type="dxa"/>
        </w:tblCellMar>
        <w:tblLook w:val="04A0" w:firstRow="1" w:lastRow="0" w:firstColumn="1" w:lastColumn="0" w:noHBand="0" w:noVBand="1"/>
      </w:tblPr>
      <w:tblGrid>
        <w:gridCol w:w="619"/>
        <w:gridCol w:w="8407"/>
      </w:tblGrid>
      <w:tr w:rsidR="00465964" w:rsidRPr="00465964" w14:paraId="301A8FE7" w14:textId="77777777" w:rsidTr="00465964">
        <w:tc>
          <w:tcPr>
            <w:tcW w:w="0" w:type="auto"/>
            <w:shd w:val="clear" w:color="auto" w:fill="auto"/>
            <w:hideMark/>
          </w:tcPr>
          <w:p w14:paraId="7799A354" w14:textId="77777777" w:rsidR="00465964" w:rsidRPr="00465964" w:rsidRDefault="00465964" w:rsidP="00465964">
            <w:r w:rsidRPr="00465964">
              <w:t>a)</w:t>
            </w:r>
          </w:p>
        </w:tc>
        <w:tc>
          <w:tcPr>
            <w:tcW w:w="0" w:type="auto"/>
            <w:shd w:val="clear" w:color="auto" w:fill="auto"/>
            <w:hideMark/>
          </w:tcPr>
          <w:p w14:paraId="5C1BC327" w14:textId="77777777" w:rsidR="00465964" w:rsidRPr="00465964" w:rsidRDefault="00465964" w:rsidP="00465964">
            <w:r w:rsidRPr="00465964">
              <w:t xml:space="preserve">Seja </w:t>
            </w:r>
            <w:proofErr w:type="spellStart"/>
            <w:r w:rsidRPr="00465964">
              <w:t>uma</w:t>
            </w:r>
            <w:proofErr w:type="spellEnd"/>
            <w:r w:rsidRPr="00465964">
              <w:t xml:space="preserve"> </w:t>
            </w:r>
            <w:proofErr w:type="spellStart"/>
            <w:r w:rsidRPr="00465964">
              <w:t>pessoa</w:t>
            </w:r>
            <w:proofErr w:type="spellEnd"/>
            <w:r w:rsidRPr="00465964">
              <w:t xml:space="preserve"> </w:t>
            </w:r>
            <w:proofErr w:type="spellStart"/>
            <w:r w:rsidRPr="00465964">
              <w:t>coletiva</w:t>
            </w:r>
            <w:proofErr w:type="spellEnd"/>
            <w:r w:rsidRPr="00465964">
              <w:t>;</w:t>
            </w:r>
          </w:p>
        </w:tc>
      </w:tr>
    </w:tbl>
    <w:p w14:paraId="060F5781"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8"/>
        <w:gridCol w:w="8838"/>
      </w:tblGrid>
      <w:tr w:rsidR="00465964" w:rsidRPr="00465964" w14:paraId="462B5D47" w14:textId="77777777" w:rsidTr="00465964">
        <w:tc>
          <w:tcPr>
            <w:tcW w:w="0" w:type="auto"/>
            <w:shd w:val="clear" w:color="auto" w:fill="auto"/>
            <w:hideMark/>
          </w:tcPr>
          <w:p w14:paraId="159CA763" w14:textId="77777777" w:rsidR="00465964" w:rsidRPr="00465964" w:rsidRDefault="00465964" w:rsidP="00465964">
            <w:r w:rsidRPr="00465964">
              <w:t>b)</w:t>
            </w:r>
          </w:p>
        </w:tc>
        <w:tc>
          <w:tcPr>
            <w:tcW w:w="0" w:type="auto"/>
            <w:shd w:val="clear" w:color="auto" w:fill="auto"/>
            <w:hideMark/>
          </w:tcPr>
          <w:p w14:paraId="35CE4B4B" w14:textId="77777777" w:rsidR="00465964" w:rsidRPr="00465964" w:rsidRDefault="00465964" w:rsidP="00465964">
            <w:pPr>
              <w:rPr>
                <w:lang w:val="pt-PT"/>
              </w:rPr>
            </w:pPr>
            <w:r w:rsidRPr="00465964">
              <w:rPr>
                <w:lang w:val="pt-PT"/>
              </w:rPr>
              <w:t>Tenha redigido um livrete do criptoativo relativamente a esse criptoativo, em conformidade com o artigo 6.</w:t>
            </w:r>
            <w:r w:rsidRPr="00465964">
              <w:rPr>
                <w:vertAlign w:val="superscript"/>
                <w:lang w:val="pt-PT"/>
              </w:rPr>
              <w:t>o</w:t>
            </w:r>
            <w:r w:rsidRPr="00465964">
              <w:rPr>
                <w:lang w:val="pt-PT"/>
              </w:rPr>
              <w:t>;</w:t>
            </w:r>
          </w:p>
        </w:tc>
      </w:tr>
    </w:tbl>
    <w:p w14:paraId="08A64F41"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224"/>
        <w:gridCol w:w="8802"/>
      </w:tblGrid>
      <w:tr w:rsidR="00465964" w:rsidRPr="00465964" w14:paraId="33693415" w14:textId="77777777" w:rsidTr="00465964">
        <w:tc>
          <w:tcPr>
            <w:tcW w:w="0" w:type="auto"/>
            <w:shd w:val="clear" w:color="auto" w:fill="auto"/>
            <w:hideMark/>
          </w:tcPr>
          <w:p w14:paraId="6F3B17A6" w14:textId="77777777" w:rsidR="00465964" w:rsidRPr="00465964" w:rsidRDefault="00465964" w:rsidP="00465964">
            <w:r w:rsidRPr="00465964">
              <w:t>c)</w:t>
            </w:r>
          </w:p>
        </w:tc>
        <w:tc>
          <w:tcPr>
            <w:tcW w:w="0" w:type="auto"/>
            <w:shd w:val="clear" w:color="auto" w:fill="auto"/>
            <w:hideMark/>
          </w:tcPr>
          <w:p w14:paraId="49072D7F" w14:textId="77777777" w:rsidR="00465964" w:rsidRPr="00465964" w:rsidRDefault="00465964" w:rsidP="00465964">
            <w:pPr>
              <w:rPr>
                <w:lang w:val="pt-PT"/>
              </w:rPr>
            </w:pPr>
            <w:r w:rsidRPr="00465964">
              <w:rPr>
                <w:lang w:val="pt-PT"/>
              </w:rPr>
              <w:t>Tenha notificado o livrete do criptoativo, em conformidade com o artigo 8.</w:t>
            </w:r>
            <w:r w:rsidRPr="00465964">
              <w:rPr>
                <w:vertAlign w:val="superscript"/>
                <w:lang w:val="pt-PT"/>
              </w:rPr>
              <w:t>o</w:t>
            </w:r>
            <w:r w:rsidRPr="00465964">
              <w:rPr>
                <w:lang w:val="pt-PT"/>
              </w:rPr>
              <w:t>;</w:t>
            </w:r>
          </w:p>
        </w:tc>
      </w:tr>
    </w:tbl>
    <w:p w14:paraId="65FFE663"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234"/>
        <w:gridCol w:w="8792"/>
      </w:tblGrid>
      <w:tr w:rsidR="00465964" w:rsidRPr="00465964" w14:paraId="5A6AA4DA" w14:textId="77777777" w:rsidTr="00465964">
        <w:tc>
          <w:tcPr>
            <w:tcW w:w="0" w:type="auto"/>
            <w:shd w:val="clear" w:color="auto" w:fill="auto"/>
            <w:hideMark/>
          </w:tcPr>
          <w:p w14:paraId="25365F39" w14:textId="77777777" w:rsidR="00465964" w:rsidRPr="00465964" w:rsidRDefault="00465964" w:rsidP="00465964">
            <w:r w:rsidRPr="00465964">
              <w:t>d)</w:t>
            </w:r>
          </w:p>
        </w:tc>
        <w:tc>
          <w:tcPr>
            <w:tcW w:w="0" w:type="auto"/>
            <w:shd w:val="clear" w:color="auto" w:fill="auto"/>
            <w:hideMark/>
          </w:tcPr>
          <w:p w14:paraId="31EFDFD4" w14:textId="77777777" w:rsidR="00465964" w:rsidRPr="00465964" w:rsidRDefault="00465964" w:rsidP="00465964">
            <w:pPr>
              <w:rPr>
                <w:lang w:val="pt-PT"/>
              </w:rPr>
            </w:pPr>
            <w:r w:rsidRPr="00465964">
              <w:rPr>
                <w:lang w:val="pt-PT"/>
              </w:rPr>
              <w:t>Tenha publicado o livrete do criptoativo, em conformidade com o artigo 9.</w:t>
            </w:r>
            <w:r w:rsidRPr="00465964">
              <w:rPr>
                <w:vertAlign w:val="superscript"/>
                <w:lang w:val="pt-PT"/>
              </w:rPr>
              <w:t>o</w:t>
            </w:r>
            <w:r w:rsidRPr="00465964">
              <w:rPr>
                <w:lang w:val="pt-PT"/>
              </w:rPr>
              <w:t>;</w:t>
            </w:r>
          </w:p>
        </w:tc>
      </w:tr>
    </w:tbl>
    <w:p w14:paraId="48431B0F"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1"/>
        <w:gridCol w:w="8845"/>
      </w:tblGrid>
      <w:tr w:rsidR="00465964" w:rsidRPr="00465964" w14:paraId="12833641" w14:textId="77777777" w:rsidTr="00465964">
        <w:tc>
          <w:tcPr>
            <w:tcW w:w="0" w:type="auto"/>
            <w:shd w:val="clear" w:color="auto" w:fill="auto"/>
            <w:hideMark/>
          </w:tcPr>
          <w:p w14:paraId="5171DC73" w14:textId="77777777" w:rsidR="00465964" w:rsidRPr="00465964" w:rsidRDefault="00465964" w:rsidP="00465964">
            <w:r w:rsidRPr="00465964">
              <w:t>e)</w:t>
            </w:r>
          </w:p>
        </w:tc>
        <w:tc>
          <w:tcPr>
            <w:tcW w:w="0" w:type="auto"/>
            <w:shd w:val="clear" w:color="auto" w:fill="auto"/>
            <w:hideMark/>
          </w:tcPr>
          <w:p w14:paraId="182304FE" w14:textId="77777777" w:rsidR="00465964" w:rsidRPr="00465964" w:rsidRDefault="00465964" w:rsidP="00465964">
            <w:pPr>
              <w:rPr>
                <w:lang w:val="pt-PT"/>
              </w:rPr>
            </w:pPr>
            <w:r w:rsidRPr="00465964">
              <w:rPr>
                <w:lang w:val="pt-PT"/>
              </w:rPr>
              <w:t>Tenha elaborado as eventuais comunicações comerciais a respeito desse criptoativo em conformidade com o artigo 7.</w:t>
            </w:r>
            <w:r w:rsidRPr="00465964">
              <w:rPr>
                <w:vertAlign w:val="superscript"/>
                <w:lang w:val="pt-PT"/>
              </w:rPr>
              <w:t>o</w:t>
            </w:r>
            <w:r w:rsidRPr="00465964">
              <w:rPr>
                <w:lang w:val="pt-PT"/>
              </w:rPr>
              <w:t>;</w:t>
            </w:r>
          </w:p>
        </w:tc>
      </w:tr>
    </w:tbl>
    <w:p w14:paraId="4EC51502"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36"/>
        <w:gridCol w:w="8890"/>
      </w:tblGrid>
      <w:tr w:rsidR="00465964" w:rsidRPr="00465964" w14:paraId="5C523F11" w14:textId="77777777" w:rsidTr="00465964">
        <w:tc>
          <w:tcPr>
            <w:tcW w:w="0" w:type="auto"/>
            <w:shd w:val="clear" w:color="auto" w:fill="auto"/>
            <w:hideMark/>
          </w:tcPr>
          <w:p w14:paraId="79C3CCCF" w14:textId="77777777" w:rsidR="00465964" w:rsidRPr="00465964" w:rsidRDefault="00465964" w:rsidP="00465964">
            <w:r w:rsidRPr="00465964">
              <w:t>f)</w:t>
            </w:r>
          </w:p>
        </w:tc>
        <w:tc>
          <w:tcPr>
            <w:tcW w:w="0" w:type="auto"/>
            <w:shd w:val="clear" w:color="auto" w:fill="auto"/>
            <w:hideMark/>
          </w:tcPr>
          <w:p w14:paraId="67950E4B" w14:textId="77777777" w:rsidR="00465964" w:rsidRPr="00465964" w:rsidRDefault="00465964" w:rsidP="00465964">
            <w:pPr>
              <w:rPr>
                <w:lang w:val="pt-PT"/>
              </w:rPr>
            </w:pPr>
            <w:r w:rsidRPr="00465964">
              <w:rPr>
                <w:lang w:val="pt-PT"/>
              </w:rPr>
              <w:t>Tenha publicado as eventuais comunicações comerciais a respeito desse criptoativo em conformidade com o artigo 9.</w:t>
            </w:r>
            <w:r w:rsidRPr="00465964">
              <w:rPr>
                <w:vertAlign w:val="superscript"/>
                <w:lang w:val="pt-PT"/>
              </w:rPr>
              <w:t>o</w:t>
            </w:r>
            <w:r w:rsidRPr="00465964">
              <w:rPr>
                <w:lang w:val="pt-PT"/>
              </w:rPr>
              <w:t>;</w:t>
            </w:r>
          </w:p>
        </w:tc>
      </w:tr>
    </w:tbl>
    <w:p w14:paraId="5A4A57A0"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214"/>
        <w:gridCol w:w="8812"/>
      </w:tblGrid>
      <w:tr w:rsidR="00465964" w:rsidRPr="00465964" w14:paraId="0418E039" w14:textId="77777777" w:rsidTr="00465964">
        <w:tc>
          <w:tcPr>
            <w:tcW w:w="0" w:type="auto"/>
            <w:shd w:val="clear" w:color="auto" w:fill="auto"/>
            <w:hideMark/>
          </w:tcPr>
          <w:p w14:paraId="711076E7" w14:textId="77777777" w:rsidR="00465964" w:rsidRPr="00465964" w:rsidRDefault="00465964" w:rsidP="00465964">
            <w:r w:rsidRPr="00465964">
              <w:t>g)</w:t>
            </w:r>
          </w:p>
        </w:tc>
        <w:tc>
          <w:tcPr>
            <w:tcW w:w="0" w:type="auto"/>
            <w:shd w:val="clear" w:color="auto" w:fill="auto"/>
            <w:hideMark/>
          </w:tcPr>
          <w:p w14:paraId="1FAE7DB2" w14:textId="77777777" w:rsidR="00465964" w:rsidRPr="00465964" w:rsidRDefault="00465964" w:rsidP="00465964">
            <w:pPr>
              <w:rPr>
                <w:lang w:val="pt-PT"/>
              </w:rPr>
            </w:pPr>
            <w:r w:rsidRPr="00465964">
              <w:rPr>
                <w:lang w:val="pt-PT"/>
              </w:rPr>
              <w:t xml:space="preserve">Cumpra os requisitos aplicáveis aos oferentes, estabelecidos no artigo </w:t>
            </w:r>
            <w:proofErr w:type="gramStart"/>
            <w:r w:rsidRPr="00465964">
              <w:rPr>
                <w:lang w:val="pt-PT"/>
              </w:rPr>
              <w:t>14.</w:t>
            </w:r>
            <w:r w:rsidRPr="00465964">
              <w:rPr>
                <w:vertAlign w:val="superscript"/>
                <w:lang w:val="pt-PT"/>
              </w:rPr>
              <w:t>o</w:t>
            </w:r>
            <w:r w:rsidRPr="00465964">
              <w:rPr>
                <w:lang w:val="pt-PT"/>
              </w:rPr>
              <w:t>.</w:t>
            </w:r>
            <w:proofErr w:type="gramEnd"/>
          </w:p>
        </w:tc>
      </w:tr>
    </w:tbl>
    <w:p w14:paraId="495E93EB" w14:textId="2DA31180" w:rsidR="00465964" w:rsidRPr="00465964" w:rsidRDefault="00465964" w:rsidP="00465964">
      <w:pPr>
        <w:rPr>
          <w:lang w:val="pt-PT"/>
        </w:rPr>
      </w:pPr>
      <w:r w:rsidRPr="00465964">
        <w:rPr>
          <w:lang w:val="pt-PT"/>
        </w:rPr>
        <w:lastRenderedPageBreak/>
        <w:t xml:space="preserve">2.   O disposto no </w:t>
      </w:r>
      <w:proofErr w:type="spellStart"/>
      <w:r w:rsidRPr="00465964">
        <w:rPr>
          <w:lang w:val="pt-PT"/>
        </w:rPr>
        <w:t>n.</w:t>
      </w:r>
      <w:r w:rsidRPr="00465964">
        <w:rPr>
          <w:vertAlign w:val="superscript"/>
          <w:lang w:val="pt-PT"/>
        </w:rPr>
        <w:t>o</w:t>
      </w:r>
      <w:proofErr w:type="spellEnd"/>
      <w:r w:rsidRPr="00465964">
        <w:rPr>
          <w:lang w:val="pt-PT"/>
        </w:rPr>
        <w:t xml:space="preserve"> 1, alíneas b), c), d) e f), não se aplica a nenhumas das seguintes ofertas públicas de criptoativos que não sejam </w:t>
      </w:r>
      <w:r>
        <w:rPr>
          <w:lang w:val="pt-PT"/>
        </w:rPr>
        <w:t>criptomoedas</w:t>
      </w:r>
      <w:r w:rsidRPr="00465964">
        <w:rPr>
          <w:lang w:val="pt-PT"/>
        </w:rPr>
        <w:t xml:space="preserve"> referenciadas a ativos nem </w:t>
      </w:r>
      <w:r>
        <w:rPr>
          <w:lang w:val="pt-PT"/>
        </w:rPr>
        <w:t>criptomoedas</w:t>
      </w:r>
      <w:r w:rsidRPr="00465964">
        <w:rPr>
          <w:lang w:val="pt-PT"/>
        </w:rPr>
        <w:t xml:space="preserve"> de moeda eletrónica:</w:t>
      </w:r>
    </w:p>
    <w:tbl>
      <w:tblPr>
        <w:tblW w:w="5000" w:type="pct"/>
        <w:tblCellMar>
          <w:left w:w="0" w:type="dxa"/>
          <w:right w:w="0" w:type="dxa"/>
        </w:tblCellMar>
        <w:tblLook w:val="04A0" w:firstRow="1" w:lastRow="0" w:firstColumn="1" w:lastColumn="0" w:noHBand="0" w:noVBand="1"/>
      </w:tblPr>
      <w:tblGrid>
        <w:gridCol w:w="182"/>
        <w:gridCol w:w="8844"/>
      </w:tblGrid>
      <w:tr w:rsidR="00465964" w:rsidRPr="00465964" w14:paraId="01811EBE" w14:textId="77777777" w:rsidTr="00465964">
        <w:tc>
          <w:tcPr>
            <w:tcW w:w="0" w:type="auto"/>
            <w:shd w:val="clear" w:color="auto" w:fill="auto"/>
            <w:hideMark/>
          </w:tcPr>
          <w:p w14:paraId="4C5D7477" w14:textId="77777777" w:rsidR="00465964" w:rsidRPr="00465964" w:rsidRDefault="00465964" w:rsidP="00465964">
            <w:r w:rsidRPr="00465964">
              <w:t>a)</w:t>
            </w:r>
          </w:p>
        </w:tc>
        <w:tc>
          <w:tcPr>
            <w:tcW w:w="0" w:type="auto"/>
            <w:shd w:val="clear" w:color="auto" w:fill="auto"/>
            <w:hideMark/>
          </w:tcPr>
          <w:p w14:paraId="3849C7C2" w14:textId="77777777" w:rsidR="00465964" w:rsidRPr="00465964" w:rsidRDefault="00465964" w:rsidP="00465964">
            <w:pPr>
              <w:rPr>
                <w:lang w:val="pt-PT"/>
              </w:rPr>
            </w:pPr>
            <w:r w:rsidRPr="00465964">
              <w:rPr>
                <w:lang w:val="pt-PT"/>
              </w:rPr>
              <w:t>Uma oferta feita a menos de 150 pessoas singulares ou coletivas por Estado-Membro, quando essas pessoas atuam por conta própria;</w:t>
            </w:r>
          </w:p>
        </w:tc>
      </w:tr>
    </w:tbl>
    <w:p w14:paraId="51851A84"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8"/>
        <w:gridCol w:w="8838"/>
      </w:tblGrid>
      <w:tr w:rsidR="00465964" w:rsidRPr="00465964" w14:paraId="0657EA17" w14:textId="77777777" w:rsidTr="00465964">
        <w:tc>
          <w:tcPr>
            <w:tcW w:w="0" w:type="auto"/>
            <w:shd w:val="clear" w:color="auto" w:fill="auto"/>
            <w:hideMark/>
          </w:tcPr>
          <w:p w14:paraId="7A571C55" w14:textId="77777777" w:rsidR="00465964" w:rsidRPr="00465964" w:rsidRDefault="00465964" w:rsidP="00465964">
            <w:r w:rsidRPr="00465964">
              <w:t>b)</w:t>
            </w:r>
          </w:p>
        </w:tc>
        <w:tc>
          <w:tcPr>
            <w:tcW w:w="0" w:type="auto"/>
            <w:shd w:val="clear" w:color="auto" w:fill="auto"/>
            <w:hideMark/>
          </w:tcPr>
          <w:p w14:paraId="7AE6E123" w14:textId="77777777" w:rsidR="00465964" w:rsidRPr="00465964" w:rsidRDefault="00465964" w:rsidP="00465964">
            <w:pPr>
              <w:rPr>
                <w:lang w:val="pt-PT"/>
              </w:rPr>
            </w:pPr>
            <w:r w:rsidRPr="00465964">
              <w:rPr>
                <w:lang w:val="pt-PT"/>
              </w:rPr>
              <w:t>Uma oferta pública de um criptoativo na União cujo montante total não seja, ao longo de um período de 12 meses a contar do início da oferta, superior a 1 000 000 EUR ou ao montante equivalente noutra moeda oficial ou em criptoativos;</w:t>
            </w:r>
          </w:p>
        </w:tc>
      </w:tr>
    </w:tbl>
    <w:p w14:paraId="75BC16E5"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0"/>
        <w:gridCol w:w="8846"/>
      </w:tblGrid>
      <w:tr w:rsidR="00465964" w:rsidRPr="00465964" w14:paraId="09289CF0" w14:textId="77777777" w:rsidTr="00465964">
        <w:tc>
          <w:tcPr>
            <w:tcW w:w="0" w:type="auto"/>
            <w:shd w:val="clear" w:color="auto" w:fill="auto"/>
            <w:hideMark/>
          </w:tcPr>
          <w:p w14:paraId="4BC74547" w14:textId="77777777" w:rsidR="00465964" w:rsidRPr="00465964" w:rsidRDefault="00465964" w:rsidP="00465964">
            <w:r w:rsidRPr="00465964">
              <w:t>c)</w:t>
            </w:r>
          </w:p>
        </w:tc>
        <w:tc>
          <w:tcPr>
            <w:tcW w:w="0" w:type="auto"/>
            <w:shd w:val="clear" w:color="auto" w:fill="auto"/>
            <w:hideMark/>
          </w:tcPr>
          <w:p w14:paraId="36B998D3" w14:textId="77777777" w:rsidR="00465964" w:rsidRPr="00465964" w:rsidRDefault="00465964" w:rsidP="00465964">
            <w:pPr>
              <w:rPr>
                <w:lang w:val="pt-PT"/>
              </w:rPr>
            </w:pPr>
            <w:r w:rsidRPr="00465964">
              <w:rPr>
                <w:lang w:val="pt-PT"/>
              </w:rPr>
              <w:t>Uma oferta de um criptoativo que se destine exclusivamente a investidores qualificados e em que o criptoativo só possa ser detido por esses investidores qualificados.</w:t>
            </w:r>
          </w:p>
        </w:tc>
      </w:tr>
    </w:tbl>
    <w:p w14:paraId="76196532" w14:textId="072D2AC3" w:rsidR="00465964" w:rsidRPr="00465964" w:rsidRDefault="00465964" w:rsidP="00465964">
      <w:pPr>
        <w:rPr>
          <w:lang w:val="pt-PT"/>
        </w:rPr>
      </w:pPr>
      <w:r w:rsidRPr="00465964">
        <w:rPr>
          <w:lang w:val="pt-PT"/>
        </w:rPr>
        <w:t xml:space="preserve">3.   O presente título não se aplica às ofertas públicas de criptoativos que não sejam </w:t>
      </w:r>
      <w:r>
        <w:rPr>
          <w:lang w:val="pt-PT"/>
        </w:rPr>
        <w:t>criptomoedas</w:t>
      </w:r>
      <w:r w:rsidRPr="00465964">
        <w:rPr>
          <w:lang w:val="pt-PT"/>
        </w:rPr>
        <w:t xml:space="preserve"> referenciadas a ativos nem </w:t>
      </w:r>
      <w:r>
        <w:rPr>
          <w:lang w:val="pt-PT"/>
        </w:rPr>
        <w:t>criptomoedas</w:t>
      </w:r>
      <w:r w:rsidRPr="00465964">
        <w:rPr>
          <w:lang w:val="pt-PT"/>
        </w:rPr>
        <w:t xml:space="preserve"> de moeda eletrónica, sempre que se verifique qualquer uma das seguintes condições:</w:t>
      </w:r>
    </w:p>
    <w:tbl>
      <w:tblPr>
        <w:tblW w:w="5000" w:type="pct"/>
        <w:tblCellMar>
          <w:left w:w="0" w:type="dxa"/>
          <w:right w:w="0" w:type="dxa"/>
        </w:tblCellMar>
        <w:tblLook w:val="04A0" w:firstRow="1" w:lastRow="0" w:firstColumn="1" w:lastColumn="0" w:noHBand="0" w:noVBand="1"/>
      </w:tblPr>
      <w:tblGrid>
        <w:gridCol w:w="416"/>
        <w:gridCol w:w="8610"/>
      </w:tblGrid>
      <w:tr w:rsidR="00465964" w:rsidRPr="00465964" w14:paraId="56538442" w14:textId="77777777" w:rsidTr="00465964">
        <w:tc>
          <w:tcPr>
            <w:tcW w:w="0" w:type="auto"/>
            <w:shd w:val="clear" w:color="auto" w:fill="auto"/>
            <w:hideMark/>
          </w:tcPr>
          <w:p w14:paraId="474C3057" w14:textId="77777777" w:rsidR="00465964" w:rsidRPr="00465964" w:rsidRDefault="00465964" w:rsidP="00465964">
            <w:r w:rsidRPr="00465964">
              <w:t>a)</w:t>
            </w:r>
          </w:p>
        </w:tc>
        <w:tc>
          <w:tcPr>
            <w:tcW w:w="0" w:type="auto"/>
            <w:shd w:val="clear" w:color="auto" w:fill="auto"/>
            <w:hideMark/>
          </w:tcPr>
          <w:p w14:paraId="50E75923" w14:textId="77777777" w:rsidR="00465964" w:rsidRPr="00465964" w:rsidRDefault="00465964" w:rsidP="00465964">
            <w:pPr>
              <w:rPr>
                <w:lang w:val="pt-PT"/>
              </w:rPr>
            </w:pPr>
            <w:r w:rsidRPr="00465964">
              <w:rPr>
                <w:lang w:val="pt-PT"/>
              </w:rPr>
              <w:t>O criptoativo é oferecido gratuitamente;</w:t>
            </w:r>
          </w:p>
        </w:tc>
      </w:tr>
    </w:tbl>
    <w:p w14:paraId="5D05AB12"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8"/>
        <w:gridCol w:w="8838"/>
      </w:tblGrid>
      <w:tr w:rsidR="00465964" w:rsidRPr="00465964" w14:paraId="4CA3CA6F" w14:textId="77777777" w:rsidTr="00465964">
        <w:tc>
          <w:tcPr>
            <w:tcW w:w="0" w:type="auto"/>
            <w:shd w:val="clear" w:color="auto" w:fill="auto"/>
            <w:hideMark/>
          </w:tcPr>
          <w:p w14:paraId="3D80BC3D" w14:textId="77777777" w:rsidR="00465964" w:rsidRPr="00465964" w:rsidRDefault="00465964" w:rsidP="00465964">
            <w:r w:rsidRPr="00465964">
              <w:t>b)</w:t>
            </w:r>
          </w:p>
        </w:tc>
        <w:tc>
          <w:tcPr>
            <w:tcW w:w="0" w:type="auto"/>
            <w:shd w:val="clear" w:color="auto" w:fill="auto"/>
            <w:hideMark/>
          </w:tcPr>
          <w:p w14:paraId="0EC23CD1" w14:textId="77777777" w:rsidR="00465964" w:rsidRPr="00465964" w:rsidRDefault="00465964" w:rsidP="00465964">
            <w:pPr>
              <w:rPr>
                <w:lang w:val="pt-PT"/>
              </w:rPr>
            </w:pPr>
            <w:r w:rsidRPr="00465964">
              <w:rPr>
                <w:lang w:val="pt-PT"/>
              </w:rPr>
              <w:t>O criptoativo é criado automaticamente a título de recompensa pela manutenção do registo distribuído ou pela validação de transações;</w:t>
            </w:r>
          </w:p>
        </w:tc>
      </w:tr>
    </w:tbl>
    <w:p w14:paraId="4299DA1E"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0"/>
        <w:gridCol w:w="8846"/>
      </w:tblGrid>
      <w:tr w:rsidR="00465964" w:rsidRPr="00465964" w14:paraId="3B447779" w14:textId="77777777" w:rsidTr="00465964">
        <w:tc>
          <w:tcPr>
            <w:tcW w:w="0" w:type="auto"/>
            <w:shd w:val="clear" w:color="auto" w:fill="auto"/>
            <w:hideMark/>
          </w:tcPr>
          <w:p w14:paraId="235189EA" w14:textId="77777777" w:rsidR="00465964" w:rsidRPr="00465964" w:rsidRDefault="00465964" w:rsidP="00465964">
            <w:r w:rsidRPr="00465964">
              <w:t>c)</w:t>
            </w:r>
          </w:p>
        </w:tc>
        <w:tc>
          <w:tcPr>
            <w:tcW w:w="0" w:type="auto"/>
            <w:shd w:val="clear" w:color="auto" w:fill="auto"/>
            <w:hideMark/>
          </w:tcPr>
          <w:p w14:paraId="0A24A7C2" w14:textId="77777777" w:rsidR="00465964" w:rsidRPr="00465964" w:rsidRDefault="00465964" w:rsidP="00465964">
            <w:pPr>
              <w:rPr>
                <w:lang w:val="pt-PT"/>
              </w:rPr>
            </w:pPr>
            <w:r w:rsidRPr="00465964">
              <w:rPr>
                <w:lang w:val="pt-PT"/>
              </w:rPr>
              <w:t xml:space="preserve">A oferta diz respeito a uma </w:t>
            </w:r>
            <w:proofErr w:type="spellStart"/>
            <w:r w:rsidRPr="00465964">
              <w:rPr>
                <w:lang w:val="pt-PT"/>
              </w:rPr>
              <w:t>criptoficha</w:t>
            </w:r>
            <w:proofErr w:type="spellEnd"/>
            <w:r w:rsidRPr="00465964">
              <w:rPr>
                <w:lang w:val="pt-PT"/>
              </w:rPr>
              <w:t xml:space="preserve"> de consumo que dá acesso a um bem ou serviço existente ou em funcionamento;</w:t>
            </w:r>
          </w:p>
        </w:tc>
      </w:tr>
    </w:tbl>
    <w:p w14:paraId="4CA82710"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8"/>
        <w:gridCol w:w="8838"/>
      </w:tblGrid>
      <w:tr w:rsidR="00465964" w:rsidRPr="00465964" w14:paraId="45CFE301" w14:textId="77777777" w:rsidTr="00465964">
        <w:tc>
          <w:tcPr>
            <w:tcW w:w="0" w:type="auto"/>
            <w:shd w:val="clear" w:color="auto" w:fill="auto"/>
            <w:hideMark/>
          </w:tcPr>
          <w:p w14:paraId="69EF5CF0" w14:textId="77777777" w:rsidR="00465964" w:rsidRPr="00465964" w:rsidRDefault="00465964" w:rsidP="00465964">
            <w:r w:rsidRPr="00465964">
              <w:t>d)</w:t>
            </w:r>
          </w:p>
        </w:tc>
        <w:tc>
          <w:tcPr>
            <w:tcW w:w="0" w:type="auto"/>
            <w:shd w:val="clear" w:color="auto" w:fill="auto"/>
            <w:hideMark/>
          </w:tcPr>
          <w:p w14:paraId="1ECD5202" w14:textId="77777777" w:rsidR="00465964" w:rsidRPr="00465964" w:rsidRDefault="00465964" w:rsidP="00465964">
            <w:pPr>
              <w:rPr>
                <w:lang w:val="pt-PT"/>
              </w:rPr>
            </w:pPr>
            <w:r w:rsidRPr="00465964">
              <w:rPr>
                <w:lang w:val="pt-PT"/>
              </w:rPr>
              <w:t>O detentor do criptoativo tem o direito de os utilizar apenas em troca de bens e serviços numa rede restrita de comerciantes que tenham disposições contratuais acordadas com o oferente.</w:t>
            </w:r>
          </w:p>
        </w:tc>
      </w:tr>
    </w:tbl>
    <w:p w14:paraId="534473C1" w14:textId="77777777" w:rsidR="00465964" w:rsidRPr="00465964" w:rsidRDefault="00465964" w:rsidP="00465964">
      <w:pPr>
        <w:rPr>
          <w:lang w:val="pt-PT"/>
        </w:rPr>
      </w:pPr>
      <w:r w:rsidRPr="00465964">
        <w:rPr>
          <w:lang w:val="pt-PT"/>
        </w:rPr>
        <w:t>Para efeitos do primeiro parágrafo, alínea a), um criptoativo não deve ser considerado como sendo oferecido gratuitamente caso os compradores sejam obrigados a prestar, ou a comprometer-se a prestar, dados pessoais ao oferente em troca desse criptoativo, ou caso o oferente de um criptoativo receba dos potenciais detentores desse criptoativo quaisquer taxas, comissões ou benefícios pecuniários ou não pecuniários em troca desse criptoativo.</w:t>
      </w:r>
    </w:p>
    <w:p w14:paraId="04199D84" w14:textId="77777777" w:rsidR="00465964" w:rsidRPr="00465964" w:rsidRDefault="00465964" w:rsidP="00465964">
      <w:pPr>
        <w:rPr>
          <w:lang w:val="pt-PT"/>
        </w:rPr>
      </w:pPr>
      <w:r w:rsidRPr="00465964">
        <w:rPr>
          <w:lang w:val="pt-PT"/>
        </w:rPr>
        <w:t>Se, para cada período de 12 meses a contar do início da oferta pública inicial, o valor total de uma oferta pública de criptoativos na União feita nas circunstâncias a que se refere o primeiro parágrafo, alínea d), for superior a 1 000 000 EUR, o oferente envia à autoridade competente uma notificação contendo uma descrição da oferta e explicando por que razão a oferta não está abrangida pelo disposto no presente título nos termos do primeiro parágrafo, alínea d).</w:t>
      </w:r>
    </w:p>
    <w:p w14:paraId="65BC81BB" w14:textId="77777777" w:rsidR="00465964" w:rsidRPr="00465964" w:rsidRDefault="00465964" w:rsidP="00465964">
      <w:pPr>
        <w:rPr>
          <w:lang w:val="pt-PT"/>
        </w:rPr>
      </w:pPr>
      <w:r w:rsidRPr="00465964">
        <w:rPr>
          <w:lang w:val="pt-PT"/>
        </w:rPr>
        <w:t>Com base na notificação a que se refere o terceiro parágrafo, a autoridade competente toma uma decisão devidamente justificada, caso considere que a atividade não pode beneficiar de uma isenção a título de rede restrita ao abrigo do primeiro parágrafo, alínea d), e informa o oferente em conformidade.</w:t>
      </w:r>
    </w:p>
    <w:p w14:paraId="0BC9C64B" w14:textId="77777777" w:rsidR="00465964" w:rsidRPr="00465964" w:rsidRDefault="00465964" w:rsidP="00465964">
      <w:pPr>
        <w:rPr>
          <w:lang w:val="pt-PT"/>
        </w:rPr>
      </w:pPr>
      <w:r w:rsidRPr="00465964">
        <w:rPr>
          <w:lang w:val="pt-PT"/>
        </w:rPr>
        <w:t xml:space="preserve">4.   As isenções enumeradas nos </w:t>
      </w:r>
      <w:proofErr w:type="spellStart"/>
      <w:proofErr w:type="gramStart"/>
      <w:r w:rsidRPr="00465964">
        <w:rPr>
          <w:lang w:val="pt-PT"/>
        </w:rPr>
        <w:t>n.</w:t>
      </w:r>
      <w:r w:rsidRPr="00465964">
        <w:rPr>
          <w:vertAlign w:val="superscript"/>
          <w:lang w:val="pt-PT"/>
        </w:rPr>
        <w:t>os</w:t>
      </w:r>
      <w:proofErr w:type="spellEnd"/>
      <w:proofErr w:type="gramEnd"/>
      <w:r w:rsidRPr="00465964">
        <w:rPr>
          <w:lang w:val="pt-PT"/>
        </w:rPr>
        <w:t xml:space="preserve"> 2 e 3 não se aplicam caso o oferente, ou outra pessoa que atue em seu nome, dê a conhecer, em qualquer comunicação, a sua intenção de solicitar a admissão à negociação de um criptoativo que não seja uma </w:t>
      </w:r>
      <w:proofErr w:type="spellStart"/>
      <w:r w:rsidRPr="00465964">
        <w:rPr>
          <w:lang w:val="pt-PT"/>
        </w:rPr>
        <w:t>criptoficha</w:t>
      </w:r>
      <w:proofErr w:type="spellEnd"/>
      <w:r w:rsidRPr="00465964">
        <w:rPr>
          <w:lang w:val="pt-PT"/>
        </w:rPr>
        <w:t xml:space="preserve"> referenciada a ativos nem uma </w:t>
      </w:r>
      <w:proofErr w:type="spellStart"/>
      <w:r w:rsidRPr="00465964">
        <w:rPr>
          <w:lang w:val="pt-PT"/>
        </w:rPr>
        <w:t>criptoficha</w:t>
      </w:r>
      <w:proofErr w:type="spellEnd"/>
      <w:r w:rsidRPr="00465964">
        <w:rPr>
          <w:lang w:val="pt-PT"/>
        </w:rPr>
        <w:t xml:space="preserve"> de moeda eletrónica.</w:t>
      </w:r>
    </w:p>
    <w:p w14:paraId="56C8D92D" w14:textId="77777777" w:rsidR="00465964" w:rsidRPr="00465964" w:rsidRDefault="00465964" w:rsidP="00465964">
      <w:pPr>
        <w:rPr>
          <w:lang w:val="pt-PT"/>
        </w:rPr>
      </w:pPr>
      <w:r w:rsidRPr="00465964">
        <w:rPr>
          <w:lang w:val="pt-PT"/>
        </w:rPr>
        <w:t>5.   A autorização como prestador de serviços de criptoativos nos termos do artigo 59.</w:t>
      </w:r>
      <w:r w:rsidRPr="00465964">
        <w:rPr>
          <w:vertAlign w:val="superscript"/>
          <w:lang w:val="pt-PT"/>
        </w:rPr>
        <w:t>o</w:t>
      </w:r>
      <w:r w:rsidRPr="00465964">
        <w:rPr>
          <w:lang w:val="pt-PT"/>
        </w:rPr>
        <w:t xml:space="preserve"> não é exigida para a custódia e administração de criptoativos em nome de clientes nem para a </w:t>
      </w:r>
      <w:r w:rsidRPr="00465964">
        <w:rPr>
          <w:lang w:val="pt-PT"/>
        </w:rPr>
        <w:lastRenderedPageBreak/>
        <w:t xml:space="preserve">prestação de serviços de transferência de criptoativos em relação a criptoativos cujas ofertas públicas estejam isentas nos termos do </w:t>
      </w:r>
      <w:proofErr w:type="spellStart"/>
      <w:r w:rsidRPr="00465964">
        <w:rPr>
          <w:lang w:val="pt-PT"/>
        </w:rPr>
        <w:t>n.</w:t>
      </w:r>
      <w:r w:rsidRPr="00465964">
        <w:rPr>
          <w:vertAlign w:val="superscript"/>
          <w:lang w:val="pt-PT"/>
        </w:rPr>
        <w:t>o</w:t>
      </w:r>
      <w:proofErr w:type="spellEnd"/>
      <w:r w:rsidRPr="00465964">
        <w:rPr>
          <w:lang w:val="pt-PT"/>
        </w:rPr>
        <w:t> 3 do presente artigo, a menos que:</w:t>
      </w:r>
    </w:p>
    <w:tbl>
      <w:tblPr>
        <w:tblW w:w="5000" w:type="pct"/>
        <w:tblCellMar>
          <w:left w:w="0" w:type="dxa"/>
          <w:right w:w="0" w:type="dxa"/>
        </w:tblCellMar>
        <w:tblLook w:val="04A0" w:firstRow="1" w:lastRow="0" w:firstColumn="1" w:lastColumn="0" w:noHBand="0" w:noVBand="1"/>
      </w:tblPr>
      <w:tblGrid>
        <w:gridCol w:w="187"/>
        <w:gridCol w:w="8839"/>
      </w:tblGrid>
      <w:tr w:rsidR="00465964" w:rsidRPr="00465964" w14:paraId="4085EE49" w14:textId="77777777" w:rsidTr="00465964">
        <w:tc>
          <w:tcPr>
            <w:tcW w:w="0" w:type="auto"/>
            <w:shd w:val="clear" w:color="auto" w:fill="auto"/>
            <w:hideMark/>
          </w:tcPr>
          <w:p w14:paraId="72407A72" w14:textId="77777777" w:rsidR="00465964" w:rsidRPr="00465964" w:rsidRDefault="00465964" w:rsidP="00465964">
            <w:r w:rsidRPr="00465964">
              <w:t>a)</w:t>
            </w:r>
          </w:p>
        </w:tc>
        <w:tc>
          <w:tcPr>
            <w:tcW w:w="0" w:type="auto"/>
            <w:shd w:val="clear" w:color="auto" w:fill="auto"/>
            <w:hideMark/>
          </w:tcPr>
          <w:p w14:paraId="2EA66538" w14:textId="77777777" w:rsidR="00465964" w:rsidRPr="00465964" w:rsidRDefault="00465964" w:rsidP="00465964">
            <w:pPr>
              <w:rPr>
                <w:lang w:val="pt-PT"/>
              </w:rPr>
            </w:pPr>
            <w:r w:rsidRPr="00465964">
              <w:rPr>
                <w:lang w:val="pt-PT"/>
              </w:rPr>
              <w:t>Exista outra oferta pública do mesmo criptoativo e essa oferta não beneficie da isenção; ou</w:t>
            </w:r>
          </w:p>
        </w:tc>
      </w:tr>
    </w:tbl>
    <w:p w14:paraId="6D13314C"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228"/>
        <w:gridCol w:w="8798"/>
      </w:tblGrid>
      <w:tr w:rsidR="00465964" w:rsidRPr="00465964" w14:paraId="46C14483" w14:textId="77777777" w:rsidTr="00465964">
        <w:tc>
          <w:tcPr>
            <w:tcW w:w="0" w:type="auto"/>
            <w:shd w:val="clear" w:color="auto" w:fill="auto"/>
            <w:hideMark/>
          </w:tcPr>
          <w:p w14:paraId="14571517" w14:textId="77777777" w:rsidR="00465964" w:rsidRPr="00465964" w:rsidRDefault="00465964" w:rsidP="00465964">
            <w:r w:rsidRPr="00465964">
              <w:t>b)</w:t>
            </w:r>
          </w:p>
        </w:tc>
        <w:tc>
          <w:tcPr>
            <w:tcW w:w="0" w:type="auto"/>
            <w:shd w:val="clear" w:color="auto" w:fill="auto"/>
            <w:hideMark/>
          </w:tcPr>
          <w:p w14:paraId="6BD0DD28" w14:textId="77777777" w:rsidR="00465964" w:rsidRPr="00465964" w:rsidRDefault="00465964" w:rsidP="00465964">
            <w:pPr>
              <w:rPr>
                <w:lang w:val="pt-PT"/>
              </w:rPr>
            </w:pPr>
            <w:r w:rsidRPr="00465964">
              <w:rPr>
                <w:lang w:val="pt-PT"/>
              </w:rPr>
              <w:t>O criptoativo oferecido tenha sido admitido numa plataforma de negociação.</w:t>
            </w:r>
          </w:p>
        </w:tc>
      </w:tr>
    </w:tbl>
    <w:p w14:paraId="7F6E2E87" w14:textId="77777777" w:rsidR="00465964" w:rsidRPr="00465964" w:rsidRDefault="00465964" w:rsidP="00465964">
      <w:pPr>
        <w:rPr>
          <w:lang w:val="pt-PT"/>
        </w:rPr>
      </w:pPr>
      <w:r w:rsidRPr="00465964">
        <w:rPr>
          <w:lang w:val="pt-PT"/>
        </w:rPr>
        <w:t xml:space="preserve">6.   Caso a oferta pública do criptoativo que não seja uma </w:t>
      </w:r>
      <w:proofErr w:type="spellStart"/>
      <w:r w:rsidRPr="00465964">
        <w:rPr>
          <w:lang w:val="pt-PT"/>
        </w:rPr>
        <w:t>criptoficha</w:t>
      </w:r>
      <w:proofErr w:type="spellEnd"/>
      <w:r w:rsidRPr="00465964">
        <w:rPr>
          <w:lang w:val="pt-PT"/>
        </w:rPr>
        <w:t xml:space="preserve"> referenciada a ativos nem uma </w:t>
      </w:r>
      <w:proofErr w:type="spellStart"/>
      <w:r w:rsidRPr="00465964">
        <w:rPr>
          <w:lang w:val="pt-PT"/>
        </w:rPr>
        <w:t>criptoficha</w:t>
      </w:r>
      <w:proofErr w:type="spellEnd"/>
      <w:r w:rsidRPr="00465964">
        <w:rPr>
          <w:lang w:val="pt-PT"/>
        </w:rPr>
        <w:t xml:space="preserve"> de moeda eletrónica diga respeito a uma </w:t>
      </w:r>
      <w:proofErr w:type="spellStart"/>
      <w:r w:rsidRPr="00465964">
        <w:rPr>
          <w:lang w:val="pt-PT"/>
        </w:rPr>
        <w:t>criptoficha</w:t>
      </w:r>
      <w:proofErr w:type="spellEnd"/>
      <w:r w:rsidRPr="00465964">
        <w:rPr>
          <w:lang w:val="pt-PT"/>
        </w:rPr>
        <w:t xml:space="preserve"> de consumo que dê acesso a bens e serviços que ainda não existam ou que ainda não estejam em funcionamento, a duração da oferta pública, conforme descrita no livrete do criptoativo, não pode exceder 12 meses a contar da data de publicação do referido livrete.</w:t>
      </w:r>
    </w:p>
    <w:p w14:paraId="40FBE22F" w14:textId="77777777" w:rsidR="00465964" w:rsidRPr="00465964" w:rsidRDefault="00465964" w:rsidP="00465964">
      <w:pPr>
        <w:rPr>
          <w:lang w:val="pt-PT"/>
        </w:rPr>
      </w:pPr>
      <w:r w:rsidRPr="00465964">
        <w:rPr>
          <w:lang w:val="pt-PT"/>
        </w:rPr>
        <w:t xml:space="preserve">7.   Qualquer subsequente oferta pública do criptoativo que não seja uma </w:t>
      </w:r>
      <w:proofErr w:type="spellStart"/>
      <w:r w:rsidRPr="00465964">
        <w:rPr>
          <w:lang w:val="pt-PT"/>
        </w:rPr>
        <w:t>criptoficha</w:t>
      </w:r>
      <w:proofErr w:type="spellEnd"/>
      <w:r w:rsidRPr="00465964">
        <w:rPr>
          <w:lang w:val="pt-PT"/>
        </w:rPr>
        <w:t xml:space="preserve"> referenciada a ativos nem uma </w:t>
      </w:r>
      <w:proofErr w:type="spellStart"/>
      <w:r w:rsidRPr="00465964">
        <w:rPr>
          <w:lang w:val="pt-PT"/>
        </w:rPr>
        <w:t>criptoficha</w:t>
      </w:r>
      <w:proofErr w:type="spellEnd"/>
      <w:r w:rsidRPr="00465964">
        <w:rPr>
          <w:lang w:val="pt-PT"/>
        </w:rPr>
        <w:t xml:space="preserve"> de moeda eletrónica é considerada uma oferta pública separada, à qual se aplicam os requisitos estabelecidos no </w:t>
      </w:r>
      <w:proofErr w:type="spellStart"/>
      <w:r w:rsidRPr="00465964">
        <w:rPr>
          <w:lang w:val="pt-PT"/>
        </w:rPr>
        <w:t>n.</w:t>
      </w:r>
      <w:r w:rsidRPr="00465964">
        <w:rPr>
          <w:vertAlign w:val="superscript"/>
          <w:lang w:val="pt-PT"/>
        </w:rPr>
        <w:t>o</w:t>
      </w:r>
      <w:proofErr w:type="spellEnd"/>
      <w:r w:rsidRPr="00465964">
        <w:rPr>
          <w:lang w:val="pt-PT"/>
        </w:rPr>
        <w:t xml:space="preserve"> 1, sem prejuízo de uma eventual aplicação do </w:t>
      </w:r>
      <w:proofErr w:type="spellStart"/>
      <w:r w:rsidRPr="00465964">
        <w:rPr>
          <w:lang w:val="pt-PT"/>
        </w:rPr>
        <w:t>n.</w:t>
      </w:r>
      <w:r w:rsidRPr="00465964">
        <w:rPr>
          <w:vertAlign w:val="superscript"/>
          <w:lang w:val="pt-PT"/>
        </w:rPr>
        <w:t>o</w:t>
      </w:r>
      <w:proofErr w:type="spellEnd"/>
      <w:r w:rsidRPr="00465964">
        <w:rPr>
          <w:lang w:val="pt-PT"/>
        </w:rPr>
        <w:t> 2 ou 3 à subsequente oferta pública.</w:t>
      </w:r>
    </w:p>
    <w:p w14:paraId="1A2109B5" w14:textId="77777777" w:rsidR="00465964" w:rsidRPr="00465964" w:rsidRDefault="00465964" w:rsidP="00465964">
      <w:pPr>
        <w:rPr>
          <w:lang w:val="pt-PT"/>
        </w:rPr>
      </w:pPr>
      <w:r w:rsidRPr="00465964">
        <w:rPr>
          <w:lang w:val="pt-PT"/>
        </w:rPr>
        <w:t xml:space="preserve">Não é exigida a elaboração de um livrete do criptoativo adicional para ofertas públicas subsequentes do criptoativo que não seja uma </w:t>
      </w:r>
      <w:proofErr w:type="spellStart"/>
      <w:r w:rsidRPr="00465964">
        <w:rPr>
          <w:lang w:val="pt-PT"/>
        </w:rPr>
        <w:t>criptoficha</w:t>
      </w:r>
      <w:proofErr w:type="spellEnd"/>
      <w:r w:rsidRPr="00465964">
        <w:rPr>
          <w:lang w:val="pt-PT"/>
        </w:rPr>
        <w:t xml:space="preserve"> referenciada a ativos nem uma </w:t>
      </w:r>
      <w:proofErr w:type="spellStart"/>
      <w:r w:rsidRPr="00465964">
        <w:rPr>
          <w:lang w:val="pt-PT"/>
        </w:rPr>
        <w:t>criptoficha</w:t>
      </w:r>
      <w:proofErr w:type="spellEnd"/>
      <w:r w:rsidRPr="00465964">
        <w:rPr>
          <w:lang w:val="pt-PT"/>
        </w:rPr>
        <w:t xml:space="preserve"> de moeda eletrónica desde que o livrete do criptoativo tenha sido publicado em conformidade com os artigos 9.</w:t>
      </w:r>
      <w:r w:rsidRPr="00465964">
        <w:rPr>
          <w:vertAlign w:val="superscript"/>
          <w:lang w:val="pt-PT"/>
        </w:rPr>
        <w:t>o</w:t>
      </w:r>
      <w:r w:rsidRPr="00465964">
        <w:rPr>
          <w:lang w:val="pt-PT"/>
        </w:rPr>
        <w:t> e 12.</w:t>
      </w:r>
      <w:r w:rsidRPr="00465964">
        <w:rPr>
          <w:vertAlign w:val="superscript"/>
          <w:lang w:val="pt-PT"/>
        </w:rPr>
        <w:t>o</w:t>
      </w:r>
      <w:r w:rsidRPr="00465964">
        <w:rPr>
          <w:lang w:val="pt-PT"/>
        </w:rPr>
        <w:t> e que a pessoa responsável pela redação desse livrete consinta, por escrito, na sua utilização.</w:t>
      </w:r>
    </w:p>
    <w:p w14:paraId="007E1610" w14:textId="77777777" w:rsidR="00465964" w:rsidRPr="00465964" w:rsidRDefault="00465964" w:rsidP="00465964">
      <w:pPr>
        <w:rPr>
          <w:lang w:val="pt-PT"/>
        </w:rPr>
      </w:pPr>
      <w:r w:rsidRPr="00465964">
        <w:rPr>
          <w:lang w:val="pt-PT"/>
        </w:rPr>
        <w:t xml:space="preserve">8.   Caso a oferta pública de um criptoativo que não seja uma </w:t>
      </w:r>
      <w:proofErr w:type="spellStart"/>
      <w:r w:rsidRPr="00465964">
        <w:rPr>
          <w:lang w:val="pt-PT"/>
        </w:rPr>
        <w:t>criptoficha</w:t>
      </w:r>
      <w:proofErr w:type="spellEnd"/>
      <w:r w:rsidRPr="00465964">
        <w:rPr>
          <w:lang w:val="pt-PT"/>
        </w:rPr>
        <w:t xml:space="preserve"> referenciada a ativos nem uma </w:t>
      </w:r>
      <w:proofErr w:type="spellStart"/>
      <w:r w:rsidRPr="00465964">
        <w:rPr>
          <w:lang w:val="pt-PT"/>
        </w:rPr>
        <w:t>criptoficha</w:t>
      </w:r>
      <w:proofErr w:type="spellEnd"/>
      <w:r w:rsidRPr="00465964">
        <w:rPr>
          <w:lang w:val="pt-PT"/>
        </w:rPr>
        <w:t xml:space="preserve"> de moeda eletrónica esteja isenta da obrigação de publicação de um livrete do criptoativo ao abrigo do </w:t>
      </w:r>
      <w:proofErr w:type="spellStart"/>
      <w:r w:rsidRPr="00465964">
        <w:rPr>
          <w:lang w:val="pt-PT"/>
        </w:rPr>
        <w:t>n.</w:t>
      </w:r>
      <w:r w:rsidRPr="00465964">
        <w:rPr>
          <w:vertAlign w:val="superscript"/>
          <w:lang w:val="pt-PT"/>
        </w:rPr>
        <w:t>o</w:t>
      </w:r>
      <w:proofErr w:type="spellEnd"/>
      <w:r w:rsidRPr="00465964">
        <w:rPr>
          <w:lang w:val="pt-PT"/>
        </w:rPr>
        <w:t xml:space="preserve"> 2 ou </w:t>
      </w:r>
      <w:proofErr w:type="gramStart"/>
      <w:r w:rsidRPr="00465964">
        <w:rPr>
          <w:lang w:val="pt-PT"/>
        </w:rPr>
        <w:t>3</w:t>
      </w:r>
      <w:proofErr w:type="gramEnd"/>
      <w:r w:rsidRPr="00465964">
        <w:rPr>
          <w:lang w:val="pt-PT"/>
        </w:rPr>
        <w:t xml:space="preserve"> mas ainda assim tenha sido redigido voluntariamente um livrete, as disposições do presente título são aplicáveis.</w:t>
      </w:r>
    </w:p>
    <w:p w14:paraId="002104DC" w14:textId="77777777" w:rsidR="00465964" w:rsidRPr="00465964" w:rsidRDefault="00465964" w:rsidP="00465964">
      <w:pPr>
        <w:rPr>
          <w:i/>
          <w:iCs/>
          <w:lang w:val="pt-PT"/>
        </w:rPr>
      </w:pPr>
      <w:r w:rsidRPr="00465964">
        <w:rPr>
          <w:i/>
          <w:iCs/>
          <w:lang w:val="pt-PT"/>
        </w:rPr>
        <w:t>Artigo 5.</w:t>
      </w:r>
      <w:r w:rsidRPr="00465964">
        <w:rPr>
          <w:i/>
          <w:iCs/>
          <w:vertAlign w:val="superscript"/>
          <w:lang w:val="pt-PT"/>
        </w:rPr>
        <w:t>o</w:t>
      </w:r>
    </w:p>
    <w:p w14:paraId="0DC42360" w14:textId="7654D9F6" w:rsidR="00465964" w:rsidRPr="00465964" w:rsidRDefault="00465964" w:rsidP="00465964">
      <w:pPr>
        <w:rPr>
          <w:b/>
          <w:bCs/>
          <w:lang w:val="pt-PT"/>
        </w:rPr>
      </w:pPr>
      <w:r w:rsidRPr="00465964">
        <w:rPr>
          <w:b/>
          <w:bCs/>
          <w:lang w:val="pt-PT"/>
        </w:rPr>
        <w:t xml:space="preserve">Admissão à negociação de criptoativos que não sejam </w:t>
      </w:r>
      <w:r>
        <w:rPr>
          <w:b/>
          <w:bCs/>
          <w:lang w:val="pt-PT"/>
        </w:rPr>
        <w:t>criptomoedas</w:t>
      </w:r>
      <w:r w:rsidRPr="00465964">
        <w:rPr>
          <w:b/>
          <w:bCs/>
          <w:lang w:val="pt-PT"/>
        </w:rPr>
        <w:t xml:space="preserve"> referenciadas a ativos nem </w:t>
      </w:r>
      <w:r>
        <w:rPr>
          <w:b/>
          <w:bCs/>
          <w:lang w:val="pt-PT"/>
        </w:rPr>
        <w:t>criptomoedas</w:t>
      </w:r>
      <w:r w:rsidRPr="00465964">
        <w:rPr>
          <w:b/>
          <w:bCs/>
          <w:lang w:val="pt-PT"/>
        </w:rPr>
        <w:t xml:space="preserve"> de moeda eletrónica</w:t>
      </w:r>
    </w:p>
    <w:p w14:paraId="388DC25F" w14:textId="77777777" w:rsidR="00465964" w:rsidRPr="00465964" w:rsidRDefault="00465964" w:rsidP="00465964">
      <w:pPr>
        <w:rPr>
          <w:lang w:val="pt-PT"/>
        </w:rPr>
      </w:pPr>
      <w:r w:rsidRPr="00465964">
        <w:rPr>
          <w:lang w:val="pt-PT"/>
        </w:rPr>
        <w:t xml:space="preserve">1.   Uma pessoa não pode solicitar a admissão à negociação de um criptoativo que não seja uma </w:t>
      </w:r>
      <w:proofErr w:type="spellStart"/>
      <w:r w:rsidRPr="00465964">
        <w:rPr>
          <w:lang w:val="pt-PT"/>
        </w:rPr>
        <w:t>criptoficha</w:t>
      </w:r>
      <w:proofErr w:type="spellEnd"/>
      <w:r w:rsidRPr="00465964">
        <w:rPr>
          <w:lang w:val="pt-PT"/>
        </w:rPr>
        <w:t xml:space="preserve"> referenciada a ativos nem uma </w:t>
      </w:r>
      <w:proofErr w:type="spellStart"/>
      <w:r w:rsidRPr="00465964">
        <w:rPr>
          <w:lang w:val="pt-PT"/>
        </w:rPr>
        <w:t>criptoficha</w:t>
      </w:r>
      <w:proofErr w:type="spellEnd"/>
      <w:r w:rsidRPr="00465964">
        <w:rPr>
          <w:lang w:val="pt-PT"/>
        </w:rPr>
        <w:t xml:space="preserve"> de moeda eletrónica a menos que:</w:t>
      </w:r>
    </w:p>
    <w:tbl>
      <w:tblPr>
        <w:tblW w:w="5000" w:type="pct"/>
        <w:tblCellMar>
          <w:left w:w="0" w:type="dxa"/>
          <w:right w:w="0" w:type="dxa"/>
        </w:tblCellMar>
        <w:tblLook w:val="04A0" w:firstRow="1" w:lastRow="0" w:firstColumn="1" w:lastColumn="0" w:noHBand="0" w:noVBand="1"/>
      </w:tblPr>
      <w:tblGrid>
        <w:gridCol w:w="619"/>
        <w:gridCol w:w="8407"/>
      </w:tblGrid>
      <w:tr w:rsidR="00465964" w:rsidRPr="00465964" w14:paraId="66889902" w14:textId="77777777" w:rsidTr="00465964">
        <w:tc>
          <w:tcPr>
            <w:tcW w:w="0" w:type="auto"/>
            <w:shd w:val="clear" w:color="auto" w:fill="auto"/>
            <w:hideMark/>
          </w:tcPr>
          <w:p w14:paraId="31669632" w14:textId="77777777" w:rsidR="00465964" w:rsidRPr="00465964" w:rsidRDefault="00465964" w:rsidP="00465964">
            <w:r w:rsidRPr="00465964">
              <w:t>a)</w:t>
            </w:r>
          </w:p>
        </w:tc>
        <w:tc>
          <w:tcPr>
            <w:tcW w:w="0" w:type="auto"/>
            <w:shd w:val="clear" w:color="auto" w:fill="auto"/>
            <w:hideMark/>
          </w:tcPr>
          <w:p w14:paraId="479CD448" w14:textId="77777777" w:rsidR="00465964" w:rsidRPr="00465964" w:rsidRDefault="00465964" w:rsidP="00465964">
            <w:r w:rsidRPr="00465964">
              <w:t xml:space="preserve">Seja </w:t>
            </w:r>
            <w:proofErr w:type="spellStart"/>
            <w:r w:rsidRPr="00465964">
              <w:t>uma</w:t>
            </w:r>
            <w:proofErr w:type="spellEnd"/>
            <w:r w:rsidRPr="00465964">
              <w:t xml:space="preserve"> </w:t>
            </w:r>
            <w:proofErr w:type="spellStart"/>
            <w:r w:rsidRPr="00465964">
              <w:t>pessoa</w:t>
            </w:r>
            <w:proofErr w:type="spellEnd"/>
            <w:r w:rsidRPr="00465964">
              <w:t xml:space="preserve"> </w:t>
            </w:r>
            <w:proofErr w:type="spellStart"/>
            <w:r w:rsidRPr="00465964">
              <w:t>coletiva</w:t>
            </w:r>
            <w:proofErr w:type="spellEnd"/>
            <w:r w:rsidRPr="00465964">
              <w:t>;</w:t>
            </w:r>
          </w:p>
        </w:tc>
      </w:tr>
    </w:tbl>
    <w:p w14:paraId="2162CD2D"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8"/>
        <w:gridCol w:w="8838"/>
      </w:tblGrid>
      <w:tr w:rsidR="00465964" w:rsidRPr="00465964" w14:paraId="0B34CD16" w14:textId="77777777" w:rsidTr="00465964">
        <w:tc>
          <w:tcPr>
            <w:tcW w:w="0" w:type="auto"/>
            <w:shd w:val="clear" w:color="auto" w:fill="auto"/>
            <w:hideMark/>
          </w:tcPr>
          <w:p w14:paraId="6665FCF4" w14:textId="77777777" w:rsidR="00465964" w:rsidRPr="00465964" w:rsidRDefault="00465964" w:rsidP="00465964">
            <w:r w:rsidRPr="00465964">
              <w:t>b)</w:t>
            </w:r>
          </w:p>
        </w:tc>
        <w:tc>
          <w:tcPr>
            <w:tcW w:w="0" w:type="auto"/>
            <w:shd w:val="clear" w:color="auto" w:fill="auto"/>
            <w:hideMark/>
          </w:tcPr>
          <w:p w14:paraId="71A61306" w14:textId="77777777" w:rsidR="00465964" w:rsidRPr="00465964" w:rsidRDefault="00465964" w:rsidP="00465964">
            <w:pPr>
              <w:rPr>
                <w:lang w:val="pt-PT"/>
              </w:rPr>
            </w:pPr>
            <w:r w:rsidRPr="00465964">
              <w:rPr>
                <w:lang w:val="pt-PT"/>
              </w:rPr>
              <w:t>Tenha redigido um livrete do criptoativo relativamente a esse criptoativo, em conformidade com o artigo 6.</w:t>
            </w:r>
            <w:r w:rsidRPr="00465964">
              <w:rPr>
                <w:vertAlign w:val="superscript"/>
                <w:lang w:val="pt-PT"/>
              </w:rPr>
              <w:t>o</w:t>
            </w:r>
            <w:r w:rsidRPr="00465964">
              <w:rPr>
                <w:lang w:val="pt-PT"/>
              </w:rPr>
              <w:t>;</w:t>
            </w:r>
          </w:p>
        </w:tc>
      </w:tr>
    </w:tbl>
    <w:p w14:paraId="03AC7ADF"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224"/>
        <w:gridCol w:w="8802"/>
      </w:tblGrid>
      <w:tr w:rsidR="00465964" w:rsidRPr="00465964" w14:paraId="7B1B5C6E" w14:textId="77777777" w:rsidTr="00465964">
        <w:tc>
          <w:tcPr>
            <w:tcW w:w="0" w:type="auto"/>
            <w:shd w:val="clear" w:color="auto" w:fill="auto"/>
            <w:hideMark/>
          </w:tcPr>
          <w:p w14:paraId="0AF26121" w14:textId="77777777" w:rsidR="00465964" w:rsidRPr="00465964" w:rsidRDefault="00465964" w:rsidP="00465964">
            <w:r w:rsidRPr="00465964">
              <w:t>c)</w:t>
            </w:r>
          </w:p>
        </w:tc>
        <w:tc>
          <w:tcPr>
            <w:tcW w:w="0" w:type="auto"/>
            <w:shd w:val="clear" w:color="auto" w:fill="auto"/>
            <w:hideMark/>
          </w:tcPr>
          <w:p w14:paraId="0F84F799" w14:textId="77777777" w:rsidR="00465964" w:rsidRPr="00465964" w:rsidRDefault="00465964" w:rsidP="00465964">
            <w:pPr>
              <w:rPr>
                <w:lang w:val="pt-PT"/>
              </w:rPr>
            </w:pPr>
            <w:r w:rsidRPr="00465964">
              <w:rPr>
                <w:lang w:val="pt-PT"/>
              </w:rPr>
              <w:t>Tenha notificado o livrete do criptoativo, em conformidade com o artigo 8.</w:t>
            </w:r>
            <w:r w:rsidRPr="00465964">
              <w:rPr>
                <w:vertAlign w:val="superscript"/>
                <w:lang w:val="pt-PT"/>
              </w:rPr>
              <w:t>o</w:t>
            </w:r>
            <w:r w:rsidRPr="00465964">
              <w:rPr>
                <w:lang w:val="pt-PT"/>
              </w:rPr>
              <w:t>;</w:t>
            </w:r>
          </w:p>
        </w:tc>
      </w:tr>
    </w:tbl>
    <w:p w14:paraId="63B5DC79"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234"/>
        <w:gridCol w:w="8792"/>
      </w:tblGrid>
      <w:tr w:rsidR="00465964" w:rsidRPr="00465964" w14:paraId="247F1EAE" w14:textId="77777777" w:rsidTr="00465964">
        <w:tc>
          <w:tcPr>
            <w:tcW w:w="0" w:type="auto"/>
            <w:shd w:val="clear" w:color="auto" w:fill="auto"/>
            <w:hideMark/>
          </w:tcPr>
          <w:p w14:paraId="52D7F92E" w14:textId="77777777" w:rsidR="00465964" w:rsidRPr="00465964" w:rsidRDefault="00465964" w:rsidP="00465964">
            <w:r w:rsidRPr="00465964">
              <w:t>d)</w:t>
            </w:r>
          </w:p>
        </w:tc>
        <w:tc>
          <w:tcPr>
            <w:tcW w:w="0" w:type="auto"/>
            <w:shd w:val="clear" w:color="auto" w:fill="auto"/>
            <w:hideMark/>
          </w:tcPr>
          <w:p w14:paraId="427F30C7" w14:textId="77777777" w:rsidR="00465964" w:rsidRPr="00465964" w:rsidRDefault="00465964" w:rsidP="00465964">
            <w:pPr>
              <w:rPr>
                <w:lang w:val="pt-PT"/>
              </w:rPr>
            </w:pPr>
            <w:r w:rsidRPr="00465964">
              <w:rPr>
                <w:lang w:val="pt-PT"/>
              </w:rPr>
              <w:t>Tenha publicado o livrete do criptoativo, em conformidade com o artigo 9.</w:t>
            </w:r>
            <w:r w:rsidRPr="00465964">
              <w:rPr>
                <w:vertAlign w:val="superscript"/>
                <w:lang w:val="pt-PT"/>
              </w:rPr>
              <w:t>o</w:t>
            </w:r>
            <w:r w:rsidRPr="00465964">
              <w:rPr>
                <w:lang w:val="pt-PT"/>
              </w:rPr>
              <w:t>;</w:t>
            </w:r>
          </w:p>
        </w:tc>
      </w:tr>
    </w:tbl>
    <w:p w14:paraId="3BC8D1A0"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1"/>
        <w:gridCol w:w="8845"/>
      </w:tblGrid>
      <w:tr w:rsidR="00465964" w:rsidRPr="00465964" w14:paraId="37088F01" w14:textId="77777777" w:rsidTr="00465964">
        <w:tc>
          <w:tcPr>
            <w:tcW w:w="0" w:type="auto"/>
            <w:shd w:val="clear" w:color="auto" w:fill="auto"/>
            <w:hideMark/>
          </w:tcPr>
          <w:p w14:paraId="221ECDDB" w14:textId="77777777" w:rsidR="00465964" w:rsidRPr="00465964" w:rsidRDefault="00465964" w:rsidP="00465964">
            <w:r w:rsidRPr="00465964">
              <w:t>e)</w:t>
            </w:r>
          </w:p>
        </w:tc>
        <w:tc>
          <w:tcPr>
            <w:tcW w:w="0" w:type="auto"/>
            <w:shd w:val="clear" w:color="auto" w:fill="auto"/>
            <w:hideMark/>
          </w:tcPr>
          <w:p w14:paraId="12CBFF29" w14:textId="77777777" w:rsidR="00465964" w:rsidRPr="00465964" w:rsidRDefault="00465964" w:rsidP="00465964">
            <w:pPr>
              <w:rPr>
                <w:lang w:val="pt-PT"/>
              </w:rPr>
            </w:pPr>
            <w:r w:rsidRPr="00465964">
              <w:rPr>
                <w:lang w:val="pt-PT"/>
              </w:rPr>
              <w:t>Tenha elaborado as eventuais comunicações comerciais a respeito desse criptoativo em conformidade com o artigo 7.</w:t>
            </w:r>
            <w:r w:rsidRPr="00465964">
              <w:rPr>
                <w:vertAlign w:val="superscript"/>
                <w:lang w:val="pt-PT"/>
              </w:rPr>
              <w:t>o</w:t>
            </w:r>
            <w:r w:rsidRPr="00465964">
              <w:rPr>
                <w:lang w:val="pt-PT"/>
              </w:rPr>
              <w:t>;</w:t>
            </w:r>
          </w:p>
        </w:tc>
      </w:tr>
    </w:tbl>
    <w:p w14:paraId="5E62DB4C"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36"/>
        <w:gridCol w:w="8890"/>
      </w:tblGrid>
      <w:tr w:rsidR="00465964" w:rsidRPr="00465964" w14:paraId="43E0AAEF" w14:textId="77777777" w:rsidTr="00465964">
        <w:tc>
          <w:tcPr>
            <w:tcW w:w="0" w:type="auto"/>
            <w:shd w:val="clear" w:color="auto" w:fill="auto"/>
            <w:hideMark/>
          </w:tcPr>
          <w:p w14:paraId="1183ECD2" w14:textId="77777777" w:rsidR="00465964" w:rsidRPr="00465964" w:rsidRDefault="00465964" w:rsidP="00465964">
            <w:r w:rsidRPr="00465964">
              <w:t>f)</w:t>
            </w:r>
          </w:p>
        </w:tc>
        <w:tc>
          <w:tcPr>
            <w:tcW w:w="0" w:type="auto"/>
            <w:shd w:val="clear" w:color="auto" w:fill="auto"/>
            <w:hideMark/>
          </w:tcPr>
          <w:p w14:paraId="0D20F195" w14:textId="77777777" w:rsidR="00465964" w:rsidRPr="00465964" w:rsidRDefault="00465964" w:rsidP="00465964">
            <w:pPr>
              <w:rPr>
                <w:lang w:val="pt-PT"/>
              </w:rPr>
            </w:pPr>
            <w:r w:rsidRPr="00465964">
              <w:rPr>
                <w:lang w:val="pt-PT"/>
              </w:rPr>
              <w:t>Tenha publicado as eventuais comunicações comerciais a respeito desse criptoativo em conformidade com o artigo 9.</w:t>
            </w:r>
            <w:r w:rsidRPr="00465964">
              <w:rPr>
                <w:vertAlign w:val="superscript"/>
                <w:lang w:val="pt-PT"/>
              </w:rPr>
              <w:t>o</w:t>
            </w:r>
            <w:r w:rsidRPr="00465964">
              <w:rPr>
                <w:lang w:val="pt-PT"/>
              </w:rPr>
              <w:t>;</w:t>
            </w:r>
          </w:p>
        </w:tc>
      </w:tr>
    </w:tbl>
    <w:p w14:paraId="1D0A6972"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74"/>
        <w:gridCol w:w="8852"/>
      </w:tblGrid>
      <w:tr w:rsidR="00465964" w:rsidRPr="00465964" w14:paraId="0692B235" w14:textId="77777777" w:rsidTr="00465964">
        <w:tc>
          <w:tcPr>
            <w:tcW w:w="0" w:type="auto"/>
            <w:shd w:val="clear" w:color="auto" w:fill="auto"/>
            <w:hideMark/>
          </w:tcPr>
          <w:p w14:paraId="337BECFE" w14:textId="77777777" w:rsidR="00465964" w:rsidRPr="00465964" w:rsidRDefault="00465964" w:rsidP="00465964">
            <w:r w:rsidRPr="00465964">
              <w:t>g)</w:t>
            </w:r>
          </w:p>
        </w:tc>
        <w:tc>
          <w:tcPr>
            <w:tcW w:w="0" w:type="auto"/>
            <w:shd w:val="clear" w:color="auto" w:fill="auto"/>
            <w:hideMark/>
          </w:tcPr>
          <w:p w14:paraId="343F970E" w14:textId="77777777" w:rsidR="00465964" w:rsidRPr="00465964" w:rsidRDefault="00465964" w:rsidP="00465964">
            <w:pPr>
              <w:rPr>
                <w:lang w:val="pt-PT"/>
              </w:rPr>
            </w:pPr>
            <w:r w:rsidRPr="00465964">
              <w:rPr>
                <w:lang w:val="pt-PT"/>
              </w:rPr>
              <w:t xml:space="preserve">Cumpra os requisitos aplicáveis às pessoas que solicitam a admissão à negociação estabelecidos no artigo </w:t>
            </w:r>
            <w:proofErr w:type="gramStart"/>
            <w:r w:rsidRPr="00465964">
              <w:rPr>
                <w:lang w:val="pt-PT"/>
              </w:rPr>
              <w:t>14.</w:t>
            </w:r>
            <w:r w:rsidRPr="00465964">
              <w:rPr>
                <w:vertAlign w:val="superscript"/>
                <w:lang w:val="pt-PT"/>
              </w:rPr>
              <w:t>o</w:t>
            </w:r>
            <w:r w:rsidRPr="00465964">
              <w:rPr>
                <w:lang w:val="pt-PT"/>
              </w:rPr>
              <w:t>.</w:t>
            </w:r>
            <w:proofErr w:type="gramEnd"/>
          </w:p>
        </w:tc>
      </w:tr>
    </w:tbl>
    <w:p w14:paraId="44CB3E9F" w14:textId="77777777" w:rsidR="00465964" w:rsidRPr="00465964" w:rsidRDefault="00465964" w:rsidP="00465964">
      <w:pPr>
        <w:rPr>
          <w:lang w:val="pt-PT"/>
        </w:rPr>
      </w:pPr>
      <w:r w:rsidRPr="00465964">
        <w:rPr>
          <w:lang w:val="pt-PT"/>
        </w:rPr>
        <w:lastRenderedPageBreak/>
        <w:t>2.   Quando um criptoativo é admitido à negociação por iniciativa do operador de uma plataforma de negociação e não tiver sido publicado um livrete do criptoativo em conformidade com o artigo 9.</w:t>
      </w:r>
      <w:r w:rsidRPr="00465964">
        <w:rPr>
          <w:vertAlign w:val="superscript"/>
          <w:lang w:val="pt-PT"/>
        </w:rPr>
        <w:t>o</w:t>
      </w:r>
      <w:r w:rsidRPr="00465964">
        <w:rPr>
          <w:lang w:val="pt-PT"/>
        </w:rPr>
        <w:t xml:space="preserve"> nos casos exigidos pelo presente regulamento, o operador dessa plataforma de negociação de criptoativos deve cumprir os requisitos estabelecidos no </w:t>
      </w:r>
      <w:proofErr w:type="spellStart"/>
      <w:r w:rsidRPr="00465964">
        <w:rPr>
          <w:lang w:val="pt-PT"/>
        </w:rPr>
        <w:t>n.</w:t>
      </w:r>
      <w:r w:rsidRPr="00465964">
        <w:rPr>
          <w:vertAlign w:val="superscript"/>
          <w:lang w:val="pt-PT"/>
        </w:rPr>
        <w:t>o</w:t>
      </w:r>
      <w:proofErr w:type="spellEnd"/>
      <w:r w:rsidRPr="00465964">
        <w:rPr>
          <w:lang w:val="pt-PT"/>
        </w:rPr>
        <w:t> 1 do presente artigo.</w:t>
      </w:r>
    </w:p>
    <w:p w14:paraId="442E2969" w14:textId="77777777" w:rsidR="00465964" w:rsidRPr="00465964" w:rsidRDefault="00465964" w:rsidP="00465964">
      <w:pPr>
        <w:rPr>
          <w:lang w:val="pt-PT"/>
        </w:rPr>
      </w:pPr>
      <w:r w:rsidRPr="00465964">
        <w:rPr>
          <w:lang w:val="pt-PT"/>
        </w:rPr>
        <w:t xml:space="preserve">3.   Em derrogação do disposto no </w:t>
      </w:r>
      <w:proofErr w:type="spellStart"/>
      <w:r w:rsidRPr="00465964">
        <w:rPr>
          <w:lang w:val="pt-PT"/>
        </w:rPr>
        <w:t>n.</w:t>
      </w:r>
      <w:r w:rsidRPr="00465964">
        <w:rPr>
          <w:vertAlign w:val="superscript"/>
          <w:lang w:val="pt-PT"/>
        </w:rPr>
        <w:t>o</w:t>
      </w:r>
      <w:proofErr w:type="spellEnd"/>
      <w:r w:rsidRPr="00465964">
        <w:rPr>
          <w:lang w:val="pt-PT"/>
        </w:rPr>
        <w:t xml:space="preserve"> 1, uma pessoa que solicita a admissão à negociação de um criptoativo que não seja uma </w:t>
      </w:r>
      <w:proofErr w:type="spellStart"/>
      <w:r w:rsidRPr="00465964">
        <w:rPr>
          <w:lang w:val="pt-PT"/>
        </w:rPr>
        <w:t>criptoficha</w:t>
      </w:r>
      <w:proofErr w:type="spellEnd"/>
      <w:r w:rsidRPr="00465964">
        <w:rPr>
          <w:lang w:val="pt-PT"/>
        </w:rPr>
        <w:t xml:space="preserve"> referenciada a ativos nem uma </w:t>
      </w:r>
      <w:proofErr w:type="spellStart"/>
      <w:r w:rsidRPr="00465964">
        <w:rPr>
          <w:lang w:val="pt-PT"/>
        </w:rPr>
        <w:t>criptoficha</w:t>
      </w:r>
      <w:proofErr w:type="spellEnd"/>
      <w:r w:rsidRPr="00465964">
        <w:rPr>
          <w:lang w:val="pt-PT"/>
        </w:rPr>
        <w:t xml:space="preserve"> de moeda eletrónica e o respetivo operador da plataforma de negociação podem acordar, por escrito, que a obrigação de cumprir os requisitos referidos no </w:t>
      </w:r>
      <w:proofErr w:type="spellStart"/>
      <w:r w:rsidRPr="00465964">
        <w:rPr>
          <w:lang w:val="pt-PT"/>
        </w:rPr>
        <w:t>n.</w:t>
      </w:r>
      <w:r w:rsidRPr="00465964">
        <w:rPr>
          <w:vertAlign w:val="superscript"/>
          <w:lang w:val="pt-PT"/>
        </w:rPr>
        <w:t>o</w:t>
      </w:r>
      <w:proofErr w:type="spellEnd"/>
      <w:r w:rsidRPr="00465964">
        <w:rPr>
          <w:lang w:val="pt-PT"/>
        </w:rPr>
        <w:t> 1, alíneas b) a g) recaia na sua totalidade ou em parte sobre o operador da plataforma de negociação.</w:t>
      </w:r>
    </w:p>
    <w:p w14:paraId="39F77E35" w14:textId="77777777" w:rsidR="00465964" w:rsidRPr="00465964" w:rsidRDefault="00465964" w:rsidP="00465964">
      <w:pPr>
        <w:rPr>
          <w:lang w:val="pt-PT"/>
        </w:rPr>
      </w:pPr>
      <w:r w:rsidRPr="00465964">
        <w:rPr>
          <w:lang w:val="pt-PT"/>
        </w:rPr>
        <w:t xml:space="preserve">O acordo por escrito a que se refere o primeiro parágrafo do presente número deve indicar claramente que a pessoa que solicita a admissão à negociação é obrigada a prestar ao operador da plataforma de negociação todas as informações necessárias para que esse operador possa preencher os requisitos a que se refere o no </w:t>
      </w:r>
      <w:proofErr w:type="spellStart"/>
      <w:r w:rsidRPr="00465964">
        <w:rPr>
          <w:lang w:val="pt-PT"/>
        </w:rPr>
        <w:t>n.</w:t>
      </w:r>
      <w:r w:rsidRPr="00465964">
        <w:rPr>
          <w:vertAlign w:val="superscript"/>
          <w:lang w:val="pt-PT"/>
        </w:rPr>
        <w:t>o</w:t>
      </w:r>
      <w:proofErr w:type="spellEnd"/>
      <w:r w:rsidRPr="00465964">
        <w:rPr>
          <w:lang w:val="pt-PT"/>
        </w:rPr>
        <w:t> 1, alíneas b) a g), conforme aplicável.</w:t>
      </w:r>
    </w:p>
    <w:p w14:paraId="66B181A8" w14:textId="77777777" w:rsidR="00465964" w:rsidRPr="00465964" w:rsidRDefault="00465964" w:rsidP="00465964">
      <w:pPr>
        <w:rPr>
          <w:lang w:val="pt-PT"/>
        </w:rPr>
      </w:pPr>
      <w:r w:rsidRPr="00465964">
        <w:rPr>
          <w:lang w:val="pt-PT"/>
        </w:rPr>
        <w:t xml:space="preserve">4.   O disposto no </w:t>
      </w:r>
      <w:proofErr w:type="spellStart"/>
      <w:r w:rsidRPr="00465964">
        <w:rPr>
          <w:lang w:val="pt-PT"/>
        </w:rPr>
        <w:t>n.</w:t>
      </w:r>
      <w:r w:rsidRPr="00465964">
        <w:rPr>
          <w:vertAlign w:val="superscript"/>
          <w:lang w:val="pt-PT"/>
        </w:rPr>
        <w:t>o</w:t>
      </w:r>
      <w:proofErr w:type="spellEnd"/>
      <w:r w:rsidRPr="00465964">
        <w:rPr>
          <w:lang w:val="pt-PT"/>
        </w:rPr>
        <w:t> 1, alíneas b), c) e d), não se aplica aos casos em que:</w:t>
      </w:r>
    </w:p>
    <w:tbl>
      <w:tblPr>
        <w:tblW w:w="5000" w:type="pct"/>
        <w:tblCellMar>
          <w:left w:w="0" w:type="dxa"/>
          <w:right w:w="0" w:type="dxa"/>
        </w:tblCellMar>
        <w:tblLook w:val="04A0" w:firstRow="1" w:lastRow="0" w:firstColumn="1" w:lastColumn="0" w:noHBand="0" w:noVBand="1"/>
      </w:tblPr>
      <w:tblGrid>
        <w:gridCol w:w="182"/>
        <w:gridCol w:w="8844"/>
      </w:tblGrid>
      <w:tr w:rsidR="00465964" w:rsidRPr="00465964" w14:paraId="205F474D" w14:textId="77777777" w:rsidTr="00465964">
        <w:tc>
          <w:tcPr>
            <w:tcW w:w="0" w:type="auto"/>
            <w:shd w:val="clear" w:color="auto" w:fill="auto"/>
            <w:hideMark/>
          </w:tcPr>
          <w:p w14:paraId="42C7F208" w14:textId="77777777" w:rsidR="00465964" w:rsidRPr="00465964" w:rsidRDefault="00465964" w:rsidP="00465964">
            <w:r w:rsidRPr="00465964">
              <w:t>a)</w:t>
            </w:r>
          </w:p>
        </w:tc>
        <w:tc>
          <w:tcPr>
            <w:tcW w:w="0" w:type="auto"/>
            <w:shd w:val="clear" w:color="auto" w:fill="auto"/>
            <w:hideMark/>
          </w:tcPr>
          <w:p w14:paraId="0B9CFB3F" w14:textId="77777777" w:rsidR="00465964" w:rsidRPr="00465964" w:rsidRDefault="00465964" w:rsidP="00465964">
            <w:pPr>
              <w:rPr>
                <w:lang w:val="pt-PT"/>
              </w:rPr>
            </w:pPr>
            <w:r w:rsidRPr="00465964">
              <w:rPr>
                <w:lang w:val="pt-PT"/>
              </w:rPr>
              <w:t>O criptoativo já tenha sido admitido à negociação noutra plataforma de negociação de criptoativos na União; e</w:t>
            </w:r>
          </w:p>
        </w:tc>
      </w:tr>
    </w:tbl>
    <w:p w14:paraId="023F1D48"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8"/>
        <w:gridCol w:w="8838"/>
      </w:tblGrid>
      <w:tr w:rsidR="00465964" w:rsidRPr="00465964" w14:paraId="0FAA6D39" w14:textId="77777777" w:rsidTr="00465964">
        <w:tc>
          <w:tcPr>
            <w:tcW w:w="0" w:type="auto"/>
            <w:shd w:val="clear" w:color="auto" w:fill="auto"/>
            <w:hideMark/>
          </w:tcPr>
          <w:p w14:paraId="4A53117F" w14:textId="77777777" w:rsidR="00465964" w:rsidRPr="00465964" w:rsidRDefault="00465964" w:rsidP="00465964">
            <w:r w:rsidRPr="00465964">
              <w:t>b)</w:t>
            </w:r>
          </w:p>
        </w:tc>
        <w:tc>
          <w:tcPr>
            <w:tcW w:w="0" w:type="auto"/>
            <w:shd w:val="clear" w:color="auto" w:fill="auto"/>
            <w:hideMark/>
          </w:tcPr>
          <w:p w14:paraId="6FD313C5" w14:textId="77777777" w:rsidR="00465964" w:rsidRPr="00465964" w:rsidRDefault="00465964" w:rsidP="00465964">
            <w:pPr>
              <w:rPr>
                <w:lang w:val="pt-PT"/>
              </w:rPr>
            </w:pPr>
            <w:r w:rsidRPr="00465964">
              <w:rPr>
                <w:lang w:val="pt-PT"/>
              </w:rPr>
              <w:t>O livrete do criptoativo tenha sido redigido nos termos do artigo 6.</w:t>
            </w:r>
            <w:r w:rsidRPr="00465964">
              <w:rPr>
                <w:vertAlign w:val="superscript"/>
                <w:lang w:val="pt-PT"/>
              </w:rPr>
              <w:t>o</w:t>
            </w:r>
            <w:r w:rsidRPr="00465964">
              <w:rPr>
                <w:lang w:val="pt-PT"/>
              </w:rPr>
              <w:t> e atualizado nos termos do artigo 12.</w:t>
            </w:r>
            <w:r w:rsidRPr="00465964">
              <w:rPr>
                <w:vertAlign w:val="superscript"/>
                <w:lang w:val="pt-PT"/>
              </w:rPr>
              <w:t>o</w:t>
            </w:r>
            <w:r w:rsidRPr="00465964">
              <w:rPr>
                <w:lang w:val="pt-PT"/>
              </w:rPr>
              <w:t> e em que a pessoa responsável pela redação desse livrete consinta, por escrito, na sua utilização.</w:t>
            </w:r>
          </w:p>
        </w:tc>
      </w:tr>
    </w:tbl>
    <w:p w14:paraId="182CD28A" w14:textId="77777777" w:rsidR="00465964" w:rsidRPr="00465964" w:rsidRDefault="00465964" w:rsidP="00465964">
      <w:pPr>
        <w:rPr>
          <w:i/>
          <w:iCs/>
          <w:lang w:val="pt-PT"/>
        </w:rPr>
      </w:pPr>
      <w:r w:rsidRPr="00465964">
        <w:rPr>
          <w:i/>
          <w:iCs/>
          <w:lang w:val="pt-PT"/>
        </w:rPr>
        <w:t>Artigo 6.</w:t>
      </w:r>
      <w:r w:rsidRPr="00465964">
        <w:rPr>
          <w:i/>
          <w:iCs/>
          <w:vertAlign w:val="superscript"/>
          <w:lang w:val="pt-PT"/>
        </w:rPr>
        <w:t>o</w:t>
      </w:r>
    </w:p>
    <w:p w14:paraId="0A95BFC5" w14:textId="77777777" w:rsidR="00465964" w:rsidRPr="00465964" w:rsidRDefault="00465964" w:rsidP="00465964">
      <w:pPr>
        <w:rPr>
          <w:b/>
          <w:bCs/>
          <w:lang w:val="pt-PT"/>
        </w:rPr>
      </w:pPr>
      <w:r w:rsidRPr="00465964">
        <w:rPr>
          <w:b/>
          <w:bCs/>
          <w:lang w:val="pt-PT"/>
        </w:rPr>
        <w:t>Conteúdo e forma do livrete do criptoativo</w:t>
      </w:r>
    </w:p>
    <w:p w14:paraId="2DEA8E8E" w14:textId="77777777" w:rsidR="00465964" w:rsidRPr="00465964" w:rsidRDefault="00465964" w:rsidP="00465964">
      <w:pPr>
        <w:rPr>
          <w:lang w:val="pt-PT"/>
        </w:rPr>
      </w:pPr>
      <w:r w:rsidRPr="00465964">
        <w:rPr>
          <w:lang w:val="pt-PT"/>
        </w:rPr>
        <w:t>1.   O livrete do criptoativo deve conter todas as seguintes informações, conforme especificado em maior pormenor no anexo I:</w:t>
      </w:r>
    </w:p>
    <w:tbl>
      <w:tblPr>
        <w:tblW w:w="5000" w:type="pct"/>
        <w:tblCellMar>
          <w:left w:w="0" w:type="dxa"/>
          <w:right w:w="0" w:type="dxa"/>
        </w:tblCellMar>
        <w:tblLook w:val="04A0" w:firstRow="1" w:lastRow="0" w:firstColumn="1" w:lastColumn="0" w:noHBand="0" w:noVBand="1"/>
      </w:tblPr>
      <w:tblGrid>
        <w:gridCol w:w="196"/>
        <w:gridCol w:w="8830"/>
      </w:tblGrid>
      <w:tr w:rsidR="00465964" w:rsidRPr="00465964" w14:paraId="55137B51" w14:textId="77777777" w:rsidTr="00465964">
        <w:tc>
          <w:tcPr>
            <w:tcW w:w="0" w:type="auto"/>
            <w:shd w:val="clear" w:color="auto" w:fill="auto"/>
            <w:hideMark/>
          </w:tcPr>
          <w:p w14:paraId="1A6BBAF3" w14:textId="77777777" w:rsidR="00465964" w:rsidRPr="00465964" w:rsidRDefault="00465964" w:rsidP="00465964">
            <w:r w:rsidRPr="00465964">
              <w:t>a)</w:t>
            </w:r>
          </w:p>
        </w:tc>
        <w:tc>
          <w:tcPr>
            <w:tcW w:w="0" w:type="auto"/>
            <w:shd w:val="clear" w:color="auto" w:fill="auto"/>
            <w:hideMark/>
          </w:tcPr>
          <w:p w14:paraId="31EFBC31" w14:textId="77777777" w:rsidR="00465964" w:rsidRPr="00465964" w:rsidRDefault="00465964" w:rsidP="00465964">
            <w:pPr>
              <w:rPr>
                <w:lang w:val="pt-PT"/>
              </w:rPr>
            </w:pPr>
            <w:r w:rsidRPr="00465964">
              <w:rPr>
                <w:lang w:val="pt-PT"/>
              </w:rPr>
              <w:t>Informações sobre o oferente ou sobre a pessoa que solicita a admissão à negociação;</w:t>
            </w:r>
          </w:p>
        </w:tc>
      </w:tr>
    </w:tbl>
    <w:p w14:paraId="676EB242"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8"/>
        <w:gridCol w:w="8838"/>
      </w:tblGrid>
      <w:tr w:rsidR="00465964" w:rsidRPr="00465964" w14:paraId="05D0C927" w14:textId="77777777" w:rsidTr="00465964">
        <w:tc>
          <w:tcPr>
            <w:tcW w:w="0" w:type="auto"/>
            <w:shd w:val="clear" w:color="auto" w:fill="auto"/>
            <w:hideMark/>
          </w:tcPr>
          <w:p w14:paraId="1CB97408" w14:textId="77777777" w:rsidR="00465964" w:rsidRPr="00465964" w:rsidRDefault="00465964" w:rsidP="00465964">
            <w:r w:rsidRPr="00465964">
              <w:t>b)</w:t>
            </w:r>
          </w:p>
        </w:tc>
        <w:tc>
          <w:tcPr>
            <w:tcW w:w="0" w:type="auto"/>
            <w:shd w:val="clear" w:color="auto" w:fill="auto"/>
            <w:hideMark/>
          </w:tcPr>
          <w:p w14:paraId="11A51985" w14:textId="77777777" w:rsidR="00465964" w:rsidRPr="00465964" w:rsidRDefault="00465964" w:rsidP="00465964">
            <w:pPr>
              <w:rPr>
                <w:lang w:val="pt-PT"/>
              </w:rPr>
            </w:pPr>
            <w:r w:rsidRPr="00465964">
              <w:rPr>
                <w:lang w:val="pt-PT"/>
              </w:rPr>
              <w:t>Informações sobre o emitente, se for diferente do oferente ou da pessoa que solicita a admissão à negociação;</w:t>
            </w:r>
          </w:p>
        </w:tc>
      </w:tr>
    </w:tbl>
    <w:p w14:paraId="35C19BBC"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0"/>
        <w:gridCol w:w="8846"/>
      </w:tblGrid>
      <w:tr w:rsidR="00465964" w:rsidRPr="00465964" w14:paraId="781354D4" w14:textId="77777777" w:rsidTr="00465964">
        <w:tc>
          <w:tcPr>
            <w:tcW w:w="0" w:type="auto"/>
            <w:shd w:val="clear" w:color="auto" w:fill="auto"/>
            <w:hideMark/>
          </w:tcPr>
          <w:p w14:paraId="5F804879" w14:textId="77777777" w:rsidR="00465964" w:rsidRPr="00465964" w:rsidRDefault="00465964" w:rsidP="00465964">
            <w:r w:rsidRPr="00465964">
              <w:t>c)</w:t>
            </w:r>
          </w:p>
        </w:tc>
        <w:tc>
          <w:tcPr>
            <w:tcW w:w="0" w:type="auto"/>
            <w:shd w:val="clear" w:color="auto" w:fill="auto"/>
            <w:hideMark/>
          </w:tcPr>
          <w:p w14:paraId="5769273E" w14:textId="77777777" w:rsidR="00465964" w:rsidRPr="00465964" w:rsidRDefault="00465964" w:rsidP="00465964">
            <w:pPr>
              <w:rPr>
                <w:lang w:val="pt-PT"/>
              </w:rPr>
            </w:pPr>
            <w:r w:rsidRPr="00465964">
              <w:rPr>
                <w:lang w:val="pt-PT"/>
              </w:rPr>
              <w:t>Informações sobre o operador da plataforma de negociação, caso redija o livrete do criptoativo;</w:t>
            </w:r>
          </w:p>
        </w:tc>
      </w:tr>
    </w:tbl>
    <w:p w14:paraId="18AA4B05"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389"/>
        <w:gridCol w:w="8637"/>
      </w:tblGrid>
      <w:tr w:rsidR="00465964" w:rsidRPr="00465964" w14:paraId="114A5874" w14:textId="77777777" w:rsidTr="00465964">
        <w:tc>
          <w:tcPr>
            <w:tcW w:w="0" w:type="auto"/>
            <w:shd w:val="clear" w:color="auto" w:fill="auto"/>
            <w:hideMark/>
          </w:tcPr>
          <w:p w14:paraId="580CB7FC" w14:textId="77777777" w:rsidR="00465964" w:rsidRPr="00465964" w:rsidRDefault="00465964" w:rsidP="00465964">
            <w:r w:rsidRPr="00465964">
              <w:t>d)</w:t>
            </w:r>
          </w:p>
        </w:tc>
        <w:tc>
          <w:tcPr>
            <w:tcW w:w="0" w:type="auto"/>
            <w:shd w:val="clear" w:color="auto" w:fill="auto"/>
            <w:hideMark/>
          </w:tcPr>
          <w:p w14:paraId="7AFB2F16" w14:textId="77777777" w:rsidR="00465964" w:rsidRPr="00465964" w:rsidRDefault="00465964" w:rsidP="00465964">
            <w:pPr>
              <w:rPr>
                <w:lang w:val="pt-PT"/>
              </w:rPr>
            </w:pPr>
            <w:r w:rsidRPr="00465964">
              <w:rPr>
                <w:lang w:val="pt-PT"/>
              </w:rPr>
              <w:t>Informações sobre o projeto de criptoativos;</w:t>
            </w:r>
          </w:p>
        </w:tc>
      </w:tr>
    </w:tbl>
    <w:p w14:paraId="6C301E8C"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90"/>
        <w:gridCol w:w="8836"/>
      </w:tblGrid>
      <w:tr w:rsidR="00465964" w:rsidRPr="00465964" w14:paraId="0859BD84" w14:textId="77777777" w:rsidTr="00465964">
        <w:tc>
          <w:tcPr>
            <w:tcW w:w="0" w:type="auto"/>
            <w:shd w:val="clear" w:color="auto" w:fill="auto"/>
            <w:hideMark/>
          </w:tcPr>
          <w:p w14:paraId="0D10DAD9" w14:textId="77777777" w:rsidR="00465964" w:rsidRPr="00465964" w:rsidRDefault="00465964" w:rsidP="00465964">
            <w:r w:rsidRPr="00465964">
              <w:t>e)</w:t>
            </w:r>
          </w:p>
        </w:tc>
        <w:tc>
          <w:tcPr>
            <w:tcW w:w="0" w:type="auto"/>
            <w:shd w:val="clear" w:color="auto" w:fill="auto"/>
            <w:hideMark/>
          </w:tcPr>
          <w:p w14:paraId="5AA85F38" w14:textId="77777777" w:rsidR="00465964" w:rsidRPr="00465964" w:rsidRDefault="00465964" w:rsidP="00465964">
            <w:pPr>
              <w:rPr>
                <w:lang w:val="pt-PT"/>
              </w:rPr>
            </w:pPr>
            <w:r w:rsidRPr="00465964">
              <w:rPr>
                <w:lang w:val="pt-PT"/>
              </w:rPr>
              <w:t>Informações sobre a oferta pública do criptoativo ou sobre a sua admissão à negociação;</w:t>
            </w:r>
          </w:p>
        </w:tc>
      </w:tr>
    </w:tbl>
    <w:p w14:paraId="75C82014"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383"/>
        <w:gridCol w:w="8643"/>
      </w:tblGrid>
      <w:tr w:rsidR="00465964" w:rsidRPr="00465964" w14:paraId="6EEBB5FC" w14:textId="77777777" w:rsidTr="00465964">
        <w:tc>
          <w:tcPr>
            <w:tcW w:w="0" w:type="auto"/>
            <w:shd w:val="clear" w:color="auto" w:fill="auto"/>
            <w:hideMark/>
          </w:tcPr>
          <w:p w14:paraId="1983A923" w14:textId="77777777" w:rsidR="00465964" w:rsidRPr="00465964" w:rsidRDefault="00465964" w:rsidP="00465964">
            <w:r w:rsidRPr="00465964">
              <w:t>f)</w:t>
            </w:r>
          </w:p>
        </w:tc>
        <w:tc>
          <w:tcPr>
            <w:tcW w:w="0" w:type="auto"/>
            <w:shd w:val="clear" w:color="auto" w:fill="auto"/>
            <w:hideMark/>
          </w:tcPr>
          <w:p w14:paraId="6AFC5F95" w14:textId="77777777" w:rsidR="00465964" w:rsidRPr="00465964" w:rsidRDefault="00465964" w:rsidP="00465964">
            <w:proofErr w:type="spellStart"/>
            <w:r w:rsidRPr="00465964">
              <w:t>Informações</w:t>
            </w:r>
            <w:proofErr w:type="spellEnd"/>
            <w:r w:rsidRPr="00465964">
              <w:t xml:space="preserve"> </w:t>
            </w:r>
            <w:proofErr w:type="spellStart"/>
            <w:r w:rsidRPr="00465964">
              <w:t>sobre</w:t>
            </w:r>
            <w:proofErr w:type="spellEnd"/>
            <w:r w:rsidRPr="00465964">
              <w:t xml:space="preserve"> o criptoativo;</w:t>
            </w:r>
          </w:p>
        </w:tc>
      </w:tr>
    </w:tbl>
    <w:p w14:paraId="63B18340"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232"/>
        <w:gridCol w:w="8794"/>
      </w:tblGrid>
      <w:tr w:rsidR="00465964" w:rsidRPr="00465964" w14:paraId="0EEAF930" w14:textId="77777777" w:rsidTr="00465964">
        <w:tc>
          <w:tcPr>
            <w:tcW w:w="0" w:type="auto"/>
            <w:shd w:val="clear" w:color="auto" w:fill="auto"/>
            <w:hideMark/>
          </w:tcPr>
          <w:p w14:paraId="2C050E16" w14:textId="77777777" w:rsidR="00465964" w:rsidRPr="00465964" w:rsidRDefault="00465964" w:rsidP="00465964">
            <w:r w:rsidRPr="00465964">
              <w:t>g)</w:t>
            </w:r>
          </w:p>
        </w:tc>
        <w:tc>
          <w:tcPr>
            <w:tcW w:w="0" w:type="auto"/>
            <w:shd w:val="clear" w:color="auto" w:fill="auto"/>
            <w:hideMark/>
          </w:tcPr>
          <w:p w14:paraId="58FA21AE" w14:textId="77777777" w:rsidR="00465964" w:rsidRPr="00465964" w:rsidRDefault="00465964" w:rsidP="00465964">
            <w:pPr>
              <w:rPr>
                <w:lang w:val="pt-PT"/>
              </w:rPr>
            </w:pPr>
            <w:r w:rsidRPr="00465964">
              <w:rPr>
                <w:lang w:val="pt-PT"/>
              </w:rPr>
              <w:t>Informações sobre os direitos e obrigações associados ao criptoativo;</w:t>
            </w:r>
          </w:p>
        </w:tc>
      </w:tr>
    </w:tbl>
    <w:p w14:paraId="67666C45"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387"/>
        <w:gridCol w:w="8639"/>
      </w:tblGrid>
      <w:tr w:rsidR="00465964" w:rsidRPr="00465964" w14:paraId="0D528EDA" w14:textId="77777777" w:rsidTr="00465964">
        <w:tc>
          <w:tcPr>
            <w:tcW w:w="0" w:type="auto"/>
            <w:shd w:val="clear" w:color="auto" w:fill="auto"/>
            <w:hideMark/>
          </w:tcPr>
          <w:p w14:paraId="5F5477FE" w14:textId="77777777" w:rsidR="00465964" w:rsidRPr="00465964" w:rsidRDefault="00465964" w:rsidP="00465964">
            <w:r w:rsidRPr="00465964">
              <w:t>h)</w:t>
            </w:r>
          </w:p>
        </w:tc>
        <w:tc>
          <w:tcPr>
            <w:tcW w:w="0" w:type="auto"/>
            <w:shd w:val="clear" w:color="auto" w:fill="auto"/>
            <w:hideMark/>
          </w:tcPr>
          <w:p w14:paraId="468C3ED0" w14:textId="77777777" w:rsidR="00465964" w:rsidRPr="00465964" w:rsidRDefault="00465964" w:rsidP="00465964">
            <w:pPr>
              <w:rPr>
                <w:lang w:val="pt-PT"/>
              </w:rPr>
            </w:pPr>
            <w:r w:rsidRPr="00465964">
              <w:rPr>
                <w:lang w:val="pt-PT"/>
              </w:rPr>
              <w:t>Informações sobre a tecnologia subjacente;</w:t>
            </w:r>
          </w:p>
        </w:tc>
      </w:tr>
    </w:tbl>
    <w:p w14:paraId="333EFA24"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370"/>
        <w:gridCol w:w="8656"/>
      </w:tblGrid>
      <w:tr w:rsidR="00465964" w:rsidRPr="00465964" w14:paraId="301541C3" w14:textId="77777777" w:rsidTr="00465964">
        <w:tc>
          <w:tcPr>
            <w:tcW w:w="0" w:type="auto"/>
            <w:shd w:val="clear" w:color="auto" w:fill="auto"/>
            <w:hideMark/>
          </w:tcPr>
          <w:p w14:paraId="120F12B8" w14:textId="77777777" w:rsidR="00465964" w:rsidRPr="00465964" w:rsidRDefault="00465964" w:rsidP="00465964">
            <w:proofErr w:type="spellStart"/>
            <w:r w:rsidRPr="00465964">
              <w:t>i</w:t>
            </w:r>
            <w:proofErr w:type="spellEnd"/>
            <w:r w:rsidRPr="00465964">
              <w:t>)</w:t>
            </w:r>
          </w:p>
        </w:tc>
        <w:tc>
          <w:tcPr>
            <w:tcW w:w="0" w:type="auto"/>
            <w:shd w:val="clear" w:color="auto" w:fill="auto"/>
            <w:hideMark/>
          </w:tcPr>
          <w:p w14:paraId="674DD5F0" w14:textId="77777777" w:rsidR="00465964" w:rsidRPr="00465964" w:rsidRDefault="00465964" w:rsidP="00465964">
            <w:proofErr w:type="spellStart"/>
            <w:r w:rsidRPr="00465964">
              <w:t>Informações</w:t>
            </w:r>
            <w:proofErr w:type="spellEnd"/>
            <w:r w:rsidRPr="00465964">
              <w:t xml:space="preserve"> </w:t>
            </w:r>
            <w:proofErr w:type="spellStart"/>
            <w:r w:rsidRPr="00465964">
              <w:t>sobre</w:t>
            </w:r>
            <w:proofErr w:type="spellEnd"/>
            <w:r w:rsidRPr="00465964">
              <w:t xml:space="preserve"> </w:t>
            </w:r>
            <w:proofErr w:type="spellStart"/>
            <w:r w:rsidRPr="00465964">
              <w:t>os</w:t>
            </w:r>
            <w:proofErr w:type="spellEnd"/>
            <w:r w:rsidRPr="00465964">
              <w:t xml:space="preserve"> </w:t>
            </w:r>
            <w:proofErr w:type="spellStart"/>
            <w:r w:rsidRPr="00465964">
              <w:t>riscos</w:t>
            </w:r>
            <w:proofErr w:type="spellEnd"/>
            <w:r w:rsidRPr="00465964">
              <w:t>;</w:t>
            </w:r>
          </w:p>
        </w:tc>
      </w:tr>
    </w:tbl>
    <w:p w14:paraId="3A88AD0F"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17"/>
        <w:gridCol w:w="8909"/>
      </w:tblGrid>
      <w:tr w:rsidR="00465964" w:rsidRPr="00465964" w14:paraId="4513A2E7" w14:textId="77777777" w:rsidTr="00465964">
        <w:tc>
          <w:tcPr>
            <w:tcW w:w="0" w:type="auto"/>
            <w:shd w:val="clear" w:color="auto" w:fill="auto"/>
            <w:hideMark/>
          </w:tcPr>
          <w:p w14:paraId="2863DC69" w14:textId="77777777" w:rsidR="00465964" w:rsidRPr="00465964" w:rsidRDefault="00465964" w:rsidP="00465964">
            <w:r w:rsidRPr="00465964">
              <w:lastRenderedPageBreak/>
              <w:t>j)</w:t>
            </w:r>
          </w:p>
        </w:tc>
        <w:tc>
          <w:tcPr>
            <w:tcW w:w="0" w:type="auto"/>
            <w:shd w:val="clear" w:color="auto" w:fill="auto"/>
            <w:hideMark/>
          </w:tcPr>
          <w:p w14:paraId="1A0B7852" w14:textId="77777777" w:rsidR="00465964" w:rsidRPr="00465964" w:rsidRDefault="00465964" w:rsidP="00465964">
            <w:pPr>
              <w:rPr>
                <w:lang w:val="pt-PT"/>
              </w:rPr>
            </w:pPr>
            <w:r w:rsidRPr="00465964">
              <w:rPr>
                <w:lang w:val="pt-PT"/>
              </w:rPr>
              <w:t>Informações sobre os principais impactos negativos no clima e outros impactos negativos relacionados com o ambiente do mecanismo de consenso utilizado para emitir o criptoativo.</w:t>
            </w:r>
          </w:p>
        </w:tc>
      </w:tr>
    </w:tbl>
    <w:p w14:paraId="1D5D4BD7" w14:textId="77777777" w:rsidR="00465964" w:rsidRPr="00465964" w:rsidRDefault="00465964" w:rsidP="00465964">
      <w:pPr>
        <w:rPr>
          <w:lang w:val="pt-PT"/>
        </w:rPr>
      </w:pPr>
      <w:r w:rsidRPr="00465964">
        <w:rPr>
          <w:lang w:val="pt-PT"/>
        </w:rPr>
        <w:t>Nos casos em que o livrete do criptoativo não seja redigido pelas pessoas referidas no primeiro parágrafo, alíneas a), b) e c), o livrete do criptoativo deve também indicar a identidade da pessoa que o redigiu e a razão que levou essa pessoa a fazê-lo.</w:t>
      </w:r>
    </w:p>
    <w:p w14:paraId="1F333B5E" w14:textId="77777777" w:rsidR="00465964" w:rsidRPr="00465964" w:rsidRDefault="00465964" w:rsidP="00465964">
      <w:pPr>
        <w:rPr>
          <w:lang w:val="pt-PT"/>
        </w:rPr>
      </w:pPr>
      <w:r w:rsidRPr="00465964">
        <w:rPr>
          <w:lang w:val="pt-PT"/>
        </w:rPr>
        <w:t xml:space="preserve">2.   Todas as informações enumeradas no </w:t>
      </w:r>
      <w:proofErr w:type="spellStart"/>
      <w:r w:rsidRPr="00465964">
        <w:rPr>
          <w:lang w:val="pt-PT"/>
        </w:rPr>
        <w:t>n.</w:t>
      </w:r>
      <w:r w:rsidRPr="00465964">
        <w:rPr>
          <w:vertAlign w:val="superscript"/>
          <w:lang w:val="pt-PT"/>
        </w:rPr>
        <w:t>o</w:t>
      </w:r>
      <w:proofErr w:type="spellEnd"/>
      <w:r w:rsidRPr="00465964">
        <w:rPr>
          <w:lang w:val="pt-PT"/>
        </w:rPr>
        <w:t> 1 devem ser corretas, claras e não induzir em erro. O livrete do criptoativo não deve conter omissões materiais e deve ser apresentado de forma concisa e compreensível.</w:t>
      </w:r>
    </w:p>
    <w:p w14:paraId="0B794AD6" w14:textId="77777777" w:rsidR="00465964" w:rsidRPr="00465964" w:rsidRDefault="00465964" w:rsidP="00465964">
      <w:pPr>
        <w:rPr>
          <w:lang w:val="pt-PT"/>
        </w:rPr>
      </w:pPr>
      <w:r w:rsidRPr="00465964">
        <w:rPr>
          <w:lang w:val="pt-PT"/>
        </w:rPr>
        <w:t>3.   O livrete do criptoativo deve conter na primeira página a seguinte declaração clara e com destaque:</w:t>
      </w:r>
    </w:p>
    <w:p w14:paraId="4738A45F" w14:textId="77777777" w:rsidR="00465964" w:rsidRPr="00465964" w:rsidRDefault="00465964" w:rsidP="00465964">
      <w:pPr>
        <w:rPr>
          <w:lang w:val="pt-PT"/>
        </w:rPr>
      </w:pPr>
      <w:r w:rsidRPr="00465964">
        <w:rPr>
          <w:lang w:val="pt-PT"/>
        </w:rPr>
        <w:t>«Este livrete do criptoativo não foi aprovado por nenhuma autoridade competente em nenhum Estado-Membro da União Europeia. O conteúdo deste livrete do criptoativo é da exclusiva responsabilidade do oferente do criptoativo.».</w:t>
      </w:r>
    </w:p>
    <w:p w14:paraId="6306A5EE" w14:textId="77777777" w:rsidR="00465964" w:rsidRPr="00465964" w:rsidRDefault="00465964" w:rsidP="00465964">
      <w:pPr>
        <w:rPr>
          <w:lang w:val="pt-PT"/>
        </w:rPr>
      </w:pPr>
      <w:r w:rsidRPr="00465964">
        <w:rPr>
          <w:lang w:val="pt-PT"/>
        </w:rPr>
        <w:t>Sempre que o livrete do criptoativo for redigido pela pessoa que solicita a admissão à negociação ou por um operador de uma plataforma de negociação, em vez de «oferente», deve inserir-se na declaração a que se refere o primeiro parágrafo uma referência à «pessoa que solicita a admissão à negociação» ou ao «operador da plataforma de negociação».</w:t>
      </w:r>
    </w:p>
    <w:p w14:paraId="11187800" w14:textId="77777777" w:rsidR="00465964" w:rsidRPr="00465964" w:rsidRDefault="00465964" w:rsidP="00465964">
      <w:pPr>
        <w:rPr>
          <w:lang w:val="pt-PT"/>
        </w:rPr>
      </w:pPr>
      <w:r w:rsidRPr="00465964">
        <w:rPr>
          <w:lang w:val="pt-PT"/>
        </w:rPr>
        <w:t xml:space="preserve">4.   O livrete do criptoativo não deve conter quaisquer afirmações a respeito do valor futuro do criptoativo, para além da declaração referida no </w:t>
      </w:r>
      <w:proofErr w:type="spellStart"/>
      <w:r w:rsidRPr="00465964">
        <w:rPr>
          <w:lang w:val="pt-PT"/>
        </w:rPr>
        <w:t>n.</w:t>
      </w:r>
      <w:r w:rsidRPr="00465964">
        <w:rPr>
          <w:vertAlign w:val="superscript"/>
          <w:lang w:val="pt-PT"/>
        </w:rPr>
        <w:t>o</w:t>
      </w:r>
      <w:proofErr w:type="spellEnd"/>
      <w:r w:rsidRPr="00465964">
        <w:rPr>
          <w:lang w:val="pt-PT"/>
        </w:rPr>
        <w:t> 5.</w:t>
      </w:r>
    </w:p>
    <w:p w14:paraId="72C057FC" w14:textId="77777777" w:rsidR="00465964" w:rsidRPr="00465964" w:rsidRDefault="00465964" w:rsidP="00465964">
      <w:pPr>
        <w:rPr>
          <w:lang w:val="pt-PT"/>
        </w:rPr>
      </w:pPr>
      <w:r w:rsidRPr="00465964">
        <w:rPr>
          <w:lang w:val="pt-PT"/>
        </w:rPr>
        <w:t>5.   O livrete do criptoativo deve conter uma declaração clara e inequívoca indicando que:</w:t>
      </w:r>
    </w:p>
    <w:tbl>
      <w:tblPr>
        <w:tblW w:w="5000" w:type="pct"/>
        <w:tblCellMar>
          <w:left w:w="0" w:type="dxa"/>
          <w:right w:w="0" w:type="dxa"/>
        </w:tblCellMar>
        <w:tblLook w:val="04A0" w:firstRow="1" w:lastRow="0" w:firstColumn="1" w:lastColumn="0" w:noHBand="0" w:noVBand="1"/>
      </w:tblPr>
      <w:tblGrid>
        <w:gridCol w:w="283"/>
        <w:gridCol w:w="8743"/>
      </w:tblGrid>
      <w:tr w:rsidR="00465964" w:rsidRPr="00465964" w14:paraId="633F36B7" w14:textId="77777777" w:rsidTr="00465964">
        <w:tc>
          <w:tcPr>
            <w:tcW w:w="0" w:type="auto"/>
            <w:shd w:val="clear" w:color="auto" w:fill="auto"/>
            <w:hideMark/>
          </w:tcPr>
          <w:p w14:paraId="57FC6365" w14:textId="77777777" w:rsidR="00465964" w:rsidRPr="00465964" w:rsidRDefault="00465964" w:rsidP="00465964">
            <w:r w:rsidRPr="00465964">
              <w:t>a)</w:t>
            </w:r>
          </w:p>
        </w:tc>
        <w:tc>
          <w:tcPr>
            <w:tcW w:w="0" w:type="auto"/>
            <w:shd w:val="clear" w:color="auto" w:fill="auto"/>
            <w:hideMark/>
          </w:tcPr>
          <w:p w14:paraId="087DF57B" w14:textId="77777777" w:rsidR="00465964" w:rsidRPr="00465964" w:rsidRDefault="00465964" w:rsidP="00465964">
            <w:pPr>
              <w:rPr>
                <w:lang w:val="pt-PT"/>
              </w:rPr>
            </w:pPr>
            <w:r w:rsidRPr="00465964">
              <w:rPr>
                <w:lang w:val="pt-PT"/>
              </w:rPr>
              <w:t>O criptoativo pode perder parcial ou totalmente o seu valor;</w:t>
            </w:r>
          </w:p>
        </w:tc>
      </w:tr>
    </w:tbl>
    <w:p w14:paraId="0B22EBD1"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368"/>
        <w:gridCol w:w="8658"/>
      </w:tblGrid>
      <w:tr w:rsidR="00465964" w:rsidRPr="00465964" w14:paraId="21A1157B" w14:textId="77777777" w:rsidTr="00465964">
        <w:tc>
          <w:tcPr>
            <w:tcW w:w="0" w:type="auto"/>
            <w:shd w:val="clear" w:color="auto" w:fill="auto"/>
            <w:hideMark/>
          </w:tcPr>
          <w:p w14:paraId="55BD6287" w14:textId="77777777" w:rsidR="00465964" w:rsidRPr="00465964" w:rsidRDefault="00465964" w:rsidP="00465964">
            <w:r w:rsidRPr="00465964">
              <w:t>b)</w:t>
            </w:r>
          </w:p>
        </w:tc>
        <w:tc>
          <w:tcPr>
            <w:tcW w:w="0" w:type="auto"/>
            <w:shd w:val="clear" w:color="auto" w:fill="auto"/>
            <w:hideMark/>
          </w:tcPr>
          <w:p w14:paraId="5D79B852" w14:textId="77777777" w:rsidR="00465964" w:rsidRPr="00465964" w:rsidRDefault="00465964" w:rsidP="00465964">
            <w:pPr>
              <w:rPr>
                <w:lang w:val="pt-PT"/>
              </w:rPr>
            </w:pPr>
            <w:r w:rsidRPr="00465964">
              <w:rPr>
                <w:lang w:val="pt-PT"/>
              </w:rPr>
              <w:t>O criptoativo pode não ser sempre transferível;</w:t>
            </w:r>
          </w:p>
        </w:tc>
      </w:tr>
    </w:tbl>
    <w:p w14:paraId="3BC1D48B"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473"/>
        <w:gridCol w:w="8553"/>
      </w:tblGrid>
      <w:tr w:rsidR="00465964" w:rsidRPr="00465964" w14:paraId="2561C272" w14:textId="77777777" w:rsidTr="00465964">
        <w:tc>
          <w:tcPr>
            <w:tcW w:w="0" w:type="auto"/>
            <w:shd w:val="clear" w:color="auto" w:fill="auto"/>
            <w:hideMark/>
          </w:tcPr>
          <w:p w14:paraId="1603AF91" w14:textId="77777777" w:rsidR="00465964" w:rsidRPr="00465964" w:rsidRDefault="00465964" w:rsidP="00465964">
            <w:r w:rsidRPr="00465964">
              <w:t>c)</w:t>
            </w:r>
          </w:p>
        </w:tc>
        <w:tc>
          <w:tcPr>
            <w:tcW w:w="0" w:type="auto"/>
            <w:shd w:val="clear" w:color="auto" w:fill="auto"/>
            <w:hideMark/>
          </w:tcPr>
          <w:p w14:paraId="267303B3" w14:textId="77777777" w:rsidR="00465964" w:rsidRPr="00465964" w:rsidRDefault="00465964" w:rsidP="00465964">
            <w:pPr>
              <w:rPr>
                <w:lang w:val="pt-PT"/>
              </w:rPr>
            </w:pPr>
            <w:r w:rsidRPr="00465964">
              <w:rPr>
                <w:lang w:val="pt-PT"/>
              </w:rPr>
              <w:t>O criptoativo pode não ser líquido;</w:t>
            </w:r>
          </w:p>
        </w:tc>
      </w:tr>
    </w:tbl>
    <w:p w14:paraId="326D4FC7"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8"/>
        <w:gridCol w:w="8838"/>
      </w:tblGrid>
      <w:tr w:rsidR="00465964" w:rsidRPr="00465964" w14:paraId="37C38CEE" w14:textId="77777777" w:rsidTr="00465964">
        <w:tc>
          <w:tcPr>
            <w:tcW w:w="0" w:type="auto"/>
            <w:shd w:val="clear" w:color="auto" w:fill="auto"/>
            <w:hideMark/>
          </w:tcPr>
          <w:p w14:paraId="269A6042" w14:textId="77777777" w:rsidR="00465964" w:rsidRPr="00465964" w:rsidRDefault="00465964" w:rsidP="00465964">
            <w:r w:rsidRPr="00465964">
              <w:t>d)</w:t>
            </w:r>
          </w:p>
        </w:tc>
        <w:tc>
          <w:tcPr>
            <w:tcW w:w="0" w:type="auto"/>
            <w:shd w:val="clear" w:color="auto" w:fill="auto"/>
            <w:hideMark/>
          </w:tcPr>
          <w:p w14:paraId="0B6B8B16" w14:textId="77777777" w:rsidR="00465964" w:rsidRPr="00465964" w:rsidRDefault="00465964" w:rsidP="00465964">
            <w:pPr>
              <w:rPr>
                <w:lang w:val="pt-PT"/>
              </w:rPr>
            </w:pPr>
            <w:r w:rsidRPr="00465964">
              <w:rPr>
                <w:lang w:val="pt-PT"/>
              </w:rPr>
              <w:t xml:space="preserve">Nos casos em que a oferta pública diga respeito a uma </w:t>
            </w:r>
            <w:proofErr w:type="spellStart"/>
            <w:r w:rsidRPr="00465964">
              <w:rPr>
                <w:lang w:val="pt-PT"/>
              </w:rPr>
              <w:t>criptoficha</w:t>
            </w:r>
            <w:proofErr w:type="spellEnd"/>
            <w:r w:rsidRPr="00465964">
              <w:rPr>
                <w:lang w:val="pt-PT"/>
              </w:rPr>
              <w:t xml:space="preserve"> de consumo, essa </w:t>
            </w:r>
            <w:proofErr w:type="spellStart"/>
            <w:r w:rsidRPr="00465964">
              <w:rPr>
                <w:lang w:val="pt-PT"/>
              </w:rPr>
              <w:t>criptoficha</w:t>
            </w:r>
            <w:proofErr w:type="spellEnd"/>
            <w:r w:rsidRPr="00465964">
              <w:rPr>
                <w:lang w:val="pt-PT"/>
              </w:rPr>
              <w:t xml:space="preserve"> de consumo pode não ser trocada pelo bem ou serviço prometido no livrete do criptoativo, especialmente em caso de insucesso ou abandono do projeto de criptoativos;</w:t>
            </w:r>
          </w:p>
        </w:tc>
      </w:tr>
    </w:tbl>
    <w:p w14:paraId="64025A4E"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1"/>
        <w:gridCol w:w="8845"/>
      </w:tblGrid>
      <w:tr w:rsidR="00465964" w:rsidRPr="00465964" w14:paraId="191334E3" w14:textId="77777777" w:rsidTr="00465964">
        <w:tc>
          <w:tcPr>
            <w:tcW w:w="0" w:type="auto"/>
            <w:shd w:val="clear" w:color="auto" w:fill="auto"/>
            <w:hideMark/>
          </w:tcPr>
          <w:p w14:paraId="494F45FE" w14:textId="77777777" w:rsidR="00465964" w:rsidRPr="00465964" w:rsidRDefault="00465964" w:rsidP="00465964">
            <w:r w:rsidRPr="00465964">
              <w:t>e)</w:t>
            </w:r>
          </w:p>
        </w:tc>
        <w:tc>
          <w:tcPr>
            <w:tcW w:w="0" w:type="auto"/>
            <w:shd w:val="clear" w:color="auto" w:fill="auto"/>
            <w:hideMark/>
          </w:tcPr>
          <w:p w14:paraId="013CEB15" w14:textId="77777777" w:rsidR="00465964" w:rsidRPr="00465964" w:rsidRDefault="00465964" w:rsidP="00465964">
            <w:pPr>
              <w:rPr>
                <w:lang w:val="pt-PT"/>
              </w:rPr>
            </w:pPr>
            <w:r w:rsidRPr="00465964">
              <w:rPr>
                <w:lang w:val="pt-PT"/>
              </w:rPr>
              <w:t>O criptoativo não está abrangido pelos sistemas de indemnização dos investidores previstos na Diretiva 97/9/CE do Parlamento Europeu e do Conselho </w:t>
            </w:r>
            <w:hyperlink r:id="rId42" w:anchor="ntr35-L_2023150PT.01004001-E0035" w:history="1">
              <w:r w:rsidRPr="00465964">
                <w:rPr>
                  <w:rStyle w:val="Hyperlink"/>
                  <w:lang w:val="pt-PT"/>
                </w:rPr>
                <w:t>(</w:t>
              </w:r>
              <w:r w:rsidRPr="00465964">
                <w:rPr>
                  <w:rStyle w:val="Hyperlink"/>
                  <w:vertAlign w:val="superscript"/>
                  <w:lang w:val="pt-PT"/>
                </w:rPr>
                <w:t>35</w:t>
              </w:r>
              <w:r w:rsidRPr="00465964">
                <w:rPr>
                  <w:rStyle w:val="Hyperlink"/>
                  <w:lang w:val="pt-PT"/>
                </w:rPr>
                <w:t>)</w:t>
              </w:r>
            </w:hyperlink>
            <w:r w:rsidRPr="00465964">
              <w:rPr>
                <w:lang w:val="pt-PT"/>
              </w:rPr>
              <w:t>;</w:t>
            </w:r>
          </w:p>
        </w:tc>
      </w:tr>
    </w:tbl>
    <w:p w14:paraId="10E09B0C"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36"/>
        <w:gridCol w:w="8890"/>
      </w:tblGrid>
      <w:tr w:rsidR="00465964" w:rsidRPr="00465964" w14:paraId="6FAC4B17" w14:textId="77777777" w:rsidTr="00465964">
        <w:tc>
          <w:tcPr>
            <w:tcW w:w="0" w:type="auto"/>
            <w:shd w:val="clear" w:color="auto" w:fill="auto"/>
            <w:hideMark/>
          </w:tcPr>
          <w:p w14:paraId="13A8CB47" w14:textId="77777777" w:rsidR="00465964" w:rsidRPr="00465964" w:rsidRDefault="00465964" w:rsidP="00465964">
            <w:r w:rsidRPr="00465964">
              <w:t>f)</w:t>
            </w:r>
          </w:p>
        </w:tc>
        <w:tc>
          <w:tcPr>
            <w:tcW w:w="0" w:type="auto"/>
            <w:shd w:val="clear" w:color="auto" w:fill="auto"/>
            <w:hideMark/>
          </w:tcPr>
          <w:p w14:paraId="4D8B2F8E" w14:textId="77777777" w:rsidR="00465964" w:rsidRPr="00465964" w:rsidRDefault="00465964" w:rsidP="00465964">
            <w:pPr>
              <w:rPr>
                <w:lang w:val="pt-PT"/>
              </w:rPr>
            </w:pPr>
            <w:r w:rsidRPr="00465964">
              <w:rPr>
                <w:lang w:val="pt-PT"/>
              </w:rPr>
              <w:t>O criptoativo não está abrangido pelos sistemas de garantia de depósitos previstos na Diretiva 2014/49/UE.</w:t>
            </w:r>
          </w:p>
        </w:tc>
      </w:tr>
    </w:tbl>
    <w:p w14:paraId="3FC9941C" w14:textId="77777777" w:rsidR="00465964" w:rsidRPr="00465964" w:rsidRDefault="00465964" w:rsidP="00465964">
      <w:pPr>
        <w:rPr>
          <w:lang w:val="pt-PT"/>
        </w:rPr>
      </w:pPr>
      <w:r w:rsidRPr="00465964">
        <w:rPr>
          <w:lang w:val="pt-PT"/>
        </w:rPr>
        <w:t xml:space="preserve">6.   O livrete do criptoativo deve incluir uma declaração do órgão de administração do oferente, da pessoa que solicita a admissão à negociação ou do operador da plataforma de negociação. Essa declaração, a inserir a seguir à declaração a que se refere o </w:t>
      </w:r>
      <w:proofErr w:type="spellStart"/>
      <w:r w:rsidRPr="00465964">
        <w:rPr>
          <w:lang w:val="pt-PT"/>
        </w:rPr>
        <w:t>n.</w:t>
      </w:r>
      <w:r w:rsidRPr="00465964">
        <w:rPr>
          <w:vertAlign w:val="superscript"/>
          <w:lang w:val="pt-PT"/>
        </w:rPr>
        <w:t>o</w:t>
      </w:r>
      <w:proofErr w:type="spellEnd"/>
      <w:r w:rsidRPr="00465964">
        <w:rPr>
          <w:lang w:val="pt-PT"/>
        </w:rPr>
        <w:t> 3, deve confirmar que o livrete do criptoativo cumpre o disposto no presente título e que, tanto quanto é do conhecimento do órgão de administração, as informações apresentadas no livrete do criptoativo são corretas, claras e não induzem em erro e que o livrete do criptoativo não contém omissões suscetíveis de afetar o seu alcance.</w:t>
      </w:r>
    </w:p>
    <w:p w14:paraId="3343DF99" w14:textId="77777777" w:rsidR="00465964" w:rsidRPr="00465964" w:rsidRDefault="00465964" w:rsidP="00465964">
      <w:pPr>
        <w:rPr>
          <w:lang w:val="pt-PT"/>
        </w:rPr>
      </w:pPr>
      <w:r w:rsidRPr="00465964">
        <w:rPr>
          <w:lang w:val="pt-PT"/>
        </w:rPr>
        <w:t xml:space="preserve">7.   O livrete do criptoativo deve conter um resumo, inserido após a declaração a que se refere o </w:t>
      </w:r>
      <w:proofErr w:type="spellStart"/>
      <w:r w:rsidRPr="00465964">
        <w:rPr>
          <w:lang w:val="pt-PT"/>
        </w:rPr>
        <w:t>n.</w:t>
      </w:r>
      <w:r w:rsidRPr="00465964">
        <w:rPr>
          <w:vertAlign w:val="superscript"/>
          <w:lang w:val="pt-PT"/>
        </w:rPr>
        <w:t>o</w:t>
      </w:r>
      <w:proofErr w:type="spellEnd"/>
      <w:r w:rsidRPr="00465964">
        <w:rPr>
          <w:lang w:val="pt-PT"/>
        </w:rPr>
        <w:t xml:space="preserve"> 6, que deve prestar, em linguagem sucinta e não técnica, informações fundamentais sobre a </w:t>
      </w:r>
      <w:r w:rsidRPr="00465964">
        <w:rPr>
          <w:lang w:val="pt-PT"/>
        </w:rPr>
        <w:lastRenderedPageBreak/>
        <w:t>oferta pública do criptoativo ou a admissão à negociação prevista. O resumo deve ser facilmente inteligível e apresentado num formato claro e compreensível, com recurso a caracteres de tamanho legível. O resumo do livrete do criptoativo deve facultar informação apropriada sobre as características do criptoativo em questão, de molde a permitir que os potenciais detentores do criptoativo tomem uma decisão informada.</w:t>
      </w:r>
    </w:p>
    <w:p w14:paraId="4DE5B9DD" w14:textId="77777777" w:rsidR="00465964" w:rsidRPr="00465964" w:rsidRDefault="00465964" w:rsidP="00465964">
      <w:pPr>
        <w:rPr>
          <w:lang w:val="pt-PT"/>
        </w:rPr>
      </w:pPr>
      <w:r w:rsidRPr="00465964">
        <w:rPr>
          <w:lang w:val="pt-PT"/>
        </w:rPr>
        <w:t>O resumo deve conter um aviso indicando que:</w:t>
      </w:r>
    </w:p>
    <w:tbl>
      <w:tblPr>
        <w:tblW w:w="5000" w:type="pct"/>
        <w:tblCellMar>
          <w:left w:w="0" w:type="dxa"/>
          <w:right w:w="0" w:type="dxa"/>
        </w:tblCellMar>
        <w:tblLook w:val="04A0" w:firstRow="1" w:lastRow="0" w:firstColumn="1" w:lastColumn="0" w:noHBand="0" w:noVBand="1"/>
      </w:tblPr>
      <w:tblGrid>
        <w:gridCol w:w="254"/>
        <w:gridCol w:w="8772"/>
      </w:tblGrid>
      <w:tr w:rsidR="00465964" w:rsidRPr="00465964" w14:paraId="6FF152E6" w14:textId="77777777" w:rsidTr="00465964">
        <w:tc>
          <w:tcPr>
            <w:tcW w:w="0" w:type="auto"/>
            <w:shd w:val="clear" w:color="auto" w:fill="auto"/>
            <w:hideMark/>
          </w:tcPr>
          <w:p w14:paraId="01181F7E" w14:textId="77777777" w:rsidR="00465964" w:rsidRPr="00465964" w:rsidRDefault="00465964" w:rsidP="00465964">
            <w:r w:rsidRPr="00465964">
              <w:t>a)</w:t>
            </w:r>
          </w:p>
        </w:tc>
        <w:tc>
          <w:tcPr>
            <w:tcW w:w="0" w:type="auto"/>
            <w:shd w:val="clear" w:color="auto" w:fill="auto"/>
            <w:hideMark/>
          </w:tcPr>
          <w:p w14:paraId="157CCDD6" w14:textId="77777777" w:rsidR="00465964" w:rsidRPr="00465964" w:rsidRDefault="00465964" w:rsidP="00465964">
            <w:pPr>
              <w:rPr>
                <w:lang w:val="pt-PT"/>
              </w:rPr>
            </w:pPr>
            <w:r w:rsidRPr="00465964">
              <w:rPr>
                <w:lang w:val="pt-PT"/>
              </w:rPr>
              <w:t>Deve ser entendido como uma introdução ao livrete do criptoativo;</w:t>
            </w:r>
          </w:p>
        </w:tc>
      </w:tr>
    </w:tbl>
    <w:p w14:paraId="180623D3"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8"/>
        <w:gridCol w:w="8838"/>
      </w:tblGrid>
      <w:tr w:rsidR="00465964" w:rsidRPr="00465964" w14:paraId="4E1E2054" w14:textId="77777777" w:rsidTr="00465964">
        <w:tc>
          <w:tcPr>
            <w:tcW w:w="0" w:type="auto"/>
            <w:shd w:val="clear" w:color="auto" w:fill="auto"/>
            <w:hideMark/>
          </w:tcPr>
          <w:p w14:paraId="3E9924DA" w14:textId="77777777" w:rsidR="00465964" w:rsidRPr="00465964" w:rsidRDefault="00465964" w:rsidP="00465964">
            <w:r w:rsidRPr="00465964">
              <w:t>b)</w:t>
            </w:r>
          </w:p>
        </w:tc>
        <w:tc>
          <w:tcPr>
            <w:tcW w:w="0" w:type="auto"/>
            <w:shd w:val="clear" w:color="auto" w:fill="auto"/>
            <w:hideMark/>
          </w:tcPr>
          <w:p w14:paraId="142798D0" w14:textId="77777777" w:rsidR="00465964" w:rsidRPr="00465964" w:rsidRDefault="00465964" w:rsidP="00465964">
            <w:pPr>
              <w:rPr>
                <w:lang w:val="pt-PT"/>
              </w:rPr>
            </w:pPr>
            <w:r w:rsidRPr="00465964">
              <w:rPr>
                <w:lang w:val="pt-PT"/>
              </w:rPr>
              <w:t>O potencial detentor deve basear toda e qualquer decisão de compra do criptoativo no conteúdo da totalidade do livrete do criptoativo e não apenas no resumo;</w:t>
            </w:r>
          </w:p>
        </w:tc>
      </w:tr>
    </w:tbl>
    <w:p w14:paraId="74CB1C44"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0"/>
        <w:gridCol w:w="8846"/>
      </w:tblGrid>
      <w:tr w:rsidR="00465964" w:rsidRPr="00465964" w14:paraId="0E55557E" w14:textId="77777777" w:rsidTr="00465964">
        <w:tc>
          <w:tcPr>
            <w:tcW w:w="0" w:type="auto"/>
            <w:shd w:val="clear" w:color="auto" w:fill="auto"/>
            <w:hideMark/>
          </w:tcPr>
          <w:p w14:paraId="2F08502B" w14:textId="77777777" w:rsidR="00465964" w:rsidRPr="00465964" w:rsidRDefault="00465964" w:rsidP="00465964">
            <w:r w:rsidRPr="00465964">
              <w:t>c)</w:t>
            </w:r>
          </w:p>
        </w:tc>
        <w:tc>
          <w:tcPr>
            <w:tcW w:w="0" w:type="auto"/>
            <w:shd w:val="clear" w:color="auto" w:fill="auto"/>
            <w:hideMark/>
          </w:tcPr>
          <w:p w14:paraId="6CF85803" w14:textId="77777777" w:rsidR="00465964" w:rsidRPr="00465964" w:rsidRDefault="00465964" w:rsidP="00465964">
            <w:pPr>
              <w:rPr>
                <w:lang w:val="pt-PT"/>
              </w:rPr>
            </w:pPr>
            <w:r w:rsidRPr="00465964">
              <w:rPr>
                <w:lang w:val="pt-PT"/>
              </w:rPr>
              <w:t>A oferta pública do criptoativo não constitui uma oferta nem uma solicitação para comprar instrumentos financeiros, e que qualquer oferta ou solicitação nesse sentido só pode ser feita através de um prospeto ou de outros documentos relativos à oferta nos termos do direito nacional aplicável;</w:t>
            </w:r>
          </w:p>
        </w:tc>
      </w:tr>
    </w:tbl>
    <w:p w14:paraId="7ABD738C"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8"/>
        <w:gridCol w:w="8838"/>
      </w:tblGrid>
      <w:tr w:rsidR="00465964" w:rsidRPr="00465964" w14:paraId="404D034B" w14:textId="77777777" w:rsidTr="00465964">
        <w:tc>
          <w:tcPr>
            <w:tcW w:w="0" w:type="auto"/>
            <w:shd w:val="clear" w:color="auto" w:fill="auto"/>
            <w:hideMark/>
          </w:tcPr>
          <w:p w14:paraId="5106CB94" w14:textId="77777777" w:rsidR="00465964" w:rsidRPr="00465964" w:rsidRDefault="00465964" w:rsidP="00465964">
            <w:r w:rsidRPr="00465964">
              <w:t>d)</w:t>
            </w:r>
          </w:p>
        </w:tc>
        <w:tc>
          <w:tcPr>
            <w:tcW w:w="0" w:type="auto"/>
            <w:shd w:val="clear" w:color="auto" w:fill="auto"/>
            <w:hideMark/>
          </w:tcPr>
          <w:p w14:paraId="0CBCC137" w14:textId="77777777" w:rsidR="00465964" w:rsidRPr="00465964" w:rsidRDefault="00465964" w:rsidP="00465964">
            <w:pPr>
              <w:rPr>
                <w:lang w:val="pt-PT"/>
              </w:rPr>
            </w:pPr>
            <w:r w:rsidRPr="00465964">
              <w:rPr>
                <w:lang w:val="pt-PT"/>
              </w:rPr>
              <w:t>O livrete do criptoativo não constitui um prospeto na aceção do Regulamento (UE) 2017/1129 do Parlamento Europeu e do Conselho </w:t>
            </w:r>
            <w:hyperlink r:id="rId43" w:anchor="ntr36-L_2023150PT.01004001-E0036" w:history="1">
              <w:r w:rsidRPr="00465964">
                <w:rPr>
                  <w:rStyle w:val="Hyperlink"/>
                  <w:lang w:val="pt-PT"/>
                </w:rPr>
                <w:t>(</w:t>
              </w:r>
              <w:r w:rsidRPr="00465964">
                <w:rPr>
                  <w:rStyle w:val="Hyperlink"/>
                  <w:vertAlign w:val="superscript"/>
                  <w:lang w:val="pt-PT"/>
                </w:rPr>
                <w:t>36</w:t>
              </w:r>
              <w:r w:rsidRPr="00465964">
                <w:rPr>
                  <w:rStyle w:val="Hyperlink"/>
                  <w:lang w:val="pt-PT"/>
                </w:rPr>
                <w:t>)</w:t>
              </w:r>
            </w:hyperlink>
            <w:r w:rsidRPr="00465964">
              <w:rPr>
                <w:lang w:val="pt-PT"/>
              </w:rPr>
              <w:t> nem outro documento relativo à oferta nos termos do direito da União ou do direito nacional.</w:t>
            </w:r>
          </w:p>
        </w:tc>
      </w:tr>
    </w:tbl>
    <w:p w14:paraId="65842371" w14:textId="77777777" w:rsidR="00465964" w:rsidRPr="00465964" w:rsidRDefault="00465964" w:rsidP="00465964">
      <w:pPr>
        <w:rPr>
          <w:lang w:val="pt-PT"/>
        </w:rPr>
      </w:pPr>
      <w:r w:rsidRPr="00465964">
        <w:rPr>
          <w:lang w:val="pt-PT"/>
        </w:rPr>
        <w:t>8.   O livrete do criptoativo deve indicar a data da sua notificação e compreender um índice.</w:t>
      </w:r>
    </w:p>
    <w:p w14:paraId="1950A608" w14:textId="77777777" w:rsidR="00465964" w:rsidRPr="00465964" w:rsidRDefault="00465964" w:rsidP="00465964">
      <w:pPr>
        <w:rPr>
          <w:lang w:val="pt-PT"/>
        </w:rPr>
      </w:pPr>
      <w:r w:rsidRPr="00465964">
        <w:rPr>
          <w:lang w:val="pt-PT"/>
        </w:rPr>
        <w:t>9.   O livrete do criptoativo deve ser redigido numa das línguas oficiais do Estado-Membro de origem ou numa língua habitual no sector financeiro internacional.</w:t>
      </w:r>
    </w:p>
    <w:p w14:paraId="45FE3DAC" w14:textId="77777777" w:rsidR="00465964" w:rsidRPr="00465964" w:rsidRDefault="00465964" w:rsidP="00465964">
      <w:pPr>
        <w:rPr>
          <w:lang w:val="pt-PT"/>
        </w:rPr>
      </w:pPr>
      <w:r w:rsidRPr="00465964">
        <w:rPr>
          <w:lang w:val="pt-PT"/>
        </w:rPr>
        <w:t>Caso o criptoativo seja igualmente oferecido noutro Estado-Membro que não o Estado-Membro de origem, o livrete do criptoativo deve ser também redigido numa das línguas oficiais do Estado-Membro de acolhimento ou numa língua habitual no sector financeiro internacional.</w:t>
      </w:r>
    </w:p>
    <w:p w14:paraId="4590D53D" w14:textId="77777777" w:rsidR="00465964" w:rsidRPr="00465964" w:rsidRDefault="00465964" w:rsidP="00465964">
      <w:pPr>
        <w:rPr>
          <w:lang w:val="pt-PT"/>
        </w:rPr>
      </w:pPr>
      <w:r w:rsidRPr="00465964">
        <w:rPr>
          <w:lang w:val="pt-PT"/>
        </w:rPr>
        <w:t>10.   O livrete do criptoativo deve ser disponibilizado num formato legível por máquina.</w:t>
      </w:r>
    </w:p>
    <w:p w14:paraId="60515242" w14:textId="77777777" w:rsidR="00465964" w:rsidRPr="00465964" w:rsidRDefault="00465964" w:rsidP="00465964">
      <w:pPr>
        <w:rPr>
          <w:lang w:val="pt-PT"/>
        </w:rPr>
      </w:pPr>
      <w:r w:rsidRPr="00465964">
        <w:rPr>
          <w:lang w:val="pt-PT"/>
        </w:rPr>
        <w:t xml:space="preserve">11.   A ESMA, em cooperação com a EBA, elabora projetos de normas técnicas de execução para criar formulários, formatos e modelos normalizados para efeitos do </w:t>
      </w:r>
      <w:proofErr w:type="spellStart"/>
      <w:r w:rsidRPr="00465964">
        <w:rPr>
          <w:lang w:val="pt-PT"/>
        </w:rPr>
        <w:t>n.</w:t>
      </w:r>
      <w:r w:rsidRPr="00465964">
        <w:rPr>
          <w:vertAlign w:val="superscript"/>
          <w:lang w:val="pt-PT"/>
        </w:rPr>
        <w:t>o</w:t>
      </w:r>
      <w:proofErr w:type="spellEnd"/>
      <w:r w:rsidRPr="00465964">
        <w:rPr>
          <w:lang w:val="pt-PT"/>
        </w:rPr>
        <w:t> 10.</w:t>
      </w:r>
    </w:p>
    <w:p w14:paraId="2ACDAAA9" w14:textId="77777777" w:rsidR="00465964" w:rsidRPr="00465964" w:rsidRDefault="00465964" w:rsidP="00465964">
      <w:pPr>
        <w:rPr>
          <w:lang w:val="pt-PT"/>
        </w:rPr>
      </w:pPr>
      <w:r w:rsidRPr="00465964">
        <w:rPr>
          <w:lang w:val="pt-PT"/>
        </w:rPr>
        <w:t>A ESMA apresenta à Comissão os projetos de normas técnicas de execução referidos no primeiro parágrafo até 30 de junho de 2024.</w:t>
      </w:r>
    </w:p>
    <w:p w14:paraId="2F18D276" w14:textId="77777777" w:rsidR="00465964" w:rsidRPr="00465964" w:rsidRDefault="00465964" w:rsidP="00465964">
      <w:pPr>
        <w:rPr>
          <w:lang w:val="pt-PT"/>
        </w:rPr>
      </w:pPr>
      <w:r w:rsidRPr="00465964">
        <w:rPr>
          <w:lang w:val="pt-PT"/>
        </w:rPr>
        <w:t>É conferido à Comissão o poder de adotar as normas técnicas de execução a que se refere o primeiro parágrafo, em conformidade com o artigo 15.</w:t>
      </w:r>
      <w:r w:rsidRPr="00465964">
        <w:rPr>
          <w:vertAlign w:val="superscript"/>
          <w:lang w:val="pt-PT"/>
        </w:rPr>
        <w:t>o</w:t>
      </w:r>
      <w:r w:rsidRPr="00465964">
        <w:rPr>
          <w:lang w:val="pt-PT"/>
        </w:rPr>
        <w:t xml:space="preserve"> do Regulamento (UE) </w:t>
      </w:r>
      <w:proofErr w:type="spellStart"/>
      <w:r w:rsidRPr="00465964">
        <w:rPr>
          <w:lang w:val="pt-PT"/>
        </w:rPr>
        <w:t>n.</w:t>
      </w:r>
      <w:r w:rsidRPr="00465964">
        <w:rPr>
          <w:vertAlign w:val="superscript"/>
          <w:lang w:val="pt-PT"/>
        </w:rPr>
        <w:t>o</w:t>
      </w:r>
      <w:proofErr w:type="spellEnd"/>
      <w:r w:rsidRPr="00465964">
        <w:rPr>
          <w:lang w:val="pt-PT"/>
        </w:rPr>
        <w:t> 1095/2010.</w:t>
      </w:r>
    </w:p>
    <w:p w14:paraId="664ED421" w14:textId="77777777" w:rsidR="00465964" w:rsidRPr="00465964" w:rsidRDefault="00465964" w:rsidP="00465964">
      <w:pPr>
        <w:rPr>
          <w:lang w:val="pt-PT"/>
        </w:rPr>
      </w:pPr>
      <w:r w:rsidRPr="00465964">
        <w:rPr>
          <w:lang w:val="pt-PT"/>
        </w:rPr>
        <w:t xml:space="preserve">12.   A ESMA, em cooperação com a EBA, elabora projetos de normas técnicas de regulamentação sobre o conteúdo, as metodologias e a apresentação das informações a que se refere o </w:t>
      </w:r>
      <w:proofErr w:type="spellStart"/>
      <w:r w:rsidRPr="00465964">
        <w:rPr>
          <w:lang w:val="pt-PT"/>
        </w:rPr>
        <w:t>n.</w:t>
      </w:r>
      <w:r w:rsidRPr="00465964">
        <w:rPr>
          <w:vertAlign w:val="superscript"/>
          <w:lang w:val="pt-PT"/>
        </w:rPr>
        <w:t>o</w:t>
      </w:r>
      <w:proofErr w:type="spellEnd"/>
      <w:r w:rsidRPr="00465964">
        <w:rPr>
          <w:lang w:val="pt-PT"/>
        </w:rPr>
        <w:t> 1, primeiro parágrafo, alínea j), no que diz respeito aos indicadores de sustentabilidade relacionados com os impactos negativos no clima e outros impactos negativos relacionados com o ambiente.</w:t>
      </w:r>
    </w:p>
    <w:p w14:paraId="792CD8F7" w14:textId="77777777" w:rsidR="00465964" w:rsidRPr="00465964" w:rsidRDefault="00465964" w:rsidP="00465964">
      <w:pPr>
        <w:rPr>
          <w:lang w:val="pt-PT"/>
        </w:rPr>
      </w:pPr>
      <w:r w:rsidRPr="00465964">
        <w:rPr>
          <w:lang w:val="pt-PT"/>
        </w:rPr>
        <w:t>Ao elaborar os projetos de normas técnicas de regulamentação a que se refere o primeiro parágrafo, a ESMA tem em conta os vários tipos de mecanismos de consenso utilizados para validar as transações de criptoativos, as suas estruturas de incentivo e a utilização de energia, energias renováveis e recursos naturais, bem como a produção de resíduos e as emissões de gases com efeito de estufa. A ESMA atualiza as normas técnicas de regulamentação à luz da evolução regulamentar e tecnológica.</w:t>
      </w:r>
    </w:p>
    <w:p w14:paraId="488C79E9" w14:textId="77777777" w:rsidR="00465964" w:rsidRPr="00465964" w:rsidRDefault="00465964" w:rsidP="00465964">
      <w:pPr>
        <w:rPr>
          <w:lang w:val="pt-PT"/>
        </w:rPr>
      </w:pPr>
      <w:r w:rsidRPr="00465964">
        <w:rPr>
          <w:lang w:val="pt-PT"/>
        </w:rPr>
        <w:lastRenderedPageBreak/>
        <w:t>A ESMA apresenta à Comissão os projetos de normas técnicas de regulamentação a que se refere o primeiro parágrafo até 30 de junho de 2024.</w:t>
      </w:r>
    </w:p>
    <w:p w14:paraId="502DB4FD" w14:textId="77777777" w:rsidR="00465964" w:rsidRPr="00465964" w:rsidRDefault="00465964" w:rsidP="00465964">
      <w:pPr>
        <w:rPr>
          <w:lang w:val="pt-PT"/>
        </w:rPr>
      </w:pPr>
      <w:r w:rsidRPr="00465964">
        <w:rPr>
          <w:lang w:val="pt-PT"/>
        </w:rPr>
        <w:t>É delegado na Comissão o poder de completar o presente regulamento através da adoção das normas técnicas de regulamentação a que se refere o primeiro parágrafo do presente número em conformidade com os artigos 10.</w:t>
      </w:r>
      <w:r w:rsidRPr="00465964">
        <w:rPr>
          <w:vertAlign w:val="superscript"/>
          <w:lang w:val="pt-PT"/>
        </w:rPr>
        <w:t>o</w:t>
      </w:r>
      <w:r w:rsidRPr="00465964">
        <w:rPr>
          <w:lang w:val="pt-PT"/>
        </w:rPr>
        <w:t> a 14.</w:t>
      </w:r>
      <w:r w:rsidRPr="00465964">
        <w:rPr>
          <w:vertAlign w:val="superscript"/>
          <w:lang w:val="pt-PT"/>
        </w:rPr>
        <w:t>o</w:t>
      </w:r>
      <w:r w:rsidRPr="00465964">
        <w:rPr>
          <w:lang w:val="pt-PT"/>
        </w:rPr>
        <w:t xml:space="preserve"> do Regulamento (UE) </w:t>
      </w:r>
      <w:proofErr w:type="spellStart"/>
      <w:r w:rsidRPr="00465964">
        <w:rPr>
          <w:lang w:val="pt-PT"/>
        </w:rPr>
        <w:t>n.</w:t>
      </w:r>
      <w:r w:rsidRPr="00465964">
        <w:rPr>
          <w:vertAlign w:val="superscript"/>
          <w:lang w:val="pt-PT"/>
        </w:rPr>
        <w:t>o</w:t>
      </w:r>
      <w:proofErr w:type="spellEnd"/>
      <w:r w:rsidRPr="00465964">
        <w:rPr>
          <w:lang w:val="pt-PT"/>
        </w:rPr>
        <w:t> 1095/2010.</w:t>
      </w:r>
    </w:p>
    <w:p w14:paraId="0485237B" w14:textId="77777777" w:rsidR="00465964" w:rsidRPr="00465964" w:rsidRDefault="00465964" w:rsidP="00465964">
      <w:pPr>
        <w:rPr>
          <w:i/>
          <w:iCs/>
          <w:lang w:val="pt-PT"/>
        </w:rPr>
      </w:pPr>
      <w:r w:rsidRPr="00465964">
        <w:rPr>
          <w:i/>
          <w:iCs/>
          <w:lang w:val="pt-PT"/>
        </w:rPr>
        <w:t>Artigo 7.</w:t>
      </w:r>
      <w:r w:rsidRPr="00465964">
        <w:rPr>
          <w:i/>
          <w:iCs/>
          <w:vertAlign w:val="superscript"/>
          <w:lang w:val="pt-PT"/>
        </w:rPr>
        <w:t>o</w:t>
      </w:r>
    </w:p>
    <w:p w14:paraId="02AEE9CC" w14:textId="77777777" w:rsidR="00465964" w:rsidRPr="00465964" w:rsidRDefault="00465964" w:rsidP="00465964">
      <w:pPr>
        <w:rPr>
          <w:b/>
          <w:bCs/>
          <w:lang w:val="pt-PT"/>
        </w:rPr>
      </w:pPr>
      <w:r w:rsidRPr="00465964">
        <w:rPr>
          <w:b/>
          <w:bCs/>
          <w:lang w:val="pt-PT"/>
        </w:rPr>
        <w:t>Comunicações comerciais</w:t>
      </w:r>
    </w:p>
    <w:p w14:paraId="0B4BEEDC" w14:textId="77777777" w:rsidR="00465964" w:rsidRPr="00465964" w:rsidRDefault="00465964" w:rsidP="00465964">
      <w:pPr>
        <w:rPr>
          <w:lang w:val="pt-PT"/>
        </w:rPr>
      </w:pPr>
      <w:r w:rsidRPr="00465964">
        <w:rPr>
          <w:lang w:val="pt-PT"/>
        </w:rPr>
        <w:t xml:space="preserve">1.   Todas as comunicações comerciais relativas a uma oferta pública de um criptoativo que não seja uma </w:t>
      </w:r>
      <w:proofErr w:type="spellStart"/>
      <w:r w:rsidRPr="00465964">
        <w:rPr>
          <w:lang w:val="pt-PT"/>
        </w:rPr>
        <w:t>criptoficha</w:t>
      </w:r>
      <w:proofErr w:type="spellEnd"/>
      <w:r w:rsidRPr="00465964">
        <w:rPr>
          <w:lang w:val="pt-PT"/>
        </w:rPr>
        <w:t xml:space="preserve"> referenciada a ativos nem uma </w:t>
      </w:r>
      <w:proofErr w:type="spellStart"/>
      <w:r w:rsidRPr="00465964">
        <w:rPr>
          <w:lang w:val="pt-PT"/>
        </w:rPr>
        <w:t>criptoficha</w:t>
      </w:r>
      <w:proofErr w:type="spellEnd"/>
      <w:r w:rsidRPr="00465964">
        <w:rPr>
          <w:lang w:val="pt-PT"/>
        </w:rPr>
        <w:t xml:space="preserve"> de moeda eletrónica ou relativas à admissão à negociação desse criptoativo devem cumprir todos os seguintes requisitos:</w:t>
      </w:r>
    </w:p>
    <w:tbl>
      <w:tblPr>
        <w:tblW w:w="5000" w:type="pct"/>
        <w:tblCellMar>
          <w:left w:w="0" w:type="dxa"/>
          <w:right w:w="0" w:type="dxa"/>
        </w:tblCellMar>
        <w:tblLook w:val="04A0" w:firstRow="1" w:lastRow="0" w:firstColumn="1" w:lastColumn="0" w:noHBand="0" w:noVBand="1"/>
      </w:tblPr>
      <w:tblGrid>
        <w:gridCol w:w="244"/>
        <w:gridCol w:w="8782"/>
      </w:tblGrid>
      <w:tr w:rsidR="00465964" w:rsidRPr="00465964" w14:paraId="7EFFF872" w14:textId="77777777" w:rsidTr="00465964">
        <w:tc>
          <w:tcPr>
            <w:tcW w:w="0" w:type="auto"/>
            <w:shd w:val="clear" w:color="auto" w:fill="auto"/>
            <w:hideMark/>
          </w:tcPr>
          <w:p w14:paraId="7B1726CB" w14:textId="77777777" w:rsidR="00465964" w:rsidRPr="00465964" w:rsidRDefault="00465964" w:rsidP="00465964">
            <w:r w:rsidRPr="00465964">
              <w:t>a)</w:t>
            </w:r>
          </w:p>
        </w:tc>
        <w:tc>
          <w:tcPr>
            <w:tcW w:w="0" w:type="auto"/>
            <w:shd w:val="clear" w:color="auto" w:fill="auto"/>
            <w:hideMark/>
          </w:tcPr>
          <w:p w14:paraId="42382569" w14:textId="77777777" w:rsidR="00465964" w:rsidRPr="00465964" w:rsidRDefault="00465964" w:rsidP="00465964">
            <w:pPr>
              <w:rPr>
                <w:lang w:val="pt-PT"/>
              </w:rPr>
            </w:pPr>
            <w:r w:rsidRPr="00465964">
              <w:rPr>
                <w:lang w:val="pt-PT"/>
              </w:rPr>
              <w:t>As comunicações comerciais são claramente identificáveis como tal;</w:t>
            </w:r>
          </w:p>
        </w:tc>
      </w:tr>
    </w:tbl>
    <w:p w14:paraId="3CEB1C4F"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8"/>
        <w:gridCol w:w="8838"/>
      </w:tblGrid>
      <w:tr w:rsidR="00465964" w:rsidRPr="00465964" w14:paraId="49C630D9" w14:textId="77777777" w:rsidTr="00465964">
        <w:tc>
          <w:tcPr>
            <w:tcW w:w="0" w:type="auto"/>
            <w:shd w:val="clear" w:color="auto" w:fill="auto"/>
            <w:hideMark/>
          </w:tcPr>
          <w:p w14:paraId="22A9D5F2" w14:textId="77777777" w:rsidR="00465964" w:rsidRPr="00465964" w:rsidRDefault="00465964" w:rsidP="00465964">
            <w:r w:rsidRPr="00465964">
              <w:t>b)</w:t>
            </w:r>
          </w:p>
        </w:tc>
        <w:tc>
          <w:tcPr>
            <w:tcW w:w="0" w:type="auto"/>
            <w:shd w:val="clear" w:color="auto" w:fill="auto"/>
            <w:hideMark/>
          </w:tcPr>
          <w:p w14:paraId="6881772F" w14:textId="77777777" w:rsidR="00465964" w:rsidRPr="00465964" w:rsidRDefault="00465964" w:rsidP="00465964">
            <w:pPr>
              <w:rPr>
                <w:lang w:val="pt-PT"/>
              </w:rPr>
            </w:pPr>
            <w:r w:rsidRPr="00465964">
              <w:rPr>
                <w:lang w:val="pt-PT"/>
              </w:rPr>
              <w:t>As informações incluídas nas comunicações comerciais são corretas, claras e não induzem em erro;</w:t>
            </w:r>
          </w:p>
        </w:tc>
      </w:tr>
    </w:tbl>
    <w:p w14:paraId="534CC873"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0"/>
        <w:gridCol w:w="8846"/>
      </w:tblGrid>
      <w:tr w:rsidR="00465964" w:rsidRPr="00465964" w14:paraId="4E29A421" w14:textId="77777777" w:rsidTr="00465964">
        <w:tc>
          <w:tcPr>
            <w:tcW w:w="0" w:type="auto"/>
            <w:shd w:val="clear" w:color="auto" w:fill="auto"/>
            <w:hideMark/>
          </w:tcPr>
          <w:p w14:paraId="43B2D8E4" w14:textId="77777777" w:rsidR="00465964" w:rsidRPr="00465964" w:rsidRDefault="00465964" w:rsidP="00465964">
            <w:r w:rsidRPr="00465964">
              <w:t>c)</w:t>
            </w:r>
          </w:p>
        </w:tc>
        <w:tc>
          <w:tcPr>
            <w:tcW w:w="0" w:type="auto"/>
            <w:shd w:val="clear" w:color="auto" w:fill="auto"/>
            <w:hideMark/>
          </w:tcPr>
          <w:p w14:paraId="3F3778FF" w14:textId="77777777" w:rsidR="00465964" w:rsidRPr="00465964" w:rsidRDefault="00465964" w:rsidP="00465964">
            <w:pPr>
              <w:rPr>
                <w:lang w:val="pt-PT"/>
              </w:rPr>
            </w:pPr>
            <w:r w:rsidRPr="00465964">
              <w:rPr>
                <w:lang w:val="pt-PT"/>
              </w:rPr>
              <w:t>As informações contidas nas comunicações comerciais são coerentes com as informações constantes do livrete do criptoativo, caso este seja exigido nos termos dos artigos 4.</w:t>
            </w:r>
            <w:r w:rsidRPr="00465964">
              <w:rPr>
                <w:vertAlign w:val="superscript"/>
                <w:lang w:val="pt-PT"/>
              </w:rPr>
              <w:t>o</w:t>
            </w:r>
            <w:r w:rsidRPr="00465964">
              <w:rPr>
                <w:lang w:val="pt-PT"/>
              </w:rPr>
              <w:t> ou 5.</w:t>
            </w:r>
            <w:r w:rsidRPr="00465964">
              <w:rPr>
                <w:vertAlign w:val="superscript"/>
                <w:lang w:val="pt-PT"/>
              </w:rPr>
              <w:t>o</w:t>
            </w:r>
            <w:r w:rsidRPr="00465964">
              <w:rPr>
                <w:lang w:val="pt-PT"/>
              </w:rPr>
              <w:t>;</w:t>
            </w:r>
          </w:p>
        </w:tc>
      </w:tr>
    </w:tbl>
    <w:p w14:paraId="2E8A697F"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8"/>
        <w:gridCol w:w="8838"/>
      </w:tblGrid>
      <w:tr w:rsidR="00465964" w:rsidRPr="00465964" w14:paraId="6EEF24E5" w14:textId="77777777" w:rsidTr="00465964">
        <w:tc>
          <w:tcPr>
            <w:tcW w:w="0" w:type="auto"/>
            <w:shd w:val="clear" w:color="auto" w:fill="auto"/>
            <w:hideMark/>
          </w:tcPr>
          <w:p w14:paraId="0EFDE902" w14:textId="77777777" w:rsidR="00465964" w:rsidRPr="00465964" w:rsidRDefault="00465964" w:rsidP="00465964">
            <w:r w:rsidRPr="00465964">
              <w:t>d)</w:t>
            </w:r>
          </w:p>
        </w:tc>
        <w:tc>
          <w:tcPr>
            <w:tcW w:w="0" w:type="auto"/>
            <w:shd w:val="clear" w:color="auto" w:fill="auto"/>
            <w:hideMark/>
          </w:tcPr>
          <w:p w14:paraId="3DE0AA39" w14:textId="77777777" w:rsidR="00465964" w:rsidRPr="00465964" w:rsidRDefault="00465964" w:rsidP="00465964">
            <w:pPr>
              <w:rPr>
                <w:lang w:val="pt-PT"/>
              </w:rPr>
            </w:pPr>
            <w:r w:rsidRPr="00465964">
              <w:rPr>
                <w:lang w:val="pt-PT"/>
              </w:rPr>
              <w:t>As comunicações comerciais mencionam claramente que foi publicado um livrete do criptoativo e indicam claramente o endereço do sítio Web do oferente, da pessoa que solicita a admissão à negociação ou do operador da plataforma de negociação do criptoativo em questão, bem como um número de telefone e um endereço de correio eletrónico para contactar a pessoa em causa;</w:t>
            </w:r>
          </w:p>
        </w:tc>
      </w:tr>
    </w:tbl>
    <w:p w14:paraId="67675D60"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1"/>
        <w:gridCol w:w="8845"/>
      </w:tblGrid>
      <w:tr w:rsidR="00465964" w:rsidRPr="00465964" w14:paraId="376FB4AC" w14:textId="77777777" w:rsidTr="00465964">
        <w:tc>
          <w:tcPr>
            <w:tcW w:w="0" w:type="auto"/>
            <w:shd w:val="clear" w:color="auto" w:fill="auto"/>
            <w:hideMark/>
          </w:tcPr>
          <w:p w14:paraId="03761335" w14:textId="77777777" w:rsidR="00465964" w:rsidRPr="00465964" w:rsidRDefault="00465964" w:rsidP="00465964">
            <w:r w:rsidRPr="00465964">
              <w:t>e)</w:t>
            </w:r>
          </w:p>
        </w:tc>
        <w:tc>
          <w:tcPr>
            <w:tcW w:w="0" w:type="auto"/>
            <w:shd w:val="clear" w:color="auto" w:fill="auto"/>
            <w:hideMark/>
          </w:tcPr>
          <w:p w14:paraId="63CB77DF" w14:textId="77777777" w:rsidR="00465964" w:rsidRPr="00465964" w:rsidRDefault="00465964" w:rsidP="00465964">
            <w:pPr>
              <w:rPr>
                <w:lang w:val="pt-PT"/>
              </w:rPr>
            </w:pPr>
            <w:r w:rsidRPr="00465964">
              <w:rPr>
                <w:lang w:val="pt-PT"/>
              </w:rPr>
              <w:t>As comunicações comerciais contêm a seguinte declaração clara e de forma destacada:</w:t>
            </w:r>
          </w:p>
          <w:p w14:paraId="0FC298E1" w14:textId="77777777" w:rsidR="00465964" w:rsidRPr="00465964" w:rsidRDefault="00465964" w:rsidP="00465964">
            <w:pPr>
              <w:rPr>
                <w:lang w:val="pt-PT"/>
              </w:rPr>
            </w:pPr>
            <w:r w:rsidRPr="00465964">
              <w:rPr>
                <w:lang w:val="pt-PT"/>
              </w:rPr>
              <w:t>«Esta comunicação comercial não foi revista nem aprovada por nenhuma autoridade competente de nenhum Estado-Membro da União Europeia. O conteúdo desta comunicação comercial é da exclusiva responsabilidade do oferente do criptoativo.».</w:t>
            </w:r>
          </w:p>
        </w:tc>
      </w:tr>
    </w:tbl>
    <w:p w14:paraId="53730885" w14:textId="77777777" w:rsidR="00465964" w:rsidRPr="00465964" w:rsidRDefault="00465964" w:rsidP="00465964">
      <w:pPr>
        <w:rPr>
          <w:lang w:val="pt-PT"/>
        </w:rPr>
      </w:pPr>
      <w:r w:rsidRPr="00465964">
        <w:rPr>
          <w:lang w:val="pt-PT"/>
        </w:rPr>
        <w:t>Sempre que a comunicação comercial for elaborada pela pessoa que solicita a admissão à negociação ou por um operador de uma plataforma de negociação, em vez de «oferente», deve inserir-se na declaração a que se refere o primeiro parágrafo, alínea e), uma referência à «pessoa que solicita a admissão à negociação» ou ao «operador da plataforma de negociação».</w:t>
      </w:r>
    </w:p>
    <w:p w14:paraId="7F1AAE94" w14:textId="77777777" w:rsidR="00465964" w:rsidRPr="00465964" w:rsidRDefault="00465964" w:rsidP="00465964">
      <w:pPr>
        <w:rPr>
          <w:lang w:val="pt-PT"/>
        </w:rPr>
      </w:pPr>
      <w:r w:rsidRPr="00465964">
        <w:rPr>
          <w:lang w:val="pt-PT"/>
        </w:rPr>
        <w:t>2.   Sempre que seja exigido um livrete do criptoativo nos termos do artigo 4.</w:t>
      </w:r>
      <w:r w:rsidRPr="00465964">
        <w:rPr>
          <w:vertAlign w:val="superscript"/>
          <w:lang w:val="pt-PT"/>
        </w:rPr>
        <w:t>o</w:t>
      </w:r>
      <w:r w:rsidRPr="00465964">
        <w:rPr>
          <w:lang w:val="pt-PT"/>
        </w:rPr>
        <w:t> ou 5.</w:t>
      </w:r>
      <w:r w:rsidRPr="00465964">
        <w:rPr>
          <w:vertAlign w:val="superscript"/>
          <w:lang w:val="pt-PT"/>
        </w:rPr>
        <w:t>o</w:t>
      </w:r>
      <w:r w:rsidRPr="00465964">
        <w:rPr>
          <w:lang w:val="pt-PT"/>
        </w:rPr>
        <w:t>, não devem ser divulgadas quaisquer comunicações comerciais antes da respetiva publicação. Tal não afeta a capacidade do oferente, da pessoa que solicita a admissão à negociação ou do operador de uma plataforma de negociação para realizar sondagens de mercado.</w:t>
      </w:r>
    </w:p>
    <w:p w14:paraId="3DA862EB" w14:textId="77777777" w:rsidR="00465964" w:rsidRPr="00465964" w:rsidRDefault="00465964" w:rsidP="00465964">
      <w:pPr>
        <w:rPr>
          <w:lang w:val="pt-PT"/>
        </w:rPr>
      </w:pPr>
      <w:r w:rsidRPr="00465964">
        <w:rPr>
          <w:lang w:val="pt-PT"/>
        </w:rPr>
        <w:t xml:space="preserve">3.   A autoridade competente do Estado-Membro em que as comunicações comerciais são divulgadas tem poderes para avaliar o cumprimento do disposto no </w:t>
      </w:r>
      <w:proofErr w:type="spellStart"/>
      <w:r w:rsidRPr="00465964">
        <w:rPr>
          <w:lang w:val="pt-PT"/>
        </w:rPr>
        <w:t>n.</w:t>
      </w:r>
      <w:r w:rsidRPr="00465964">
        <w:rPr>
          <w:vertAlign w:val="superscript"/>
          <w:lang w:val="pt-PT"/>
        </w:rPr>
        <w:t>o</w:t>
      </w:r>
      <w:proofErr w:type="spellEnd"/>
      <w:r w:rsidRPr="00465964">
        <w:rPr>
          <w:lang w:val="pt-PT"/>
        </w:rPr>
        <w:t> 1 no que diz respeito a essas comunicações comerciais.</w:t>
      </w:r>
    </w:p>
    <w:p w14:paraId="7FE7B4A6" w14:textId="77777777" w:rsidR="00465964" w:rsidRPr="00465964" w:rsidRDefault="00465964" w:rsidP="00465964">
      <w:pPr>
        <w:rPr>
          <w:lang w:val="pt-PT"/>
        </w:rPr>
      </w:pPr>
      <w:r w:rsidRPr="00465964">
        <w:rPr>
          <w:lang w:val="pt-PT"/>
        </w:rPr>
        <w:t>Se necessário, a autoridade competente do Estado-Membro de origem ajuda a autoridade competente do Estado-Membro em que as comunicações comerciais são difundidas a avaliar a sua coerência com as informações constantes do livrete do criptoativo.</w:t>
      </w:r>
    </w:p>
    <w:p w14:paraId="770A37FE" w14:textId="77777777" w:rsidR="00465964" w:rsidRPr="00465964" w:rsidRDefault="00465964" w:rsidP="00465964">
      <w:pPr>
        <w:rPr>
          <w:lang w:val="pt-PT"/>
        </w:rPr>
      </w:pPr>
      <w:r w:rsidRPr="00465964">
        <w:rPr>
          <w:lang w:val="pt-PT"/>
        </w:rPr>
        <w:lastRenderedPageBreak/>
        <w:t>4.   O exercício de qualquer um dos poderes de supervisão e de investigação previstos no artigo 94.</w:t>
      </w:r>
      <w:r w:rsidRPr="00465964">
        <w:rPr>
          <w:vertAlign w:val="superscript"/>
          <w:lang w:val="pt-PT"/>
        </w:rPr>
        <w:t>o</w:t>
      </w:r>
      <w:r w:rsidRPr="00465964">
        <w:rPr>
          <w:lang w:val="pt-PT"/>
        </w:rPr>
        <w:t> por parte da autoridade competente de um Estado-Membro de acolhimento em relação à execução das disposições do presente artigo é notificado sem demora injustificada à autoridade competente do Estado-Membro de origem do oferente, da pessoa que solicita a admissão à negociação ou do operador da plataforma de negociação dos criptoativos.</w:t>
      </w:r>
    </w:p>
    <w:p w14:paraId="5E12F67F" w14:textId="77777777" w:rsidR="00465964" w:rsidRPr="00465964" w:rsidRDefault="00465964" w:rsidP="00465964">
      <w:pPr>
        <w:rPr>
          <w:i/>
          <w:iCs/>
          <w:lang w:val="pt-PT"/>
        </w:rPr>
      </w:pPr>
      <w:r w:rsidRPr="00465964">
        <w:rPr>
          <w:i/>
          <w:iCs/>
          <w:lang w:val="pt-PT"/>
        </w:rPr>
        <w:t>Artigo 8.</w:t>
      </w:r>
      <w:r w:rsidRPr="00465964">
        <w:rPr>
          <w:i/>
          <w:iCs/>
          <w:vertAlign w:val="superscript"/>
          <w:lang w:val="pt-PT"/>
        </w:rPr>
        <w:t>o</w:t>
      </w:r>
    </w:p>
    <w:p w14:paraId="18873D48" w14:textId="77777777" w:rsidR="00465964" w:rsidRPr="00465964" w:rsidRDefault="00465964" w:rsidP="00465964">
      <w:pPr>
        <w:rPr>
          <w:b/>
          <w:bCs/>
          <w:lang w:val="pt-PT"/>
        </w:rPr>
      </w:pPr>
      <w:r w:rsidRPr="00465964">
        <w:rPr>
          <w:b/>
          <w:bCs/>
          <w:lang w:val="pt-PT"/>
        </w:rPr>
        <w:t>Notificação do livrete do criptoativo e das comunicações comerciais</w:t>
      </w:r>
    </w:p>
    <w:p w14:paraId="1746B027" w14:textId="6A853F51" w:rsidR="00465964" w:rsidRPr="00465964" w:rsidRDefault="00465964" w:rsidP="00465964">
      <w:pPr>
        <w:rPr>
          <w:lang w:val="pt-PT"/>
        </w:rPr>
      </w:pPr>
      <w:r w:rsidRPr="00465964">
        <w:rPr>
          <w:lang w:val="pt-PT"/>
        </w:rPr>
        <w:t xml:space="preserve">1.   Os oferentes, as pessoas que solicitam a admissão à negociação e os operadores de plataformas de negociação de criptoativos que não sejam </w:t>
      </w:r>
      <w:r>
        <w:rPr>
          <w:lang w:val="pt-PT"/>
        </w:rPr>
        <w:t>criptomoedas</w:t>
      </w:r>
      <w:r w:rsidRPr="00465964">
        <w:rPr>
          <w:lang w:val="pt-PT"/>
        </w:rPr>
        <w:t xml:space="preserve"> referenciadas a ativos nem </w:t>
      </w:r>
      <w:r>
        <w:rPr>
          <w:lang w:val="pt-PT"/>
        </w:rPr>
        <w:t>criptomoedas</w:t>
      </w:r>
      <w:r w:rsidRPr="00465964">
        <w:rPr>
          <w:lang w:val="pt-PT"/>
        </w:rPr>
        <w:t xml:space="preserve"> de moeda eletrónica devem notificar o seu livrete do criptoativo à autoridade competente do seu Estado-Membro de origem.</w:t>
      </w:r>
    </w:p>
    <w:p w14:paraId="0DE0761A" w14:textId="55DBDC9D" w:rsidR="00465964" w:rsidRPr="00465964" w:rsidRDefault="00465964" w:rsidP="00465964">
      <w:pPr>
        <w:rPr>
          <w:lang w:val="pt-PT"/>
        </w:rPr>
      </w:pPr>
      <w:r w:rsidRPr="00465964">
        <w:rPr>
          <w:lang w:val="pt-PT"/>
        </w:rPr>
        <w:t xml:space="preserve">2.   As comunicações comerciais são notificadas, a pedido, à autoridade competente do Estado-Membro de origem e à autoridade competente do Estado-Membro de acolhimento quando se dirijam a potenciais detentores de criptoativos que não sejam </w:t>
      </w:r>
      <w:r>
        <w:rPr>
          <w:lang w:val="pt-PT"/>
        </w:rPr>
        <w:t>criptomoedas</w:t>
      </w:r>
      <w:r w:rsidRPr="00465964">
        <w:rPr>
          <w:lang w:val="pt-PT"/>
        </w:rPr>
        <w:t xml:space="preserve"> referenciadas a ativos nem </w:t>
      </w:r>
      <w:r>
        <w:rPr>
          <w:lang w:val="pt-PT"/>
        </w:rPr>
        <w:t>criptomoedas</w:t>
      </w:r>
      <w:r w:rsidRPr="00465964">
        <w:rPr>
          <w:lang w:val="pt-PT"/>
        </w:rPr>
        <w:t xml:space="preserve"> de moeda eletrónica nesses Estados-Membros.</w:t>
      </w:r>
    </w:p>
    <w:p w14:paraId="771F842E" w14:textId="77777777" w:rsidR="00465964" w:rsidRPr="00465964" w:rsidRDefault="00465964" w:rsidP="00465964">
      <w:pPr>
        <w:rPr>
          <w:lang w:val="pt-PT"/>
        </w:rPr>
      </w:pPr>
      <w:r w:rsidRPr="00465964">
        <w:rPr>
          <w:lang w:val="pt-PT"/>
        </w:rPr>
        <w:t>3.   As autoridades competentes não podem exigir a aprovação prévia de um livrete do criptoativo, nem de quaisquer comunicações comerciais relacionadas com este, antes da respetiva publicação.</w:t>
      </w:r>
    </w:p>
    <w:p w14:paraId="0F1ED685" w14:textId="77777777" w:rsidR="00465964" w:rsidRPr="00465964" w:rsidRDefault="00465964" w:rsidP="00465964">
      <w:pPr>
        <w:rPr>
          <w:lang w:val="pt-PT"/>
        </w:rPr>
      </w:pPr>
      <w:r w:rsidRPr="00465964">
        <w:rPr>
          <w:lang w:val="pt-PT"/>
        </w:rPr>
        <w:t xml:space="preserve">4.   A notificação relativa ao livrete do criptoativo a que se refere o </w:t>
      </w:r>
      <w:proofErr w:type="spellStart"/>
      <w:r w:rsidRPr="00465964">
        <w:rPr>
          <w:lang w:val="pt-PT"/>
        </w:rPr>
        <w:t>n.</w:t>
      </w:r>
      <w:r w:rsidRPr="00465964">
        <w:rPr>
          <w:vertAlign w:val="superscript"/>
          <w:lang w:val="pt-PT"/>
        </w:rPr>
        <w:t>o</w:t>
      </w:r>
      <w:proofErr w:type="spellEnd"/>
      <w:r w:rsidRPr="00465964">
        <w:rPr>
          <w:lang w:val="pt-PT"/>
        </w:rPr>
        <w:t> 1 deve ser acompanhada de uma explicação das razões pelas quais o criptoativo descrito no livrete do criptoativo não deve ser considerado:</w:t>
      </w:r>
    </w:p>
    <w:tbl>
      <w:tblPr>
        <w:tblW w:w="5000" w:type="pct"/>
        <w:tblCellMar>
          <w:left w:w="0" w:type="dxa"/>
          <w:right w:w="0" w:type="dxa"/>
        </w:tblCellMar>
        <w:tblLook w:val="04A0" w:firstRow="1" w:lastRow="0" w:firstColumn="1" w:lastColumn="0" w:noHBand="0" w:noVBand="1"/>
      </w:tblPr>
      <w:tblGrid>
        <w:gridCol w:w="182"/>
        <w:gridCol w:w="8844"/>
      </w:tblGrid>
      <w:tr w:rsidR="00465964" w:rsidRPr="00465964" w14:paraId="00D8AB94" w14:textId="77777777" w:rsidTr="00465964">
        <w:tc>
          <w:tcPr>
            <w:tcW w:w="0" w:type="auto"/>
            <w:shd w:val="clear" w:color="auto" w:fill="auto"/>
            <w:hideMark/>
          </w:tcPr>
          <w:p w14:paraId="2D185EE5" w14:textId="77777777" w:rsidR="00465964" w:rsidRPr="00465964" w:rsidRDefault="00465964" w:rsidP="00465964">
            <w:r w:rsidRPr="00465964">
              <w:t>a)</w:t>
            </w:r>
          </w:p>
        </w:tc>
        <w:tc>
          <w:tcPr>
            <w:tcW w:w="0" w:type="auto"/>
            <w:shd w:val="clear" w:color="auto" w:fill="auto"/>
            <w:hideMark/>
          </w:tcPr>
          <w:p w14:paraId="1AFD41F9" w14:textId="77777777" w:rsidR="00465964" w:rsidRPr="00465964" w:rsidRDefault="00465964" w:rsidP="00465964">
            <w:pPr>
              <w:rPr>
                <w:lang w:val="pt-PT"/>
              </w:rPr>
            </w:pPr>
            <w:r w:rsidRPr="00465964">
              <w:rPr>
                <w:lang w:val="pt-PT"/>
              </w:rPr>
              <w:t>Um criptoativo excluído do âmbito de aplicação do presente regulamento nos termos do artigo 2.</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4;</w:t>
            </w:r>
          </w:p>
        </w:tc>
      </w:tr>
    </w:tbl>
    <w:p w14:paraId="133AF023"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418"/>
        <w:gridCol w:w="8608"/>
      </w:tblGrid>
      <w:tr w:rsidR="00465964" w:rsidRPr="00465964" w14:paraId="26408D54" w14:textId="77777777" w:rsidTr="00465964">
        <w:tc>
          <w:tcPr>
            <w:tcW w:w="0" w:type="auto"/>
            <w:shd w:val="clear" w:color="auto" w:fill="auto"/>
            <w:hideMark/>
          </w:tcPr>
          <w:p w14:paraId="571B1800" w14:textId="77777777" w:rsidR="00465964" w:rsidRPr="00465964" w:rsidRDefault="00465964" w:rsidP="00465964">
            <w:r w:rsidRPr="00465964">
              <w:t>b)</w:t>
            </w:r>
          </w:p>
        </w:tc>
        <w:tc>
          <w:tcPr>
            <w:tcW w:w="0" w:type="auto"/>
            <w:shd w:val="clear" w:color="auto" w:fill="auto"/>
            <w:hideMark/>
          </w:tcPr>
          <w:p w14:paraId="4574A090" w14:textId="77777777" w:rsidR="00465964" w:rsidRPr="00465964" w:rsidRDefault="00465964" w:rsidP="00465964">
            <w:pPr>
              <w:rPr>
                <w:lang w:val="pt-PT"/>
              </w:rPr>
            </w:pPr>
            <w:r w:rsidRPr="00465964">
              <w:rPr>
                <w:lang w:val="pt-PT"/>
              </w:rPr>
              <w:t xml:space="preserve">Uma </w:t>
            </w:r>
            <w:proofErr w:type="spellStart"/>
            <w:r w:rsidRPr="00465964">
              <w:rPr>
                <w:lang w:val="pt-PT"/>
              </w:rPr>
              <w:t>criptoficha</w:t>
            </w:r>
            <w:proofErr w:type="spellEnd"/>
            <w:r w:rsidRPr="00465964">
              <w:rPr>
                <w:lang w:val="pt-PT"/>
              </w:rPr>
              <w:t xml:space="preserve"> de moeda eletrónica; ou</w:t>
            </w:r>
          </w:p>
        </w:tc>
      </w:tr>
    </w:tbl>
    <w:p w14:paraId="157AA144"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430"/>
        <w:gridCol w:w="8596"/>
      </w:tblGrid>
      <w:tr w:rsidR="00465964" w:rsidRPr="00465964" w14:paraId="0BB0CC7B" w14:textId="77777777" w:rsidTr="00465964">
        <w:tc>
          <w:tcPr>
            <w:tcW w:w="0" w:type="auto"/>
            <w:shd w:val="clear" w:color="auto" w:fill="auto"/>
            <w:hideMark/>
          </w:tcPr>
          <w:p w14:paraId="1C8967B3" w14:textId="77777777" w:rsidR="00465964" w:rsidRPr="00465964" w:rsidRDefault="00465964" w:rsidP="00465964">
            <w:r w:rsidRPr="00465964">
              <w:t>c)</w:t>
            </w:r>
          </w:p>
        </w:tc>
        <w:tc>
          <w:tcPr>
            <w:tcW w:w="0" w:type="auto"/>
            <w:shd w:val="clear" w:color="auto" w:fill="auto"/>
            <w:hideMark/>
          </w:tcPr>
          <w:p w14:paraId="5E5C0821" w14:textId="77777777" w:rsidR="00465964" w:rsidRPr="00465964" w:rsidRDefault="00465964" w:rsidP="00465964">
            <w:pPr>
              <w:rPr>
                <w:lang w:val="pt-PT"/>
              </w:rPr>
            </w:pPr>
            <w:r w:rsidRPr="00465964">
              <w:rPr>
                <w:lang w:val="pt-PT"/>
              </w:rPr>
              <w:t xml:space="preserve">Uma </w:t>
            </w:r>
            <w:proofErr w:type="spellStart"/>
            <w:r w:rsidRPr="00465964">
              <w:rPr>
                <w:lang w:val="pt-PT"/>
              </w:rPr>
              <w:t>criptoficha</w:t>
            </w:r>
            <w:proofErr w:type="spellEnd"/>
            <w:r w:rsidRPr="00465964">
              <w:rPr>
                <w:lang w:val="pt-PT"/>
              </w:rPr>
              <w:t xml:space="preserve"> referenciada a ativos.</w:t>
            </w:r>
          </w:p>
        </w:tc>
      </w:tr>
    </w:tbl>
    <w:p w14:paraId="18A15324" w14:textId="77777777" w:rsidR="00465964" w:rsidRPr="00465964" w:rsidRDefault="00465964" w:rsidP="00465964">
      <w:pPr>
        <w:rPr>
          <w:lang w:val="pt-PT"/>
        </w:rPr>
      </w:pPr>
      <w:r w:rsidRPr="00465964">
        <w:rPr>
          <w:lang w:val="pt-PT"/>
        </w:rPr>
        <w:t xml:space="preserve">5.   Os elementos referidos nos </w:t>
      </w:r>
      <w:proofErr w:type="spellStart"/>
      <w:proofErr w:type="gramStart"/>
      <w:r w:rsidRPr="00465964">
        <w:rPr>
          <w:lang w:val="pt-PT"/>
        </w:rPr>
        <w:t>n.</w:t>
      </w:r>
      <w:r w:rsidRPr="00465964">
        <w:rPr>
          <w:vertAlign w:val="superscript"/>
          <w:lang w:val="pt-PT"/>
        </w:rPr>
        <w:t>os</w:t>
      </w:r>
      <w:proofErr w:type="spellEnd"/>
      <w:proofErr w:type="gramEnd"/>
      <w:r w:rsidRPr="00465964">
        <w:rPr>
          <w:lang w:val="pt-PT"/>
        </w:rPr>
        <w:t> 1 e 4 devem ser notificados à autoridade competente do Estado-Membro de origem pelo menos 20 dias úteis antes da data de publicação do livrete do criptoativo.</w:t>
      </w:r>
    </w:p>
    <w:p w14:paraId="7FFF585A" w14:textId="5C2CE5A2" w:rsidR="00465964" w:rsidRPr="00465964" w:rsidRDefault="00465964" w:rsidP="00465964">
      <w:pPr>
        <w:rPr>
          <w:lang w:val="pt-PT"/>
        </w:rPr>
      </w:pPr>
      <w:r w:rsidRPr="00465964">
        <w:rPr>
          <w:lang w:val="pt-PT"/>
        </w:rPr>
        <w:t xml:space="preserve">6.   Os oferentes e as pessoas que solicitam a admissão à negociação de criptoativos que não sejam </w:t>
      </w:r>
      <w:r>
        <w:rPr>
          <w:lang w:val="pt-PT"/>
        </w:rPr>
        <w:t>criptomoedas</w:t>
      </w:r>
      <w:r w:rsidRPr="00465964">
        <w:rPr>
          <w:lang w:val="pt-PT"/>
        </w:rPr>
        <w:t xml:space="preserve"> referenciadas a ativos nem </w:t>
      </w:r>
      <w:r>
        <w:rPr>
          <w:lang w:val="pt-PT"/>
        </w:rPr>
        <w:t>criptomoedas</w:t>
      </w:r>
      <w:r w:rsidRPr="00465964">
        <w:rPr>
          <w:lang w:val="pt-PT"/>
        </w:rPr>
        <w:t xml:space="preserve"> de moeda eletrónica facultam à autoridade competente do respetivo Estado-Membro de origem, juntamente com a notificação a que se refere o </w:t>
      </w:r>
      <w:proofErr w:type="spellStart"/>
      <w:r w:rsidRPr="00465964">
        <w:rPr>
          <w:lang w:val="pt-PT"/>
        </w:rPr>
        <w:t>n.</w:t>
      </w:r>
      <w:r w:rsidRPr="00465964">
        <w:rPr>
          <w:vertAlign w:val="superscript"/>
          <w:lang w:val="pt-PT"/>
        </w:rPr>
        <w:t>o</w:t>
      </w:r>
      <w:proofErr w:type="spellEnd"/>
      <w:r w:rsidRPr="00465964">
        <w:rPr>
          <w:lang w:val="pt-PT"/>
        </w:rPr>
        <w:t> 1, uma lista dos Estados-Membros de acolhimento, se os houver, onde pretendem submeter os seus criptoativos a oferta pública ou solicitar a admissão à negociação. Devem também informar a autoridade competente do respetivo Estado-Membro de origem da data de início da oferta pública prevista ou da pretendida admissão à negociação, bem como de quaisquer alterações a essa data.</w:t>
      </w:r>
    </w:p>
    <w:p w14:paraId="01ED7174" w14:textId="77777777" w:rsidR="00465964" w:rsidRPr="00465964" w:rsidRDefault="00465964" w:rsidP="00465964">
      <w:pPr>
        <w:rPr>
          <w:lang w:val="pt-PT"/>
        </w:rPr>
      </w:pPr>
      <w:r w:rsidRPr="00465964">
        <w:rPr>
          <w:lang w:val="pt-PT"/>
        </w:rPr>
        <w:t>A autoridade competente do Estado-Membro de origem notifica o ponto único de contacto dos Estados-Membros de acolhimento da oferta pública prevista ou da admissão à negociação prevista e transmite ao ponto único de contacto o livrete do criptoativo correspondente no prazo de cinco dias úteis a contar da receção da lista dos Estados-Membros de acolhimento referida no primeiro parágrafo.</w:t>
      </w:r>
    </w:p>
    <w:p w14:paraId="0D263341" w14:textId="77777777" w:rsidR="00465964" w:rsidRPr="00465964" w:rsidRDefault="00465964" w:rsidP="00465964">
      <w:pPr>
        <w:rPr>
          <w:lang w:val="pt-PT"/>
        </w:rPr>
      </w:pPr>
      <w:r w:rsidRPr="00465964">
        <w:rPr>
          <w:lang w:val="pt-PT"/>
        </w:rPr>
        <w:lastRenderedPageBreak/>
        <w:t xml:space="preserve">7.   A autoridade competente do Estado-Membro de origem comunica à ESMA as informações a que se referem os </w:t>
      </w:r>
      <w:proofErr w:type="spellStart"/>
      <w:proofErr w:type="gramStart"/>
      <w:r w:rsidRPr="00465964">
        <w:rPr>
          <w:lang w:val="pt-PT"/>
        </w:rPr>
        <w:t>n.</w:t>
      </w:r>
      <w:r w:rsidRPr="00465964">
        <w:rPr>
          <w:vertAlign w:val="superscript"/>
          <w:lang w:val="pt-PT"/>
        </w:rPr>
        <w:t>os</w:t>
      </w:r>
      <w:proofErr w:type="spellEnd"/>
      <w:proofErr w:type="gramEnd"/>
      <w:r w:rsidRPr="00465964">
        <w:rPr>
          <w:lang w:val="pt-PT"/>
        </w:rPr>
        <w:t> 1, 2 e 4, bem como a data de início da oferta pública prevista ou da admissão à negociação prevista, bem como quaisquer alterações dessa data. A autoridade em causa comunica as referidas informações no prazo de cinco dias úteis a contar da data em que as recebeu do oferente ou da pessoa que solicita a admissão à negociação.</w:t>
      </w:r>
    </w:p>
    <w:p w14:paraId="0D88FC5E" w14:textId="77777777" w:rsidR="00465964" w:rsidRPr="00465964" w:rsidRDefault="00465964" w:rsidP="00465964">
      <w:pPr>
        <w:rPr>
          <w:lang w:val="pt-PT"/>
        </w:rPr>
      </w:pPr>
      <w:r w:rsidRPr="00465964">
        <w:rPr>
          <w:lang w:val="pt-PT"/>
        </w:rPr>
        <w:t>A ESMA torna o livrete do criptoativo disponível no registo, nos termos do artigo 109.</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2, até à data de início da oferta pública ou da admissão à negociação.</w:t>
      </w:r>
    </w:p>
    <w:p w14:paraId="5B464BA6" w14:textId="77777777" w:rsidR="00465964" w:rsidRPr="00465964" w:rsidRDefault="00465964" w:rsidP="00465964">
      <w:pPr>
        <w:rPr>
          <w:i/>
          <w:iCs/>
          <w:lang w:val="pt-PT"/>
        </w:rPr>
      </w:pPr>
      <w:r w:rsidRPr="00465964">
        <w:rPr>
          <w:i/>
          <w:iCs/>
          <w:lang w:val="pt-PT"/>
        </w:rPr>
        <w:t>Artigo 9.</w:t>
      </w:r>
      <w:r w:rsidRPr="00465964">
        <w:rPr>
          <w:i/>
          <w:iCs/>
          <w:vertAlign w:val="superscript"/>
          <w:lang w:val="pt-PT"/>
        </w:rPr>
        <w:t>o</w:t>
      </w:r>
    </w:p>
    <w:p w14:paraId="32D10206" w14:textId="77777777" w:rsidR="00465964" w:rsidRPr="00465964" w:rsidRDefault="00465964" w:rsidP="00465964">
      <w:pPr>
        <w:rPr>
          <w:b/>
          <w:bCs/>
          <w:lang w:val="pt-PT"/>
        </w:rPr>
      </w:pPr>
      <w:r w:rsidRPr="00465964">
        <w:rPr>
          <w:b/>
          <w:bCs/>
          <w:lang w:val="pt-PT"/>
        </w:rPr>
        <w:t>Publicação do livrete do criptoativo e das comunicações comerciais</w:t>
      </w:r>
    </w:p>
    <w:p w14:paraId="174772C1" w14:textId="739061C5" w:rsidR="00465964" w:rsidRPr="00465964" w:rsidRDefault="00465964" w:rsidP="00465964">
      <w:pPr>
        <w:rPr>
          <w:lang w:val="pt-PT"/>
        </w:rPr>
      </w:pPr>
      <w:r w:rsidRPr="00465964">
        <w:rPr>
          <w:lang w:val="pt-PT"/>
        </w:rPr>
        <w:t xml:space="preserve">1.   Os oferentes e as pessoas que solicitam a admissão à negociação de criptoativos que não sejam </w:t>
      </w:r>
      <w:r>
        <w:rPr>
          <w:lang w:val="pt-PT"/>
        </w:rPr>
        <w:t>criptomoedas</w:t>
      </w:r>
      <w:r w:rsidRPr="00465964">
        <w:rPr>
          <w:lang w:val="pt-PT"/>
        </w:rPr>
        <w:t xml:space="preserve"> referenciadas a ativos nem </w:t>
      </w:r>
      <w:r>
        <w:rPr>
          <w:lang w:val="pt-PT"/>
        </w:rPr>
        <w:t>criptomoedas</w:t>
      </w:r>
      <w:r w:rsidRPr="00465964">
        <w:rPr>
          <w:lang w:val="pt-PT"/>
        </w:rPr>
        <w:t xml:space="preserve"> de moeda eletrónica publicam os seus livretes do criptoativo e, se for caso disso, as suas comunicações comerciais no seu sítio Web – o qual deve estar acessível ao público –, com uma antecedência razoável relativamente à oferta pública ou à admissão à negociação desses criptoativos e, em qualquer caso, antes da respetiva data de início. Os livretes do criptoativo e, se for caso disso, as comunicações comerciais permanecem disponíveis no sítio Web dos oferentes ou das pessoas que solicitam a admissão à negociação enquanto os criptoativos forem detidos pelo público.</w:t>
      </w:r>
    </w:p>
    <w:p w14:paraId="2B0A1009" w14:textId="77777777" w:rsidR="00465964" w:rsidRPr="00465964" w:rsidRDefault="00465964" w:rsidP="00465964">
      <w:pPr>
        <w:rPr>
          <w:lang w:val="pt-PT"/>
        </w:rPr>
      </w:pPr>
      <w:r w:rsidRPr="00465964">
        <w:rPr>
          <w:lang w:val="pt-PT"/>
        </w:rPr>
        <w:t xml:space="preserve">2.   Os livretes do criptoativo publicados e, se for caso disso, as comunicações comerciais devem ser </w:t>
      </w:r>
      <w:proofErr w:type="gramStart"/>
      <w:r w:rsidRPr="00465964">
        <w:rPr>
          <w:lang w:val="pt-PT"/>
        </w:rPr>
        <w:t>idênticos</w:t>
      </w:r>
      <w:proofErr w:type="gramEnd"/>
      <w:r w:rsidRPr="00465964">
        <w:rPr>
          <w:lang w:val="pt-PT"/>
        </w:rPr>
        <w:t xml:space="preserve"> à versão que foi notificada à autoridade competente relevante nos termos do artigo 8.</w:t>
      </w:r>
      <w:r w:rsidRPr="00465964">
        <w:rPr>
          <w:vertAlign w:val="superscript"/>
          <w:lang w:val="pt-PT"/>
        </w:rPr>
        <w:t>o</w:t>
      </w:r>
      <w:r w:rsidRPr="00465964">
        <w:rPr>
          <w:lang w:val="pt-PT"/>
        </w:rPr>
        <w:t> ou, quando aplicável, à versão modificada em conformidade com o artigo 12.</w:t>
      </w:r>
      <w:r w:rsidRPr="00465964">
        <w:rPr>
          <w:vertAlign w:val="superscript"/>
          <w:lang w:val="pt-PT"/>
        </w:rPr>
        <w:t>o</w:t>
      </w:r>
      <w:r w:rsidRPr="00465964">
        <w:rPr>
          <w:lang w:val="pt-PT"/>
        </w:rPr>
        <w:t>.</w:t>
      </w:r>
    </w:p>
    <w:p w14:paraId="3C15EC68" w14:textId="77777777" w:rsidR="00465964" w:rsidRPr="00465964" w:rsidRDefault="00465964" w:rsidP="00465964">
      <w:pPr>
        <w:rPr>
          <w:i/>
          <w:iCs/>
          <w:lang w:val="pt-PT"/>
        </w:rPr>
      </w:pPr>
      <w:r w:rsidRPr="00465964">
        <w:rPr>
          <w:i/>
          <w:iCs/>
          <w:lang w:val="pt-PT"/>
        </w:rPr>
        <w:t>Artigo 10.</w:t>
      </w:r>
      <w:r w:rsidRPr="00465964">
        <w:rPr>
          <w:i/>
          <w:iCs/>
          <w:vertAlign w:val="superscript"/>
          <w:lang w:val="pt-PT"/>
        </w:rPr>
        <w:t>o</w:t>
      </w:r>
    </w:p>
    <w:p w14:paraId="301B2208" w14:textId="77777777" w:rsidR="00465964" w:rsidRPr="00465964" w:rsidRDefault="00465964" w:rsidP="00465964">
      <w:pPr>
        <w:rPr>
          <w:b/>
          <w:bCs/>
          <w:lang w:val="pt-PT"/>
        </w:rPr>
      </w:pPr>
      <w:r w:rsidRPr="00465964">
        <w:rPr>
          <w:b/>
          <w:bCs/>
          <w:lang w:val="pt-PT"/>
        </w:rPr>
        <w:t>Resultado da oferta pública e mecanismos de salvaguarda</w:t>
      </w:r>
    </w:p>
    <w:p w14:paraId="1BF554FD" w14:textId="28B08D84" w:rsidR="00465964" w:rsidRPr="00465964" w:rsidRDefault="00465964" w:rsidP="00465964">
      <w:pPr>
        <w:rPr>
          <w:lang w:val="pt-PT"/>
        </w:rPr>
      </w:pPr>
      <w:r w:rsidRPr="00465964">
        <w:rPr>
          <w:lang w:val="pt-PT"/>
        </w:rPr>
        <w:t xml:space="preserve">1.   Os oferentes de criptoativos que não sejam </w:t>
      </w:r>
      <w:r>
        <w:rPr>
          <w:lang w:val="pt-PT"/>
        </w:rPr>
        <w:t>criptomoedas</w:t>
      </w:r>
      <w:r w:rsidRPr="00465964">
        <w:rPr>
          <w:lang w:val="pt-PT"/>
        </w:rPr>
        <w:t xml:space="preserve"> referenciadas a ativos nem </w:t>
      </w:r>
      <w:r>
        <w:rPr>
          <w:lang w:val="pt-PT"/>
        </w:rPr>
        <w:t>criptomoedas</w:t>
      </w:r>
      <w:r w:rsidRPr="00465964">
        <w:rPr>
          <w:lang w:val="pt-PT"/>
        </w:rPr>
        <w:t xml:space="preserve"> de moeda eletrónica que tenham estabelecido um limite temporal para a sua oferta pública desses criptoativos publicam no respetivo sítio Web o resultado da oferta pública no prazo de 20 dias úteis a contar do fim do período de subscrição.</w:t>
      </w:r>
    </w:p>
    <w:p w14:paraId="2DCA3DB6" w14:textId="13180A1A" w:rsidR="00465964" w:rsidRPr="00465964" w:rsidRDefault="00465964" w:rsidP="00465964">
      <w:pPr>
        <w:rPr>
          <w:lang w:val="pt-PT"/>
        </w:rPr>
      </w:pPr>
      <w:r w:rsidRPr="00465964">
        <w:rPr>
          <w:lang w:val="pt-PT"/>
        </w:rPr>
        <w:t xml:space="preserve">2.   Os oferentes de criptoativos que não sejam </w:t>
      </w:r>
      <w:r>
        <w:rPr>
          <w:lang w:val="pt-PT"/>
        </w:rPr>
        <w:t>criptomoedas</w:t>
      </w:r>
      <w:r w:rsidRPr="00465964">
        <w:rPr>
          <w:lang w:val="pt-PT"/>
        </w:rPr>
        <w:t xml:space="preserve"> referenciadas a ativos nem </w:t>
      </w:r>
      <w:r>
        <w:rPr>
          <w:lang w:val="pt-PT"/>
        </w:rPr>
        <w:t>criptomoedas</w:t>
      </w:r>
      <w:r w:rsidRPr="00465964">
        <w:rPr>
          <w:lang w:val="pt-PT"/>
        </w:rPr>
        <w:t xml:space="preserve"> de moeda eletrónica que não estabelecem um limite temporal para a sua oferta pública desses criptoativos publicam regularmente, e pelo menos mensalmente, no respetivo sítio Web o número de unidades dos criptoativos em circulação.</w:t>
      </w:r>
    </w:p>
    <w:p w14:paraId="42AE33C0" w14:textId="5AE15820" w:rsidR="00465964" w:rsidRPr="00465964" w:rsidRDefault="00465964" w:rsidP="00465964">
      <w:pPr>
        <w:rPr>
          <w:lang w:val="pt-PT"/>
        </w:rPr>
      </w:pPr>
      <w:r w:rsidRPr="00465964">
        <w:rPr>
          <w:lang w:val="pt-PT"/>
        </w:rPr>
        <w:t xml:space="preserve">3.   Os oferentes de criptoativos que não sejam </w:t>
      </w:r>
      <w:r>
        <w:rPr>
          <w:lang w:val="pt-PT"/>
        </w:rPr>
        <w:t>criptomoedas</w:t>
      </w:r>
      <w:r w:rsidRPr="00465964">
        <w:rPr>
          <w:lang w:val="pt-PT"/>
        </w:rPr>
        <w:t xml:space="preserve"> referenciadas a ativos nem </w:t>
      </w:r>
      <w:r>
        <w:rPr>
          <w:lang w:val="pt-PT"/>
        </w:rPr>
        <w:t>criptomoedas</w:t>
      </w:r>
      <w:r w:rsidRPr="00465964">
        <w:rPr>
          <w:lang w:val="pt-PT"/>
        </w:rPr>
        <w:t xml:space="preserve"> de moeda eletrónica que estabelecem um limite temporal para a sua oferta pública de criptoativos devem dispor de mecanismos eficazes para acompanhar e proteger os fundos ou outros criptoativos mobilizados durante a oferta pública. Para o efeito, esses oferentes asseguram que os fundos ou os criptoativos mobilizados durante a oferta pública são mantidos em custódia por uma das seguintes entidades:</w:t>
      </w:r>
    </w:p>
    <w:tbl>
      <w:tblPr>
        <w:tblW w:w="5000" w:type="pct"/>
        <w:tblCellMar>
          <w:left w:w="0" w:type="dxa"/>
          <w:right w:w="0" w:type="dxa"/>
        </w:tblCellMar>
        <w:tblLook w:val="04A0" w:firstRow="1" w:lastRow="0" w:firstColumn="1" w:lastColumn="0" w:noHBand="0" w:noVBand="1"/>
      </w:tblPr>
      <w:tblGrid>
        <w:gridCol w:w="195"/>
        <w:gridCol w:w="8831"/>
      </w:tblGrid>
      <w:tr w:rsidR="00465964" w:rsidRPr="00465964" w14:paraId="45266701" w14:textId="77777777" w:rsidTr="00465964">
        <w:tc>
          <w:tcPr>
            <w:tcW w:w="0" w:type="auto"/>
            <w:shd w:val="clear" w:color="auto" w:fill="auto"/>
            <w:hideMark/>
          </w:tcPr>
          <w:p w14:paraId="30043547" w14:textId="77777777" w:rsidR="00465964" w:rsidRPr="00465964" w:rsidRDefault="00465964" w:rsidP="00465964">
            <w:r w:rsidRPr="00465964">
              <w:t>a)</w:t>
            </w:r>
          </w:p>
        </w:tc>
        <w:tc>
          <w:tcPr>
            <w:tcW w:w="0" w:type="auto"/>
            <w:shd w:val="clear" w:color="auto" w:fill="auto"/>
            <w:hideMark/>
          </w:tcPr>
          <w:p w14:paraId="2C7CA72E" w14:textId="77777777" w:rsidR="00465964" w:rsidRPr="00465964" w:rsidRDefault="00465964" w:rsidP="00465964">
            <w:pPr>
              <w:rPr>
                <w:lang w:val="pt-PT"/>
              </w:rPr>
            </w:pPr>
            <w:r w:rsidRPr="00465964">
              <w:rPr>
                <w:lang w:val="pt-PT"/>
              </w:rPr>
              <w:t>Uma instituição de crédito, quando os fundos são mobilizados durante a oferta pública;</w:t>
            </w:r>
          </w:p>
        </w:tc>
      </w:tr>
    </w:tbl>
    <w:p w14:paraId="6D4A5C4A"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8"/>
        <w:gridCol w:w="8838"/>
      </w:tblGrid>
      <w:tr w:rsidR="00465964" w:rsidRPr="00465964" w14:paraId="57EE7B23" w14:textId="77777777" w:rsidTr="00465964">
        <w:tc>
          <w:tcPr>
            <w:tcW w:w="0" w:type="auto"/>
            <w:shd w:val="clear" w:color="auto" w:fill="auto"/>
            <w:hideMark/>
          </w:tcPr>
          <w:p w14:paraId="58C3754C" w14:textId="77777777" w:rsidR="00465964" w:rsidRPr="00465964" w:rsidRDefault="00465964" w:rsidP="00465964">
            <w:r w:rsidRPr="00465964">
              <w:t>b)</w:t>
            </w:r>
          </w:p>
        </w:tc>
        <w:tc>
          <w:tcPr>
            <w:tcW w:w="0" w:type="auto"/>
            <w:shd w:val="clear" w:color="auto" w:fill="auto"/>
            <w:hideMark/>
          </w:tcPr>
          <w:p w14:paraId="5D77CC89" w14:textId="77777777" w:rsidR="00465964" w:rsidRPr="00465964" w:rsidRDefault="00465964" w:rsidP="00465964">
            <w:pPr>
              <w:rPr>
                <w:lang w:val="pt-PT"/>
              </w:rPr>
            </w:pPr>
            <w:r w:rsidRPr="00465964">
              <w:rPr>
                <w:lang w:val="pt-PT"/>
              </w:rPr>
              <w:t>Um prestador de serviços de criptoativos que presta serviços de custódia e administração de criptoativos em nome de clientes.</w:t>
            </w:r>
          </w:p>
        </w:tc>
      </w:tr>
    </w:tbl>
    <w:p w14:paraId="72F6BF9C" w14:textId="77777777" w:rsidR="00465964" w:rsidRPr="00465964" w:rsidRDefault="00465964" w:rsidP="00465964">
      <w:pPr>
        <w:rPr>
          <w:lang w:val="pt-PT"/>
        </w:rPr>
      </w:pPr>
      <w:r w:rsidRPr="00465964">
        <w:rPr>
          <w:lang w:val="pt-PT"/>
        </w:rPr>
        <w:lastRenderedPageBreak/>
        <w:t xml:space="preserve">4.   Se não tiver sido estabelecido um limite temporal para a oferta pública, o oferente cumpre o disposto no </w:t>
      </w:r>
      <w:proofErr w:type="spellStart"/>
      <w:r w:rsidRPr="00465964">
        <w:rPr>
          <w:lang w:val="pt-PT"/>
        </w:rPr>
        <w:t>n.</w:t>
      </w:r>
      <w:r w:rsidRPr="00465964">
        <w:rPr>
          <w:vertAlign w:val="superscript"/>
          <w:lang w:val="pt-PT"/>
        </w:rPr>
        <w:t>o</w:t>
      </w:r>
      <w:proofErr w:type="spellEnd"/>
      <w:r w:rsidRPr="00465964">
        <w:rPr>
          <w:lang w:val="pt-PT"/>
        </w:rPr>
        <w:t> 3 do presente artigo até expirar o direito de retratação do detentor não profissional por força do artigo 13.</w:t>
      </w:r>
      <w:r w:rsidRPr="00465964">
        <w:rPr>
          <w:vertAlign w:val="superscript"/>
          <w:lang w:val="pt-PT"/>
        </w:rPr>
        <w:t>o</w:t>
      </w:r>
      <w:r w:rsidRPr="00465964">
        <w:rPr>
          <w:lang w:val="pt-PT"/>
        </w:rPr>
        <w:t>.</w:t>
      </w:r>
    </w:p>
    <w:p w14:paraId="7F21B1F6" w14:textId="77777777" w:rsidR="00465964" w:rsidRPr="00465964" w:rsidRDefault="00465964" w:rsidP="00465964">
      <w:pPr>
        <w:rPr>
          <w:i/>
          <w:iCs/>
          <w:lang w:val="pt-PT"/>
        </w:rPr>
      </w:pPr>
      <w:r w:rsidRPr="00465964">
        <w:rPr>
          <w:i/>
          <w:iCs/>
          <w:lang w:val="pt-PT"/>
        </w:rPr>
        <w:t>Artigo 11.</w:t>
      </w:r>
      <w:r w:rsidRPr="00465964">
        <w:rPr>
          <w:i/>
          <w:iCs/>
          <w:vertAlign w:val="superscript"/>
          <w:lang w:val="pt-PT"/>
        </w:rPr>
        <w:t>o</w:t>
      </w:r>
    </w:p>
    <w:p w14:paraId="4AB538F5" w14:textId="0FCB77AB" w:rsidR="00465964" w:rsidRPr="00465964" w:rsidRDefault="00465964" w:rsidP="00465964">
      <w:pPr>
        <w:rPr>
          <w:b/>
          <w:bCs/>
          <w:lang w:val="pt-PT"/>
        </w:rPr>
      </w:pPr>
      <w:r w:rsidRPr="00465964">
        <w:rPr>
          <w:b/>
          <w:bCs/>
          <w:lang w:val="pt-PT"/>
        </w:rPr>
        <w:t xml:space="preserve">Direitos dos oferentes e das pessoas que solicitam a admissão à negociação de criptoativos que não sejam </w:t>
      </w:r>
      <w:r>
        <w:rPr>
          <w:b/>
          <w:bCs/>
          <w:lang w:val="pt-PT"/>
        </w:rPr>
        <w:t>criptomoedas</w:t>
      </w:r>
      <w:r w:rsidRPr="00465964">
        <w:rPr>
          <w:b/>
          <w:bCs/>
          <w:lang w:val="pt-PT"/>
        </w:rPr>
        <w:t xml:space="preserve"> referenciadas a ativos nem </w:t>
      </w:r>
      <w:r>
        <w:rPr>
          <w:b/>
          <w:bCs/>
          <w:lang w:val="pt-PT"/>
        </w:rPr>
        <w:t>criptomoedas</w:t>
      </w:r>
      <w:r w:rsidRPr="00465964">
        <w:rPr>
          <w:b/>
          <w:bCs/>
          <w:lang w:val="pt-PT"/>
        </w:rPr>
        <w:t xml:space="preserve"> de moeda eletrónica</w:t>
      </w:r>
    </w:p>
    <w:p w14:paraId="2556DBF5" w14:textId="163DC616" w:rsidR="00465964" w:rsidRPr="00465964" w:rsidRDefault="00465964" w:rsidP="00465964">
      <w:pPr>
        <w:rPr>
          <w:lang w:val="pt-PT"/>
        </w:rPr>
      </w:pPr>
      <w:r w:rsidRPr="00465964">
        <w:rPr>
          <w:lang w:val="pt-PT"/>
        </w:rPr>
        <w:t>1.   Após a publicação do livrete do criptoativo nos termos do artigo 9.</w:t>
      </w:r>
      <w:r w:rsidRPr="00465964">
        <w:rPr>
          <w:vertAlign w:val="superscript"/>
          <w:lang w:val="pt-PT"/>
        </w:rPr>
        <w:t>o</w:t>
      </w:r>
      <w:r w:rsidRPr="00465964">
        <w:rPr>
          <w:lang w:val="pt-PT"/>
        </w:rPr>
        <w:t> e, se aplicável, do livrete do criptoativo modificado em conformidade com o artigo 12.</w:t>
      </w:r>
      <w:r w:rsidRPr="00465964">
        <w:rPr>
          <w:vertAlign w:val="superscript"/>
          <w:lang w:val="pt-PT"/>
        </w:rPr>
        <w:t>o</w:t>
      </w:r>
      <w:r w:rsidRPr="00465964">
        <w:rPr>
          <w:lang w:val="pt-PT"/>
        </w:rPr>
        <w:t xml:space="preserve">, os oferentes podem oferecer em toda a União criptoativos que não sejam </w:t>
      </w:r>
      <w:r>
        <w:rPr>
          <w:lang w:val="pt-PT"/>
        </w:rPr>
        <w:t>criptomoedas</w:t>
      </w:r>
      <w:r w:rsidRPr="00465964">
        <w:rPr>
          <w:lang w:val="pt-PT"/>
        </w:rPr>
        <w:t xml:space="preserve"> referenciadas a ativos nem </w:t>
      </w:r>
      <w:r>
        <w:rPr>
          <w:lang w:val="pt-PT"/>
        </w:rPr>
        <w:t>criptomoedas</w:t>
      </w:r>
      <w:r w:rsidRPr="00465964">
        <w:rPr>
          <w:lang w:val="pt-PT"/>
        </w:rPr>
        <w:t xml:space="preserve"> de moeda eletrónica, e esses criptoativos podem ser admitidos à negociação numa plataforma de negociação de criptoativos da União.</w:t>
      </w:r>
    </w:p>
    <w:p w14:paraId="10410E63" w14:textId="77777777" w:rsidR="00465964" w:rsidRPr="00465964" w:rsidRDefault="00465964" w:rsidP="00465964">
      <w:pPr>
        <w:rPr>
          <w:lang w:val="pt-PT"/>
        </w:rPr>
      </w:pPr>
      <w:r w:rsidRPr="00465964">
        <w:rPr>
          <w:lang w:val="pt-PT"/>
        </w:rPr>
        <w:t xml:space="preserve">2.   Os oferentes e as pessoas que solicitam a admissão à negociação de um criptoativo que não seja uma </w:t>
      </w:r>
      <w:proofErr w:type="spellStart"/>
      <w:r w:rsidRPr="00465964">
        <w:rPr>
          <w:lang w:val="pt-PT"/>
        </w:rPr>
        <w:t>criptoficha</w:t>
      </w:r>
      <w:proofErr w:type="spellEnd"/>
      <w:r w:rsidRPr="00465964">
        <w:rPr>
          <w:lang w:val="pt-PT"/>
        </w:rPr>
        <w:t xml:space="preserve"> referenciada a ativos nem uma </w:t>
      </w:r>
      <w:proofErr w:type="spellStart"/>
      <w:r w:rsidRPr="00465964">
        <w:rPr>
          <w:lang w:val="pt-PT"/>
        </w:rPr>
        <w:t>criptoficha</w:t>
      </w:r>
      <w:proofErr w:type="spellEnd"/>
      <w:r w:rsidRPr="00465964">
        <w:rPr>
          <w:lang w:val="pt-PT"/>
        </w:rPr>
        <w:t xml:space="preserve"> de moeda eletrónica que tenham publicado um livrete do criptoativo nos termos do artigo 9.</w:t>
      </w:r>
      <w:r w:rsidRPr="00465964">
        <w:rPr>
          <w:vertAlign w:val="superscript"/>
          <w:lang w:val="pt-PT"/>
        </w:rPr>
        <w:t>o</w:t>
      </w:r>
      <w:r w:rsidRPr="00465964">
        <w:rPr>
          <w:lang w:val="pt-PT"/>
        </w:rPr>
        <w:t> e, se aplicável, um livrete do criptoativo modificado em conformidade com o artigo 12.</w:t>
      </w:r>
      <w:r w:rsidRPr="00465964">
        <w:rPr>
          <w:vertAlign w:val="superscript"/>
          <w:lang w:val="pt-PT"/>
        </w:rPr>
        <w:t>o</w:t>
      </w:r>
      <w:r w:rsidRPr="00465964">
        <w:rPr>
          <w:lang w:val="pt-PT"/>
        </w:rPr>
        <w:t> não estão sujeitos a quaisquer requisitos de informação adicionais em relação à oferta pública ou à admissão à negociação desse criptoativo.</w:t>
      </w:r>
    </w:p>
    <w:p w14:paraId="2AD1B146" w14:textId="77777777" w:rsidR="00465964" w:rsidRPr="00465964" w:rsidRDefault="00465964" w:rsidP="00465964">
      <w:pPr>
        <w:rPr>
          <w:i/>
          <w:iCs/>
          <w:lang w:val="pt-PT"/>
        </w:rPr>
      </w:pPr>
      <w:r w:rsidRPr="00465964">
        <w:rPr>
          <w:i/>
          <w:iCs/>
          <w:lang w:val="pt-PT"/>
        </w:rPr>
        <w:t>Artigo 12.</w:t>
      </w:r>
      <w:r w:rsidRPr="00465964">
        <w:rPr>
          <w:i/>
          <w:iCs/>
          <w:vertAlign w:val="superscript"/>
          <w:lang w:val="pt-PT"/>
        </w:rPr>
        <w:t>o</w:t>
      </w:r>
    </w:p>
    <w:p w14:paraId="498AA4F1" w14:textId="77777777" w:rsidR="00465964" w:rsidRPr="00465964" w:rsidRDefault="00465964" w:rsidP="00465964">
      <w:pPr>
        <w:rPr>
          <w:b/>
          <w:bCs/>
          <w:lang w:val="pt-PT"/>
        </w:rPr>
      </w:pPr>
      <w:r w:rsidRPr="00465964">
        <w:rPr>
          <w:b/>
          <w:bCs/>
          <w:lang w:val="pt-PT"/>
        </w:rPr>
        <w:t>Modificação do livrete do criptoativo publicado e das comunicações comerciais publicadas</w:t>
      </w:r>
    </w:p>
    <w:p w14:paraId="66E69B92" w14:textId="23F31C7F" w:rsidR="00465964" w:rsidRPr="00465964" w:rsidRDefault="00465964" w:rsidP="00465964">
      <w:pPr>
        <w:rPr>
          <w:lang w:val="pt-PT"/>
        </w:rPr>
      </w:pPr>
      <w:r w:rsidRPr="00465964">
        <w:rPr>
          <w:lang w:val="pt-PT"/>
        </w:rPr>
        <w:t xml:space="preserve">1.   Os oferentes, as pessoas que solicitam a admissão à negociação ou os operadores de uma plataforma de negociação de criptoativos que não sejam </w:t>
      </w:r>
      <w:r>
        <w:rPr>
          <w:lang w:val="pt-PT"/>
        </w:rPr>
        <w:t>criptomoedas</w:t>
      </w:r>
      <w:r w:rsidRPr="00465964">
        <w:rPr>
          <w:lang w:val="pt-PT"/>
        </w:rPr>
        <w:t xml:space="preserve"> referenciadas a ativos nem </w:t>
      </w:r>
      <w:r>
        <w:rPr>
          <w:lang w:val="pt-PT"/>
        </w:rPr>
        <w:t>criptomoedas</w:t>
      </w:r>
      <w:r w:rsidRPr="00465964">
        <w:rPr>
          <w:lang w:val="pt-PT"/>
        </w:rPr>
        <w:t xml:space="preserve"> de moeda eletrónica devem alterar os seus livretes do criptoativo publicados e, se for caso disso, as suas comunicações comerciais publicadas sempre que se verifique um novo facto significativo, um erro material ou uma inexatidão material suscetíveis de afetar a avaliação dos criptoativos. Esse requisito aplica-se durante o período de vigência da oferta pública ou enquanto o criptoativo for admitido à negociação.</w:t>
      </w:r>
    </w:p>
    <w:p w14:paraId="37EB3111" w14:textId="396D383F" w:rsidR="00465964" w:rsidRPr="00465964" w:rsidRDefault="00465964" w:rsidP="00465964">
      <w:pPr>
        <w:rPr>
          <w:lang w:val="pt-PT"/>
        </w:rPr>
      </w:pPr>
      <w:r w:rsidRPr="00465964">
        <w:rPr>
          <w:lang w:val="pt-PT"/>
        </w:rPr>
        <w:t xml:space="preserve">2.   Os oferentes, as pessoas que solicitam a admissão à negociação ou os operadores de uma plataforma de negociação de criptoativos que não sejam </w:t>
      </w:r>
      <w:r>
        <w:rPr>
          <w:lang w:val="pt-PT"/>
        </w:rPr>
        <w:t>criptomoedas</w:t>
      </w:r>
      <w:r w:rsidRPr="00465964">
        <w:rPr>
          <w:lang w:val="pt-PT"/>
        </w:rPr>
        <w:t xml:space="preserve"> referenciadas a ativos nem </w:t>
      </w:r>
      <w:r>
        <w:rPr>
          <w:lang w:val="pt-PT"/>
        </w:rPr>
        <w:t>criptomoedas</w:t>
      </w:r>
      <w:r w:rsidRPr="00465964">
        <w:rPr>
          <w:lang w:val="pt-PT"/>
        </w:rPr>
        <w:t xml:space="preserve"> de moeda eletrónica notificam a autoridade competente do seu Estado-Membro de origem dos seus livretes do criptoativo modificados e, se for o caso, das suas comunicações comerciais modificadas e da data de publicação prevista, mencionando, nomeadamente, os motivos subjacentes a essa alteração, pelo menos sete dias úteis antes da respetiva publicação.</w:t>
      </w:r>
    </w:p>
    <w:p w14:paraId="54C62AC6" w14:textId="77777777" w:rsidR="00465964" w:rsidRPr="00465964" w:rsidRDefault="00465964" w:rsidP="00465964">
      <w:pPr>
        <w:rPr>
          <w:lang w:val="pt-PT"/>
        </w:rPr>
      </w:pPr>
      <w:r w:rsidRPr="00465964">
        <w:rPr>
          <w:lang w:val="pt-PT"/>
        </w:rPr>
        <w:t>3.   Na data de publicação, ou antes dessa data caso a autoridade competente assim o exija, o oferente, a pessoa que solicita a admissão à negociação ou o operador da plataforma de negociação informa imediatamente o público, no seu sítio Web, de que a autoridade competente do seu Estado-Membro de origem foi notificada da alteração do livrete do criptoativo e apresenta um resumo das razões que conduziram à notificação do livrete do criptoativo modificado.</w:t>
      </w:r>
    </w:p>
    <w:p w14:paraId="5163C05A" w14:textId="77777777" w:rsidR="00465964" w:rsidRPr="00465964" w:rsidRDefault="00465964" w:rsidP="00465964">
      <w:pPr>
        <w:rPr>
          <w:lang w:val="pt-PT"/>
        </w:rPr>
      </w:pPr>
      <w:r w:rsidRPr="00465964">
        <w:rPr>
          <w:lang w:val="pt-PT"/>
        </w:rPr>
        <w:lastRenderedPageBreak/>
        <w:t>4.   A ordem das informações num livrete do criptoativo modificado e, quando aplicável, nas comunicações comerciais modificadas, deve ser consentânea com a do livrete do criptoativos ou a das comunicações comerciais publicadas em conformidade com o artigo 9.</w:t>
      </w:r>
      <w:r w:rsidRPr="00465964">
        <w:rPr>
          <w:vertAlign w:val="superscript"/>
          <w:lang w:val="pt-PT"/>
        </w:rPr>
        <w:t>o</w:t>
      </w:r>
      <w:r w:rsidRPr="00465964">
        <w:rPr>
          <w:lang w:val="pt-PT"/>
        </w:rPr>
        <w:t>.</w:t>
      </w:r>
    </w:p>
    <w:p w14:paraId="7AD70F0A" w14:textId="77777777" w:rsidR="00465964" w:rsidRPr="00465964" w:rsidRDefault="00465964" w:rsidP="00465964">
      <w:pPr>
        <w:rPr>
          <w:lang w:val="pt-PT"/>
        </w:rPr>
      </w:pPr>
      <w:r w:rsidRPr="00465964">
        <w:rPr>
          <w:lang w:val="pt-PT"/>
        </w:rPr>
        <w:t>5.   No prazo de cinco dias úteis a contar da receção do livrete do criptoativo modificado e, se aplicável, das comunicações comerciais modificadas, a autoridade competente do Estado-Membro de origem notifica a autoridade competente dos Estados-Membros de acolhimento a que se refere o artigo 8.</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6, do livrete do criptoativo modificado e, se aplicável, das comunicações comerciais modificadas, e comunica a notificação e a data de publicação à ESMA.</w:t>
      </w:r>
    </w:p>
    <w:p w14:paraId="2768E460" w14:textId="77777777" w:rsidR="00465964" w:rsidRPr="00465964" w:rsidRDefault="00465964" w:rsidP="00465964">
      <w:pPr>
        <w:rPr>
          <w:lang w:val="pt-PT"/>
        </w:rPr>
      </w:pPr>
      <w:r w:rsidRPr="00465964">
        <w:rPr>
          <w:lang w:val="pt-PT"/>
        </w:rPr>
        <w:t>A ESMA torna o livrete do criptoativo modificado no registo disponível, nos termos do artigo 109.</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2, após a respetiva publicação.</w:t>
      </w:r>
    </w:p>
    <w:p w14:paraId="7E0E0685" w14:textId="3C06E5D3" w:rsidR="00465964" w:rsidRPr="00465964" w:rsidRDefault="00465964" w:rsidP="00465964">
      <w:pPr>
        <w:rPr>
          <w:lang w:val="pt-PT"/>
        </w:rPr>
      </w:pPr>
      <w:r w:rsidRPr="00465964">
        <w:rPr>
          <w:lang w:val="pt-PT"/>
        </w:rPr>
        <w:t xml:space="preserve">6.   Os oferentes, as pessoas que solicitam a admissão à negociação ou os operadores de plataformas de negociação de criptoativos que não sejam </w:t>
      </w:r>
      <w:r>
        <w:rPr>
          <w:lang w:val="pt-PT"/>
        </w:rPr>
        <w:t>criptomoedas</w:t>
      </w:r>
      <w:r w:rsidRPr="00465964">
        <w:rPr>
          <w:lang w:val="pt-PT"/>
        </w:rPr>
        <w:t xml:space="preserve"> referenciadas a ativos nem </w:t>
      </w:r>
      <w:r>
        <w:rPr>
          <w:lang w:val="pt-PT"/>
        </w:rPr>
        <w:t>criptomoedas</w:t>
      </w:r>
      <w:r w:rsidRPr="00465964">
        <w:rPr>
          <w:lang w:val="pt-PT"/>
        </w:rPr>
        <w:t xml:space="preserve"> de moeda eletrónica publicam no seu sítio Web, nos termos do artigo 9.</w:t>
      </w:r>
      <w:r w:rsidRPr="00465964">
        <w:rPr>
          <w:vertAlign w:val="superscript"/>
          <w:lang w:val="pt-PT"/>
        </w:rPr>
        <w:t>o</w:t>
      </w:r>
      <w:r w:rsidRPr="00465964">
        <w:rPr>
          <w:lang w:val="pt-PT"/>
        </w:rPr>
        <w:t>, o livrete do criptoativo modificado e, quando aplicável, as comunicações comerciais modificadas, mencionando nomeadamente os motivos subjacentes a essa alteração.</w:t>
      </w:r>
    </w:p>
    <w:p w14:paraId="7B1D1FBD" w14:textId="77777777" w:rsidR="00465964" w:rsidRPr="00465964" w:rsidRDefault="00465964" w:rsidP="00465964">
      <w:pPr>
        <w:rPr>
          <w:lang w:val="pt-PT"/>
        </w:rPr>
      </w:pPr>
      <w:r w:rsidRPr="00465964">
        <w:rPr>
          <w:lang w:val="pt-PT"/>
        </w:rPr>
        <w:t>7.   O livrete do criptoativo modificado e, quando aplicável, as comunicações comerciais modificadas, devem conter uma marca temporal. A versão mais recente do livrete do criptoativo modificado e, quando aplicável, das comunicações comerciais modificadas, devem ser assinaladas como sendo as versões aplicáveis. Todos os livretes do criptoativo modificados e, quando aplicável, as comunicações comerciais modificadas devem permanecer disponíveis enquanto os criptoativos forem detidos pelo público.</w:t>
      </w:r>
    </w:p>
    <w:p w14:paraId="27578694" w14:textId="77777777" w:rsidR="00465964" w:rsidRPr="00465964" w:rsidRDefault="00465964" w:rsidP="00465964">
      <w:pPr>
        <w:rPr>
          <w:lang w:val="pt-PT"/>
        </w:rPr>
      </w:pPr>
      <w:r w:rsidRPr="00465964">
        <w:rPr>
          <w:lang w:val="pt-PT"/>
        </w:rPr>
        <w:t xml:space="preserve">8.   Sempre que a oferta pública diga respeito a uma </w:t>
      </w:r>
      <w:proofErr w:type="spellStart"/>
      <w:r w:rsidRPr="00465964">
        <w:rPr>
          <w:lang w:val="pt-PT"/>
        </w:rPr>
        <w:t>criptoficha</w:t>
      </w:r>
      <w:proofErr w:type="spellEnd"/>
      <w:r w:rsidRPr="00465964">
        <w:rPr>
          <w:lang w:val="pt-PT"/>
        </w:rPr>
        <w:t xml:space="preserve"> de consumo que faculte o acesso a bens e serviços que ainda não existem ou ainda não estão em funcionamento, as alterações introduzidas no livrete do criptoativo modificado e, se for caso disso, nas comunicações comerciais modificadas não podem prorrogar o prazo de 12 meses referido no artigo 4.</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6.</w:t>
      </w:r>
    </w:p>
    <w:p w14:paraId="63D2AB6A" w14:textId="77777777" w:rsidR="00465964" w:rsidRPr="00465964" w:rsidRDefault="00465964" w:rsidP="00465964">
      <w:pPr>
        <w:rPr>
          <w:lang w:val="pt-PT"/>
        </w:rPr>
      </w:pPr>
      <w:r w:rsidRPr="00465964">
        <w:rPr>
          <w:lang w:val="pt-PT"/>
        </w:rPr>
        <w:t>9.   As versões mais antigas do livrete do criptoativo e das comunicações comerciais devem permanecer à disposição do público no sítio Web dos oferentes, das pessoas que solicitam a admissão à negociação ou dos operadores de plataformas de negociação, durante pelo menos dez anos a contar da data de publicação dessas versões mais antigas, incluindo um aviso em lugar de destaque indicando que deixaram de ser válidas e uma hiperligação para a secção específica do sítio Web em que a versão mais recente desses documentos se encontra publicada.</w:t>
      </w:r>
    </w:p>
    <w:p w14:paraId="2406DE92" w14:textId="77777777" w:rsidR="00465964" w:rsidRPr="00465964" w:rsidRDefault="00465964" w:rsidP="00465964">
      <w:pPr>
        <w:rPr>
          <w:i/>
          <w:iCs/>
          <w:lang w:val="pt-PT"/>
        </w:rPr>
      </w:pPr>
      <w:r w:rsidRPr="00465964">
        <w:rPr>
          <w:i/>
          <w:iCs/>
          <w:lang w:val="pt-PT"/>
        </w:rPr>
        <w:t>Artigo 13.</w:t>
      </w:r>
      <w:r w:rsidRPr="00465964">
        <w:rPr>
          <w:i/>
          <w:iCs/>
          <w:vertAlign w:val="superscript"/>
          <w:lang w:val="pt-PT"/>
        </w:rPr>
        <w:t>o</w:t>
      </w:r>
    </w:p>
    <w:p w14:paraId="36955172" w14:textId="77777777" w:rsidR="00465964" w:rsidRPr="00465964" w:rsidRDefault="00465964" w:rsidP="00465964">
      <w:pPr>
        <w:rPr>
          <w:b/>
          <w:bCs/>
          <w:lang w:val="pt-PT"/>
        </w:rPr>
      </w:pPr>
      <w:r w:rsidRPr="00465964">
        <w:rPr>
          <w:b/>
          <w:bCs/>
          <w:lang w:val="pt-PT"/>
        </w:rPr>
        <w:t>Direito de retratação</w:t>
      </w:r>
    </w:p>
    <w:p w14:paraId="1962440E" w14:textId="2F690AB1" w:rsidR="00465964" w:rsidRPr="00465964" w:rsidRDefault="00465964" w:rsidP="00465964">
      <w:pPr>
        <w:rPr>
          <w:lang w:val="pt-PT"/>
        </w:rPr>
      </w:pPr>
      <w:r w:rsidRPr="00465964">
        <w:rPr>
          <w:lang w:val="pt-PT"/>
        </w:rPr>
        <w:t xml:space="preserve">1.   Os detentores não profissionais que comprem criptoativos que não sejam </w:t>
      </w:r>
      <w:r>
        <w:rPr>
          <w:lang w:val="pt-PT"/>
        </w:rPr>
        <w:t>criptomoedas</w:t>
      </w:r>
      <w:r w:rsidRPr="00465964">
        <w:rPr>
          <w:lang w:val="pt-PT"/>
        </w:rPr>
        <w:t xml:space="preserve"> referenciadas a ativos nem </w:t>
      </w:r>
      <w:r>
        <w:rPr>
          <w:lang w:val="pt-PT"/>
        </w:rPr>
        <w:t>criptomoedas</w:t>
      </w:r>
      <w:r w:rsidRPr="00465964">
        <w:rPr>
          <w:lang w:val="pt-PT"/>
        </w:rPr>
        <w:t xml:space="preserve"> de moeda eletrónica diretamente a um oferente ou a um prestador de serviços de criptoativos que proceda à colocação de criptoativos em nome desse oferente têm direito de retratação.</w:t>
      </w:r>
    </w:p>
    <w:p w14:paraId="69D9850E" w14:textId="12FCD2E1" w:rsidR="00465964" w:rsidRPr="00465964" w:rsidRDefault="00465964" w:rsidP="00465964">
      <w:pPr>
        <w:rPr>
          <w:lang w:val="pt-PT"/>
        </w:rPr>
      </w:pPr>
      <w:r w:rsidRPr="00465964">
        <w:rPr>
          <w:lang w:val="pt-PT"/>
        </w:rPr>
        <w:t xml:space="preserve">Os detentores não profissionais dispõem de um prazo de 14 dias de calendário dentro do qual podem exercer o direito de retratação do respetivo acordo de compra de criptoativos que não </w:t>
      </w:r>
      <w:r w:rsidRPr="00465964">
        <w:rPr>
          <w:lang w:val="pt-PT"/>
        </w:rPr>
        <w:lastRenderedPageBreak/>
        <w:t xml:space="preserve">sejam </w:t>
      </w:r>
      <w:r>
        <w:rPr>
          <w:lang w:val="pt-PT"/>
        </w:rPr>
        <w:t>criptomoedas</w:t>
      </w:r>
      <w:r w:rsidRPr="00465964">
        <w:rPr>
          <w:lang w:val="pt-PT"/>
        </w:rPr>
        <w:t xml:space="preserve"> referenciadas a ativos nem </w:t>
      </w:r>
      <w:r>
        <w:rPr>
          <w:lang w:val="pt-PT"/>
        </w:rPr>
        <w:t>criptomoedas</w:t>
      </w:r>
      <w:r w:rsidRPr="00465964">
        <w:rPr>
          <w:lang w:val="pt-PT"/>
        </w:rPr>
        <w:t xml:space="preserve"> de moeda eletrónica sem incorrerem em quaisquer comissões ou custos e sem serem obrigados a indicar os motivos. O período de retratação tem início na data em que o detentor não profissional deu o seu acordo para a compra desses criptoativos.</w:t>
      </w:r>
    </w:p>
    <w:p w14:paraId="58D25E39" w14:textId="77777777" w:rsidR="00465964" w:rsidRPr="00465964" w:rsidRDefault="00465964" w:rsidP="00465964">
      <w:pPr>
        <w:rPr>
          <w:lang w:val="pt-PT"/>
        </w:rPr>
      </w:pPr>
      <w:r w:rsidRPr="00465964">
        <w:rPr>
          <w:lang w:val="pt-PT"/>
        </w:rPr>
        <w:t>2.   Todos os pagamentos recebidos de um detentor não profissional, incluindo, se aplicável, quaisquer encargos, devem ser reembolsados sem atrasos indevidos e, em qualquer caso, o mais tardar 14 dias a contar da data em que o oferente ou o prestador de serviços de criptoativos que proceda à colocação desses criptoativos em nome desse oferente seja informado da decisão do detentor não profissional de retratação do acordo para a compra desses criptoativos.</w:t>
      </w:r>
    </w:p>
    <w:p w14:paraId="19759F61" w14:textId="77777777" w:rsidR="00465964" w:rsidRPr="00465964" w:rsidRDefault="00465964" w:rsidP="00465964">
      <w:pPr>
        <w:rPr>
          <w:lang w:val="pt-PT"/>
        </w:rPr>
      </w:pPr>
      <w:r w:rsidRPr="00465964">
        <w:rPr>
          <w:lang w:val="pt-PT"/>
        </w:rPr>
        <w:t>Esse reembolso deve ser efetuado com recurso ao mesmo meio de pagamento utilizado pelo detentor não profissional na transação inicial, salvo acordo expresso em contrário do detentor não profissional e na condição de este não incorrer em quaisquer comissões ou custos em consequência do reembolso em questão.</w:t>
      </w:r>
    </w:p>
    <w:p w14:paraId="50700A94" w14:textId="77777777" w:rsidR="00465964" w:rsidRPr="00465964" w:rsidRDefault="00465964" w:rsidP="00465964">
      <w:pPr>
        <w:rPr>
          <w:lang w:val="pt-PT"/>
        </w:rPr>
      </w:pPr>
      <w:r w:rsidRPr="00465964">
        <w:rPr>
          <w:lang w:val="pt-PT"/>
        </w:rPr>
        <w:t xml:space="preserve">3.   Os oferentes de criptoativos devem prestar informações sobre o direito de retratação referido no </w:t>
      </w:r>
      <w:proofErr w:type="spellStart"/>
      <w:r w:rsidRPr="00465964">
        <w:rPr>
          <w:lang w:val="pt-PT"/>
        </w:rPr>
        <w:t>n.</w:t>
      </w:r>
      <w:r w:rsidRPr="00465964">
        <w:rPr>
          <w:vertAlign w:val="superscript"/>
          <w:lang w:val="pt-PT"/>
        </w:rPr>
        <w:t>o</w:t>
      </w:r>
      <w:proofErr w:type="spellEnd"/>
      <w:r w:rsidRPr="00465964">
        <w:rPr>
          <w:lang w:val="pt-PT"/>
        </w:rPr>
        <w:t> 1 no respetivo livrete do criptoativo.</w:t>
      </w:r>
    </w:p>
    <w:p w14:paraId="7552AE66" w14:textId="77777777" w:rsidR="00465964" w:rsidRPr="00465964" w:rsidRDefault="00465964" w:rsidP="00465964">
      <w:pPr>
        <w:rPr>
          <w:lang w:val="pt-PT"/>
        </w:rPr>
      </w:pPr>
      <w:r w:rsidRPr="00465964">
        <w:rPr>
          <w:lang w:val="pt-PT"/>
        </w:rPr>
        <w:t xml:space="preserve">4.   O direito de retratação a que se refere o </w:t>
      </w:r>
      <w:proofErr w:type="spellStart"/>
      <w:r w:rsidRPr="00465964">
        <w:rPr>
          <w:lang w:val="pt-PT"/>
        </w:rPr>
        <w:t>n.</w:t>
      </w:r>
      <w:r w:rsidRPr="00465964">
        <w:rPr>
          <w:vertAlign w:val="superscript"/>
          <w:lang w:val="pt-PT"/>
        </w:rPr>
        <w:t>o</w:t>
      </w:r>
      <w:proofErr w:type="spellEnd"/>
      <w:r w:rsidRPr="00465964">
        <w:rPr>
          <w:lang w:val="pt-PT"/>
        </w:rPr>
        <w:t> 1 não se aplica se os criptoativos tiverem sido admitidos à negociação antes da sua aquisição pelo detentor não profissional.</w:t>
      </w:r>
    </w:p>
    <w:p w14:paraId="7FF968B3" w14:textId="77777777" w:rsidR="00465964" w:rsidRPr="00465964" w:rsidRDefault="00465964" w:rsidP="00465964">
      <w:pPr>
        <w:rPr>
          <w:lang w:val="pt-PT"/>
        </w:rPr>
      </w:pPr>
      <w:r w:rsidRPr="00465964">
        <w:rPr>
          <w:lang w:val="pt-PT"/>
        </w:rPr>
        <w:t>5.   Caso os oferentes tenham fixado um prazo para a sua oferta pública desses criptoativos nos termos do artigo 10.</w:t>
      </w:r>
      <w:r w:rsidRPr="00465964">
        <w:rPr>
          <w:vertAlign w:val="superscript"/>
          <w:lang w:val="pt-PT"/>
        </w:rPr>
        <w:t>o</w:t>
      </w:r>
      <w:r w:rsidRPr="00465964">
        <w:rPr>
          <w:lang w:val="pt-PT"/>
        </w:rPr>
        <w:t>, o direito de retratação não pode ser exercido após o termo do período de subscrição.</w:t>
      </w:r>
    </w:p>
    <w:p w14:paraId="1E329FBA" w14:textId="77777777" w:rsidR="00465964" w:rsidRPr="00465964" w:rsidRDefault="00465964" w:rsidP="00465964">
      <w:pPr>
        <w:rPr>
          <w:i/>
          <w:iCs/>
          <w:lang w:val="pt-PT"/>
        </w:rPr>
      </w:pPr>
      <w:r w:rsidRPr="00465964">
        <w:rPr>
          <w:i/>
          <w:iCs/>
          <w:lang w:val="pt-PT"/>
        </w:rPr>
        <w:t>Artigo 14.</w:t>
      </w:r>
      <w:r w:rsidRPr="00465964">
        <w:rPr>
          <w:i/>
          <w:iCs/>
          <w:vertAlign w:val="superscript"/>
          <w:lang w:val="pt-PT"/>
        </w:rPr>
        <w:t>o</w:t>
      </w:r>
    </w:p>
    <w:p w14:paraId="1726706C" w14:textId="2A215798" w:rsidR="00465964" w:rsidRPr="00465964" w:rsidRDefault="00465964" w:rsidP="00465964">
      <w:pPr>
        <w:rPr>
          <w:b/>
          <w:bCs/>
          <w:lang w:val="pt-PT"/>
        </w:rPr>
      </w:pPr>
      <w:r w:rsidRPr="00465964">
        <w:rPr>
          <w:b/>
          <w:bCs/>
          <w:lang w:val="pt-PT"/>
        </w:rPr>
        <w:t xml:space="preserve">Obrigações dos oferentes e das pessoas que solicitam a admissão à negociação de criptoativos que não sejam </w:t>
      </w:r>
      <w:r>
        <w:rPr>
          <w:b/>
          <w:bCs/>
          <w:lang w:val="pt-PT"/>
        </w:rPr>
        <w:t>criptomoedas</w:t>
      </w:r>
      <w:r w:rsidRPr="00465964">
        <w:rPr>
          <w:b/>
          <w:bCs/>
          <w:lang w:val="pt-PT"/>
        </w:rPr>
        <w:t xml:space="preserve"> referenciadas a ativos nem </w:t>
      </w:r>
      <w:r>
        <w:rPr>
          <w:b/>
          <w:bCs/>
          <w:lang w:val="pt-PT"/>
        </w:rPr>
        <w:t>criptomoedas</w:t>
      </w:r>
      <w:r w:rsidRPr="00465964">
        <w:rPr>
          <w:b/>
          <w:bCs/>
          <w:lang w:val="pt-PT"/>
        </w:rPr>
        <w:t xml:space="preserve"> de moeda eletrónica</w:t>
      </w:r>
    </w:p>
    <w:p w14:paraId="38B3AE82" w14:textId="4AAEC039" w:rsidR="00465964" w:rsidRPr="00465964" w:rsidRDefault="00465964" w:rsidP="00465964">
      <w:pPr>
        <w:rPr>
          <w:lang w:val="pt-PT"/>
        </w:rPr>
      </w:pPr>
      <w:r w:rsidRPr="00465964">
        <w:rPr>
          <w:lang w:val="pt-PT"/>
        </w:rPr>
        <w:t xml:space="preserve">1.   Os oferentes e as pessoas que solicitam a admissão à negociação de criptoativos que não sejam </w:t>
      </w:r>
      <w:r>
        <w:rPr>
          <w:lang w:val="pt-PT"/>
        </w:rPr>
        <w:t>criptomoedas</w:t>
      </w:r>
      <w:r w:rsidRPr="00465964">
        <w:rPr>
          <w:lang w:val="pt-PT"/>
        </w:rPr>
        <w:t xml:space="preserve"> referenciadas a ativos nem </w:t>
      </w:r>
      <w:r>
        <w:rPr>
          <w:lang w:val="pt-PT"/>
        </w:rPr>
        <w:t>criptomoedas</w:t>
      </w:r>
      <w:r w:rsidRPr="00465964">
        <w:rPr>
          <w:lang w:val="pt-PT"/>
        </w:rPr>
        <w:t xml:space="preserve"> de moeda eletrónica devem:</w:t>
      </w:r>
    </w:p>
    <w:tbl>
      <w:tblPr>
        <w:tblW w:w="5000" w:type="pct"/>
        <w:tblCellMar>
          <w:left w:w="0" w:type="dxa"/>
          <w:right w:w="0" w:type="dxa"/>
        </w:tblCellMar>
        <w:tblLook w:val="04A0" w:firstRow="1" w:lastRow="0" w:firstColumn="1" w:lastColumn="0" w:noHBand="0" w:noVBand="1"/>
      </w:tblPr>
      <w:tblGrid>
        <w:gridCol w:w="317"/>
        <w:gridCol w:w="8709"/>
      </w:tblGrid>
      <w:tr w:rsidR="00465964" w:rsidRPr="00465964" w14:paraId="77E78461" w14:textId="77777777" w:rsidTr="00465964">
        <w:tc>
          <w:tcPr>
            <w:tcW w:w="0" w:type="auto"/>
            <w:shd w:val="clear" w:color="auto" w:fill="auto"/>
            <w:hideMark/>
          </w:tcPr>
          <w:p w14:paraId="603A91CF" w14:textId="77777777" w:rsidR="00465964" w:rsidRPr="00465964" w:rsidRDefault="00465964" w:rsidP="00465964">
            <w:r w:rsidRPr="00465964">
              <w:t>a)</w:t>
            </w:r>
          </w:p>
        </w:tc>
        <w:tc>
          <w:tcPr>
            <w:tcW w:w="0" w:type="auto"/>
            <w:shd w:val="clear" w:color="auto" w:fill="auto"/>
            <w:hideMark/>
          </w:tcPr>
          <w:p w14:paraId="41F89135" w14:textId="77777777" w:rsidR="00465964" w:rsidRPr="00465964" w:rsidRDefault="00465964" w:rsidP="00465964">
            <w:pPr>
              <w:rPr>
                <w:lang w:val="pt-PT"/>
              </w:rPr>
            </w:pPr>
            <w:r w:rsidRPr="00465964">
              <w:rPr>
                <w:lang w:val="pt-PT"/>
              </w:rPr>
              <w:t>Atuar com honestidade, lealdade e profissionalismo;</w:t>
            </w:r>
          </w:p>
        </w:tc>
      </w:tr>
    </w:tbl>
    <w:p w14:paraId="07CE6D2F"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8"/>
        <w:gridCol w:w="8838"/>
      </w:tblGrid>
      <w:tr w:rsidR="00465964" w:rsidRPr="00465964" w14:paraId="1035CE97" w14:textId="77777777" w:rsidTr="00465964">
        <w:tc>
          <w:tcPr>
            <w:tcW w:w="0" w:type="auto"/>
            <w:shd w:val="clear" w:color="auto" w:fill="auto"/>
            <w:hideMark/>
          </w:tcPr>
          <w:p w14:paraId="153F65F0" w14:textId="77777777" w:rsidR="00465964" w:rsidRPr="00465964" w:rsidRDefault="00465964" w:rsidP="00465964">
            <w:r w:rsidRPr="00465964">
              <w:t>b)</w:t>
            </w:r>
          </w:p>
        </w:tc>
        <w:tc>
          <w:tcPr>
            <w:tcW w:w="0" w:type="auto"/>
            <w:shd w:val="clear" w:color="auto" w:fill="auto"/>
            <w:hideMark/>
          </w:tcPr>
          <w:p w14:paraId="3C367511" w14:textId="77777777" w:rsidR="00465964" w:rsidRPr="00465964" w:rsidRDefault="00465964" w:rsidP="00465964">
            <w:pPr>
              <w:rPr>
                <w:lang w:val="pt-PT"/>
              </w:rPr>
            </w:pPr>
            <w:r w:rsidRPr="00465964">
              <w:rPr>
                <w:lang w:val="pt-PT"/>
              </w:rPr>
              <w:t>Comunicar com os detentores e potenciais detentores de criptoativos de forma leal, clara e que não induza em erro;</w:t>
            </w:r>
          </w:p>
        </w:tc>
      </w:tr>
    </w:tbl>
    <w:p w14:paraId="7B434048"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94"/>
        <w:gridCol w:w="8832"/>
      </w:tblGrid>
      <w:tr w:rsidR="00465964" w:rsidRPr="00465964" w14:paraId="5DF9228A" w14:textId="77777777" w:rsidTr="00465964">
        <w:tc>
          <w:tcPr>
            <w:tcW w:w="0" w:type="auto"/>
            <w:shd w:val="clear" w:color="auto" w:fill="auto"/>
            <w:hideMark/>
          </w:tcPr>
          <w:p w14:paraId="5E060AA8" w14:textId="77777777" w:rsidR="00465964" w:rsidRPr="00465964" w:rsidRDefault="00465964" w:rsidP="00465964">
            <w:r w:rsidRPr="00465964">
              <w:t>c)</w:t>
            </w:r>
          </w:p>
        </w:tc>
        <w:tc>
          <w:tcPr>
            <w:tcW w:w="0" w:type="auto"/>
            <w:shd w:val="clear" w:color="auto" w:fill="auto"/>
            <w:hideMark/>
          </w:tcPr>
          <w:p w14:paraId="28D3BCA7" w14:textId="77777777" w:rsidR="00465964" w:rsidRPr="00465964" w:rsidRDefault="00465964" w:rsidP="00465964">
            <w:pPr>
              <w:rPr>
                <w:lang w:val="pt-PT"/>
              </w:rPr>
            </w:pPr>
            <w:r w:rsidRPr="00465964">
              <w:rPr>
                <w:lang w:val="pt-PT"/>
              </w:rPr>
              <w:t>Identificar, prevenir, gerir e divulgar quaisquer conflitos de interesse que possam surgir;</w:t>
            </w:r>
          </w:p>
        </w:tc>
      </w:tr>
    </w:tbl>
    <w:p w14:paraId="39AEFA19"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8"/>
        <w:gridCol w:w="8838"/>
      </w:tblGrid>
      <w:tr w:rsidR="00465964" w:rsidRPr="00465964" w14:paraId="295A0EC2" w14:textId="77777777" w:rsidTr="00465964">
        <w:tc>
          <w:tcPr>
            <w:tcW w:w="0" w:type="auto"/>
            <w:shd w:val="clear" w:color="auto" w:fill="auto"/>
            <w:hideMark/>
          </w:tcPr>
          <w:p w14:paraId="08BD757D" w14:textId="77777777" w:rsidR="00465964" w:rsidRPr="00465964" w:rsidRDefault="00465964" w:rsidP="00465964">
            <w:r w:rsidRPr="00465964">
              <w:t>d)</w:t>
            </w:r>
          </w:p>
        </w:tc>
        <w:tc>
          <w:tcPr>
            <w:tcW w:w="0" w:type="auto"/>
            <w:shd w:val="clear" w:color="auto" w:fill="auto"/>
            <w:hideMark/>
          </w:tcPr>
          <w:p w14:paraId="6750FF2B" w14:textId="77777777" w:rsidR="00465964" w:rsidRPr="00465964" w:rsidRDefault="00465964" w:rsidP="00465964">
            <w:pPr>
              <w:rPr>
                <w:lang w:val="pt-PT"/>
              </w:rPr>
            </w:pPr>
            <w:r w:rsidRPr="00465964">
              <w:rPr>
                <w:lang w:val="pt-PT"/>
              </w:rPr>
              <w:t>Manter todos os seus sistemas e protocolos de acesso de segurança em conformidade com as normas aplicáveis da União.</w:t>
            </w:r>
          </w:p>
        </w:tc>
      </w:tr>
    </w:tbl>
    <w:p w14:paraId="7EF4DECC" w14:textId="77777777" w:rsidR="00465964" w:rsidRPr="00465964" w:rsidRDefault="00465964" w:rsidP="00465964">
      <w:pPr>
        <w:rPr>
          <w:lang w:val="pt-PT"/>
        </w:rPr>
      </w:pPr>
      <w:r w:rsidRPr="00465964">
        <w:rPr>
          <w:lang w:val="pt-PT"/>
        </w:rPr>
        <w:t>Para efeitos da alínea d) do primeiro parágrafo, a ESMA, em cooperação com a EBA, emite até 30 de dezembro de 2024 orientações nos termos do artigo 16.</w:t>
      </w:r>
      <w:r w:rsidRPr="00465964">
        <w:rPr>
          <w:vertAlign w:val="superscript"/>
          <w:lang w:val="pt-PT"/>
        </w:rPr>
        <w:t>o</w:t>
      </w:r>
      <w:r w:rsidRPr="00465964">
        <w:rPr>
          <w:lang w:val="pt-PT"/>
        </w:rPr>
        <w:t xml:space="preserve"> do Regulamento (UE) </w:t>
      </w:r>
      <w:proofErr w:type="spellStart"/>
      <w:r w:rsidRPr="00465964">
        <w:rPr>
          <w:lang w:val="pt-PT"/>
        </w:rPr>
        <w:t>n.</w:t>
      </w:r>
      <w:r w:rsidRPr="00465964">
        <w:rPr>
          <w:vertAlign w:val="superscript"/>
          <w:lang w:val="pt-PT"/>
        </w:rPr>
        <w:t>o</w:t>
      </w:r>
      <w:proofErr w:type="spellEnd"/>
      <w:r w:rsidRPr="00465964">
        <w:rPr>
          <w:lang w:val="pt-PT"/>
        </w:rPr>
        <w:t> 1095/2010 para especificar essas normas da União.</w:t>
      </w:r>
    </w:p>
    <w:p w14:paraId="13142C67" w14:textId="4F35A1C8" w:rsidR="00465964" w:rsidRPr="00465964" w:rsidRDefault="00465964" w:rsidP="00465964">
      <w:pPr>
        <w:rPr>
          <w:lang w:val="pt-PT"/>
        </w:rPr>
      </w:pPr>
      <w:r w:rsidRPr="00465964">
        <w:rPr>
          <w:lang w:val="pt-PT"/>
        </w:rPr>
        <w:t xml:space="preserve">2.   Os oferentes e as pessoas que solicitam a admissão à negociação de criptoativos que não sejam </w:t>
      </w:r>
      <w:r>
        <w:rPr>
          <w:lang w:val="pt-PT"/>
        </w:rPr>
        <w:t>criptomoedas</w:t>
      </w:r>
      <w:r w:rsidRPr="00465964">
        <w:rPr>
          <w:lang w:val="pt-PT"/>
        </w:rPr>
        <w:t xml:space="preserve"> referenciadas a ativos nem </w:t>
      </w:r>
      <w:r>
        <w:rPr>
          <w:lang w:val="pt-PT"/>
        </w:rPr>
        <w:t>criptomoedas</w:t>
      </w:r>
      <w:r w:rsidRPr="00465964">
        <w:rPr>
          <w:lang w:val="pt-PT"/>
        </w:rPr>
        <w:t xml:space="preserve"> de moeda eletrónica devem atuar no melhor interesse dos detentores desses criptoativos e devem tratar os mesmos de forma equitativa, exceto se, no livrete do criptoativo e, quando aplicável, nas comunicações </w:t>
      </w:r>
      <w:r w:rsidRPr="00465964">
        <w:rPr>
          <w:lang w:val="pt-PT"/>
        </w:rPr>
        <w:lastRenderedPageBreak/>
        <w:t>comerciais, for mencionado qualquer tratamento preferencial de detentores específicos, bem como os motivos para esse tratamento preferencial.</w:t>
      </w:r>
    </w:p>
    <w:p w14:paraId="07F81B4D" w14:textId="77777777" w:rsidR="00465964" w:rsidRPr="00465964" w:rsidRDefault="00465964" w:rsidP="00465964">
      <w:pPr>
        <w:rPr>
          <w:lang w:val="pt-PT"/>
        </w:rPr>
      </w:pPr>
      <w:r w:rsidRPr="00465964">
        <w:rPr>
          <w:lang w:val="pt-PT"/>
        </w:rPr>
        <w:t xml:space="preserve">3.   Caso uma oferta pública de um criptoativo que não seja uma </w:t>
      </w:r>
      <w:proofErr w:type="spellStart"/>
      <w:r w:rsidRPr="00465964">
        <w:rPr>
          <w:lang w:val="pt-PT"/>
        </w:rPr>
        <w:t>criptoficha</w:t>
      </w:r>
      <w:proofErr w:type="spellEnd"/>
      <w:r w:rsidRPr="00465964">
        <w:rPr>
          <w:lang w:val="pt-PT"/>
        </w:rPr>
        <w:t xml:space="preserve"> referenciada a ativos nem uma </w:t>
      </w:r>
      <w:proofErr w:type="spellStart"/>
      <w:r w:rsidRPr="00465964">
        <w:rPr>
          <w:lang w:val="pt-PT"/>
        </w:rPr>
        <w:t>criptoficha</w:t>
      </w:r>
      <w:proofErr w:type="spellEnd"/>
      <w:r w:rsidRPr="00465964">
        <w:rPr>
          <w:lang w:val="pt-PT"/>
        </w:rPr>
        <w:t xml:space="preserve"> de moeda eletrónica seja cancelada, os oferentes do criptoativo em causa asseguram que todos os fundos já mobilizados junto de detentores ou potenciais detentores são devidamente devolvidos aos mesmos, o mais tardar 25 dias de calendário após a data de cancelamento.</w:t>
      </w:r>
    </w:p>
    <w:p w14:paraId="543C0F12" w14:textId="77777777" w:rsidR="00465964" w:rsidRPr="00465964" w:rsidRDefault="00465964" w:rsidP="00465964">
      <w:pPr>
        <w:rPr>
          <w:i/>
          <w:iCs/>
          <w:lang w:val="pt-PT"/>
        </w:rPr>
      </w:pPr>
      <w:r w:rsidRPr="00465964">
        <w:rPr>
          <w:i/>
          <w:iCs/>
          <w:lang w:val="pt-PT"/>
        </w:rPr>
        <w:t>Artigo 15.</w:t>
      </w:r>
      <w:r w:rsidRPr="00465964">
        <w:rPr>
          <w:i/>
          <w:iCs/>
          <w:vertAlign w:val="superscript"/>
          <w:lang w:val="pt-PT"/>
        </w:rPr>
        <w:t>o</w:t>
      </w:r>
    </w:p>
    <w:p w14:paraId="1F1B04ED" w14:textId="77777777" w:rsidR="00465964" w:rsidRPr="00465964" w:rsidRDefault="00465964" w:rsidP="00465964">
      <w:pPr>
        <w:rPr>
          <w:b/>
          <w:bCs/>
          <w:lang w:val="pt-PT"/>
        </w:rPr>
      </w:pPr>
      <w:r w:rsidRPr="00465964">
        <w:rPr>
          <w:b/>
          <w:bCs/>
          <w:lang w:val="pt-PT"/>
        </w:rPr>
        <w:t>Responsabilidade pelas informações prestadas no livrete do criptoativo</w:t>
      </w:r>
    </w:p>
    <w:p w14:paraId="6A98B456" w14:textId="77777777" w:rsidR="00465964" w:rsidRPr="00465964" w:rsidRDefault="00465964" w:rsidP="00465964">
      <w:pPr>
        <w:rPr>
          <w:lang w:val="pt-PT"/>
        </w:rPr>
      </w:pPr>
      <w:r w:rsidRPr="00465964">
        <w:rPr>
          <w:lang w:val="pt-PT"/>
        </w:rPr>
        <w:t>1.   Caso um oferente, uma pessoa que solicita a admissão à negociação ou um operador de uma plataforma de negociação tenha infringido o artigo 6.</w:t>
      </w:r>
      <w:r w:rsidRPr="00465964">
        <w:rPr>
          <w:vertAlign w:val="superscript"/>
          <w:lang w:val="pt-PT"/>
        </w:rPr>
        <w:t>o</w:t>
      </w:r>
      <w:r w:rsidRPr="00465964">
        <w:rPr>
          <w:lang w:val="pt-PT"/>
        </w:rPr>
        <w:t> ao prestar, no seu livrete do criptoativo ou num livrete do criptoativo modificado, informação que não seja completa, correta ou clara ou que induza em erro, esse oferente, essa pessoa que solicita a admissão à negociação ou esse operador de uma plataforma de negociação, e os membros do seu órgão de administração, direção ou supervisão, são responsáveis perante um detentor do criptoativo pelos danos causados por essa infração.</w:t>
      </w:r>
    </w:p>
    <w:p w14:paraId="7F4B48F1" w14:textId="77777777" w:rsidR="00465964" w:rsidRPr="00465964" w:rsidRDefault="00465964" w:rsidP="00465964">
      <w:pPr>
        <w:rPr>
          <w:lang w:val="pt-PT"/>
        </w:rPr>
      </w:pPr>
      <w:r w:rsidRPr="00465964">
        <w:rPr>
          <w:lang w:val="pt-PT"/>
        </w:rPr>
        <w:t xml:space="preserve">2.   Toda e qualquer exclusão ou limitação contratual da responsabilidade civil a que se refere o </w:t>
      </w:r>
      <w:proofErr w:type="spellStart"/>
      <w:r w:rsidRPr="00465964">
        <w:rPr>
          <w:lang w:val="pt-PT"/>
        </w:rPr>
        <w:t>n.</w:t>
      </w:r>
      <w:r w:rsidRPr="00465964">
        <w:rPr>
          <w:vertAlign w:val="superscript"/>
          <w:lang w:val="pt-PT"/>
        </w:rPr>
        <w:t>o</w:t>
      </w:r>
      <w:proofErr w:type="spellEnd"/>
      <w:r w:rsidRPr="00465964">
        <w:rPr>
          <w:lang w:val="pt-PT"/>
        </w:rPr>
        <w:t> 1 não produz efeitos jurídicos.</w:t>
      </w:r>
    </w:p>
    <w:p w14:paraId="063A2F81" w14:textId="77777777" w:rsidR="00465964" w:rsidRPr="00465964" w:rsidRDefault="00465964" w:rsidP="00465964">
      <w:pPr>
        <w:rPr>
          <w:lang w:val="pt-PT"/>
        </w:rPr>
      </w:pPr>
      <w:r w:rsidRPr="00465964">
        <w:rPr>
          <w:lang w:val="pt-PT"/>
        </w:rPr>
        <w:t>3.   Sempre que o livrete do criptoativo e as comunicações comerciais forem elaborados pelo operador da plataforma de negociação em conformidade com o artigo 5.</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3, a pessoa que solicita a admissão à negociação é igualmente responsável, nos casos em que preste ao operador da plataforma de negociação informação que não é completa, correta ou clara ou que induz em erro.</w:t>
      </w:r>
    </w:p>
    <w:p w14:paraId="013D1559" w14:textId="24F370E6" w:rsidR="00465964" w:rsidRPr="00465964" w:rsidRDefault="00465964" w:rsidP="00465964">
      <w:pPr>
        <w:rPr>
          <w:lang w:val="pt-PT"/>
        </w:rPr>
      </w:pPr>
      <w:r w:rsidRPr="00465964">
        <w:rPr>
          <w:lang w:val="pt-PT"/>
        </w:rPr>
        <w:t xml:space="preserve">4.   Cabe aos detentores do criptoativo apresentar provas que indiquem que o oferente, a pessoa que solicita a admissão à negociação ou o operador da plataforma de negociação de criptoativos que não sejam </w:t>
      </w:r>
      <w:r>
        <w:rPr>
          <w:lang w:val="pt-PT"/>
        </w:rPr>
        <w:t>criptomoedas</w:t>
      </w:r>
      <w:r w:rsidRPr="00465964">
        <w:rPr>
          <w:lang w:val="pt-PT"/>
        </w:rPr>
        <w:t xml:space="preserve"> referenciadas a ativos nem </w:t>
      </w:r>
      <w:r>
        <w:rPr>
          <w:lang w:val="pt-PT"/>
        </w:rPr>
        <w:t>criptomoedas</w:t>
      </w:r>
      <w:r w:rsidRPr="00465964">
        <w:rPr>
          <w:lang w:val="pt-PT"/>
        </w:rPr>
        <w:t xml:space="preserve"> de moeda eletrónica infringiu o artigo 6.</w:t>
      </w:r>
      <w:r w:rsidRPr="00465964">
        <w:rPr>
          <w:vertAlign w:val="superscript"/>
          <w:lang w:val="pt-PT"/>
        </w:rPr>
        <w:t>o</w:t>
      </w:r>
      <w:r w:rsidRPr="00465964">
        <w:rPr>
          <w:lang w:val="pt-PT"/>
        </w:rPr>
        <w:t> através da prestação de informação que não é completa, correta ou clara ou que induz em erro e que o recurso a essa informação teve um impacto na decisão de compra, venda ou troca do criptoativo em causa tomada pelo detentor.</w:t>
      </w:r>
    </w:p>
    <w:p w14:paraId="1F68B4A0" w14:textId="77777777" w:rsidR="00465964" w:rsidRPr="00465964" w:rsidRDefault="00465964" w:rsidP="00465964">
      <w:pPr>
        <w:rPr>
          <w:lang w:val="pt-PT"/>
        </w:rPr>
      </w:pPr>
      <w:r w:rsidRPr="00465964">
        <w:rPr>
          <w:lang w:val="pt-PT"/>
        </w:rPr>
        <w:t>5.   O oferente, a pessoa que solicita a admissão à negociação ou o operador da plataforma de negociação e os membros do seu órgão de administração, direção ou supervisão não são responsáveis perante o detentor de um criptoativo pelas perdas em que tenham incorrido em resultado da confiança depositada nas informações prestadas no resumo a que se refere o artigo 6.</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7, nomeadamente quaisquer traduções das mesmas, salvo se o resumo:</w:t>
      </w:r>
    </w:p>
    <w:tbl>
      <w:tblPr>
        <w:tblW w:w="5000" w:type="pct"/>
        <w:tblCellMar>
          <w:left w:w="0" w:type="dxa"/>
          <w:right w:w="0" w:type="dxa"/>
        </w:tblCellMar>
        <w:tblLook w:val="04A0" w:firstRow="1" w:lastRow="0" w:firstColumn="1" w:lastColumn="0" w:noHBand="0" w:noVBand="1"/>
      </w:tblPr>
      <w:tblGrid>
        <w:gridCol w:w="182"/>
        <w:gridCol w:w="8844"/>
      </w:tblGrid>
      <w:tr w:rsidR="00465964" w:rsidRPr="00465964" w14:paraId="670D905A" w14:textId="77777777" w:rsidTr="00465964">
        <w:tc>
          <w:tcPr>
            <w:tcW w:w="0" w:type="auto"/>
            <w:shd w:val="clear" w:color="auto" w:fill="auto"/>
            <w:hideMark/>
          </w:tcPr>
          <w:p w14:paraId="0EE627EF" w14:textId="77777777" w:rsidR="00465964" w:rsidRPr="00465964" w:rsidRDefault="00465964" w:rsidP="00465964">
            <w:r w:rsidRPr="00465964">
              <w:t>a)</w:t>
            </w:r>
          </w:p>
        </w:tc>
        <w:tc>
          <w:tcPr>
            <w:tcW w:w="0" w:type="auto"/>
            <w:shd w:val="clear" w:color="auto" w:fill="auto"/>
            <w:hideMark/>
          </w:tcPr>
          <w:p w14:paraId="2E96B795" w14:textId="77777777" w:rsidR="00465964" w:rsidRPr="00465964" w:rsidRDefault="00465964" w:rsidP="00465964">
            <w:pPr>
              <w:rPr>
                <w:lang w:val="pt-PT"/>
              </w:rPr>
            </w:pPr>
            <w:r w:rsidRPr="00465964">
              <w:rPr>
                <w:lang w:val="pt-PT"/>
              </w:rPr>
              <w:t>Lido em conjunto com as outras partes do livrete do criptoativo, induzir em erro, for inexato ou incoerente; ou</w:t>
            </w:r>
          </w:p>
        </w:tc>
      </w:tr>
    </w:tbl>
    <w:p w14:paraId="0E67BE41"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8"/>
        <w:gridCol w:w="8838"/>
      </w:tblGrid>
      <w:tr w:rsidR="00465964" w:rsidRPr="00465964" w14:paraId="63EF7781" w14:textId="77777777" w:rsidTr="00465964">
        <w:tc>
          <w:tcPr>
            <w:tcW w:w="0" w:type="auto"/>
            <w:shd w:val="clear" w:color="auto" w:fill="auto"/>
            <w:hideMark/>
          </w:tcPr>
          <w:p w14:paraId="3CFA6E79" w14:textId="77777777" w:rsidR="00465964" w:rsidRPr="00465964" w:rsidRDefault="00465964" w:rsidP="00465964">
            <w:r w:rsidRPr="00465964">
              <w:t>b)</w:t>
            </w:r>
          </w:p>
        </w:tc>
        <w:tc>
          <w:tcPr>
            <w:tcW w:w="0" w:type="auto"/>
            <w:shd w:val="clear" w:color="auto" w:fill="auto"/>
            <w:hideMark/>
          </w:tcPr>
          <w:p w14:paraId="6E6CEDE6" w14:textId="77777777" w:rsidR="00465964" w:rsidRPr="00465964" w:rsidRDefault="00465964" w:rsidP="00465964">
            <w:pPr>
              <w:rPr>
                <w:lang w:val="pt-PT"/>
              </w:rPr>
            </w:pPr>
            <w:r w:rsidRPr="00465964">
              <w:rPr>
                <w:lang w:val="pt-PT"/>
              </w:rPr>
              <w:t>Lido em conjunto com as outras partes do livrete do criptoativo, não prestar informação fundamental para ajudar os potenciais detentores do criptoativo quando ponderam comprar o criptoativo em causa.</w:t>
            </w:r>
          </w:p>
        </w:tc>
      </w:tr>
    </w:tbl>
    <w:p w14:paraId="74C87FE1" w14:textId="77777777" w:rsidR="00465964" w:rsidRPr="00465964" w:rsidRDefault="00465964" w:rsidP="00465964">
      <w:pPr>
        <w:rPr>
          <w:lang w:val="pt-PT"/>
        </w:rPr>
      </w:pPr>
      <w:r w:rsidRPr="00465964">
        <w:rPr>
          <w:lang w:val="pt-PT"/>
        </w:rPr>
        <w:t>6.   O presente artigo não prejudica qualquer outra forma de responsabilidade civil prevista no direito nacional.</w:t>
      </w:r>
    </w:p>
    <w:p w14:paraId="4ADEC9C8" w14:textId="77777777" w:rsidR="00465964" w:rsidRPr="00465964" w:rsidRDefault="00465964" w:rsidP="00465964">
      <w:pPr>
        <w:rPr>
          <w:b/>
          <w:bCs/>
          <w:lang w:val="pt-PT"/>
        </w:rPr>
      </w:pPr>
      <w:r w:rsidRPr="00465964">
        <w:rPr>
          <w:b/>
          <w:bCs/>
          <w:lang w:val="pt-PT"/>
        </w:rPr>
        <w:lastRenderedPageBreak/>
        <w:t>TÍTULO III</w:t>
      </w:r>
    </w:p>
    <w:p w14:paraId="5FEFDEFD" w14:textId="4B1D3448" w:rsidR="00465964" w:rsidRPr="00465964" w:rsidRDefault="00465964" w:rsidP="00465964">
      <w:pPr>
        <w:rPr>
          <w:b/>
          <w:bCs/>
          <w:lang w:val="pt-PT"/>
        </w:rPr>
      </w:pPr>
      <w:r>
        <w:rPr>
          <w:b/>
          <w:bCs/>
          <w:lang w:val="pt-PT"/>
        </w:rPr>
        <w:t>CRIPTOMOEDAS</w:t>
      </w:r>
      <w:r w:rsidRPr="00465964">
        <w:rPr>
          <w:b/>
          <w:bCs/>
          <w:lang w:val="pt-PT"/>
        </w:rPr>
        <w:t xml:space="preserve"> REFERENCIADAS A ATIVOS</w:t>
      </w:r>
    </w:p>
    <w:p w14:paraId="104A67E1" w14:textId="77777777" w:rsidR="00465964" w:rsidRPr="00465964" w:rsidRDefault="00465964" w:rsidP="00465964">
      <w:pPr>
        <w:rPr>
          <w:b/>
          <w:bCs/>
          <w:lang w:val="pt-PT"/>
        </w:rPr>
      </w:pPr>
      <w:r w:rsidRPr="00465964">
        <w:rPr>
          <w:b/>
          <w:bCs/>
          <w:i/>
          <w:iCs/>
          <w:lang w:val="pt-PT"/>
        </w:rPr>
        <w:t>CAPÍTULO 1</w:t>
      </w:r>
    </w:p>
    <w:p w14:paraId="117FDFA8" w14:textId="4A4193D3" w:rsidR="00465964" w:rsidRPr="00465964" w:rsidRDefault="00465964" w:rsidP="00465964">
      <w:pPr>
        <w:rPr>
          <w:b/>
          <w:bCs/>
          <w:lang w:val="pt-PT"/>
        </w:rPr>
      </w:pPr>
      <w:r w:rsidRPr="00465964">
        <w:rPr>
          <w:b/>
          <w:bCs/>
          <w:i/>
          <w:iCs/>
          <w:lang w:val="pt-PT"/>
        </w:rPr>
        <w:t xml:space="preserve">Autorização para oferecer ao público </w:t>
      </w:r>
      <w:r>
        <w:rPr>
          <w:b/>
          <w:bCs/>
          <w:i/>
          <w:iCs/>
          <w:lang w:val="pt-PT"/>
        </w:rPr>
        <w:t>criptomoedas</w:t>
      </w:r>
      <w:r w:rsidRPr="00465964">
        <w:rPr>
          <w:b/>
          <w:bCs/>
          <w:i/>
          <w:iCs/>
          <w:lang w:val="pt-PT"/>
        </w:rPr>
        <w:t xml:space="preserve"> referenciadas a ativos e para solicitar a sua admissão à negociação</w:t>
      </w:r>
    </w:p>
    <w:p w14:paraId="71B3FD5B" w14:textId="77777777" w:rsidR="00465964" w:rsidRPr="00465964" w:rsidRDefault="00465964" w:rsidP="00465964">
      <w:pPr>
        <w:rPr>
          <w:i/>
          <w:iCs/>
          <w:lang w:val="pt-PT"/>
        </w:rPr>
      </w:pPr>
      <w:r w:rsidRPr="00465964">
        <w:rPr>
          <w:i/>
          <w:iCs/>
          <w:lang w:val="pt-PT"/>
        </w:rPr>
        <w:t>Artigo 16.</w:t>
      </w:r>
      <w:r w:rsidRPr="00465964">
        <w:rPr>
          <w:i/>
          <w:iCs/>
          <w:vertAlign w:val="superscript"/>
          <w:lang w:val="pt-PT"/>
        </w:rPr>
        <w:t>o</w:t>
      </w:r>
    </w:p>
    <w:p w14:paraId="210B7748" w14:textId="77777777" w:rsidR="00465964" w:rsidRPr="00465964" w:rsidRDefault="00465964" w:rsidP="00465964">
      <w:pPr>
        <w:rPr>
          <w:b/>
          <w:bCs/>
          <w:lang w:val="pt-PT"/>
        </w:rPr>
      </w:pPr>
      <w:r w:rsidRPr="00465964">
        <w:rPr>
          <w:b/>
          <w:bCs/>
          <w:lang w:val="pt-PT"/>
        </w:rPr>
        <w:t>Autorização</w:t>
      </w:r>
    </w:p>
    <w:p w14:paraId="4FEBDC4C" w14:textId="77777777" w:rsidR="00465964" w:rsidRPr="00465964" w:rsidRDefault="00465964" w:rsidP="00465964">
      <w:pPr>
        <w:rPr>
          <w:lang w:val="pt-PT"/>
        </w:rPr>
      </w:pPr>
      <w:r w:rsidRPr="00465964">
        <w:rPr>
          <w:lang w:val="pt-PT"/>
        </w:rPr>
        <w:t xml:space="preserve">1.   Uma pessoa não pode, na União, fazer uma oferta pública ou solicitar a admissão à negociação de uma </w:t>
      </w:r>
      <w:proofErr w:type="spellStart"/>
      <w:r w:rsidRPr="00465964">
        <w:rPr>
          <w:lang w:val="pt-PT"/>
        </w:rPr>
        <w:t>criptoficha</w:t>
      </w:r>
      <w:proofErr w:type="spellEnd"/>
      <w:r w:rsidRPr="00465964">
        <w:rPr>
          <w:lang w:val="pt-PT"/>
        </w:rPr>
        <w:t xml:space="preserve"> referenciada a ativos, a menos que essa pessoa seja o emitente dessa </w:t>
      </w:r>
      <w:proofErr w:type="spellStart"/>
      <w:r w:rsidRPr="00465964">
        <w:rPr>
          <w:lang w:val="pt-PT"/>
        </w:rPr>
        <w:t>criptoficha</w:t>
      </w:r>
      <w:proofErr w:type="spellEnd"/>
      <w:r w:rsidRPr="00465964">
        <w:rPr>
          <w:lang w:val="pt-PT"/>
        </w:rPr>
        <w:t xml:space="preserve"> referenciada a ativos e seja:</w:t>
      </w:r>
    </w:p>
    <w:tbl>
      <w:tblPr>
        <w:tblW w:w="5000" w:type="pct"/>
        <w:tblCellMar>
          <w:left w:w="0" w:type="dxa"/>
          <w:right w:w="0" w:type="dxa"/>
        </w:tblCellMar>
        <w:tblLook w:val="04A0" w:firstRow="1" w:lastRow="0" w:firstColumn="1" w:lastColumn="0" w:noHBand="0" w:noVBand="1"/>
      </w:tblPr>
      <w:tblGrid>
        <w:gridCol w:w="182"/>
        <w:gridCol w:w="8844"/>
      </w:tblGrid>
      <w:tr w:rsidR="00465964" w:rsidRPr="00465964" w14:paraId="75718747" w14:textId="77777777" w:rsidTr="00465964">
        <w:tc>
          <w:tcPr>
            <w:tcW w:w="0" w:type="auto"/>
            <w:shd w:val="clear" w:color="auto" w:fill="auto"/>
            <w:hideMark/>
          </w:tcPr>
          <w:p w14:paraId="266F32F7" w14:textId="77777777" w:rsidR="00465964" w:rsidRPr="00465964" w:rsidRDefault="00465964" w:rsidP="00465964">
            <w:r w:rsidRPr="00465964">
              <w:t>a)</w:t>
            </w:r>
          </w:p>
        </w:tc>
        <w:tc>
          <w:tcPr>
            <w:tcW w:w="0" w:type="auto"/>
            <w:shd w:val="clear" w:color="auto" w:fill="auto"/>
            <w:hideMark/>
          </w:tcPr>
          <w:p w14:paraId="13030207" w14:textId="77777777" w:rsidR="00465964" w:rsidRPr="00465964" w:rsidRDefault="00465964" w:rsidP="00465964">
            <w:pPr>
              <w:rPr>
                <w:lang w:val="pt-PT"/>
              </w:rPr>
            </w:pPr>
            <w:r w:rsidRPr="00465964">
              <w:rPr>
                <w:lang w:val="pt-PT"/>
              </w:rPr>
              <w:t>Uma pessoa coletiva ou uma empresa estabelecida na União que tenha sido autorizada nos termos do artigo 21.</w:t>
            </w:r>
            <w:r w:rsidRPr="00465964">
              <w:rPr>
                <w:vertAlign w:val="superscript"/>
                <w:lang w:val="pt-PT"/>
              </w:rPr>
              <w:t>o</w:t>
            </w:r>
            <w:r w:rsidRPr="00465964">
              <w:rPr>
                <w:lang w:val="pt-PT"/>
              </w:rPr>
              <w:t> pela autoridade competente do seu Estado-Membro de origem; ou</w:t>
            </w:r>
          </w:p>
        </w:tc>
      </w:tr>
    </w:tbl>
    <w:p w14:paraId="1F5FAC9A"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271"/>
        <w:gridCol w:w="8755"/>
      </w:tblGrid>
      <w:tr w:rsidR="00465964" w:rsidRPr="00465964" w14:paraId="68AC41FB" w14:textId="77777777" w:rsidTr="00465964">
        <w:tc>
          <w:tcPr>
            <w:tcW w:w="0" w:type="auto"/>
            <w:shd w:val="clear" w:color="auto" w:fill="auto"/>
            <w:hideMark/>
          </w:tcPr>
          <w:p w14:paraId="346D4286" w14:textId="77777777" w:rsidR="00465964" w:rsidRPr="00465964" w:rsidRDefault="00465964" w:rsidP="00465964">
            <w:r w:rsidRPr="00465964">
              <w:t>b)</w:t>
            </w:r>
          </w:p>
        </w:tc>
        <w:tc>
          <w:tcPr>
            <w:tcW w:w="0" w:type="auto"/>
            <w:shd w:val="clear" w:color="auto" w:fill="auto"/>
            <w:hideMark/>
          </w:tcPr>
          <w:p w14:paraId="5E9DD975" w14:textId="77777777" w:rsidR="00465964" w:rsidRPr="00465964" w:rsidRDefault="00465964" w:rsidP="00465964">
            <w:pPr>
              <w:rPr>
                <w:lang w:val="pt-PT"/>
              </w:rPr>
            </w:pPr>
            <w:r w:rsidRPr="00465964">
              <w:rPr>
                <w:lang w:val="pt-PT"/>
              </w:rPr>
              <w:t xml:space="preserve">Uma instituição de crédito que cumpre o disposto no artigo </w:t>
            </w:r>
            <w:proofErr w:type="gramStart"/>
            <w:r w:rsidRPr="00465964">
              <w:rPr>
                <w:lang w:val="pt-PT"/>
              </w:rPr>
              <w:t>17.</w:t>
            </w:r>
            <w:r w:rsidRPr="00465964">
              <w:rPr>
                <w:vertAlign w:val="superscript"/>
                <w:lang w:val="pt-PT"/>
              </w:rPr>
              <w:t>o</w:t>
            </w:r>
            <w:r w:rsidRPr="00465964">
              <w:rPr>
                <w:lang w:val="pt-PT"/>
              </w:rPr>
              <w:t>.</w:t>
            </w:r>
            <w:proofErr w:type="gramEnd"/>
          </w:p>
        </w:tc>
      </w:tr>
    </w:tbl>
    <w:p w14:paraId="336C2A47" w14:textId="77777777" w:rsidR="00465964" w:rsidRPr="00465964" w:rsidRDefault="00465964" w:rsidP="00465964">
      <w:pPr>
        <w:rPr>
          <w:lang w:val="pt-PT"/>
        </w:rPr>
      </w:pPr>
      <w:r w:rsidRPr="00465964">
        <w:rPr>
          <w:lang w:val="pt-PT"/>
        </w:rPr>
        <w:t xml:space="preserve">Não obstante o disposto no primeiro parágrafo, mediante consentimento escrito do emitente da </w:t>
      </w:r>
      <w:proofErr w:type="spellStart"/>
      <w:r w:rsidRPr="00465964">
        <w:rPr>
          <w:lang w:val="pt-PT"/>
        </w:rPr>
        <w:t>criptoficha</w:t>
      </w:r>
      <w:proofErr w:type="spellEnd"/>
      <w:r w:rsidRPr="00465964">
        <w:rPr>
          <w:lang w:val="pt-PT"/>
        </w:rPr>
        <w:t xml:space="preserve"> referenciada a ativos, outras pessoas podem fazer uma oferta pública ou solicitar a admissão à negociação dessa </w:t>
      </w:r>
      <w:proofErr w:type="spellStart"/>
      <w:r w:rsidRPr="00465964">
        <w:rPr>
          <w:lang w:val="pt-PT"/>
        </w:rPr>
        <w:t>criptoficha</w:t>
      </w:r>
      <w:proofErr w:type="spellEnd"/>
      <w:r w:rsidRPr="00465964">
        <w:rPr>
          <w:lang w:val="pt-PT"/>
        </w:rPr>
        <w:t xml:space="preserve"> referenciada a ativos. Essas pessoas devem cumprir o disposto nos artigos 27.</w:t>
      </w:r>
      <w:r w:rsidRPr="00465964">
        <w:rPr>
          <w:vertAlign w:val="superscript"/>
          <w:lang w:val="pt-PT"/>
        </w:rPr>
        <w:t>o</w:t>
      </w:r>
      <w:r w:rsidRPr="00465964">
        <w:rPr>
          <w:lang w:val="pt-PT"/>
        </w:rPr>
        <w:t>, 29.</w:t>
      </w:r>
      <w:r w:rsidRPr="00465964">
        <w:rPr>
          <w:vertAlign w:val="superscript"/>
          <w:lang w:val="pt-PT"/>
        </w:rPr>
        <w:t>o</w:t>
      </w:r>
      <w:r w:rsidRPr="00465964">
        <w:rPr>
          <w:lang w:val="pt-PT"/>
        </w:rPr>
        <w:t> e 40.</w:t>
      </w:r>
      <w:r w:rsidRPr="00465964">
        <w:rPr>
          <w:vertAlign w:val="superscript"/>
          <w:lang w:val="pt-PT"/>
        </w:rPr>
        <w:t>o</w:t>
      </w:r>
      <w:r w:rsidRPr="00465964">
        <w:rPr>
          <w:lang w:val="pt-PT"/>
        </w:rPr>
        <w:t>.</w:t>
      </w:r>
    </w:p>
    <w:p w14:paraId="579EB571" w14:textId="7A81DAC4" w:rsidR="00465964" w:rsidRPr="00465964" w:rsidRDefault="00465964" w:rsidP="00465964">
      <w:pPr>
        <w:rPr>
          <w:lang w:val="pt-PT"/>
        </w:rPr>
      </w:pPr>
      <w:r w:rsidRPr="00465964">
        <w:rPr>
          <w:lang w:val="pt-PT"/>
        </w:rPr>
        <w:t xml:space="preserve">Para efeitos do primeiro parágrafo, alínea a), outras empresas apenas podem emitir </w:t>
      </w:r>
      <w:r>
        <w:rPr>
          <w:lang w:val="pt-PT"/>
        </w:rPr>
        <w:t>criptomoedas</w:t>
      </w:r>
      <w:r w:rsidRPr="00465964">
        <w:rPr>
          <w:lang w:val="pt-PT"/>
        </w:rPr>
        <w:t xml:space="preserve"> referenciadas a ativos se a sua forma jurídica garantir um nível de proteção dos interesses de </w:t>
      </w:r>
      <w:proofErr w:type="gramStart"/>
      <w:r w:rsidRPr="00465964">
        <w:rPr>
          <w:lang w:val="pt-PT"/>
        </w:rPr>
        <w:t>terceiros equivalente</w:t>
      </w:r>
      <w:proofErr w:type="gramEnd"/>
      <w:r w:rsidRPr="00465964">
        <w:rPr>
          <w:lang w:val="pt-PT"/>
        </w:rPr>
        <w:t xml:space="preserve"> ao proporcionado pelas pessoas coletivas e desde que estejam sujeitas a uma supervisão prudencial equivalente, adequada à sua forma jurídica.</w:t>
      </w:r>
    </w:p>
    <w:p w14:paraId="7EA38D1C" w14:textId="77777777" w:rsidR="00465964" w:rsidRPr="00465964" w:rsidRDefault="00465964" w:rsidP="00465964">
      <w:pPr>
        <w:rPr>
          <w:lang w:val="pt-PT"/>
        </w:rPr>
      </w:pPr>
      <w:r w:rsidRPr="00465964">
        <w:rPr>
          <w:lang w:val="pt-PT"/>
        </w:rPr>
        <w:t xml:space="preserve">2.   O </w:t>
      </w:r>
      <w:proofErr w:type="spellStart"/>
      <w:r w:rsidRPr="00465964">
        <w:rPr>
          <w:lang w:val="pt-PT"/>
        </w:rPr>
        <w:t>n.</w:t>
      </w:r>
      <w:r w:rsidRPr="00465964">
        <w:rPr>
          <w:vertAlign w:val="superscript"/>
          <w:lang w:val="pt-PT"/>
        </w:rPr>
        <w:t>o</w:t>
      </w:r>
      <w:proofErr w:type="spellEnd"/>
      <w:r w:rsidRPr="00465964">
        <w:rPr>
          <w:lang w:val="pt-PT"/>
        </w:rPr>
        <w:t> 1 não se aplica caso:</w:t>
      </w:r>
    </w:p>
    <w:tbl>
      <w:tblPr>
        <w:tblW w:w="5000" w:type="pct"/>
        <w:tblCellMar>
          <w:left w:w="0" w:type="dxa"/>
          <w:right w:w="0" w:type="dxa"/>
        </w:tblCellMar>
        <w:tblLook w:val="04A0" w:firstRow="1" w:lastRow="0" w:firstColumn="1" w:lastColumn="0" w:noHBand="0" w:noVBand="1"/>
      </w:tblPr>
      <w:tblGrid>
        <w:gridCol w:w="182"/>
        <w:gridCol w:w="8844"/>
      </w:tblGrid>
      <w:tr w:rsidR="00465964" w:rsidRPr="00465964" w14:paraId="77D965A4" w14:textId="77777777" w:rsidTr="00465964">
        <w:tc>
          <w:tcPr>
            <w:tcW w:w="0" w:type="auto"/>
            <w:shd w:val="clear" w:color="auto" w:fill="auto"/>
            <w:hideMark/>
          </w:tcPr>
          <w:p w14:paraId="63695BF0" w14:textId="77777777" w:rsidR="00465964" w:rsidRPr="00465964" w:rsidRDefault="00465964" w:rsidP="00465964">
            <w:r w:rsidRPr="00465964">
              <w:t>a)</w:t>
            </w:r>
          </w:p>
        </w:tc>
        <w:tc>
          <w:tcPr>
            <w:tcW w:w="0" w:type="auto"/>
            <w:shd w:val="clear" w:color="auto" w:fill="auto"/>
            <w:hideMark/>
          </w:tcPr>
          <w:p w14:paraId="5BF8EE43" w14:textId="77777777" w:rsidR="00465964" w:rsidRPr="00465964" w:rsidRDefault="00465964" w:rsidP="00465964">
            <w:pPr>
              <w:rPr>
                <w:lang w:val="pt-PT"/>
              </w:rPr>
            </w:pPr>
            <w:r w:rsidRPr="00465964">
              <w:rPr>
                <w:lang w:val="pt-PT"/>
              </w:rPr>
              <w:t xml:space="preserve">Ao longo de um período de 12 meses o valor médio pendente da </w:t>
            </w:r>
            <w:proofErr w:type="spellStart"/>
            <w:r w:rsidRPr="00465964">
              <w:rPr>
                <w:lang w:val="pt-PT"/>
              </w:rPr>
              <w:t>criptoficha</w:t>
            </w:r>
            <w:proofErr w:type="spellEnd"/>
            <w:r w:rsidRPr="00465964">
              <w:rPr>
                <w:lang w:val="pt-PT"/>
              </w:rPr>
              <w:t xml:space="preserve"> referenciada a ativos, calculado no final de cada dia de calendário, nunca exceda 5 000 000 EUR ou o montante equivalente noutra moeda oficial e o emitente não esteja associado a uma rede de outros emitentes isentos; ou</w:t>
            </w:r>
          </w:p>
        </w:tc>
      </w:tr>
    </w:tbl>
    <w:p w14:paraId="6A1D3498"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8"/>
        <w:gridCol w:w="8838"/>
      </w:tblGrid>
      <w:tr w:rsidR="00465964" w:rsidRPr="00465964" w14:paraId="7D3691BF" w14:textId="77777777" w:rsidTr="00465964">
        <w:tc>
          <w:tcPr>
            <w:tcW w:w="0" w:type="auto"/>
            <w:shd w:val="clear" w:color="auto" w:fill="auto"/>
            <w:hideMark/>
          </w:tcPr>
          <w:p w14:paraId="7D779A55" w14:textId="77777777" w:rsidR="00465964" w:rsidRPr="00465964" w:rsidRDefault="00465964" w:rsidP="00465964">
            <w:r w:rsidRPr="00465964">
              <w:t>b)</w:t>
            </w:r>
          </w:p>
        </w:tc>
        <w:tc>
          <w:tcPr>
            <w:tcW w:w="0" w:type="auto"/>
            <w:shd w:val="clear" w:color="auto" w:fill="auto"/>
            <w:hideMark/>
          </w:tcPr>
          <w:p w14:paraId="7068BD64" w14:textId="77777777" w:rsidR="00465964" w:rsidRPr="00465964" w:rsidRDefault="00465964" w:rsidP="00465964">
            <w:pPr>
              <w:rPr>
                <w:lang w:val="pt-PT"/>
              </w:rPr>
            </w:pPr>
            <w:r w:rsidRPr="00465964">
              <w:rPr>
                <w:lang w:val="pt-PT"/>
              </w:rPr>
              <w:t xml:space="preserve">A oferta pública da </w:t>
            </w:r>
            <w:proofErr w:type="spellStart"/>
            <w:r w:rsidRPr="00465964">
              <w:rPr>
                <w:lang w:val="pt-PT"/>
              </w:rPr>
              <w:t>criptoficha</w:t>
            </w:r>
            <w:proofErr w:type="spellEnd"/>
            <w:r w:rsidRPr="00465964">
              <w:rPr>
                <w:lang w:val="pt-PT"/>
              </w:rPr>
              <w:t xml:space="preserve"> referenciada a ativos seja exclusivamente dirigida a investidores qualificados e a </w:t>
            </w:r>
            <w:proofErr w:type="spellStart"/>
            <w:r w:rsidRPr="00465964">
              <w:rPr>
                <w:lang w:val="pt-PT"/>
              </w:rPr>
              <w:t>criptoficha</w:t>
            </w:r>
            <w:proofErr w:type="spellEnd"/>
            <w:r w:rsidRPr="00465964">
              <w:rPr>
                <w:lang w:val="pt-PT"/>
              </w:rPr>
              <w:t xml:space="preserve"> referenciada a ativos só possa ser detida por esses investidores qualificados.</w:t>
            </w:r>
          </w:p>
        </w:tc>
      </w:tr>
    </w:tbl>
    <w:p w14:paraId="3182464C" w14:textId="77811486" w:rsidR="00465964" w:rsidRPr="00465964" w:rsidRDefault="00465964" w:rsidP="00465964">
      <w:pPr>
        <w:rPr>
          <w:lang w:val="pt-PT"/>
        </w:rPr>
      </w:pPr>
      <w:r w:rsidRPr="00465964">
        <w:rPr>
          <w:lang w:val="pt-PT"/>
        </w:rPr>
        <w:t xml:space="preserve">Sempre que o presente número for aplicável, os emitentes de </w:t>
      </w:r>
      <w:r>
        <w:rPr>
          <w:lang w:val="pt-PT"/>
        </w:rPr>
        <w:t>criptomoedas</w:t>
      </w:r>
      <w:r w:rsidRPr="00465964">
        <w:rPr>
          <w:lang w:val="pt-PT"/>
        </w:rPr>
        <w:t xml:space="preserve"> referenciadas a ativos devem redigir um livrete do criptoativo conforme previsto no artigo 19.</w:t>
      </w:r>
      <w:r w:rsidRPr="00465964">
        <w:rPr>
          <w:vertAlign w:val="superscript"/>
          <w:lang w:val="pt-PT"/>
        </w:rPr>
        <w:t>o</w:t>
      </w:r>
      <w:r w:rsidRPr="00465964">
        <w:rPr>
          <w:lang w:val="pt-PT"/>
        </w:rPr>
        <w:t> e notificar à autoridade competente do seu Estado-Membro de origem esse livrete do criptoativo e, mediante pedido, eventuais comunicações comerciais.</w:t>
      </w:r>
    </w:p>
    <w:p w14:paraId="6DCF9977" w14:textId="77777777" w:rsidR="00465964" w:rsidRPr="00465964" w:rsidRDefault="00465964" w:rsidP="00465964">
      <w:pPr>
        <w:rPr>
          <w:lang w:val="pt-PT"/>
        </w:rPr>
      </w:pPr>
      <w:r w:rsidRPr="00465964">
        <w:rPr>
          <w:lang w:val="pt-PT"/>
        </w:rPr>
        <w:t xml:space="preserve">3.   A autorização, concedida pela autoridade competente a uma pessoa referida no </w:t>
      </w:r>
      <w:proofErr w:type="spellStart"/>
      <w:r w:rsidRPr="00465964">
        <w:rPr>
          <w:lang w:val="pt-PT"/>
        </w:rPr>
        <w:t>n.</w:t>
      </w:r>
      <w:r w:rsidRPr="00465964">
        <w:rPr>
          <w:vertAlign w:val="superscript"/>
          <w:lang w:val="pt-PT"/>
        </w:rPr>
        <w:t>o</w:t>
      </w:r>
      <w:proofErr w:type="spellEnd"/>
      <w:r w:rsidRPr="00465964">
        <w:rPr>
          <w:lang w:val="pt-PT"/>
        </w:rPr>
        <w:t xml:space="preserve"> 1, primeiro parágrafo, alínea a), é válida para toda a União e permite que um emitente de uma </w:t>
      </w:r>
      <w:proofErr w:type="spellStart"/>
      <w:r w:rsidRPr="00465964">
        <w:rPr>
          <w:lang w:val="pt-PT"/>
        </w:rPr>
        <w:t>criptoficha</w:t>
      </w:r>
      <w:proofErr w:type="spellEnd"/>
      <w:r w:rsidRPr="00465964">
        <w:rPr>
          <w:lang w:val="pt-PT"/>
        </w:rPr>
        <w:t xml:space="preserve"> referenciada a ativos proceda, em toda a União, a uma oferta pública da </w:t>
      </w:r>
      <w:proofErr w:type="spellStart"/>
      <w:r w:rsidRPr="00465964">
        <w:rPr>
          <w:lang w:val="pt-PT"/>
        </w:rPr>
        <w:t>criptoficha</w:t>
      </w:r>
      <w:proofErr w:type="spellEnd"/>
      <w:r w:rsidRPr="00465964">
        <w:rPr>
          <w:lang w:val="pt-PT"/>
        </w:rPr>
        <w:t xml:space="preserve"> referenciada a ativos para a qual foi autorizado, ou solicite a admissão à negociação dessa </w:t>
      </w:r>
      <w:proofErr w:type="spellStart"/>
      <w:r w:rsidRPr="00465964">
        <w:rPr>
          <w:lang w:val="pt-PT"/>
        </w:rPr>
        <w:t>criptoficha</w:t>
      </w:r>
      <w:proofErr w:type="spellEnd"/>
      <w:r w:rsidRPr="00465964">
        <w:rPr>
          <w:lang w:val="pt-PT"/>
        </w:rPr>
        <w:t xml:space="preserve"> referenciada a ativos.</w:t>
      </w:r>
    </w:p>
    <w:p w14:paraId="503F4B7D" w14:textId="77777777" w:rsidR="00465964" w:rsidRPr="00465964" w:rsidRDefault="00465964" w:rsidP="00465964">
      <w:pPr>
        <w:rPr>
          <w:lang w:val="pt-PT"/>
        </w:rPr>
      </w:pPr>
      <w:r w:rsidRPr="00465964">
        <w:rPr>
          <w:lang w:val="pt-PT"/>
        </w:rPr>
        <w:lastRenderedPageBreak/>
        <w:t>4.   A aprovação concedida pela autoridade competente do livrete do criptoativo de um emitente nos termos do artigo 17.</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1 ou do artigo 21.</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1 ou do livrete do criptoativo modificado nos termos do artigo 25.</w:t>
      </w:r>
      <w:r w:rsidRPr="00465964">
        <w:rPr>
          <w:vertAlign w:val="superscript"/>
          <w:lang w:val="pt-PT"/>
        </w:rPr>
        <w:t>o</w:t>
      </w:r>
      <w:r w:rsidRPr="00465964">
        <w:rPr>
          <w:lang w:val="pt-PT"/>
        </w:rPr>
        <w:t> é válida para toda a União.</w:t>
      </w:r>
    </w:p>
    <w:p w14:paraId="273FCB8F" w14:textId="77777777" w:rsidR="00465964" w:rsidRPr="00465964" w:rsidRDefault="00465964" w:rsidP="00465964">
      <w:pPr>
        <w:rPr>
          <w:i/>
          <w:iCs/>
          <w:lang w:val="pt-PT"/>
        </w:rPr>
      </w:pPr>
      <w:r w:rsidRPr="00465964">
        <w:rPr>
          <w:i/>
          <w:iCs/>
          <w:lang w:val="pt-PT"/>
        </w:rPr>
        <w:t>Artigo 17.</w:t>
      </w:r>
      <w:r w:rsidRPr="00465964">
        <w:rPr>
          <w:i/>
          <w:iCs/>
          <w:vertAlign w:val="superscript"/>
          <w:lang w:val="pt-PT"/>
        </w:rPr>
        <w:t>o</w:t>
      </w:r>
    </w:p>
    <w:p w14:paraId="5570FBEC" w14:textId="77777777" w:rsidR="00465964" w:rsidRPr="00465964" w:rsidRDefault="00465964" w:rsidP="00465964">
      <w:pPr>
        <w:rPr>
          <w:b/>
          <w:bCs/>
          <w:lang w:val="pt-PT"/>
        </w:rPr>
      </w:pPr>
      <w:r w:rsidRPr="00465964">
        <w:rPr>
          <w:b/>
          <w:bCs/>
          <w:lang w:val="pt-PT"/>
        </w:rPr>
        <w:t>Requisitos para as instituições de crédito</w:t>
      </w:r>
    </w:p>
    <w:p w14:paraId="6A7D77CE" w14:textId="77777777" w:rsidR="00465964" w:rsidRPr="00465964" w:rsidRDefault="00465964" w:rsidP="00465964">
      <w:pPr>
        <w:rPr>
          <w:lang w:val="pt-PT"/>
        </w:rPr>
      </w:pPr>
      <w:r w:rsidRPr="00465964">
        <w:rPr>
          <w:lang w:val="pt-PT"/>
        </w:rPr>
        <w:t xml:space="preserve">1.   Uma </w:t>
      </w:r>
      <w:proofErr w:type="spellStart"/>
      <w:r w:rsidRPr="00465964">
        <w:rPr>
          <w:lang w:val="pt-PT"/>
        </w:rPr>
        <w:t>criptoficha</w:t>
      </w:r>
      <w:proofErr w:type="spellEnd"/>
      <w:r w:rsidRPr="00465964">
        <w:rPr>
          <w:lang w:val="pt-PT"/>
        </w:rPr>
        <w:t xml:space="preserve"> referenciada a ativos emitida por uma instituição de crédito pode ser objeto de uma oferta pública ou admitida à negociação se a instituição de crédito:</w:t>
      </w:r>
    </w:p>
    <w:tbl>
      <w:tblPr>
        <w:tblW w:w="5000" w:type="pct"/>
        <w:tblCellMar>
          <w:left w:w="0" w:type="dxa"/>
          <w:right w:w="0" w:type="dxa"/>
        </w:tblCellMar>
        <w:tblLook w:val="04A0" w:firstRow="1" w:lastRow="0" w:firstColumn="1" w:lastColumn="0" w:noHBand="0" w:noVBand="1"/>
      </w:tblPr>
      <w:tblGrid>
        <w:gridCol w:w="182"/>
        <w:gridCol w:w="8844"/>
      </w:tblGrid>
      <w:tr w:rsidR="00465964" w:rsidRPr="00465964" w14:paraId="487C231B" w14:textId="77777777" w:rsidTr="00465964">
        <w:tc>
          <w:tcPr>
            <w:tcW w:w="0" w:type="auto"/>
            <w:shd w:val="clear" w:color="auto" w:fill="auto"/>
            <w:hideMark/>
          </w:tcPr>
          <w:p w14:paraId="6A6A0954" w14:textId="77777777" w:rsidR="00465964" w:rsidRPr="00465964" w:rsidRDefault="00465964" w:rsidP="00465964">
            <w:r w:rsidRPr="00465964">
              <w:t>a)</w:t>
            </w:r>
          </w:p>
        </w:tc>
        <w:tc>
          <w:tcPr>
            <w:tcW w:w="0" w:type="auto"/>
            <w:shd w:val="clear" w:color="auto" w:fill="auto"/>
            <w:hideMark/>
          </w:tcPr>
          <w:p w14:paraId="00F4C026" w14:textId="77777777" w:rsidR="00465964" w:rsidRPr="00465964" w:rsidRDefault="00465964" w:rsidP="00465964">
            <w:pPr>
              <w:rPr>
                <w:lang w:val="pt-PT"/>
              </w:rPr>
            </w:pPr>
            <w:r w:rsidRPr="00465964">
              <w:rPr>
                <w:lang w:val="pt-PT"/>
              </w:rPr>
              <w:t>Redigir um livrete do criptoativo conforme referido no artigo 19.</w:t>
            </w:r>
            <w:r w:rsidRPr="00465964">
              <w:rPr>
                <w:vertAlign w:val="superscript"/>
                <w:lang w:val="pt-PT"/>
              </w:rPr>
              <w:t>o</w:t>
            </w:r>
            <w:r w:rsidRPr="00465964">
              <w:rPr>
                <w:lang w:val="pt-PT"/>
              </w:rPr>
              <w:t xml:space="preserve"> para a </w:t>
            </w:r>
            <w:proofErr w:type="spellStart"/>
            <w:r w:rsidRPr="00465964">
              <w:rPr>
                <w:lang w:val="pt-PT"/>
              </w:rPr>
              <w:t>criptoficha</w:t>
            </w:r>
            <w:proofErr w:type="spellEnd"/>
            <w:r w:rsidRPr="00465964">
              <w:rPr>
                <w:lang w:val="pt-PT"/>
              </w:rPr>
              <w:t xml:space="preserve"> referenciada a ativos, apresentar esse livrete do criptoativo, para aprovação, à autoridade competente do seu Estado-Membro de origem, em conformidade com o procedimento estabelecido nas normas técnicas de regulamentação adotadas nos termos do </w:t>
            </w:r>
            <w:proofErr w:type="spellStart"/>
            <w:r w:rsidRPr="00465964">
              <w:rPr>
                <w:lang w:val="pt-PT"/>
              </w:rPr>
              <w:t>n.</w:t>
            </w:r>
            <w:r w:rsidRPr="00465964">
              <w:rPr>
                <w:vertAlign w:val="superscript"/>
                <w:lang w:val="pt-PT"/>
              </w:rPr>
              <w:t>o</w:t>
            </w:r>
            <w:proofErr w:type="spellEnd"/>
            <w:r w:rsidRPr="00465964">
              <w:rPr>
                <w:lang w:val="pt-PT"/>
              </w:rPr>
              <w:t> 8 do presente artigo, e obtiver aprovação pela autoridade competente relativamente ao livrete do criptoativo;</w:t>
            </w:r>
          </w:p>
        </w:tc>
      </w:tr>
    </w:tbl>
    <w:p w14:paraId="5D5BB094"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8"/>
        <w:gridCol w:w="8838"/>
      </w:tblGrid>
      <w:tr w:rsidR="00465964" w:rsidRPr="00465964" w14:paraId="6892B9FA" w14:textId="77777777" w:rsidTr="00465964">
        <w:tc>
          <w:tcPr>
            <w:tcW w:w="0" w:type="auto"/>
            <w:shd w:val="clear" w:color="auto" w:fill="auto"/>
            <w:hideMark/>
          </w:tcPr>
          <w:p w14:paraId="2192070B" w14:textId="77777777" w:rsidR="00465964" w:rsidRPr="00465964" w:rsidRDefault="00465964" w:rsidP="00465964">
            <w:r w:rsidRPr="00465964">
              <w:t>b)</w:t>
            </w:r>
          </w:p>
        </w:tc>
        <w:tc>
          <w:tcPr>
            <w:tcW w:w="0" w:type="auto"/>
            <w:shd w:val="clear" w:color="auto" w:fill="auto"/>
            <w:hideMark/>
          </w:tcPr>
          <w:p w14:paraId="7A24EC56" w14:textId="77777777" w:rsidR="00465964" w:rsidRPr="00465964" w:rsidRDefault="00465964" w:rsidP="00465964">
            <w:pPr>
              <w:rPr>
                <w:lang w:val="pt-PT"/>
              </w:rPr>
            </w:pPr>
            <w:r w:rsidRPr="00465964">
              <w:rPr>
                <w:lang w:val="pt-PT"/>
              </w:rPr>
              <w:t xml:space="preserve">Notificar a respetiva autoridade competente, pelo menos 90 dias úteis antes de emitir pela primeira vez a </w:t>
            </w:r>
            <w:proofErr w:type="spellStart"/>
            <w:r w:rsidRPr="00465964">
              <w:rPr>
                <w:lang w:val="pt-PT"/>
              </w:rPr>
              <w:t>criptoficha</w:t>
            </w:r>
            <w:proofErr w:type="spellEnd"/>
            <w:r w:rsidRPr="00465964">
              <w:rPr>
                <w:lang w:val="pt-PT"/>
              </w:rPr>
              <w:t xml:space="preserve"> referenciada a ativos, facultando-lhe as seguintes informações:</w:t>
            </w:r>
          </w:p>
          <w:tbl>
            <w:tblPr>
              <w:tblW w:w="5000" w:type="pct"/>
              <w:tblCellMar>
                <w:left w:w="0" w:type="dxa"/>
                <w:right w:w="0" w:type="dxa"/>
              </w:tblCellMar>
              <w:tblLook w:val="04A0" w:firstRow="1" w:lastRow="0" w:firstColumn="1" w:lastColumn="0" w:noHBand="0" w:noVBand="1"/>
            </w:tblPr>
            <w:tblGrid>
              <w:gridCol w:w="117"/>
              <w:gridCol w:w="8721"/>
            </w:tblGrid>
            <w:tr w:rsidR="00465964" w:rsidRPr="00465964" w14:paraId="616EFF33" w14:textId="77777777">
              <w:tc>
                <w:tcPr>
                  <w:tcW w:w="0" w:type="auto"/>
                  <w:shd w:val="clear" w:color="auto" w:fill="auto"/>
                  <w:hideMark/>
                </w:tcPr>
                <w:p w14:paraId="758B9A0C" w14:textId="77777777" w:rsidR="00465964" w:rsidRPr="00465964" w:rsidRDefault="00465964" w:rsidP="00465964">
                  <w:proofErr w:type="spellStart"/>
                  <w:r w:rsidRPr="00465964">
                    <w:t>i</w:t>
                  </w:r>
                  <w:proofErr w:type="spellEnd"/>
                  <w:r w:rsidRPr="00465964">
                    <w:t>)</w:t>
                  </w:r>
                </w:p>
              </w:tc>
              <w:tc>
                <w:tcPr>
                  <w:tcW w:w="0" w:type="auto"/>
                  <w:shd w:val="clear" w:color="auto" w:fill="auto"/>
                  <w:hideMark/>
                </w:tcPr>
                <w:p w14:paraId="07A1B37A" w14:textId="77777777" w:rsidR="00465964" w:rsidRPr="00465964" w:rsidRDefault="00465964" w:rsidP="00465964">
                  <w:pPr>
                    <w:rPr>
                      <w:lang w:val="pt-PT"/>
                    </w:rPr>
                  </w:pPr>
                  <w:r w:rsidRPr="00465964">
                    <w:rPr>
                      <w:lang w:val="pt-PT"/>
                    </w:rPr>
                    <w:t>um programa de atividades que indique o modelo de negócios que a instituição de crédito tenciona seguir,</w:t>
                  </w:r>
                </w:p>
              </w:tc>
            </w:tr>
          </w:tbl>
          <w:p w14:paraId="7A4123FC"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70"/>
              <w:gridCol w:w="8668"/>
            </w:tblGrid>
            <w:tr w:rsidR="00465964" w:rsidRPr="00465964" w14:paraId="66E02AAB" w14:textId="77777777">
              <w:tc>
                <w:tcPr>
                  <w:tcW w:w="0" w:type="auto"/>
                  <w:shd w:val="clear" w:color="auto" w:fill="auto"/>
                  <w:hideMark/>
                </w:tcPr>
                <w:p w14:paraId="300E804C" w14:textId="77777777" w:rsidR="00465964" w:rsidRPr="00465964" w:rsidRDefault="00465964" w:rsidP="00465964">
                  <w:r w:rsidRPr="00465964">
                    <w:t>ii)</w:t>
                  </w:r>
                </w:p>
              </w:tc>
              <w:tc>
                <w:tcPr>
                  <w:tcW w:w="0" w:type="auto"/>
                  <w:shd w:val="clear" w:color="auto" w:fill="auto"/>
                  <w:hideMark/>
                </w:tcPr>
                <w:p w14:paraId="375C9FED" w14:textId="77777777" w:rsidR="00465964" w:rsidRPr="00465964" w:rsidRDefault="00465964" w:rsidP="00465964">
                  <w:pPr>
                    <w:rPr>
                      <w:lang w:val="pt-PT"/>
                    </w:rPr>
                  </w:pPr>
                  <w:r w:rsidRPr="00465964">
                    <w:rPr>
                      <w:lang w:val="pt-PT"/>
                    </w:rPr>
                    <w:t xml:space="preserve">um parecer jurídico em que se conclua que a </w:t>
                  </w:r>
                  <w:proofErr w:type="spellStart"/>
                  <w:r w:rsidRPr="00465964">
                    <w:rPr>
                      <w:lang w:val="pt-PT"/>
                    </w:rPr>
                    <w:t>criptoficha</w:t>
                  </w:r>
                  <w:proofErr w:type="spellEnd"/>
                  <w:r w:rsidRPr="00465964">
                    <w:rPr>
                      <w:lang w:val="pt-PT"/>
                    </w:rPr>
                    <w:t xml:space="preserve"> referenciada a ativos não pode ser considerada:</w:t>
                  </w:r>
                </w:p>
                <w:tbl>
                  <w:tblPr>
                    <w:tblW w:w="5000" w:type="pct"/>
                    <w:tblCellMar>
                      <w:left w:w="0" w:type="dxa"/>
                      <w:right w:w="0" w:type="dxa"/>
                    </w:tblCellMar>
                    <w:tblLook w:val="04A0" w:firstRow="1" w:lastRow="0" w:firstColumn="1" w:lastColumn="0" w:noHBand="0" w:noVBand="1"/>
                  </w:tblPr>
                  <w:tblGrid>
                    <w:gridCol w:w="203"/>
                    <w:gridCol w:w="8465"/>
                  </w:tblGrid>
                  <w:tr w:rsidR="00465964" w:rsidRPr="00465964" w14:paraId="55545708" w14:textId="77777777">
                    <w:tc>
                      <w:tcPr>
                        <w:tcW w:w="0" w:type="auto"/>
                        <w:shd w:val="clear" w:color="auto" w:fill="auto"/>
                        <w:hideMark/>
                      </w:tcPr>
                      <w:p w14:paraId="77702967" w14:textId="77777777" w:rsidR="00465964" w:rsidRPr="00465964" w:rsidRDefault="00465964" w:rsidP="00465964">
                        <w:r w:rsidRPr="00465964">
                          <w:t>—</w:t>
                        </w:r>
                      </w:p>
                    </w:tc>
                    <w:tc>
                      <w:tcPr>
                        <w:tcW w:w="0" w:type="auto"/>
                        <w:shd w:val="clear" w:color="auto" w:fill="auto"/>
                        <w:hideMark/>
                      </w:tcPr>
                      <w:p w14:paraId="24F13A3F" w14:textId="77777777" w:rsidR="00465964" w:rsidRPr="00465964" w:rsidRDefault="00465964" w:rsidP="00465964">
                        <w:pPr>
                          <w:rPr>
                            <w:lang w:val="pt-PT"/>
                          </w:rPr>
                        </w:pPr>
                        <w:r w:rsidRPr="00465964">
                          <w:rPr>
                            <w:lang w:val="pt-PT"/>
                          </w:rPr>
                          <w:t>um criptoativo excluído do âmbito de aplicação do presente regulamento nos termos do artigo 2.</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4, ou</w:t>
                        </w:r>
                      </w:p>
                    </w:tc>
                  </w:tr>
                </w:tbl>
                <w:p w14:paraId="1F9BA713"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468"/>
                    <w:gridCol w:w="8200"/>
                  </w:tblGrid>
                  <w:tr w:rsidR="00465964" w:rsidRPr="00465964" w14:paraId="2802E882" w14:textId="77777777">
                    <w:tc>
                      <w:tcPr>
                        <w:tcW w:w="0" w:type="auto"/>
                        <w:shd w:val="clear" w:color="auto" w:fill="auto"/>
                        <w:hideMark/>
                      </w:tcPr>
                      <w:p w14:paraId="31653D39" w14:textId="77777777" w:rsidR="00465964" w:rsidRPr="00465964" w:rsidRDefault="00465964" w:rsidP="00465964">
                        <w:r w:rsidRPr="00465964">
                          <w:t>—</w:t>
                        </w:r>
                      </w:p>
                    </w:tc>
                    <w:tc>
                      <w:tcPr>
                        <w:tcW w:w="0" w:type="auto"/>
                        <w:shd w:val="clear" w:color="auto" w:fill="auto"/>
                        <w:hideMark/>
                      </w:tcPr>
                      <w:p w14:paraId="13EA8BD3" w14:textId="77777777" w:rsidR="00465964" w:rsidRPr="00465964" w:rsidRDefault="00465964" w:rsidP="00465964">
                        <w:pPr>
                          <w:rPr>
                            <w:lang w:val="pt-PT"/>
                          </w:rPr>
                        </w:pPr>
                        <w:r w:rsidRPr="00465964">
                          <w:rPr>
                            <w:lang w:val="pt-PT"/>
                          </w:rPr>
                          <w:t xml:space="preserve">uma </w:t>
                        </w:r>
                        <w:proofErr w:type="spellStart"/>
                        <w:r w:rsidRPr="00465964">
                          <w:rPr>
                            <w:lang w:val="pt-PT"/>
                          </w:rPr>
                          <w:t>criptoficha</w:t>
                        </w:r>
                        <w:proofErr w:type="spellEnd"/>
                        <w:r w:rsidRPr="00465964">
                          <w:rPr>
                            <w:lang w:val="pt-PT"/>
                          </w:rPr>
                          <w:t xml:space="preserve"> de moeda eletrónica,</w:t>
                        </w:r>
                      </w:p>
                    </w:tc>
                  </w:tr>
                </w:tbl>
                <w:p w14:paraId="129E8850" w14:textId="77777777" w:rsidR="00465964" w:rsidRPr="00465964" w:rsidRDefault="00465964" w:rsidP="00465964">
                  <w:pPr>
                    <w:rPr>
                      <w:lang w:val="pt-PT"/>
                    </w:rPr>
                  </w:pPr>
                </w:p>
              </w:tc>
            </w:tr>
          </w:tbl>
          <w:p w14:paraId="40D1D882"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223"/>
              <w:gridCol w:w="8615"/>
            </w:tblGrid>
            <w:tr w:rsidR="00465964" w:rsidRPr="00465964" w14:paraId="517374A8" w14:textId="77777777">
              <w:tc>
                <w:tcPr>
                  <w:tcW w:w="0" w:type="auto"/>
                  <w:shd w:val="clear" w:color="auto" w:fill="auto"/>
                  <w:hideMark/>
                </w:tcPr>
                <w:p w14:paraId="4D6BCCC4" w14:textId="77777777" w:rsidR="00465964" w:rsidRPr="00465964" w:rsidRDefault="00465964" w:rsidP="00465964">
                  <w:r w:rsidRPr="00465964">
                    <w:t>iii)</w:t>
                  </w:r>
                </w:p>
              </w:tc>
              <w:tc>
                <w:tcPr>
                  <w:tcW w:w="0" w:type="auto"/>
                  <w:shd w:val="clear" w:color="auto" w:fill="auto"/>
                  <w:hideMark/>
                </w:tcPr>
                <w:p w14:paraId="3B9B575E" w14:textId="77777777" w:rsidR="00465964" w:rsidRPr="00465964" w:rsidRDefault="00465964" w:rsidP="00465964">
                  <w:pPr>
                    <w:rPr>
                      <w:lang w:val="pt-PT"/>
                    </w:rPr>
                  </w:pPr>
                  <w:r w:rsidRPr="00465964">
                    <w:rPr>
                      <w:lang w:val="pt-PT"/>
                    </w:rPr>
                    <w:t>uma descrição pormenorizada dos mecanismos de governação a que se refere o artigo 34.</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1,</w:t>
                  </w:r>
                </w:p>
              </w:tc>
            </w:tr>
          </w:tbl>
          <w:p w14:paraId="554F441F"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234"/>
              <w:gridCol w:w="8604"/>
            </w:tblGrid>
            <w:tr w:rsidR="00465964" w:rsidRPr="00465964" w14:paraId="7B79DE49" w14:textId="77777777">
              <w:tc>
                <w:tcPr>
                  <w:tcW w:w="0" w:type="auto"/>
                  <w:shd w:val="clear" w:color="auto" w:fill="auto"/>
                  <w:hideMark/>
                </w:tcPr>
                <w:p w14:paraId="5CF53319" w14:textId="77777777" w:rsidR="00465964" w:rsidRPr="00465964" w:rsidRDefault="00465964" w:rsidP="00465964">
                  <w:r w:rsidRPr="00465964">
                    <w:t>iv)</w:t>
                  </w:r>
                </w:p>
              </w:tc>
              <w:tc>
                <w:tcPr>
                  <w:tcW w:w="0" w:type="auto"/>
                  <w:shd w:val="clear" w:color="auto" w:fill="auto"/>
                  <w:hideMark/>
                </w:tcPr>
                <w:p w14:paraId="45B63E1E" w14:textId="77777777" w:rsidR="00465964" w:rsidRPr="00465964" w:rsidRDefault="00465964" w:rsidP="00465964">
                  <w:pPr>
                    <w:rPr>
                      <w:lang w:val="pt-PT"/>
                    </w:rPr>
                  </w:pPr>
                  <w:r w:rsidRPr="00465964">
                    <w:rPr>
                      <w:lang w:val="pt-PT"/>
                    </w:rPr>
                    <w:t>as políticas e os procedimentos enumerados no artigo 34.</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5, primeiro parágrafo,</w:t>
                  </w:r>
                </w:p>
              </w:tc>
            </w:tr>
          </w:tbl>
          <w:p w14:paraId="0D518B1D"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64"/>
              <w:gridCol w:w="8674"/>
            </w:tblGrid>
            <w:tr w:rsidR="00465964" w:rsidRPr="00465964" w14:paraId="3DCC25C9" w14:textId="77777777">
              <w:tc>
                <w:tcPr>
                  <w:tcW w:w="0" w:type="auto"/>
                  <w:shd w:val="clear" w:color="auto" w:fill="auto"/>
                  <w:hideMark/>
                </w:tcPr>
                <w:p w14:paraId="0C527CEE" w14:textId="77777777" w:rsidR="00465964" w:rsidRPr="00465964" w:rsidRDefault="00465964" w:rsidP="00465964">
                  <w:r w:rsidRPr="00465964">
                    <w:t>v)</w:t>
                  </w:r>
                </w:p>
              </w:tc>
              <w:tc>
                <w:tcPr>
                  <w:tcW w:w="0" w:type="auto"/>
                  <w:shd w:val="clear" w:color="auto" w:fill="auto"/>
                  <w:hideMark/>
                </w:tcPr>
                <w:p w14:paraId="538F5C13" w14:textId="77777777" w:rsidR="00465964" w:rsidRPr="00465964" w:rsidRDefault="00465964" w:rsidP="00465964">
                  <w:pPr>
                    <w:rPr>
                      <w:lang w:val="pt-PT"/>
                    </w:rPr>
                  </w:pPr>
                  <w:r w:rsidRPr="00465964">
                    <w:rPr>
                      <w:lang w:val="pt-PT"/>
                    </w:rPr>
                    <w:t>uma descrição das disposições contratuais acordadas com entidades terceiras a que se refere o artigo 34.</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5, segundo parágrafo,</w:t>
                  </w:r>
                </w:p>
              </w:tc>
            </w:tr>
          </w:tbl>
          <w:p w14:paraId="5BD2648A"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217"/>
              <w:gridCol w:w="8621"/>
            </w:tblGrid>
            <w:tr w:rsidR="00465964" w:rsidRPr="00465964" w14:paraId="2A26EE81" w14:textId="77777777">
              <w:tc>
                <w:tcPr>
                  <w:tcW w:w="0" w:type="auto"/>
                  <w:shd w:val="clear" w:color="auto" w:fill="auto"/>
                  <w:hideMark/>
                </w:tcPr>
                <w:p w14:paraId="3167D7C7" w14:textId="77777777" w:rsidR="00465964" w:rsidRPr="00465964" w:rsidRDefault="00465964" w:rsidP="00465964">
                  <w:r w:rsidRPr="00465964">
                    <w:t>vi)</w:t>
                  </w:r>
                </w:p>
              </w:tc>
              <w:tc>
                <w:tcPr>
                  <w:tcW w:w="0" w:type="auto"/>
                  <w:shd w:val="clear" w:color="auto" w:fill="auto"/>
                  <w:hideMark/>
                </w:tcPr>
                <w:p w14:paraId="77CDB85E" w14:textId="77777777" w:rsidR="00465964" w:rsidRPr="00465964" w:rsidRDefault="00465964" w:rsidP="00465964">
                  <w:pPr>
                    <w:rPr>
                      <w:lang w:val="pt-PT"/>
                    </w:rPr>
                  </w:pPr>
                  <w:r w:rsidRPr="00465964">
                    <w:rPr>
                      <w:lang w:val="pt-PT"/>
                    </w:rPr>
                    <w:t>uma descrição da política de continuidade das atividades a que se refere o artigo 34.</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9,</w:t>
                  </w:r>
                </w:p>
              </w:tc>
            </w:tr>
          </w:tbl>
          <w:p w14:paraId="3298842F"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269"/>
              <w:gridCol w:w="8569"/>
            </w:tblGrid>
            <w:tr w:rsidR="00465964" w:rsidRPr="00465964" w14:paraId="2CD11B1E" w14:textId="77777777">
              <w:tc>
                <w:tcPr>
                  <w:tcW w:w="0" w:type="auto"/>
                  <w:shd w:val="clear" w:color="auto" w:fill="auto"/>
                  <w:hideMark/>
                </w:tcPr>
                <w:p w14:paraId="2013D731" w14:textId="77777777" w:rsidR="00465964" w:rsidRPr="00465964" w:rsidRDefault="00465964" w:rsidP="00465964">
                  <w:r w:rsidRPr="00465964">
                    <w:t>vii)</w:t>
                  </w:r>
                </w:p>
              </w:tc>
              <w:tc>
                <w:tcPr>
                  <w:tcW w:w="0" w:type="auto"/>
                  <w:shd w:val="clear" w:color="auto" w:fill="auto"/>
                  <w:hideMark/>
                </w:tcPr>
                <w:p w14:paraId="34333DA8" w14:textId="77777777" w:rsidR="00465964" w:rsidRPr="00465964" w:rsidRDefault="00465964" w:rsidP="00465964">
                  <w:pPr>
                    <w:rPr>
                      <w:lang w:val="pt-PT"/>
                    </w:rPr>
                  </w:pPr>
                  <w:r w:rsidRPr="00465964">
                    <w:rPr>
                      <w:lang w:val="pt-PT"/>
                    </w:rPr>
                    <w:t>uma descrição dos mecanismos de controlo interno e dos procedimentos de gestão de riscos a que se refere o artigo 34.</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10,</w:t>
                  </w:r>
                </w:p>
              </w:tc>
            </w:tr>
          </w:tbl>
          <w:p w14:paraId="6D0A1381"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322"/>
              <w:gridCol w:w="8516"/>
            </w:tblGrid>
            <w:tr w:rsidR="00465964" w:rsidRPr="00465964" w14:paraId="08B6138C" w14:textId="77777777">
              <w:tc>
                <w:tcPr>
                  <w:tcW w:w="0" w:type="auto"/>
                  <w:shd w:val="clear" w:color="auto" w:fill="auto"/>
                  <w:hideMark/>
                </w:tcPr>
                <w:p w14:paraId="369B3240" w14:textId="77777777" w:rsidR="00465964" w:rsidRPr="00465964" w:rsidRDefault="00465964" w:rsidP="00465964">
                  <w:r w:rsidRPr="00465964">
                    <w:t>viii)</w:t>
                  </w:r>
                </w:p>
              </w:tc>
              <w:tc>
                <w:tcPr>
                  <w:tcW w:w="0" w:type="auto"/>
                  <w:shd w:val="clear" w:color="auto" w:fill="auto"/>
                  <w:hideMark/>
                </w:tcPr>
                <w:p w14:paraId="7AE39AC9" w14:textId="77777777" w:rsidR="00465964" w:rsidRPr="00465964" w:rsidRDefault="00465964" w:rsidP="00465964">
                  <w:pPr>
                    <w:rPr>
                      <w:lang w:val="pt-PT"/>
                    </w:rPr>
                  </w:pPr>
                  <w:r w:rsidRPr="00465964">
                    <w:rPr>
                      <w:lang w:val="pt-PT"/>
                    </w:rPr>
                    <w:t>uma descrição dos sistemas e procedimentos existentes para garantir a disponibilidade, autenticidade, integridade e confidencialidade dos dados a que se refere o artigo 34.</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11.</w:t>
                  </w:r>
                </w:p>
              </w:tc>
            </w:tr>
          </w:tbl>
          <w:p w14:paraId="4C18A585" w14:textId="77777777" w:rsidR="00465964" w:rsidRPr="00465964" w:rsidRDefault="00465964" w:rsidP="00465964">
            <w:pPr>
              <w:rPr>
                <w:lang w:val="pt-PT"/>
              </w:rPr>
            </w:pPr>
          </w:p>
        </w:tc>
      </w:tr>
    </w:tbl>
    <w:p w14:paraId="5FF5A3C7" w14:textId="77777777" w:rsidR="00465964" w:rsidRPr="00465964" w:rsidRDefault="00465964" w:rsidP="00465964">
      <w:pPr>
        <w:rPr>
          <w:lang w:val="pt-PT"/>
        </w:rPr>
      </w:pPr>
      <w:r w:rsidRPr="00465964">
        <w:rPr>
          <w:lang w:val="pt-PT"/>
        </w:rPr>
        <w:t xml:space="preserve">2.   Uma instituição de crédito que tenha anteriormente notificado a autoridade competente nos termos do </w:t>
      </w:r>
      <w:proofErr w:type="spellStart"/>
      <w:r w:rsidRPr="00465964">
        <w:rPr>
          <w:lang w:val="pt-PT"/>
        </w:rPr>
        <w:t>n.</w:t>
      </w:r>
      <w:r w:rsidRPr="00465964">
        <w:rPr>
          <w:vertAlign w:val="superscript"/>
          <w:lang w:val="pt-PT"/>
        </w:rPr>
        <w:t>o</w:t>
      </w:r>
      <w:proofErr w:type="spellEnd"/>
      <w:r w:rsidRPr="00465964">
        <w:rPr>
          <w:lang w:val="pt-PT"/>
        </w:rPr>
        <w:t xml:space="preserve"> 1, alínea b), aquando da emissão de outra </w:t>
      </w:r>
      <w:proofErr w:type="spellStart"/>
      <w:r w:rsidRPr="00465964">
        <w:rPr>
          <w:lang w:val="pt-PT"/>
        </w:rPr>
        <w:t>criptoficha</w:t>
      </w:r>
      <w:proofErr w:type="spellEnd"/>
      <w:r w:rsidRPr="00465964">
        <w:rPr>
          <w:lang w:val="pt-PT"/>
        </w:rPr>
        <w:t xml:space="preserve"> referenciada a ativos, não é obrigada a apresentar nenhumas informações que tenham anteriormente sido apresentadas à autoridade competente nos casos em que essas informações se afigurassem idênticas. Ao apresentar as informações enumeradas no </w:t>
      </w:r>
      <w:proofErr w:type="spellStart"/>
      <w:r w:rsidRPr="00465964">
        <w:rPr>
          <w:lang w:val="pt-PT"/>
        </w:rPr>
        <w:t>n.</w:t>
      </w:r>
      <w:r w:rsidRPr="00465964">
        <w:rPr>
          <w:vertAlign w:val="superscript"/>
          <w:lang w:val="pt-PT"/>
        </w:rPr>
        <w:t>o</w:t>
      </w:r>
      <w:proofErr w:type="spellEnd"/>
      <w:r w:rsidRPr="00465964">
        <w:rPr>
          <w:lang w:val="pt-PT"/>
        </w:rPr>
        <w:t xml:space="preserve"> 1, alínea b), a instituição de crédito </w:t>
      </w:r>
      <w:r w:rsidRPr="00465964">
        <w:rPr>
          <w:lang w:val="pt-PT"/>
        </w:rPr>
        <w:lastRenderedPageBreak/>
        <w:t>confirma expressamente que todas as informações que não tenham sido apresentadas de novo continuam atualizadas.</w:t>
      </w:r>
    </w:p>
    <w:p w14:paraId="6D990213" w14:textId="77777777" w:rsidR="00465964" w:rsidRPr="00465964" w:rsidRDefault="00465964" w:rsidP="00465964">
      <w:pPr>
        <w:rPr>
          <w:lang w:val="pt-PT"/>
        </w:rPr>
      </w:pPr>
      <w:r w:rsidRPr="00465964">
        <w:rPr>
          <w:lang w:val="pt-PT"/>
        </w:rPr>
        <w:t xml:space="preserve">3.   A autoridade competente que receba uma notificação a que se refere o </w:t>
      </w:r>
      <w:proofErr w:type="spellStart"/>
      <w:r w:rsidRPr="00465964">
        <w:rPr>
          <w:lang w:val="pt-PT"/>
        </w:rPr>
        <w:t>n.</w:t>
      </w:r>
      <w:r w:rsidRPr="00465964">
        <w:rPr>
          <w:vertAlign w:val="superscript"/>
          <w:lang w:val="pt-PT"/>
        </w:rPr>
        <w:t>o</w:t>
      </w:r>
      <w:proofErr w:type="spellEnd"/>
      <w:r w:rsidRPr="00465964">
        <w:rPr>
          <w:lang w:val="pt-PT"/>
        </w:rPr>
        <w:t> 1, alínea b), deve, no prazo de 20 dias úteis a contar da data de receção das informações aí enumeradas, avaliar se foram comunicadas todas as informações exigidas ao abrigo dessa alínea. Se a autoridade competente concluir que uma notificação não está completa porque falta informação, deve informar imediatamente a instituição de crédito notificante desse facto e fixar um prazo para que a instituição de crédito seja obrigada a prestar a informação em falta.</w:t>
      </w:r>
    </w:p>
    <w:p w14:paraId="21F18B9D" w14:textId="77777777" w:rsidR="00465964" w:rsidRPr="00465964" w:rsidRDefault="00465964" w:rsidP="00465964">
      <w:pPr>
        <w:rPr>
          <w:lang w:val="pt-PT"/>
        </w:rPr>
      </w:pPr>
      <w:r w:rsidRPr="00465964">
        <w:rPr>
          <w:lang w:val="pt-PT"/>
        </w:rPr>
        <w:t xml:space="preserve">O prazo para a comunicação da informação em falta não pode exceder 20 dias úteis a contar da data do pedido. Até ao termo desse prazo, o prazo fixado no </w:t>
      </w:r>
      <w:proofErr w:type="spellStart"/>
      <w:r w:rsidRPr="00465964">
        <w:rPr>
          <w:lang w:val="pt-PT"/>
        </w:rPr>
        <w:t>n.</w:t>
      </w:r>
      <w:r w:rsidRPr="00465964">
        <w:rPr>
          <w:vertAlign w:val="superscript"/>
          <w:lang w:val="pt-PT"/>
        </w:rPr>
        <w:t>o</w:t>
      </w:r>
      <w:proofErr w:type="spellEnd"/>
      <w:r w:rsidRPr="00465964">
        <w:rPr>
          <w:lang w:val="pt-PT"/>
        </w:rPr>
        <w:t xml:space="preserve"> 1, alínea b), é suspenso. Quaisquer outros pedidos apresentados pela autoridade competente para completar ou clarificar a informação ficam ao critério dessa autoridade, mas não podem dar lugar à suspensão do prazo estabelecido no </w:t>
      </w:r>
      <w:proofErr w:type="spellStart"/>
      <w:r w:rsidRPr="00465964">
        <w:rPr>
          <w:lang w:val="pt-PT"/>
        </w:rPr>
        <w:t>n.</w:t>
      </w:r>
      <w:r w:rsidRPr="00465964">
        <w:rPr>
          <w:vertAlign w:val="superscript"/>
          <w:lang w:val="pt-PT"/>
        </w:rPr>
        <w:t>o</w:t>
      </w:r>
      <w:proofErr w:type="spellEnd"/>
      <w:r w:rsidRPr="00465964">
        <w:rPr>
          <w:lang w:val="pt-PT"/>
        </w:rPr>
        <w:t> 1, alínea b).</w:t>
      </w:r>
    </w:p>
    <w:p w14:paraId="4A85D17D" w14:textId="77777777" w:rsidR="00465964" w:rsidRPr="00465964" w:rsidRDefault="00465964" w:rsidP="00465964">
      <w:pPr>
        <w:rPr>
          <w:lang w:val="pt-PT"/>
        </w:rPr>
      </w:pPr>
      <w:r w:rsidRPr="00465964">
        <w:rPr>
          <w:lang w:val="pt-PT"/>
        </w:rPr>
        <w:t xml:space="preserve">A instituição de crédito não pode proceder a uma oferta pública nem solicitar a admissão à negociação da </w:t>
      </w:r>
      <w:proofErr w:type="spellStart"/>
      <w:r w:rsidRPr="00465964">
        <w:rPr>
          <w:lang w:val="pt-PT"/>
        </w:rPr>
        <w:t>criptoficha</w:t>
      </w:r>
      <w:proofErr w:type="spellEnd"/>
      <w:r w:rsidRPr="00465964">
        <w:rPr>
          <w:lang w:val="pt-PT"/>
        </w:rPr>
        <w:t xml:space="preserve"> referenciada a ativos enquanto a notificação estiver incompleta.</w:t>
      </w:r>
    </w:p>
    <w:p w14:paraId="0AC27EE2" w14:textId="7F529D95" w:rsidR="00465964" w:rsidRPr="00465964" w:rsidRDefault="00465964" w:rsidP="00465964">
      <w:pPr>
        <w:rPr>
          <w:lang w:val="pt-PT"/>
        </w:rPr>
      </w:pPr>
      <w:r w:rsidRPr="00465964">
        <w:rPr>
          <w:lang w:val="pt-PT"/>
        </w:rPr>
        <w:t xml:space="preserve">4.   Uma instituição de crédito que emita </w:t>
      </w:r>
      <w:r>
        <w:rPr>
          <w:lang w:val="pt-PT"/>
        </w:rPr>
        <w:t>criptomoedas</w:t>
      </w:r>
      <w:r w:rsidRPr="00465964">
        <w:rPr>
          <w:lang w:val="pt-PT"/>
        </w:rPr>
        <w:t xml:space="preserve"> referenciadas a ativos, incluindo </w:t>
      </w:r>
      <w:r>
        <w:rPr>
          <w:lang w:val="pt-PT"/>
        </w:rPr>
        <w:t>criptomoedas</w:t>
      </w:r>
      <w:r w:rsidRPr="00465964">
        <w:rPr>
          <w:lang w:val="pt-PT"/>
        </w:rPr>
        <w:t xml:space="preserve"> referenciadas a ativos significativas, não está sujeita aos artigos 16.</w:t>
      </w:r>
      <w:r w:rsidRPr="00465964">
        <w:rPr>
          <w:vertAlign w:val="superscript"/>
          <w:lang w:val="pt-PT"/>
        </w:rPr>
        <w:t>o</w:t>
      </w:r>
      <w:r w:rsidRPr="00465964">
        <w:rPr>
          <w:lang w:val="pt-PT"/>
        </w:rPr>
        <w:t>, 18.</w:t>
      </w:r>
      <w:r w:rsidRPr="00465964">
        <w:rPr>
          <w:vertAlign w:val="superscript"/>
          <w:lang w:val="pt-PT"/>
        </w:rPr>
        <w:t>o</w:t>
      </w:r>
      <w:r w:rsidRPr="00465964">
        <w:rPr>
          <w:lang w:val="pt-PT"/>
        </w:rPr>
        <w:t>, 20.</w:t>
      </w:r>
      <w:r w:rsidRPr="00465964">
        <w:rPr>
          <w:vertAlign w:val="superscript"/>
          <w:lang w:val="pt-PT"/>
        </w:rPr>
        <w:t>o</w:t>
      </w:r>
      <w:r w:rsidRPr="00465964">
        <w:rPr>
          <w:lang w:val="pt-PT"/>
        </w:rPr>
        <w:t>, 21.</w:t>
      </w:r>
      <w:r w:rsidRPr="00465964">
        <w:rPr>
          <w:vertAlign w:val="superscript"/>
          <w:lang w:val="pt-PT"/>
        </w:rPr>
        <w:t>o</w:t>
      </w:r>
      <w:r w:rsidRPr="00465964">
        <w:rPr>
          <w:lang w:val="pt-PT"/>
        </w:rPr>
        <w:t>, 24.</w:t>
      </w:r>
      <w:r w:rsidRPr="00465964">
        <w:rPr>
          <w:vertAlign w:val="superscript"/>
          <w:lang w:val="pt-PT"/>
        </w:rPr>
        <w:t>o</w:t>
      </w:r>
      <w:r w:rsidRPr="00465964">
        <w:rPr>
          <w:lang w:val="pt-PT"/>
        </w:rPr>
        <w:t>, 35.</w:t>
      </w:r>
      <w:r w:rsidRPr="00465964">
        <w:rPr>
          <w:vertAlign w:val="superscript"/>
          <w:lang w:val="pt-PT"/>
        </w:rPr>
        <w:t>o</w:t>
      </w:r>
      <w:r w:rsidRPr="00465964">
        <w:rPr>
          <w:lang w:val="pt-PT"/>
        </w:rPr>
        <w:t>, 41.</w:t>
      </w:r>
      <w:r w:rsidRPr="00465964">
        <w:rPr>
          <w:vertAlign w:val="superscript"/>
          <w:lang w:val="pt-PT"/>
        </w:rPr>
        <w:t>o</w:t>
      </w:r>
      <w:r w:rsidRPr="00465964">
        <w:rPr>
          <w:lang w:val="pt-PT"/>
        </w:rPr>
        <w:t> e 42.</w:t>
      </w:r>
      <w:r w:rsidRPr="00465964">
        <w:rPr>
          <w:vertAlign w:val="superscript"/>
          <w:lang w:val="pt-PT"/>
        </w:rPr>
        <w:t>o</w:t>
      </w:r>
      <w:r w:rsidRPr="00465964">
        <w:rPr>
          <w:lang w:val="pt-PT"/>
        </w:rPr>
        <w:t>.</w:t>
      </w:r>
    </w:p>
    <w:p w14:paraId="628A48BD" w14:textId="77777777" w:rsidR="00465964" w:rsidRPr="00465964" w:rsidRDefault="00465964" w:rsidP="00465964">
      <w:pPr>
        <w:rPr>
          <w:lang w:val="pt-PT"/>
        </w:rPr>
      </w:pPr>
      <w:r w:rsidRPr="00465964">
        <w:rPr>
          <w:lang w:val="pt-PT"/>
        </w:rPr>
        <w:t xml:space="preserve">5.   A autoridade competente transmite sem demora a informação completa recebida ao abrigo do </w:t>
      </w:r>
      <w:proofErr w:type="spellStart"/>
      <w:r w:rsidRPr="00465964">
        <w:rPr>
          <w:lang w:val="pt-PT"/>
        </w:rPr>
        <w:t>n.</w:t>
      </w:r>
      <w:r w:rsidRPr="00465964">
        <w:rPr>
          <w:vertAlign w:val="superscript"/>
          <w:lang w:val="pt-PT"/>
        </w:rPr>
        <w:t>o</w:t>
      </w:r>
      <w:proofErr w:type="spellEnd"/>
      <w:r w:rsidRPr="00465964">
        <w:rPr>
          <w:lang w:val="pt-PT"/>
        </w:rPr>
        <w:t xml:space="preserve"> 1 ao BCE e, se a instituição de crédito estiver estabelecida num Estado-Membro cuja moeda oficial não seja o euro, ou se uma moeda oficial de um Estado-Membro que não seja o euro for referenciada pela </w:t>
      </w:r>
      <w:proofErr w:type="spellStart"/>
      <w:r w:rsidRPr="00465964">
        <w:rPr>
          <w:lang w:val="pt-PT"/>
        </w:rPr>
        <w:t>criptoficha</w:t>
      </w:r>
      <w:proofErr w:type="spellEnd"/>
      <w:r w:rsidRPr="00465964">
        <w:rPr>
          <w:lang w:val="pt-PT"/>
        </w:rPr>
        <w:t xml:space="preserve"> referenciada a ativos, também ao banco central nacional do Estado-Membro em causa.</w:t>
      </w:r>
    </w:p>
    <w:p w14:paraId="6E15740B" w14:textId="77777777" w:rsidR="00465964" w:rsidRPr="00465964" w:rsidRDefault="00465964" w:rsidP="00465964">
      <w:pPr>
        <w:rPr>
          <w:lang w:val="pt-PT"/>
        </w:rPr>
      </w:pPr>
      <w:r w:rsidRPr="00465964">
        <w:rPr>
          <w:lang w:val="pt-PT"/>
        </w:rPr>
        <w:t>O BCE e, se for o caso, o banco central do Estado-Membro a que se refere o primeiro parágrafo devem, no prazo de 20 dias úteis a contar da receção da informação completa, emitir um parecer sobre essa informação e transmiti-lo à autoridade competente.</w:t>
      </w:r>
    </w:p>
    <w:p w14:paraId="4811ADBA" w14:textId="77777777" w:rsidR="00465964" w:rsidRPr="00465964" w:rsidRDefault="00465964" w:rsidP="00465964">
      <w:pPr>
        <w:rPr>
          <w:lang w:val="pt-PT"/>
        </w:rPr>
      </w:pPr>
      <w:r w:rsidRPr="00465964">
        <w:rPr>
          <w:lang w:val="pt-PT"/>
        </w:rPr>
        <w:t xml:space="preserve">A autoridade competente exigirá à instituição de crédito que não proceda a uma oferta pública nem solicite a admissão à negociação da </w:t>
      </w:r>
      <w:proofErr w:type="spellStart"/>
      <w:r w:rsidRPr="00465964">
        <w:rPr>
          <w:lang w:val="pt-PT"/>
        </w:rPr>
        <w:t>criptoficha</w:t>
      </w:r>
      <w:proofErr w:type="spellEnd"/>
      <w:r w:rsidRPr="00465964">
        <w:rPr>
          <w:lang w:val="pt-PT"/>
        </w:rPr>
        <w:t xml:space="preserve"> referenciada a ativos nos casos em que o BCE ou, se for o caso, o banco central do Estado-Membro a que se refere o primeiro parágrafo, emita um parecer desfavorável por motivos que se prendam com riscos para o bom funcionamento dos sistemas de pagamento, a transmissão da política monetária ou a soberania monetária.</w:t>
      </w:r>
    </w:p>
    <w:p w14:paraId="6942896A" w14:textId="77777777" w:rsidR="00465964" w:rsidRPr="00465964" w:rsidRDefault="00465964" w:rsidP="00465964">
      <w:pPr>
        <w:rPr>
          <w:lang w:val="pt-PT"/>
        </w:rPr>
      </w:pPr>
      <w:r w:rsidRPr="00465964">
        <w:rPr>
          <w:lang w:val="pt-PT"/>
        </w:rPr>
        <w:t>6.   A autoridade competente comunica à ESMA as informações especificadas no artigo 109.</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xml:space="preserve"> 3, depois de verificar se as informações recebidas nos termos do </w:t>
      </w:r>
      <w:proofErr w:type="spellStart"/>
      <w:r w:rsidRPr="00465964">
        <w:rPr>
          <w:lang w:val="pt-PT"/>
        </w:rPr>
        <w:t>n.</w:t>
      </w:r>
      <w:r w:rsidRPr="00465964">
        <w:rPr>
          <w:vertAlign w:val="superscript"/>
          <w:lang w:val="pt-PT"/>
        </w:rPr>
        <w:t>o</w:t>
      </w:r>
      <w:proofErr w:type="spellEnd"/>
      <w:r w:rsidRPr="00465964">
        <w:rPr>
          <w:lang w:val="pt-PT"/>
        </w:rPr>
        <w:t xml:space="preserve"> 1 do presente artigo estão </w:t>
      </w:r>
      <w:proofErr w:type="gramStart"/>
      <w:r w:rsidRPr="00465964">
        <w:rPr>
          <w:lang w:val="pt-PT"/>
        </w:rPr>
        <w:t>completas</w:t>
      </w:r>
      <w:proofErr w:type="gramEnd"/>
      <w:r w:rsidRPr="00465964">
        <w:rPr>
          <w:lang w:val="pt-PT"/>
        </w:rPr>
        <w:t>.</w:t>
      </w:r>
    </w:p>
    <w:p w14:paraId="389EA756" w14:textId="77777777" w:rsidR="00465964" w:rsidRPr="00465964" w:rsidRDefault="00465964" w:rsidP="00465964">
      <w:pPr>
        <w:rPr>
          <w:lang w:val="pt-PT"/>
        </w:rPr>
      </w:pPr>
      <w:r w:rsidRPr="00465964">
        <w:rPr>
          <w:lang w:val="pt-PT"/>
        </w:rPr>
        <w:t>A ESMA torna essas informações disponíveis no registo, nos termos do artigo 109.</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3, até à data do início da oferta pública ou da admissão à negociação.</w:t>
      </w:r>
    </w:p>
    <w:p w14:paraId="39866370" w14:textId="4E5875C3" w:rsidR="00465964" w:rsidRPr="00465964" w:rsidRDefault="00465964" w:rsidP="00465964">
      <w:pPr>
        <w:rPr>
          <w:lang w:val="pt-PT"/>
        </w:rPr>
      </w:pPr>
      <w:r w:rsidRPr="00465964">
        <w:rPr>
          <w:lang w:val="pt-PT"/>
        </w:rPr>
        <w:t xml:space="preserve">7.   A autoridade competente pertinente comunica à ESMA a revogação da autorização de uma instituição de crédito que emita </w:t>
      </w:r>
      <w:r>
        <w:rPr>
          <w:lang w:val="pt-PT"/>
        </w:rPr>
        <w:t>criptomoedas</w:t>
      </w:r>
      <w:r w:rsidRPr="00465964">
        <w:rPr>
          <w:lang w:val="pt-PT"/>
        </w:rPr>
        <w:t xml:space="preserve"> referenciadas a ativos, no prazo de dois dias úteis após essa revogação. A ESMA disponibiliza as informações sobre essa revogação no registo, nos termos do artigo 109.</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3, sem demora injustificada.</w:t>
      </w:r>
    </w:p>
    <w:p w14:paraId="73A18751" w14:textId="77777777" w:rsidR="00465964" w:rsidRPr="00465964" w:rsidRDefault="00465964" w:rsidP="00465964">
      <w:pPr>
        <w:rPr>
          <w:lang w:val="pt-PT"/>
        </w:rPr>
      </w:pPr>
      <w:r w:rsidRPr="00465964">
        <w:rPr>
          <w:lang w:val="pt-PT"/>
        </w:rPr>
        <w:lastRenderedPageBreak/>
        <w:t xml:space="preserve">8.   A EBA, em estreita cooperação com a ESMA e o BCE, elabora projetos de normas técnicas de regulamentação a fim de especificar melhor o procedimento de aprovação de um livrete do criptoativo a que se refere o </w:t>
      </w:r>
      <w:proofErr w:type="spellStart"/>
      <w:r w:rsidRPr="00465964">
        <w:rPr>
          <w:lang w:val="pt-PT"/>
        </w:rPr>
        <w:t>n.</w:t>
      </w:r>
      <w:r w:rsidRPr="00465964">
        <w:rPr>
          <w:vertAlign w:val="superscript"/>
          <w:lang w:val="pt-PT"/>
        </w:rPr>
        <w:t>o</w:t>
      </w:r>
      <w:proofErr w:type="spellEnd"/>
      <w:r w:rsidRPr="00465964">
        <w:rPr>
          <w:lang w:val="pt-PT"/>
        </w:rPr>
        <w:t> 1, alínea a).</w:t>
      </w:r>
    </w:p>
    <w:p w14:paraId="16D12125" w14:textId="77777777" w:rsidR="00465964" w:rsidRPr="00465964" w:rsidRDefault="00465964" w:rsidP="00465964">
      <w:pPr>
        <w:rPr>
          <w:lang w:val="pt-PT"/>
        </w:rPr>
      </w:pPr>
      <w:r w:rsidRPr="00465964">
        <w:rPr>
          <w:lang w:val="pt-PT"/>
        </w:rPr>
        <w:t>A EBA apresenta à Comissão os projetos de normas técnicas de regulamentação referidos no primeiro parágrafo até 30 de junho de 2024.</w:t>
      </w:r>
    </w:p>
    <w:p w14:paraId="6FF13F83" w14:textId="77777777" w:rsidR="00465964" w:rsidRPr="00465964" w:rsidRDefault="00465964" w:rsidP="00465964">
      <w:pPr>
        <w:rPr>
          <w:lang w:val="pt-PT"/>
        </w:rPr>
      </w:pPr>
      <w:r w:rsidRPr="00465964">
        <w:rPr>
          <w:lang w:val="pt-PT"/>
        </w:rPr>
        <w:t>É delegado na Comissão o poder de completar o presente regulamento através da adoção das normas técnicas de regulamentação a que se refere o primeiro parágrafo do presente número em conformidade com os artigos 10.</w:t>
      </w:r>
      <w:r w:rsidRPr="00465964">
        <w:rPr>
          <w:vertAlign w:val="superscript"/>
          <w:lang w:val="pt-PT"/>
        </w:rPr>
        <w:t>o</w:t>
      </w:r>
      <w:r w:rsidRPr="00465964">
        <w:rPr>
          <w:lang w:val="pt-PT"/>
        </w:rPr>
        <w:t> a 14.</w:t>
      </w:r>
      <w:r w:rsidRPr="00465964">
        <w:rPr>
          <w:vertAlign w:val="superscript"/>
          <w:lang w:val="pt-PT"/>
        </w:rPr>
        <w:t>o</w:t>
      </w:r>
      <w:r w:rsidRPr="00465964">
        <w:rPr>
          <w:lang w:val="pt-PT"/>
        </w:rPr>
        <w:t xml:space="preserve"> do Regulamento (UE) </w:t>
      </w:r>
      <w:proofErr w:type="spellStart"/>
      <w:r w:rsidRPr="00465964">
        <w:rPr>
          <w:lang w:val="pt-PT"/>
        </w:rPr>
        <w:t>n.</w:t>
      </w:r>
      <w:r w:rsidRPr="00465964">
        <w:rPr>
          <w:vertAlign w:val="superscript"/>
          <w:lang w:val="pt-PT"/>
        </w:rPr>
        <w:t>o</w:t>
      </w:r>
      <w:proofErr w:type="spellEnd"/>
      <w:r w:rsidRPr="00465964">
        <w:rPr>
          <w:lang w:val="pt-PT"/>
        </w:rPr>
        <w:t> 1093/2010.</w:t>
      </w:r>
    </w:p>
    <w:p w14:paraId="151E71D7" w14:textId="77777777" w:rsidR="00465964" w:rsidRPr="00465964" w:rsidRDefault="00465964" w:rsidP="00465964">
      <w:pPr>
        <w:rPr>
          <w:i/>
          <w:iCs/>
          <w:lang w:val="pt-PT"/>
        </w:rPr>
      </w:pPr>
      <w:r w:rsidRPr="00465964">
        <w:rPr>
          <w:i/>
          <w:iCs/>
          <w:lang w:val="pt-PT"/>
        </w:rPr>
        <w:t>Artigo 18.</w:t>
      </w:r>
      <w:r w:rsidRPr="00465964">
        <w:rPr>
          <w:i/>
          <w:iCs/>
          <w:vertAlign w:val="superscript"/>
          <w:lang w:val="pt-PT"/>
        </w:rPr>
        <w:t>o</w:t>
      </w:r>
    </w:p>
    <w:p w14:paraId="4C01F249" w14:textId="77777777" w:rsidR="00465964" w:rsidRPr="00465964" w:rsidRDefault="00465964" w:rsidP="00465964">
      <w:pPr>
        <w:rPr>
          <w:b/>
          <w:bCs/>
          <w:lang w:val="pt-PT"/>
        </w:rPr>
      </w:pPr>
      <w:r w:rsidRPr="00465964">
        <w:rPr>
          <w:b/>
          <w:bCs/>
          <w:lang w:val="pt-PT"/>
        </w:rPr>
        <w:t>Pedido de autorização</w:t>
      </w:r>
    </w:p>
    <w:p w14:paraId="01B8C8AB" w14:textId="5371FD15" w:rsidR="00465964" w:rsidRPr="00465964" w:rsidRDefault="00465964" w:rsidP="00465964">
      <w:pPr>
        <w:rPr>
          <w:lang w:val="pt-PT"/>
        </w:rPr>
      </w:pPr>
      <w:r w:rsidRPr="00465964">
        <w:rPr>
          <w:lang w:val="pt-PT"/>
        </w:rPr>
        <w:t xml:space="preserve">1.   As pessoas coletivas ou outras empresas que pretendem fazer uma oferta pública ou solicitar a admissão à negociação de </w:t>
      </w:r>
      <w:r>
        <w:rPr>
          <w:lang w:val="pt-PT"/>
        </w:rPr>
        <w:t>criptomoedas</w:t>
      </w:r>
      <w:r w:rsidRPr="00465964">
        <w:rPr>
          <w:lang w:val="pt-PT"/>
        </w:rPr>
        <w:t xml:space="preserve"> referenciadas a ativos devem apresentar o seu pedido de autorização, referido no artigo 16.</w:t>
      </w:r>
      <w:r w:rsidRPr="00465964">
        <w:rPr>
          <w:vertAlign w:val="superscript"/>
          <w:lang w:val="pt-PT"/>
        </w:rPr>
        <w:t>o</w:t>
      </w:r>
      <w:r w:rsidRPr="00465964">
        <w:rPr>
          <w:lang w:val="pt-PT"/>
        </w:rPr>
        <w:t>, à autoridade competente do seu Estado-Membro de origem.</w:t>
      </w:r>
    </w:p>
    <w:p w14:paraId="28F6FC0C" w14:textId="77777777" w:rsidR="00465964" w:rsidRPr="00465964" w:rsidRDefault="00465964" w:rsidP="00465964">
      <w:pPr>
        <w:rPr>
          <w:lang w:val="pt-PT"/>
        </w:rPr>
      </w:pPr>
      <w:r w:rsidRPr="00465964">
        <w:rPr>
          <w:lang w:val="pt-PT"/>
        </w:rPr>
        <w:t xml:space="preserve">2.   O pedido a que se refere o </w:t>
      </w:r>
      <w:proofErr w:type="spellStart"/>
      <w:r w:rsidRPr="00465964">
        <w:rPr>
          <w:lang w:val="pt-PT"/>
        </w:rPr>
        <w:t>n.</w:t>
      </w:r>
      <w:r w:rsidRPr="00465964">
        <w:rPr>
          <w:vertAlign w:val="superscript"/>
          <w:lang w:val="pt-PT"/>
        </w:rPr>
        <w:t>o</w:t>
      </w:r>
      <w:proofErr w:type="spellEnd"/>
      <w:r w:rsidRPr="00465964">
        <w:rPr>
          <w:lang w:val="pt-PT"/>
        </w:rPr>
        <w:t> 1 deve incluir todas as seguintes informações:</w:t>
      </w:r>
    </w:p>
    <w:tbl>
      <w:tblPr>
        <w:tblW w:w="5000" w:type="pct"/>
        <w:tblCellMar>
          <w:left w:w="0" w:type="dxa"/>
          <w:right w:w="0" w:type="dxa"/>
        </w:tblCellMar>
        <w:tblLook w:val="04A0" w:firstRow="1" w:lastRow="0" w:firstColumn="1" w:lastColumn="0" w:noHBand="0" w:noVBand="1"/>
      </w:tblPr>
      <w:tblGrid>
        <w:gridCol w:w="454"/>
        <w:gridCol w:w="8572"/>
      </w:tblGrid>
      <w:tr w:rsidR="00465964" w:rsidRPr="00465964" w14:paraId="39E7071A" w14:textId="77777777" w:rsidTr="00465964">
        <w:tc>
          <w:tcPr>
            <w:tcW w:w="0" w:type="auto"/>
            <w:shd w:val="clear" w:color="auto" w:fill="auto"/>
            <w:hideMark/>
          </w:tcPr>
          <w:p w14:paraId="26302D7B" w14:textId="77777777" w:rsidR="00465964" w:rsidRPr="00465964" w:rsidRDefault="00465964" w:rsidP="00465964">
            <w:r w:rsidRPr="00465964">
              <w:t>a)</w:t>
            </w:r>
          </w:p>
        </w:tc>
        <w:tc>
          <w:tcPr>
            <w:tcW w:w="0" w:type="auto"/>
            <w:shd w:val="clear" w:color="auto" w:fill="auto"/>
            <w:hideMark/>
          </w:tcPr>
          <w:p w14:paraId="214D9F5A" w14:textId="77777777" w:rsidR="00465964" w:rsidRPr="00465964" w:rsidRDefault="00465964" w:rsidP="00465964">
            <w:pPr>
              <w:rPr>
                <w:lang w:val="pt-PT"/>
              </w:rPr>
            </w:pPr>
            <w:r w:rsidRPr="00465964">
              <w:rPr>
                <w:lang w:val="pt-PT"/>
              </w:rPr>
              <w:t>O endereço do emitente requerente;</w:t>
            </w:r>
          </w:p>
        </w:tc>
      </w:tr>
    </w:tbl>
    <w:p w14:paraId="6F084E41"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290"/>
        <w:gridCol w:w="8736"/>
      </w:tblGrid>
      <w:tr w:rsidR="00465964" w:rsidRPr="00465964" w14:paraId="505A31A4" w14:textId="77777777" w:rsidTr="00465964">
        <w:tc>
          <w:tcPr>
            <w:tcW w:w="0" w:type="auto"/>
            <w:shd w:val="clear" w:color="auto" w:fill="auto"/>
            <w:hideMark/>
          </w:tcPr>
          <w:p w14:paraId="2CAEFD57" w14:textId="77777777" w:rsidR="00465964" w:rsidRPr="00465964" w:rsidRDefault="00465964" w:rsidP="00465964">
            <w:r w:rsidRPr="00465964">
              <w:t>b)</w:t>
            </w:r>
          </w:p>
        </w:tc>
        <w:tc>
          <w:tcPr>
            <w:tcW w:w="0" w:type="auto"/>
            <w:shd w:val="clear" w:color="auto" w:fill="auto"/>
            <w:hideMark/>
          </w:tcPr>
          <w:p w14:paraId="5039B178" w14:textId="77777777" w:rsidR="00465964" w:rsidRPr="00465964" w:rsidRDefault="00465964" w:rsidP="00465964">
            <w:pPr>
              <w:rPr>
                <w:lang w:val="pt-PT"/>
              </w:rPr>
            </w:pPr>
            <w:r w:rsidRPr="00465964">
              <w:rPr>
                <w:lang w:val="pt-PT"/>
              </w:rPr>
              <w:t>O identificador de entidade jurídica do emitente requerente;</w:t>
            </w:r>
          </w:p>
        </w:tc>
      </w:tr>
    </w:tbl>
    <w:p w14:paraId="2F2F53BF"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298"/>
        <w:gridCol w:w="8728"/>
      </w:tblGrid>
      <w:tr w:rsidR="00465964" w:rsidRPr="00465964" w14:paraId="2CAFDC3A" w14:textId="77777777" w:rsidTr="00465964">
        <w:tc>
          <w:tcPr>
            <w:tcW w:w="0" w:type="auto"/>
            <w:shd w:val="clear" w:color="auto" w:fill="auto"/>
            <w:hideMark/>
          </w:tcPr>
          <w:p w14:paraId="45AC80D5" w14:textId="77777777" w:rsidR="00465964" w:rsidRPr="00465964" w:rsidRDefault="00465964" w:rsidP="00465964">
            <w:r w:rsidRPr="00465964">
              <w:t>c)</w:t>
            </w:r>
          </w:p>
        </w:tc>
        <w:tc>
          <w:tcPr>
            <w:tcW w:w="0" w:type="auto"/>
            <w:shd w:val="clear" w:color="auto" w:fill="auto"/>
            <w:hideMark/>
          </w:tcPr>
          <w:p w14:paraId="05D738EF" w14:textId="77777777" w:rsidR="00465964" w:rsidRPr="00465964" w:rsidRDefault="00465964" w:rsidP="00465964">
            <w:pPr>
              <w:rPr>
                <w:lang w:val="pt-PT"/>
              </w:rPr>
            </w:pPr>
            <w:r w:rsidRPr="00465964">
              <w:rPr>
                <w:lang w:val="pt-PT"/>
              </w:rPr>
              <w:t>Os estatutos do emitente requerente, quando aplicável;</w:t>
            </w:r>
          </w:p>
        </w:tc>
      </w:tr>
    </w:tbl>
    <w:p w14:paraId="71A067C5"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8"/>
        <w:gridCol w:w="8838"/>
      </w:tblGrid>
      <w:tr w:rsidR="00465964" w:rsidRPr="00465964" w14:paraId="3F094D31" w14:textId="77777777" w:rsidTr="00465964">
        <w:tc>
          <w:tcPr>
            <w:tcW w:w="0" w:type="auto"/>
            <w:shd w:val="clear" w:color="auto" w:fill="auto"/>
            <w:hideMark/>
          </w:tcPr>
          <w:p w14:paraId="31B9F471" w14:textId="77777777" w:rsidR="00465964" w:rsidRPr="00465964" w:rsidRDefault="00465964" w:rsidP="00465964">
            <w:r w:rsidRPr="00465964">
              <w:t>d)</w:t>
            </w:r>
          </w:p>
        </w:tc>
        <w:tc>
          <w:tcPr>
            <w:tcW w:w="0" w:type="auto"/>
            <w:shd w:val="clear" w:color="auto" w:fill="auto"/>
            <w:hideMark/>
          </w:tcPr>
          <w:p w14:paraId="45E360E7" w14:textId="77777777" w:rsidR="00465964" w:rsidRPr="00465964" w:rsidRDefault="00465964" w:rsidP="00465964">
            <w:pPr>
              <w:rPr>
                <w:lang w:val="pt-PT"/>
              </w:rPr>
            </w:pPr>
            <w:r w:rsidRPr="00465964">
              <w:rPr>
                <w:lang w:val="pt-PT"/>
              </w:rPr>
              <w:t>Um programa de atividades que indique o modelo de negócios que o emitente requerente tenciona seguir;</w:t>
            </w:r>
          </w:p>
        </w:tc>
      </w:tr>
    </w:tbl>
    <w:p w14:paraId="62E33162"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1"/>
        <w:gridCol w:w="8845"/>
      </w:tblGrid>
      <w:tr w:rsidR="00465964" w:rsidRPr="00465964" w14:paraId="2DDC5975" w14:textId="77777777" w:rsidTr="00465964">
        <w:tc>
          <w:tcPr>
            <w:tcW w:w="0" w:type="auto"/>
            <w:shd w:val="clear" w:color="auto" w:fill="auto"/>
            <w:hideMark/>
          </w:tcPr>
          <w:p w14:paraId="40EA5B9C" w14:textId="77777777" w:rsidR="00465964" w:rsidRPr="00465964" w:rsidRDefault="00465964" w:rsidP="00465964">
            <w:r w:rsidRPr="00465964">
              <w:t>e)</w:t>
            </w:r>
          </w:p>
        </w:tc>
        <w:tc>
          <w:tcPr>
            <w:tcW w:w="0" w:type="auto"/>
            <w:shd w:val="clear" w:color="auto" w:fill="auto"/>
            <w:hideMark/>
          </w:tcPr>
          <w:p w14:paraId="79C955CC" w14:textId="77777777" w:rsidR="00465964" w:rsidRPr="00465964" w:rsidRDefault="00465964" w:rsidP="00465964">
            <w:pPr>
              <w:rPr>
                <w:lang w:val="pt-PT"/>
              </w:rPr>
            </w:pPr>
            <w:r w:rsidRPr="00465964">
              <w:rPr>
                <w:lang w:val="pt-PT"/>
              </w:rPr>
              <w:t xml:space="preserve">Um parecer jurídico em que se conclua que a </w:t>
            </w:r>
            <w:proofErr w:type="spellStart"/>
            <w:r w:rsidRPr="00465964">
              <w:rPr>
                <w:lang w:val="pt-PT"/>
              </w:rPr>
              <w:t>criptoficha</w:t>
            </w:r>
            <w:proofErr w:type="spellEnd"/>
            <w:r w:rsidRPr="00465964">
              <w:rPr>
                <w:lang w:val="pt-PT"/>
              </w:rPr>
              <w:t xml:space="preserve"> referenciada a ativos não pode ser considerada:</w:t>
            </w:r>
          </w:p>
          <w:tbl>
            <w:tblPr>
              <w:tblW w:w="5000" w:type="pct"/>
              <w:tblCellMar>
                <w:left w:w="0" w:type="dxa"/>
                <w:right w:w="0" w:type="dxa"/>
              </w:tblCellMar>
              <w:tblLook w:val="04A0" w:firstRow="1" w:lastRow="0" w:firstColumn="1" w:lastColumn="0" w:noHBand="0" w:noVBand="1"/>
            </w:tblPr>
            <w:tblGrid>
              <w:gridCol w:w="117"/>
              <w:gridCol w:w="8728"/>
            </w:tblGrid>
            <w:tr w:rsidR="00465964" w:rsidRPr="00465964" w14:paraId="506C2427" w14:textId="77777777">
              <w:tc>
                <w:tcPr>
                  <w:tcW w:w="0" w:type="auto"/>
                  <w:shd w:val="clear" w:color="auto" w:fill="auto"/>
                  <w:hideMark/>
                </w:tcPr>
                <w:p w14:paraId="3BED630E" w14:textId="77777777" w:rsidR="00465964" w:rsidRPr="00465964" w:rsidRDefault="00465964" w:rsidP="00465964">
                  <w:proofErr w:type="spellStart"/>
                  <w:r w:rsidRPr="00465964">
                    <w:t>i</w:t>
                  </w:r>
                  <w:proofErr w:type="spellEnd"/>
                  <w:r w:rsidRPr="00465964">
                    <w:t>)</w:t>
                  </w:r>
                </w:p>
              </w:tc>
              <w:tc>
                <w:tcPr>
                  <w:tcW w:w="0" w:type="auto"/>
                  <w:shd w:val="clear" w:color="auto" w:fill="auto"/>
                  <w:hideMark/>
                </w:tcPr>
                <w:p w14:paraId="1CFDD1F3" w14:textId="77777777" w:rsidR="00465964" w:rsidRPr="00465964" w:rsidRDefault="00465964" w:rsidP="00465964">
                  <w:pPr>
                    <w:rPr>
                      <w:lang w:val="pt-PT"/>
                    </w:rPr>
                  </w:pPr>
                  <w:r w:rsidRPr="00465964">
                    <w:rPr>
                      <w:lang w:val="pt-PT"/>
                    </w:rPr>
                    <w:t>um criptoativo excluído do âmbito de aplicação do presente regulamento nos termos do artigo 2.</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4, ou</w:t>
                  </w:r>
                </w:p>
              </w:tc>
            </w:tr>
          </w:tbl>
          <w:p w14:paraId="5FB3D3F1"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403"/>
              <w:gridCol w:w="8442"/>
            </w:tblGrid>
            <w:tr w:rsidR="00465964" w:rsidRPr="00465964" w14:paraId="5879EF5A" w14:textId="77777777">
              <w:tc>
                <w:tcPr>
                  <w:tcW w:w="0" w:type="auto"/>
                  <w:shd w:val="clear" w:color="auto" w:fill="auto"/>
                  <w:hideMark/>
                </w:tcPr>
                <w:p w14:paraId="10D6B459" w14:textId="77777777" w:rsidR="00465964" w:rsidRPr="00465964" w:rsidRDefault="00465964" w:rsidP="00465964">
                  <w:r w:rsidRPr="00465964">
                    <w:t>ii)</w:t>
                  </w:r>
                </w:p>
              </w:tc>
              <w:tc>
                <w:tcPr>
                  <w:tcW w:w="0" w:type="auto"/>
                  <w:shd w:val="clear" w:color="auto" w:fill="auto"/>
                  <w:hideMark/>
                </w:tcPr>
                <w:p w14:paraId="17D16E1C" w14:textId="77777777" w:rsidR="00465964" w:rsidRPr="00465964" w:rsidRDefault="00465964" w:rsidP="00465964">
                  <w:pPr>
                    <w:rPr>
                      <w:lang w:val="pt-PT"/>
                    </w:rPr>
                  </w:pPr>
                  <w:r w:rsidRPr="00465964">
                    <w:rPr>
                      <w:lang w:val="pt-PT"/>
                    </w:rPr>
                    <w:t xml:space="preserve">uma </w:t>
                  </w:r>
                  <w:proofErr w:type="spellStart"/>
                  <w:r w:rsidRPr="00465964">
                    <w:rPr>
                      <w:lang w:val="pt-PT"/>
                    </w:rPr>
                    <w:t>criptoficha</w:t>
                  </w:r>
                  <w:proofErr w:type="spellEnd"/>
                  <w:r w:rsidRPr="00465964">
                    <w:rPr>
                      <w:lang w:val="pt-PT"/>
                    </w:rPr>
                    <w:t xml:space="preserve"> de moeda eletrónica;</w:t>
                  </w:r>
                </w:p>
              </w:tc>
            </w:tr>
          </w:tbl>
          <w:p w14:paraId="58E03EF6" w14:textId="77777777" w:rsidR="00465964" w:rsidRPr="00465964" w:rsidRDefault="00465964" w:rsidP="00465964">
            <w:pPr>
              <w:rPr>
                <w:lang w:val="pt-PT"/>
              </w:rPr>
            </w:pPr>
          </w:p>
        </w:tc>
      </w:tr>
    </w:tbl>
    <w:p w14:paraId="79609B2B"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36"/>
        <w:gridCol w:w="8890"/>
      </w:tblGrid>
      <w:tr w:rsidR="00465964" w:rsidRPr="00465964" w14:paraId="29C583D2" w14:textId="77777777" w:rsidTr="00465964">
        <w:tc>
          <w:tcPr>
            <w:tcW w:w="0" w:type="auto"/>
            <w:shd w:val="clear" w:color="auto" w:fill="auto"/>
            <w:hideMark/>
          </w:tcPr>
          <w:p w14:paraId="0A2DAD45" w14:textId="77777777" w:rsidR="00465964" w:rsidRPr="00465964" w:rsidRDefault="00465964" w:rsidP="00465964">
            <w:r w:rsidRPr="00465964">
              <w:t>f)</w:t>
            </w:r>
          </w:p>
        </w:tc>
        <w:tc>
          <w:tcPr>
            <w:tcW w:w="0" w:type="auto"/>
            <w:shd w:val="clear" w:color="auto" w:fill="auto"/>
            <w:hideMark/>
          </w:tcPr>
          <w:p w14:paraId="155CF23B" w14:textId="77777777" w:rsidR="00465964" w:rsidRPr="00465964" w:rsidRDefault="00465964" w:rsidP="00465964">
            <w:pPr>
              <w:rPr>
                <w:lang w:val="pt-PT"/>
              </w:rPr>
            </w:pPr>
            <w:r w:rsidRPr="00465964">
              <w:rPr>
                <w:lang w:val="pt-PT"/>
              </w:rPr>
              <w:t>Uma descrição pormenorizada dos mecanismos de governação do emitente requerente a que se refere o artigo 34.</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1;</w:t>
            </w:r>
          </w:p>
        </w:tc>
      </w:tr>
    </w:tbl>
    <w:p w14:paraId="195EE695"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74"/>
        <w:gridCol w:w="8852"/>
      </w:tblGrid>
      <w:tr w:rsidR="00465964" w:rsidRPr="00465964" w14:paraId="3D39EA5A" w14:textId="77777777" w:rsidTr="00465964">
        <w:tc>
          <w:tcPr>
            <w:tcW w:w="0" w:type="auto"/>
            <w:shd w:val="clear" w:color="auto" w:fill="auto"/>
            <w:hideMark/>
          </w:tcPr>
          <w:p w14:paraId="68C0AD0E" w14:textId="77777777" w:rsidR="00465964" w:rsidRPr="00465964" w:rsidRDefault="00465964" w:rsidP="00465964">
            <w:r w:rsidRPr="00465964">
              <w:t>g)</w:t>
            </w:r>
          </w:p>
        </w:tc>
        <w:tc>
          <w:tcPr>
            <w:tcW w:w="0" w:type="auto"/>
            <w:shd w:val="clear" w:color="auto" w:fill="auto"/>
            <w:hideMark/>
          </w:tcPr>
          <w:p w14:paraId="42BBE480" w14:textId="77777777" w:rsidR="00465964" w:rsidRPr="00465964" w:rsidRDefault="00465964" w:rsidP="00465964">
            <w:pPr>
              <w:rPr>
                <w:lang w:val="pt-PT"/>
              </w:rPr>
            </w:pPr>
            <w:r w:rsidRPr="00465964">
              <w:rPr>
                <w:lang w:val="pt-PT"/>
              </w:rPr>
              <w:t>Caso existam acordos de cooperação com prestadores de serviços de criptoativos específicos, uma descrição dos respetivos mecanismos e procedimentos de controlo interno destinados a assegurar o cumprimento das obrigações em matéria de prevenção do branqueamento de capitais e do financiamento do terrorismo previstas na Diretiva (UE) 2015/849;</w:t>
            </w:r>
          </w:p>
        </w:tc>
      </w:tr>
    </w:tbl>
    <w:p w14:paraId="71E04F17"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220"/>
        <w:gridCol w:w="8806"/>
      </w:tblGrid>
      <w:tr w:rsidR="00465964" w:rsidRPr="00465964" w14:paraId="1A1584BB" w14:textId="77777777" w:rsidTr="00465964">
        <w:tc>
          <w:tcPr>
            <w:tcW w:w="0" w:type="auto"/>
            <w:shd w:val="clear" w:color="auto" w:fill="auto"/>
            <w:hideMark/>
          </w:tcPr>
          <w:p w14:paraId="454721BD" w14:textId="77777777" w:rsidR="00465964" w:rsidRPr="00465964" w:rsidRDefault="00465964" w:rsidP="00465964">
            <w:r w:rsidRPr="00465964">
              <w:t>h)</w:t>
            </w:r>
          </w:p>
        </w:tc>
        <w:tc>
          <w:tcPr>
            <w:tcW w:w="0" w:type="auto"/>
            <w:shd w:val="clear" w:color="auto" w:fill="auto"/>
            <w:hideMark/>
          </w:tcPr>
          <w:p w14:paraId="54E61737" w14:textId="77777777" w:rsidR="00465964" w:rsidRPr="00465964" w:rsidRDefault="00465964" w:rsidP="00465964">
            <w:pPr>
              <w:rPr>
                <w:lang w:val="pt-PT"/>
              </w:rPr>
            </w:pPr>
            <w:r w:rsidRPr="00465964">
              <w:rPr>
                <w:lang w:val="pt-PT"/>
              </w:rPr>
              <w:t>A identidade dos membros do órgão de administração do emitente requerente;</w:t>
            </w:r>
          </w:p>
        </w:tc>
      </w:tr>
    </w:tbl>
    <w:p w14:paraId="4691B50D"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17"/>
        <w:gridCol w:w="8909"/>
      </w:tblGrid>
      <w:tr w:rsidR="00465964" w:rsidRPr="00465964" w14:paraId="30729B56" w14:textId="77777777" w:rsidTr="00465964">
        <w:tc>
          <w:tcPr>
            <w:tcW w:w="0" w:type="auto"/>
            <w:shd w:val="clear" w:color="auto" w:fill="auto"/>
            <w:hideMark/>
          </w:tcPr>
          <w:p w14:paraId="5EDB99A0" w14:textId="77777777" w:rsidR="00465964" w:rsidRPr="00465964" w:rsidRDefault="00465964" w:rsidP="00465964">
            <w:proofErr w:type="spellStart"/>
            <w:r w:rsidRPr="00465964">
              <w:t>i</w:t>
            </w:r>
            <w:proofErr w:type="spellEnd"/>
            <w:r w:rsidRPr="00465964">
              <w:t>)</w:t>
            </w:r>
          </w:p>
        </w:tc>
        <w:tc>
          <w:tcPr>
            <w:tcW w:w="0" w:type="auto"/>
            <w:shd w:val="clear" w:color="auto" w:fill="auto"/>
            <w:hideMark/>
          </w:tcPr>
          <w:p w14:paraId="29A16A2A" w14:textId="77777777" w:rsidR="00465964" w:rsidRPr="00465964" w:rsidRDefault="00465964" w:rsidP="00465964">
            <w:pPr>
              <w:rPr>
                <w:lang w:val="pt-PT"/>
              </w:rPr>
            </w:pPr>
            <w:r w:rsidRPr="00465964">
              <w:rPr>
                <w:lang w:val="pt-PT"/>
              </w:rPr>
              <w:t>Um comprovativo de que as pessoas a que se refere a alínea h) têm idoneidade suficiente e possuem os conhecimentos, competências e experiência adequados para assumir a direção do emitente requerente;</w:t>
            </w:r>
          </w:p>
        </w:tc>
      </w:tr>
    </w:tbl>
    <w:p w14:paraId="37BDF00F"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17"/>
        <w:gridCol w:w="8909"/>
      </w:tblGrid>
      <w:tr w:rsidR="00465964" w:rsidRPr="00465964" w14:paraId="0625B42E" w14:textId="77777777" w:rsidTr="00465964">
        <w:tc>
          <w:tcPr>
            <w:tcW w:w="0" w:type="auto"/>
            <w:shd w:val="clear" w:color="auto" w:fill="auto"/>
            <w:hideMark/>
          </w:tcPr>
          <w:p w14:paraId="0CAF43AC" w14:textId="77777777" w:rsidR="00465964" w:rsidRPr="00465964" w:rsidRDefault="00465964" w:rsidP="00465964">
            <w:r w:rsidRPr="00465964">
              <w:lastRenderedPageBreak/>
              <w:t>j)</w:t>
            </w:r>
          </w:p>
        </w:tc>
        <w:tc>
          <w:tcPr>
            <w:tcW w:w="0" w:type="auto"/>
            <w:shd w:val="clear" w:color="auto" w:fill="auto"/>
            <w:hideMark/>
          </w:tcPr>
          <w:p w14:paraId="3AC3D741" w14:textId="77777777" w:rsidR="00465964" w:rsidRPr="00465964" w:rsidRDefault="00465964" w:rsidP="00465964">
            <w:pPr>
              <w:rPr>
                <w:lang w:val="pt-PT"/>
              </w:rPr>
            </w:pPr>
            <w:r w:rsidRPr="00465964">
              <w:rPr>
                <w:lang w:val="pt-PT"/>
              </w:rPr>
              <w:t>Um comprovativo de que qualquer acionista ou sócio, quer direto ou indireto, que detenha participações qualificadas no emitente requerente tem idoneidade suficiente;</w:t>
            </w:r>
          </w:p>
        </w:tc>
      </w:tr>
    </w:tbl>
    <w:p w14:paraId="6F7DFAD6"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280"/>
        <w:gridCol w:w="8746"/>
      </w:tblGrid>
      <w:tr w:rsidR="00465964" w:rsidRPr="00465964" w14:paraId="50DB04E3" w14:textId="77777777" w:rsidTr="00465964">
        <w:tc>
          <w:tcPr>
            <w:tcW w:w="0" w:type="auto"/>
            <w:shd w:val="clear" w:color="auto" w:fill="auto"/>
            <w:hideMark/>
          </w:tcPr>
          <w:p w14:paraId="4F0CD170" w14:textId="77777777" w:rsidR="00465964" w:rsidRPr="00465964" w:rsidRDefault="00465964" w:rsidP="00465964">
            <w:r w:rsidRPr="00465964">
              <w:t>k)</w:t>
            </w:r>
          </w:p>
        </w:tc>
        <w:tc>
          <w:tcPr>
            <w:tcW w:w="0" w:type="auto"/>
            <w:shd w:val="clear" w:color="auto" w:fill="auto"/>
            <w:hideMark/>
          </w:tcPr>
          <w:p w14:paraId="39CB8C88" w14:textId="77777777" w:rsidR="00465964" w:rsidRPr="00465964" w:rsidRDefault="00465964" w:rsidP="00465964">
            <w:pPr>
              <w:rPr>
                <w:lang w:val="pt-PT"/>
              </w:rPr>
            </w:pPr>
            <w:r w:rsidRPr="00465964">
              <w:rPr>
                <w:lang w:val="pt-PT"/>
              </w:rPr>
              <w:t>Um livrete do criptoativo, tal como referido no artigo 19.</w:t>
            </w:r>
            <w:r w:rsidRPr="00465964">
              <w:rPr>
                <w:vertAlign w:val="superscript"/>
                <w:lang w:val="pt-PT"/>
              </w:rPr>
              <w:t>o</w:t>
            </w:r>
            <w:r w:rsidRPr="00465964">
              <w:rPr>
                <w:lang w:val="pt-PT"/>
              </w:rPr>
              <w:t>;</w:t>
            </w:r>
          </w:p>
        </w:tc>
      </w:tr>
    </w:tbl>
    <w:p w14:paraId="7D575D3D"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42"/>
        <w:gridCol w:w="8884"/>
      </w:tblGrid>
      <w:tr w:rsidR="00465964" w:rsidRPr="00465964" w14:paraId="60FE84BA" w14:textId="77777777" w:rsidTr="00465964">
        <w:tc>
          <w:tcPr>
            <w:tcW w:w="0" w:type="auto"/>
            <w:shd w:val="clear" w:color="auto" w:fill="auto"/>
            <w:hideMark/>
          </w:tcPr>
          <w:p w14:paraId="1BA0F921" w14:textId="77777777" w:rsidR="00465964" w:rsidRPr="00465964" w:rsidRDefault="00465964" w:rsidP="00465964">
            <w:r w:rsidRPr="00465964">
              <w:t>l)</w:t>
            </w:r>
          </w:p>
        </w:tc>
        <w:tc>
          <w:tcPr>
            <w:tcW w:w="0" w:type="auto"/>
            <w:shd w:val="clear" w:color="auto" w:fill="auto"/>
            <w:hideMark/>
          </w:tcPr>
          <w:p w14:paraId="09822628" w14:textId="77777777" w:rsidR="00465964" w:rsidRPr="00465964" w:rsidRDefault="00465964" w:rsidP="00465964">
            <w:pPr>
              <w:rPr>
                <w:lang w:val="pt-PT"/>
              </w:rPr>
            </w:pPr>
            <w:r w:rsidRPr="00465964">
              <w:rPr>
                <w:lang w:val="pt-PT"/>
              </w:rPr>
              <w:t>As políticas e os procedimentos referidos no artigo 34.</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5, primeiro parágrafo;</w:t>
            </w:r>
          </w:p>
        </w:tc>
      </w:tr>
    </w:tbl>
    <w:p w14:paraId="1F36B641"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253"/>
        <w:gridCol w:w="8773"/>
      </w:tblGrid>
      <w:tr w:rsidR="00465964" w:rsidRPr="00465964" w14:paraId="08709E95" w14:textId="77777777" w:rsidTr="00465964">
        <w:tc>
          <w:tcPr>
            <w:tcW w:w="0" w:type="auto"/>
            <w:shd w:val="clear" w:color="auto" w:fill="auto"/>
            <w:hideMark/>
          </w:tcPr>
          <w:p w14:paraId="10FA978F" w14:textId="77777777" w:rsidR="00465964" w:rsidRPr="00465964" w:rsidRDefault="00465964" w:rsidP="00465964">
            <w:r w:rsidRPr="00465964">
              <w:t>m)</w:t>
            </w:r>
          </w:p>
        </w:tc>
        <w:tc>
          <w:tcPr>
            <w:tcW w:w="0" w:type="auto"/>
            <w:shd w:val="clear" w:color="auto" w:fill="auto"/>
            <w:hideMark/>
          </w:tcPr>
          <w:p w14:paraId="78950869" w14:textId="77777777" w:rsidR="00465964" w:rsidRPr="00465964" w:rsidRDefault="00465964" w:rsidP="00465964">
            <w:pPr>
              <w:rPr>
                <w:lang w:val="pt-PT"/>
              </w:rPr>
            </w:pPr>
            <w:r w:rsidRPr="00465964">
              <w:rPr>
                <w:lang w:val="pt-PT"/>
              </w:rPr>
              <w:t>Uma descrição das disposições contratuais acordadas com entidades terceiras a que se refere o artigo 34.</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5, segundo parágrafo;</w:t>
            </w:r>
          </w:p>
        </w:tc>
      </w:tr>
    </w:tbl>
    <w:p w14:paraId="6380661C"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6"/>
        <w:gridCol w:w="8840"/>
      </w:tblGrid>
      <w:tr w:rsidR="00465964" w:rsidRPr="00465964" w14:paraId="6E422359" w14:textId="77777777" w:rsidTr="00465964">
        <w:tc>
          <w:tcPr>
            <w:tcW w:w="0" w:type="auto"/>
            <w:shd w:val="clear" w:color="auto" w:fill="auto"/>
            <w:hideMark/>
          </w:tcPr>
          <w:p w14:paraId="4FDA31EA" w14:textId="77777777" w:rsidR="00465964" w:rsidRPr="00465964" w:rsidRDefault="00465964" w:rsidP="00465964">
            <w:r w:rsidRPr="00465964">
              <w:t>n)</w:t>
            </w:r>
          </w:p>
        </w:tc>
        <w:tc>
          <w:tcPr>
            <w:tcW w:w="0" w:type="auto"/>
            <w:shd w:val="clear" w:color="auto" w:fill="auto"/>
            <w:hideMark/>
          </w:tcPr>
          <w:p w14:paraId="00B9AD83" w14:textId="77777777" w:rsidR="00465964" w:rsidRPr="00465964" w:rsidRDefault="00465964" w:rsidP="00465964">
            <w:pPr>
              <w:rPr>
                <w:lang w:val="pt-PT"/>
              </w:rPr>
            </w:pPr>
            <w:r w:rsidRPr="00465964">
              <w:rPr>
                <w:lang w:val="pt-PT"/>
              </w:rPr>
              <w:t>Uma descrição da política de continuidade das atividades do emitente requerente a que se refere o artigo 34.</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9;</w:t>
            </w:r>
          </w:p>
        </w:tc>
      </w:tr>
    </w:tbl>
    <w:p w14:paraId="7A530657"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6"/>
        <w:gridCol w:w="8840"/>
      </w:tblGrid>
      <w:tr w:rsidR="00465964" w:rsidRPr="00465964" w14:paraId="385170BC" w14:textId="77777777" w:rsidTr="00465964">
        <w:tc>
          <w:tcPr>
            <w:tcW w:w="0" w:type="auto"/>
            <w:shd w:val="clear" w:color="auto" w:fill="auto"/>
            <w:hideMark/>
          </w:tcPr>
          <w:p w14:paraId="5E272A78" w14:textId="77777777" w:rsidR="00465964" w:rsidRPr="00465964" w:rsidRDefault="00465964" w:rsidP="00465964">
            <w:r w:rsidRPr="00465964">
              <w:t>o)</w:t>
            </w:r>
          </w:p>
        </w:tc>
        <w:tc>
          <w:tcPr>
            <w:tcW w:w="0" w:type="auto"/>
            <w:shd w:val="clear" w:color="auto" w:fill="auto"/>
            <w:hideMark/>
          </w:tcPr>
          <w:p w14:paraId="1F9528F8" w14:textId="77777777" w:rsidR="00465964" w:rsidRPr="00465964" w:rsidRDefault="00465964" w:rsidP="00465964">
            <w:pPr>
              <w:rPr>
                <w:lang w:val="pt-PT"/>
              </w:rPr>
            </w:pPr>
            <w:r w:rsidRPr="00465964">
              <w:rPr>
                <w:lang w:val="pt-PT"/>
              </w:rPr>
              <w:t>Uma descrição dos mecanismos de controlo interno e dos procedimentos de gestão de riscos a que se refere o artigo 34.</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10;</w:t>
            </w:r>
          </w:p>
        </w:tc>
      </w:tr>
    </w:tbl>
    <w:p w14:paraId="275EB071"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8"/>
        <w:gridCol w:w="8838"/>
      </w:tblGrid>
      <w:tr w:rsidR="00465964" w:rsidRPr="00465964" w14:paraId="618352F2" w14:textId="77777777" w:rsidTr="00465964">
        <w:tc>
          <w:tcPr>
            <w:tcW w:w="0" w:type="auto"/>
            <w:shd w:val="clear" w:color="auto" w:fill="auto"/>
            <w:hideMark/>
          </w:tcPr>
          <w:p w14:paraId="76A3B836" w14:textId="77777777" w:rsidR="00465964" w:rsidRPr="00465964" w:rsidRDefault="00465964" w:rsidP="00465964">
            <w:r w:rsidRPr="00465964">
              <w:t>p)</w:t>
            </w:r>
          </w:p>
        </w:tc>
        <w:tc>
          <w:tcPr>
            <w:tcW w:w="0" w:type="auto"/>
            <w:shd w:val="clear" w:color="auto" w:fill="auto"/>
            <w:hideMark/>
          </w:tcPr>
          <w:p w14:paraId="01DEF5AB" w14:textId="77777777" w:rsidR="00465964" w:rsidRPr="00465964" w:rsidRDefault="00465964" w:rsidP="00465964">
            <w:pPr>
              <w:rPr>
                <w:lang w:val="pt-PT"/>
              </w:rPr>
            </w:pPr>
            <w:r w:rsidRPr="00465964">
              <w:rPr>
                <w:lang w:val="pt-PT"/>
              </w:rPr>
              <w:t>Uma descrição dos sistemas e procedimentos existentes para garantir a disponibilidade, autenticidade, integridade e confidencialidade dos dados a que se refere o artigo 34.</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11;</w:t>
            </w:r>
          </w:p>
        </w:tc>
      </w:tr>
    </w:tbl>
    <w:p w14:paraId="0612061B"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8"/>
        <w:gridCol w:w="8838"/>
      </w:tblGrid>
      <w:tr w:rsidR="00465964" w:rsidRPr="00465964" w14:paraId="77D468FF" w14:textId="77777777" w:rsidTr="00465964">
        <w:tc>
          <w:tcPr>
            <w:tcW w:w="0" w:type="auto"/>
            <w:shd w:val="clear" w:color="auto" w:fill="auto"/>
            <w:hideMark/>
          </w:tcPr>
          <w:p w14:paraId="7C80EB68" w14:textId="77777777" w:rsidR="00465964" w:rsidRPr="00465964" w:rsidRDefault="00465964" w:rsidP="00465964">
            <w:r w:rsidRPr="00465964">
              <w:t>q)</w:t>
            </w:r>
          </w:p>
        </w:tc>
        <w:tc>
          <w:tcPr>
            <w:tcW w:w="0" w:type="auto"/>
            <w:shd w:val="clear" w:color="auto" w:fill="auto"/>
            <w:hideMark/>
          </w:tcPr>
          <w:p w14:paraId="78D3FE6C" w14:textId="77777777" w:rsidR="00465964" w:rsidRPr="00465964" w:rsidRDefault="00465964" w:rsidP="00465964">
            <w:pPr>
              <w:rPr>
                <w:lang w:val="pt-PT"/>
              </w:rPr>
            </w:pPr>
            <w:r w:rsidRPr="00465964">
              <w:rPr>
                <w:lang w:val="pt-PT"/>
              </w:rPr>
              <w:t>Uma descrição dos procedimentos de tratamento das reclamações do emitente requerente a que se refere o artigo 31.</w:t>
            </w:r>
            <w:r w:rsidRPr="00465964">
              <w:rPr>
                <w:vertAlign w:val="superscript"/>
                <w:lang w:val="pt-PT"/>
              </w:rPr>
              <w:t>o</w:t>
            </w:r>
            <w:r w:rsidRPr="00465964">
              <w:rPr>
                <w:lang w:val="pt-PT"/>
              </w:rPr>
              <w:t>;</w:t>
            </w:r>
          </w:p>
        </w:tc>
      </w:tr>
    </w:tbl>
    <w:p w14:paraId="2ACCF0E7"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39"/>
        <w:gridCol w:w="8887"/>
      </w:tblGrid>
      <w:tr w:rsidR="00465964" w:rsidRPr="00465964" w14:paraId="7B4F51F9" w14:textId="77777777" w:rsidTr="00465964">
        <w:tc>
          <w:tcPr>
            <w:tcW w:w="0" w:type="auto"/>
            <w:shd w:val="clear" w:color="auto" w:fill="auto"/>
            <w:hideMark/>
          </w:tcPr>
          <w:p w14:paraId="1342A7E9" w14:textId="77777777" w:rsidR="00465964" w:rsidRPr="00465964" w:rsidRDefault="00465964" w:rsidP="00465964">
            <w:r w:rsidRPr="00465964">
              <w:t>r)</w:t>
            </w:r>
          </w:p>
        </w:tc>
        <w:tc>
          <w:tcPr>
            <w:tcW w:w="0" w:type="auto"/>
            <w:shd w:val="clear" w:color="auto" w:fill="auto"/>
            <w:hideMark/>
          </w:tcPr>
          <w:p w14:paraId="7F304EE3" w14:textId="77777777" w:rsidR="00465964" w:rsidRPr="00465964" w:rsidRDefault="00465964" w:rsidP="00465964">
            <w:pPr>
              <w:rPr>
                <w:lang w:val="pt-PT"/>
              </w:rPr>
            </w:pPr>
            <w:r w:rsidRPr="00465964">
              <w:rPr>
                <w:lang w:val="pt-PT"/>
              </w:rPr>
              <w:t xml:space="preserve">Se for caso disso, uma lista dos Estados-Membros de acolhimento em que o emitente requerente pretende proceder a uma oferta pública ou solicitar a admissão à negociação da </w:t>
            </w:r>
            <w:proofErr w:type="spellStart"/>
            <w:r w:rsidRPr="00465964">
              <w:rPr>
                <w:lang w:val="pt-PT"/>
              </w:rPr>
              <w:t>criptoficha</w:t>
            </w:r>
            <w:proofErr w:type="spellEnd"/>
            <w:r w:rsidRPr="00465964">
              <w:rPr>
                <w:lang w:val="pt-PT"/>
              </w:rPr>
              <w:t xml:space="preserve"> referenciada a ativos.</w:t>
            </w:r>
          </w:p>
        </w:tc>
      </w:tr>
    </w:tbl>
    <w:p w14:paraId="2D08B2DF" w14:textId="77777777" w:rsidR="00465964" w:rsidRPr="00465964" w:rsidRDefault="00465964" w:rsidP="00465964">
      <w:pPr>
        <w:rPr>
          <w:lang w:val="pt-PT"/>
        </w:rPr>
      </w:pPr>
      <w:r w:rsidRPr="00465964">
        <w:rPr>
          <w:lang w:val="pt-PT"/>
        </w:rPr>
        <w:t xml:space="preserve">3.   Os emitentes que já tenham sido anteriormente autorizados relativamente a uma </w:t>
      </w:r>
      <w:proofErr w:type="spellStart"/>
      <w:r w:rsidRPr="00465964">
        <w:rPr>
          <w:lang w:val="pt-PT"/>
        </w:rPr>
        <w:t>criptoficha</w:t>
      </w:r>
      <w:proofErr w:type="spellEnd"/>
      <w:r w:rsidRPr="00465964">
        <w:rPr>
          <w:lang w:val="pt-PT"/>
        </w:rPr>
        <w:t xml:space="preserve"> referenciada a ativos não são obrigados a apresentar, para efeitos da autorização relativamente a outra </w:t>
      </w:r>
      <w:proofErr w:type="spellStart"/>
      <w:r w:rsidRPr="00465964">
        <w:rPr>
          <w:lang w:val="pt-PT"/>
        </w:rPr>
        <w:t>criptoficha</w:t>
      </w:r>
      <w:proofErr w:type="spellEnd"/>
      <w:r w:rsidRPr="00465964">
        <w:rPr>
          <w:lang w:val="pt-PT"/>
        </w:rPr>
        <w:t xml:space="preserve"> referenciada a ativos, nenhumas informações que tenham anteriormente apresentado à autoridade competente nos casos em que essas informações se afigurassem idênticas. Ao apresentar as informações enumeradas no </w:t>
      </w:r>
      <w:proofErr w:type="spellStart"/>
      <w:r w:rsidRPr="00465964">
        <w:rPr>
          <w:lang w:val="pt-PT"/>
        </w:rPr>
        <w:t>n.</w:t>
      </w:r>
      <w:r w:rsidRPr="00465964">
        <w:rPr>
          <w:vertAlign w:val="superscript"/>
          <w:lang w:val="pt-PT"/>
        </w:rPr>
        <w:t>o</w:t>
      </w:r>
      <w:proofErr w:type="spellEnd"/>
      <w:r w:rsidRPr="00465964">
        <w:rPr>
          <w:lang w:val="pt-PT"/>
        </w:rPr>
        <w:t> 2, o emitente confirma expressamente que todas as informações que não tenham sido apresentadas de novo continuam atualizadas.</w:t>
      </w:r>
    </w:p>
    <w:p w14:paraId="41C2E0C4" w14:textId="77777777" w:rsidR="00465964" w:rsidRPr="00465964" w:rsidRDefault="00465964" w:rsidP="00465964">
      <w:pPr>
        <w:rPr>
          <w:lang w:val="pt-PT"/>
        </w:rPr>
      </w:pPr>
      <w:r w:rsidRPr="00465964">
        <w:rPr>
          <w:lang w:val="pt-PT"/>
        </w:rPr>
        <w:t xml:space="preserve">4.   A autoridade competente deve com a maior brevidade, e em qualquer caso no prazo de dois dias úteis a contar da data de receção de um pedido nos termos do </w:t>
      </w:r>
      <w:proofErr w:type="spellStart"/>
      <w:r w:rsidRPr="00465964">
        <w:rPr>
          <w:lang w:val="pt-PT"/>
        </w:rPr>
        <w:t>n.</w:t>
      </w:r>
      <w:r w:rsidRPr="00465964">
        <w:rPr>
          <w:vertAlign w:val="superscript"/>
          <w:lang w:val="pt-PT"/>
        </w:rPr>
        <w:t>o</w:t>
      </w:r>
      <w:proofErr w:type="spellEnd"/>
      <w:r w:rsidRPr="00465964">
        <w:rPr>
          <w:lang w:val="pt-PT"/>
        </w:rPr>
        <w:t> 1, acusar, por escrito, a receção do pedido junto do emitente requerente.</w:t>
      </w:r>
    </w:p>
    <w:p w14:paraId="6C358B2E" w14:textId="77777777" w:rsidR="00465964" w:rsidRPr="00465964" w:rsidRDefault="00465964" w:rsidP="00465964">
      <w:pPr>
        <w:rPr>
          <w:lang w:val="pt-PT"/>
        </w:rPr>
      </w:pPr>
      <w:r w:rsidRPr="00465964">
        <w:rPr>
          <w:lang w:val="pt-PT"/>
        </w:rPr>
        <w:t xml:space="preserve">5.   Para efeitos do </w:t>
      </w:r>
      <w:proofErr w:type="spellStart"/>
      <w:r w:rsidRPr="00465964">
        <w:rPr>
          <w:lang w:val="pt-PT"/>
        </w:rPr>
        <w:t>n.</w:t>
      </w:r>
      <w:r w:rsidRPr="00465964">
        <w:rPr>
          <w:vertAlign w:val="superscript"/>
          <w:lang w:val="pt-PT"/>
        </w:rPr>
        <w:t>o</w:t>
      </w:r>
      <w:proofErr w:type="spellEnd"/>
      <w:r w:rsidRPr="00465964">
        <w:rPr>
          <w:lang w:val="pt-PT"/>
        </w:rPr>
        <w:t xml:space="preserve"> 2, alíneas i) e j), o emitente requerente da </w:t>
      </w:r>
      <w:proofErr w:type="spellStart"/>
      <w:r w:rsidRPr="00465964">
        <w:rPr>
          <w:lang w:val="pt-PT"/>
        </w:rPr>
        <w:t>criptoficha</w:t>
      </w:r>
      <w:proofErr w:type="spellEnd"/>
      <w:r w:rsidRPr="00465964">
        <w:rPr>
          <w:lang w:val="pt-PT"/>
        </w:rPr>
        <w:t xml:space="preserve"> referenciada a ativos deve apresentar prova que demonstre todos os seguintes elementos:</w:t>
      </w:r>
    </w:p>
    <w:tbl>
      <w:tblPr>
        <w:tblW w:w="5000" w:type="pct"/>
        <w:tblCellMar>
          <w:left w:w="0" w:type="dxa"/>
          <w:right w:w="0" w:type="dxa"/>
        </w:tblCellMar>
        <w:tblLook w:val="04A0" w:firstRow="1" w:lastRow="0" w:firstColumn="1" w:lastColumn="0" w:noHBand="0" w:noVBand="1"/>
      </w:tblPr>
      <w:tblGrid>
        <w:gridCol w:w="182"/>
        <w:gridCol w:w="8844"/>
      </w:tblGrid>
      <w:tr w:rsidR="00465964" w:rsidRPr="00465964" w14:paraId="18B7BB2D" w14:textId="77777777" w:rsidTr="00465964">
        <w:tc>
          <w:tcPr>
            <w:tcW w:w="0" w:type="auto"/>
            <w:shd w:val="clear" w:color="auto" w:fill="auto"/>
            <w:hideMark/>
          </w:tcPr>
          <w:p w14:paraId="5D294497" w14:textId="77777777" w:rsidR="00465964" w:rsidRPr="00465964" w:rsidRDefault="00465964" w:rsidP="00465964">
            <w:r w:rsidRPr="00465964">
              <w:t>a)</w:t>
            </w:r>
          </w:p>
        </w:tc>
        <w:tc>
          <w:tcPr>
            <w:tcW w:w="0" w:type="auto"/>
            <w:shd w:val="clear" w:color="auto" w:fill="auto"/>
            <w:hideMark/>
          </w:tcPr>
          <w:p w14:paraId="13394FD1" w14:textId="77777777" w:rsidR="00465964" w:rsidRPr="00465964" w:rsidRDefault="00465964" w:rsidP="00465964">
            <w:pPr>
              <w:rPr>
                <w:lang w:val="pt-PT"/>
              </w:rPr>
            </w:pPr>
            <w:r w:rsidRPr="00465964">
              <w:rPr>
                <w:lang w:val="pt-PT"/>
              </w:rPr>
              <w:t>Para todos os membros do órgão de administração, um registo criminal do qual não constem condenações, ou a ausência de sanções impostas, por força do direito comercial aplicável, do direito da insolvência e da legislação relativa aos serviços financeiros, ou no contexto da luta contra o branqueamento de capitais e o financiamento do terrorismo, da fraude ou da responsabilidade profissional;</w:t>
            </w:r>
          </w:p>
        </w:tc>
      </w:tr>
    </w:tbl>
    <w:p w14:paraId="5B94744E"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8"/>
        <w:gridCol w:w="8838"/>
      </w:tblGrid>
      <w:tr w:rsidR="00465964" w:rsidRPr="00465964" w14:paraId="17226C71" w14:textId="77777777" w:rsidTr="00465964">
        <w:tc>
          <w:tcPr>
            <w:tcW w:w="0" w:type="auto"/>
            <w:shd w:val="clear" w:color="auto" w:fill="auto"/>
            <w:hideMark/>
          </w:tcPr>
          <w:p w14:paraId="693EAEB3" w14:textId="77777777" w:rsidR="00465964" w:rsidRPr="00465964" w:rsidRDefault="00465964" w:rsidP="00465964">
            <w:r w:rsidRPr="00465964">
              <w:t>b)</w:t>
            </w:r>
          </w:p>
        </w:tc>
        <w:tc>
          <w:tcPr>
            <w:tcW w:w="0" w:type="auto"/>
            <w:shd w:val="clear" w:color="auto" w:fill="auto"/>
            <w:hideMark/>
          </w:tcPr>
          <w:p w14:paraId="24C0E51E" w14:textId="77777777" w:rsidR="00465964" w:rsidRPr="00465964" w:rsidRDefault="00465964" w:rsidP="00465964">
            <w:pPr>
              <w:rPr>
                <w:lang w:val="pt-PT"/>
              </w:rPr>
            </w:pPr>
            <w:r w:rsidRPr="00465964">
              <w:rPr>
                <w:lang w:val="pt-PT"/>
              </w:rPr>
              <w:t xml:space="preserve">Os membros do órgão de administração do emitente requerente da </w:t>
            </w:r>
            <w:proofErr w:type="spellStart"/>
            <w:r w:rsidRPr="00465964">
              <w:rPr>
                <w:lang w:val="pt-PT"/>
              </w:rPr>
              <w:t>criptoficha</w:t>
            </w:r>
            <w:proofErr w:type="spellEnd"/>
            <w:r w:rsidRPr="00465964">
              <w:rPr>
                <w:lang w:val="pt-PT"/>
              </w:rPr>
              <w:t xml:space="preserve"> referenciada a ativos possuem, no seu conjunto, os conhecimentos, competências e experiência adequados para assumir a direção do emitente da </w:t>
            </w:r>
            <w:proofErr w:type="spellStart"/>
            <w:r w:rsidRPr="00465964">
              <w:rPr>
                <w:lang w:val="pt-PT"/>
              </w:rPr>
              <w:t>criptoficha</w:t>
            </w:r>
            <w:proofErr w:type="spellEnd"/>
            <w:r w:rsidRPr="00465964">
              <w:rPr>
                <w:lang w:val="pt-PT"/>
              </w:rPr>
              <w:t xml:space="preserve"> referenciada a ativos e de que se exige a essas pessoas que consagrem tempo suficiente ao desempenho das suas funções.</w:t>
            </w:r>
          </w:p>
        </w:tc>
      </w:tr>
    </w:tbl>
    <w:p w14:paraId="1EA6FBE7"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0"/>
        <w:gridCol w:w="8846"/>
      </w:tblGrid>
      <w:tr w:rsidR="00465964" w:rsidRPr="00465964" w14:paraId="1768DBB9" w14:textId="77777777" w:rsidTr="00465964">
        <w:tc>
          <w:tcPr>
            <w:tcW w:w="0" w:type="auto"/>
            <w:shd w:val="clear" w:color="auto" w:fill="auto"/>
            <w:hideMark/>
          </w:tcPr>
          <w:p w14:paraId="071A8006" w14:textId="77777777" w:rsidR="00465964" w:rsidRPr="00465964" w:rsidRDefault="00465964" w:rsidP="00465964">
            <w:r w:rsidRPr="00465964">
              <w:t>c)</w:t>
            </w:r>
          </w:p>
        </w:tc>
        <w:tc>
          <w:tcPr>
            <w:tcW w:w="0" w:type="auto"/>
            <w:shd w:val="clear" w:color="auto" w:fill="auto"/>
            <w:hideMark/>
          </w:tcPr>
          <w:p w14:paraId="1EAE1503" w14:textId="77777777" w:rsidR="00465964" w:rsidRPr="00465964" w:rsidRDefault="00465964" w:rsidP="00465964">
            <w:pPr>
              <w:rPr>
                <w:lang w:val="pt-PT"/>
              </w:rPr>
            </w:pPr>
            <w:r w:rsidRPr="00465964">
              <w:rPr>
                <w:lang w:val="pt-PT"/>
              </w:rPr>
              <w:t xml:space="preserve">Para todos os acionistas ou sócios, quer diretos ou indiretos, que detenham participações qualificadas no emitente requerente, um registo criminal do qual não constem condenações, </w:t>
            </w:r>
            <w:r w:rsidRPr="00465964">
              <w:rPr>
                <w:lang w:val="pt-PT"/>
              </w:rPr>
              <w:lastRenderedPageBreak/>
              <w:t>e a ausência de sanções impostas, por força do direito comercial aplicável, do direito da insolvência e da legislação relativa aos serviços financeiros, ou no contexto da luta contra o branqueamento de capitais e o financiamento do terrorismo, da fraude ou da responsabilidade profissional.</w:t>
            </w:r>
          </w:p>
        </w:tc>
      </w:tr>
    </w:tbl>
    <w:p w14:paraId="2CC2148F" w14:textId="77777777" w:rsidR="00465964" w:rsidRPr="00465964" w:rsidRDefault="00465964" w:rsidP="00465964">
      <w:pPr>
        <w:rPr>
          <w:lang w:val="pt-PT"/>
        </w:rPr>
      </w:pPr>
      <w:r w:rsidRPr="00465964">
        <w:rPr>
          <w:lang w:val="pt-PT"/>
        </w:rPr>
        <w:lastRenderedPageBreak/>
        <w:t xml:space="preserve">6.   A EBA, em estreita cooperação com a ESMA e o BCE, elabora projetos de normas técnicas de regulamentação que especifiquem melhor as informações a que se refere o </w:t>
      </w:r>
      <w:proofErr w:type="spellStart"/>
      <w:r w:rsidRPr="00465964">
        <w:rPr>
          <w:lang w:val="pt-PT"/>
        </w:rPr>
        <w:t>n.</w:t>
      </w:r>
      <w:r w:rsidRPr="00465964">
        <w:rPr>
          <w:vertAlign w:val="superscript"/>
          <w:lang w:val="pt-PT"/>
        </w:rPr>
        <w:t>o</w:t>
      </w:r>
      <w:proofErr w:type="spellEnd"/>
      <w:r w:rsidRPr="00465964">
        <w:rPr>
          <w:lang w:val="pt-PT"/>
        </w:rPr>
        <w:t> 2.</w:t>
      </w:r>
    </w:p>
    <w:p w14:paraId="2C9B8F50" w14:textId="77777777" w:rsidR="00465964" w:rsidRPr="00465964" w:rsidRDefault="00465964" w:rsidP="00465964">
      <w:pPr>
        <w:rPr>
          <w:lang w:val="pt-PT"/>
        </w:rPr>
      </w:pPr>
      <w:r w:rsidRPr="00465964">
        <w:rPr>
          <w:lang w:val="pt-PT"/>
        </w:rPr>
        <w:t>A EBA apresenta à Comissão os projetos de normas técnicas de regulamentação referidos no primeiro parágrafo até 30 de junho de 2024.</w:t>
      </w:r>
    </w:p>
    <w:p w14:paraId="66D5AFF9" w14:textId="77777777" w:rsidR="00465964" w:rsidRPr="00465964" w:rsidRDefault="00465964" w:rsidP="00465964">
      <w:pPr>
        <w:rPr>
          <w:lang w:val="pt-PT"/>
        </w:rPr>
      </w:pPr>
      <w:r w:rsidRPr="00465964">
        <w:rPr>
          <w:lang w:val="pt-PT"/>
        </w:rPr>
        <w:t>É delegado na Comissão o poder de completar o presente regulamento através da adoção das normas técnicas de regulamentação a que se refere o primeiro parágrafo do presente número em conformidade com os artigos 10.</w:t>
      </w:r>
      <w:r w:rsidRPr="00465964">
        <w:rPr>
          <w:vertAlign w:val="superscript"/>
          <w:lang w:val="pt-PT"/>
        </w:rPr>
        <w:t>o</w:t>
      </w:r>
      <w:r w:rsidRPr="00465964">
        <w:rPr>
          <w:lang w:val="pt-PT"/>
        </w:rPr>
        <w:t> a 14.</w:t>
      </w:r>
      <w:r w:rsidRPr="00465964">
        <w:rPr>
          <w:vertAlign w:val="superscript"/>
          <w:lang w:val="pt-PT"/>
        </w:rPr>
        <w:t>o</w:t>
      </w:r>
      <w:r w:rsidRPr="00465964">
        <w:rPr>
          <w:lang w:val="pt-PT"/>
        </w:rPr>
        <w:t xml:space="preserve"> do Regulamento (UE) </w:t>
      </w:r>
      <w:proofErr w:type="spellStart"/>
      <w:r w:rsidRPr="00465964">
        <w:rPr>
          <w:lang w:val="pt-PT"/>
        </w:rPr>
        <w:t>n.</w:t>
      </w:r>
      <w:r w:rsidRPr="00465964">
        <w:rPr>
          <w:vertAlign w:val="superscript"/>
          <w:lang w:val="pt-PT"/>
        </w:rPr>
        <w:t>o</w:t>
      </w:r>
      <w:proofErr w:type="spellEnd"/>
      <w:r w:rsidRPr="00465964">
        <w:rPr>
          <w:lang w:val="pt-PT"/>
        </w:rPr>
        <w:t> 1093/2010.</w:t>
      </w:r>
    </w:p>
    <w:p w14:paraId="2ECCE157" w14:textId="77777777" w:rsidR="00465964" w:rsidRPr="00465964" w:rsidRDefault="00465964" w:rsidP="00465964">
      <w:pPr>
        <w:rPr>
          <w:lang w:val="pt-PT"/>
        </w:rPr>
      </w:pPr>
      <w:r w:rsidRPr="00465964">
        <w:rPr>
          <w:lang w:val="pt-PT"/>
        </w:rPr>
        <w:t>7.   A EBA, em estreita cooperação com a ESMA, elabora projetos de normas técnicas de execução para criar formulários, modelos e procedimentos normalizados para a informação a incluir no pedido, de molde a assegurar a uniformidade em toda a União.</w:t>
      </w:r>
    </w:p>
    <w:p w14:paraId="04ED8014" w14:textId="77777777" w:rsidR="00465964" w:rsidRPr="00465964" w:rsidRDefault="00465964" w:rsidP="00465964">
      <w:pPr>
        <w:rPr>
          <w:lang w:val="pt-PT"/>
        </w:rPr>
      </w:pPr>
      <w:r w:rsidRPr="00465964">
        <w:rPr>
          <w:lang w:val="pt-PT"/>
        </w:rPr>
        <w:t>A EBA apresenta à Comissão os projetos de normas técnicas de execução referidos no primeiro parágrafo até 30 de junho de 2024.</w:t>
      </w:r>
    </w:p>
    <w:p w14:paraId="26573EF5" w14:textId="77777777" w:rsidR="00465964" w:rsidRPr="00465964" w:rsidRDefault="00465964" w:rsidP="00465964">
      <w:pPr>
        <w:rPr>
          <w:lang w:val="pt-PT"/>
        </w:rPr>
      </w:pPr>
      <w:r w:rsidRPr="00465964">
        <w:rPr>
          <w:lang w:val="pt-PT"/>
        </w:rPr>
        <w:t>É conferido à Comissão o poder de adotar as normas técnicas de execução a que se refere o primeiro parágrafo, nos termos do artigo 15.</w:t>
      </w:r>
      <w:r w:rsidRPr="00465964">
        <w:rPr>
          <w:vertAlign w:val="superscript"/>
          <w:lang w:val="pt-PT"/>
        </w:rPr>
        <w:t>o</w:t>
      </w:r>
      <w:r w:rsidRPr="00465964">
        <w:rPr>
          <w:lang w:val="pt-PT"/>
        </w:rPr>
        <w:t xml:space="preserve"> do Regulamento (UE) </w:t>
      </w:r>
      <w:proofErr w:type="spellStart"/>
      <w:r w:rsidRPr="00465964">
        <w:rPr>
          <w:lang w:val="pt-PT"/>
        </w:rPr>
        <w:t>n.</w:t>
      </w:r>
      <w:r w:rsidRPr="00465964">
        <w:rPr>
          <w:vertAlign w:val="superscript"/>
          <w:lang w:val="pt-PT"/>
        </w:rPr>
        <w:t>o</w:t>
      </w:r>
      <w:proofErr w:type="spellEnd"/>
      <w:r w:rsidRPr="00465964">
        <w:rPr>
          <w:lang w:val="pt-PT"/>
        </w:rPr>
        <w:t> 1093/2010.</w:t>
      </w:r>
    </w:p>
    <w:p w14:paraId="7C16FF9D" w14:textId="77777777" w:rsidR="00465964" w:rsidRPr="00465964" w:rsidRDefault="00465964" w:rsidP="00465964">
      <w:pPr>
        <w:rPr>
          <w:i/>
          <w:iCs/>
          <w:lang w:val="pt-PT"/>
        </w:rPr>
      </w:pPr>
      <w:r w:rsidRPr="00465964">
        <w:rPr>
          <w:i/>
          <w:iCs/>
          <w:lang w:val="pt-PT"/>
        </w:rPr>
        <w:t>Artigo 19.</w:t>
      </w:r>
      <w:r w:rsidRPr="00465964">
        <w:rPr>
          <w:i/>
          <w:iCs/>
          <w:vertAlign w:val="superscript"/>
          <w:lang w:val="pt-PT"/>
        </w:rPr>
        <w:t>o</w:t>
      </w:r>
    </w:p>
    <w:p w14:paraId="1959163C" w14:textId="40A66308" w:rsidR="00465964" w:rsidRPr="00465964" w:rsidRDefault="00465964" w:rsidP="00465964">
      <w:pPr>
        <w:rPr>
          <w:b/>
          <w:bCs/>
          <w:lang w:val="pt-PT"/>
        </w:rPr>
      </w:pPr>
      <w:r w:rsidRPr="00465964">
        <w:rPr>
          <w:b/>
          <w:bCs/>
          <w:lang w:val="pt-PT"/>
        </w:rPr>
        <w:t xml:space="preserve">Conteúdo e forma do livrete do criptoativo para </w:t>
      </w:r>
      <w:r>
        <w:rPr>
          <w:b/>
          <w:bCs/>
          <w:lang w:val="pt-PT"/>
        </w:rPr>
        <w:t>criptomoedas</w:t>
      </w:r>
      <w:r w:rsidRPr="00465964">
        <w:rPr>
          <w:b/>
          <w:bCs/>
          <w:lang w:val="pt-PT"/>
        </w:rPr>
        <w:t xml:space="preserve"> referenciadas a ativos</w:t>
      </w:r>
    </w:p>
    <w:p w14:paraId="09B6BA5E" w14:textId="77777777" w:rsidR="00465964" w:rsidRPr="00465964" w:rsidRDefault="00465964" w:rsidP="00465964">
      <w:pPr>
        <w:rPr>
          <w:lang w:val="pt-PT"/>
        </w:rPr>
      </w:pPr>
      <w:r w:rsidRPr="00465964">
        <w:rPr>
          <w:lang w:val="pt-PT"/>
        </w:rPr>
        <w:t xml:space="preserve">1.   O livrete do criptoativo relativo a uma </w:t>
      </w:r>
      <w:proofErr w:type="spellStart"/>
      <w:r w:rsidRPr="00465964">
        <w:rPr>
          <w:lang w:val="pt-PT"/>
        </w:rPr>
        <w:t>criptoficha</w:t>
      </w:r>
      <w:proofErr w:type="spellEnd"/>
      <w:r w:rsidRPr="00465964">
        <w:rPr>
          <w:lang w:val="pt-PT"/>
        </w:rPr>
        <w:t xml:space="preserve"> referenciada a ativos deve conter todas as seguintes informações, conforme especificado com maior pormenor no anexo II:</w:t>
      </w:r>
    </w:p>
    <w:tbl>
      <w:tblPr>
        <w:tblW w:w="5000" w:type="pct"/>
        <w:tblCellMar>
          <w:left w:w="0" w:type="dxa"/>
          <w:right w:w="0" w:type="dxa"/>
        </w:tblCellMar>
        <w:tblLook w:val="04A0" w:firstRow="1" w:lastRow="0" w:firstColumn="1" w:lastColumn="0" w:noHBand="0" w:noVBand="1"/>
      </w:tblPr>
      <w:tblGrid>
        <w:gridCol w:w="259"/>
        <w:gridCol w:w="8767"/>
      </w:tblGrid>
      <w:tr w:rsidR="00465964" w:rsidRPr="00465964" w14:paraId="667DB5FA" w14:textId="77777777" w:rsidTr="00465964">
        <w:tc>
          <w:tcPr>
            <w:tcW w:w="0" w:type="auto"/>
            <w:shd w:val="clear" w:color="auto" w:fill="auto"/>
            <w:hideMark/>
          </w:tcPr>
          <w:p w14:paraId="42184EF6" w14:textId="77777777" w:rsidR="00465964" w:rsidRPr="00465964" w:rsidRDefault="00465964" w:rsidP="00465964">
            <w:r w:rsidRPr="00465964">
              <w:t>a)</w:t>
            </w:r>
          </w:p>
        </w:tc>
        <w:tc>
          <w:tcPr>
            <w:tcW w:w="0" w:type="auto"/>
            <w:shd w:val="clear" w:color="auto" w:fill="auto"/>
            <w:hideMark/>
          </w:tcPr>
          <w:p w14:paraId="399A10A7" w14:textId="77777777" w:rsidR="00465964" w:rsidRPr="00465964" w:rsidRDefault="00465964" w:rsidP="00465964">
            <w:pPr>
              <w:rPr>
                <w:lang w:val="pt-PT"/>
              </w:rPr>
            </w:pPr>
            <w:r w:rsidRPr="00465964">
              <w:rPr>
                <w:lang w:val="pt-PT"/>
              </w:rPr>
              <w:t xml:space="preserve">Informação sobre o emitente da </w:t>
            </w:r>
            <w:proofErr w:type="spellStart"/>
            <w:r w:rsidRPr="00465964">
              <w:rPr>
                <w:lang w:val="pt-PT"/>
              </w:rPr>
              <w:t>criptoficha</w:t>
            </w:r>
            <w:proofErr w:type="spellEnd"/>
            <w:r w:rsidRPr="00465964">
              <w:rPr>
                <w:lang w:val="pt-PT"/>
              </w:rPr>
              <w:t xml:space="preserve"> referenciada a ativos;</w:t>
            </w:r>
          </w:p>
        </w:tc>
      </w:tr>
    </w:tbl>
    <w:p w14:paraId="7FBB1374"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328"/>
        <w:gridCol w:w="8698"/>
      </w:tblGrid>
      <w:tr w:rsidR="00465964" w:rsidRPr="00465964" w14:paraId="4418E082" w14:textId="77777777" w:rsidTr="00465964">
        <w:tc>
          <w:tcPr>
            <w:tcW w:w="0" w:type="auto"/>
            <w:shd w:val="clear" w:color="auto" w:fill="auto"/>
            <w:hideMark/>
          </w:tcPr>
          <w:p w14:paraId="46E64EF6" w14:textId="77777777" w:rsidR="00465964" w:rsidRPr="00465964" w:rsidRDefault="00465964" w:rsidP="00465964">
            <w:r w:rsidRPr="00465964">
              <w:t>b)</w:t>
            </w:r>
          </w:p>
        </w:tc>
        <w:tc>
          <w:tcPr>
            <w:tcW w:w="0" w:type="auto"/>
            <w:shd w:val="clear" w:color="auto" w:fill="auto"/>
            <w:hideMark/>
          </w:tcPr>
          <w:p w14:paraId="0C701D18" w14:textId="77777777" w:rsidR="00465964" w:rsidRPr="00465964" w:rsidRDefault="00465964" w:rsidP="00465964">
            <w:pPr>
              <w:rPr>
                <w:lang w:val="pt-PT"/>
              </w:rPr>
            </w:pPr>
            <w:r w:rsidRPr="00465964">
              <w:rPr>
                <w:lang w:val="pt-PT"/>
              </w:rPr>
              <w:t xml:space="preserve">Informação sobre a </w:t>
            </w:r>
            <w:proofErr w:type="spellStart"/>
            <w:r w:rsidRPr="00465964">
              <w:rPr>
                <w:lang w:val="pt-PT"/>
              </w:rPr>
              <w:t>criptoficha</w:t>
            </w:r>
            <w:proofErr w:type="spellEnd"/>
            <w:r w:rsidRPr="00465964">
              <w:rPr>
                <w:lang w:val="pt-PT"/>
              </w:rPr>
              <w:t xml:space="preserve"> referenciada a ativos;</w:t>
            </w:r>
          </w:p>
        </w:tc>
      </w:tr>
    </w:tbl>
    <w:p w14:paraId="0969BD50"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0"/>
        <w:gridCol w:w="8846"/>
      </w:tblGrid>
      <w:tr w:rsidR="00465964" w:rsidRPr="00465964" w14:paraId="0E80833D" w14:textId="77777777" w:rsidTr="00465964">
        <w:tc>
          <w:tcPr>
            <w:tcW w:w="0" w:type="auto"/>
            <w:shd w:val="clear" w:color="auto" w:fill="auto"/>
            <w:hideMark/>
          </w:tcPr>
          <w:p w14:paraId="3890509F" w14:textId="77777777" w:rsidR="00465964" w:rsidRPr="00465964" w:rsidRDefault="00465964" w:rsidP="00465964">
            <w:r w:rsidRPr="00465964">
              <w:t>c)</w:t>
            </w:r>
          </w:p>
        </w:tc>
        <w:tc>
          <w:tcPr>
            <w:tcW w:w="0" w:type="auto"/>
            <w:shd w:val="clear" w:color="auto" w:fill="auto"/>
            <w:hideMark/>
          </w:tcPr>
          <w:p w14:paraId="1371C433" w14:textId="77777777" w:rsidR="00465964" w:rsidRPr="00465964" w:rsidRDefault="00465964" w:rsidP="00465964">
            <w:pPr>
              <w:rPr>
                <w:lang w:val="pt-PT"/>
              </w:rPr>
            </w:pPr>
            <w:r w:rsidRPr="00465964">
              <w:rPr>
                <w:lang w:val="pt-PT"/>
              </w:rPr>
              <w:t xml:space="preserve">Informação sobre a oferta pública da </w:t>
            </w:r>
            <w:proofErr w:type="spellStart"/>
            <w:r w:rsidRPr="00465964">
              <w:rPr>
                <w:lang w:val="pt-PT"/>
              </w:rPr>
              <w:t>criptoficha</w:t>
            </w:r>
            <w:proofErr w:type="spellEnd"/>
            <w:r w:rsidRPr="00465964">
              <w:rPr>
                <w:lang w:val="pt-PT"/>
              </w:rPr>
              <w:t xml:space="preserve"> referenciada a ativos ou sobre a sua admissão à negociação;</w:t>
            </w:r>
          </w:p>
        </w:tc>
      </w:tr>
    </w:tbl>
    <w:p w14:paraId="7337832A"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98"/>
        <w:gridCol w:w="8828"/>
      </w:tblGrid>
      <w:tr w:rsidR="00465964" w:rsidRPr="00465964" w14:paraId="40B89458" w14:textId="77777777" w:rsidTr="00465964">
        <w:tc>
          <w:tcPr>
            <w:tcW w:w="0" w:type="auto"/>
            <w:shd w:val="clear" w:color="auto" w:fill="auto"/>
            <w:hideMark/>
          </w:tcPr>
          <w:p w14:paraId="33AFD174" w14:textId="77777777" w:rsidR="00465964" w:rsidRPr="00465964" w:rsidRDefault="00465964" w:rsidP="00465964">
            <w:r w:rsidRPr="00465964">
              <w:t>d)</w:t>
            </w:r>
          </w:p>
        </w:tc>
        <w:tc>
          <w:tcPr>
            <w:tcW w:w="0" w:type="auto"/>
            <w:shd w:val="clear" w:color="auto" w:fill="auto"/>
            <w:hideMark/>
          </w:tcPr>
          <w:p w14:paraId="7B0317E5" w14:textId="77777777" w:rsidR="00465964" w:rsidRPr="00465964" w:rsidRDefault="00465964" w:rsidP="00465964">
            <w:pPr>
              <w:rPr>
                <w:lang w:val="pt-PT"/>
              </w:rPr>
            </w:pPr>
            <w:r w:rsidRPr="00465964">
              <w:rPr>
                <w:lang w:val="pt-PT"/>
              </w:rPr>
              <w:t xml:space="preserve">Informação sobre os direitos e obrigações associados à </w:t>
            </w:r>
            <w:proofErr w:type="spellStart"/>
            <w:r w:rsidRPr="00465964">
              <w:rPr>
                <w:lang w:val="pt-PT"/>
              </w:rPr>
              <w:t>criptoficha</w:t>
            </w:r>
            <w:proofErr w:type="spellEnd"/>
            <w:r w:rsidRPr="00465964">
              <w:rPr>
                <w:lang w:val="pt-PT"/>
              </w:rPr>
              <w:t xml:space="preserve"> referenciada a ativos;</w:t>
            </w:r>
          </w:p>
        </w:tc>
      </w:tr>
    </w:tbl>
    <w:p w14:paraId="041FBA08"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386"/>
        <w:gridCol w:w="8640"/>
      </w:tblGrid>
      <w:tr w:rsidR="00465964" w:rsidRPr="00465964" w14:paraId="3280431D" w14:textId="77777777" w:rsidTr="00465964">
        <w:tc>
          <w:tcPr>
            <w:tcW w:w="0" w:type="auto"/>
            <w:shd w:val="clear" w:color="auto" w:fill="auto"/>
            <w:hideMark/>
          </w:tcPr>
          <w:p w14:paraId="50307203" w14:textId="77777777" w:rsidR="00465964" w:rsidRPr="00465964" w:rsidRDefault="00465964" w:rsidP="00465964">
            <w:r w:rsidRPr="00465964">
              <w:t>e)</w:t>
            </w:r>
          </w:p>
        </w:tc>
        <w:tc>
          <w:tcPr>
            <w:tcW w:w="0" w:type="auto"/>
            <w:shd w:val="clear" w:color="auto" w:fill="auto"/>
            <w:hideMark/>
          </w:tcPr>
          <w:p w14:paraId="6D92C443" w14:textId="77777777" w:rsidR="00465964" w:rsidRPr="00465964" w:rsidRDefault="00465964" w:rsidP="00465964">
            <w:pPr>
              <w:rPr>
                <w:lang w:val="pt-PT"/>
              </w:rPr>
            </w:pPr>
            <w:r w:rsidRPr="00465964">
              <w:rPr>
                <w:lang w:val="pt-PT"/>
              </w:rPr>
              <w:t>Informação sobre a tecnologia subjacente;</w:t>
            </w:r>
          </w:p>
        </w:tc>
      </w:tr>
    </w:tbl>
    <w:p w14:paraId="7D9B8447"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444"/>
        <w:gridCol w:w="8582"/>
      </w:tblGrid>
      <w:tr w:rsidR="00465964" w:rsidRPr="00465964" w14:paraId="276A5C6E" w14:textId="77777777" w:rsidTr="00465964">
        <w:tc>
          <w:tcPr>
            <w:tcW w:w="0" w:type="auto"/>
            <w:shd w:val="clear" w:color="auto" w:fill="auto"/>
            <w:hideMark/>
          </w:tcPr>
          <w:p w14:paraId="522E8257" w14:textId="77777777" w:rsidR="00465964" w:rsidRPr="00465964" w:rsidRDefault="00465964" w:rsidP="00465964">
            <w:r w:rsidRPr="00465964">
              <w:t>f)</w:t>
            </w:r>
          </w:p>
        </w:tc>
        <w:tc>
          <w:tcPr>
            <w:tcW w:w="0" w:type="auto"/>
            <w:shd w:val="clear" w:color="auto" w:fill="auto"/>
            <w:hideMark/>
          </w:tcPr>
          <w:p w14:paraId="5D4B28D5" w14:textId="77777777" w:rsidR="00465964" w:rsidRPr="00465964" w:rsidRDefault="00465964" w:rsidP="00465964">
            <w:proofErr w:type="spellStart"/>
            <w:r w:rsidRPr="00465964">
              <w:t>Informação</w:t>
            </w:r>
            <w:proofErr w:type="spellEnd"/>
            <w:r w:rsidRPr="00465964">
              <w:t xml:space="preserve"> </w:t>
            </w:r>
            <w:proofErr w:type="spellStart"/>
            <w:r w:rsidRPr="00465964">
              <w:t>sobre</w:t>
            </w:r>
            <w:proofErr w:type="spellEnd"/>
            <w:r w:rsidRPr="00465964">
              <w:t xml:space="preserve"> </w:t>
            </w:r>
            <w:proofErr w:type="spellStart"/>
            <w:r w:rsidRPr="00465964">
              <w:t>os</w:t>
            </w:r>
            <w:proofErr w:type="spellEnd"/>
            <w:r w:rsidRPr="00465964">
              <w:t xml:space="preserve"> </w:t>
            </w:r>
            <w:proofErr w:type="spellStart"/>
            <w:r w:rsidRPr="00465964">
              <w:t>riscos</w:t>
            </w:r>
            <w:proofErr w:type="spellEnd"/>
            <w:r w:rsidRPr="00465964">
              <w:t>;</w:t>
            </w:r>
          </w:p>
        </w:tc>
      </w:tr>
    </w:tbl>
    <w:p w14:paraId="3668B4C3"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423"/>
        <w:gridCol w:w="8603"/>
      </w:tblGrid>
      <w:tr w:rsidR="00465964" w:rsidRPr="00465964" w14:paraId="57B9A952" w14:textId="77777777" w:rsidTr="00465964">
        <w:tc>
          <w:tcPr>
            <w:tcW w:w="0" w:type="auto"/>
            <w:shd w:val="clear" w:color="auto" w:fill="auto"/>
            <w:hideMark/>
          </w:tcPr>
          <w:p w14:paraId="69EB7DA5" w14:textId="77777777" w:rsidR="00465964" w:rsidRPr="00465964" w:rsidRDefault="00465964" w:rsidP="00465964">
            <w:r w:rsidRPr="00465964">
              <w:t>g)</w:t>
            </w:r>
          </w:p>
        </w:tc>
        <w:tc>
          <w:tcPr>
            <w:tcW w:w="0" w:type="auto"/>
            <w:shd w:val="clear" w:color="auto" w:fill="auto"/>
            <w:hideMark/>
          </w:tcPr>
          <w:p w14:paraId="0A4016DC" w14:textId="77777777" w:rsidR="00465964" w:rsidRPr="00465964" w:rsidRDefault="00465964" w:rsidP="00465964">
            <w:pPr>
              <w:rPr>
                <w:lang w:val="pt-PT"/>
              </w:rPr>
            </w:pPr>
            <w:r w:rsidRPr="00465964">
              <w:rPr>
                <w:lang w:val="pt-PT"/>
              </w:rPr>
              <w:t>Informação sobre a reserva de ativos;</w:t>
            </w:r>
          </w:p>
        </w:tc>
      </w:tr>
    </w:tbl>
    <w:p w14:paraId="08A19FDC"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6"/>
        <w:gridCol w:w="8840"/>
      </w:tblGrid>
      <w:tr w:rsidR="00465964" w:rsidRPr="00465964" w14:paraId="5B2ECD9A" w14:textId="77777777" w:rsidTr="00465964">
        <w:tc>
          <w:tcPr>
            <w:tcW w:w="0" w:type="auto"/>
            <w:shd w:val="clear" w:color="auto" w:fill="auto"/>
            <w:hideMark/>
          </w:tcPr>
          <w:p w14:paraId="3B7E7212" w14:textId="77777777" w:rsidR="00465964" w:rsidRPr="00465964" w:rsidRDefault="00465964" w:rsidP="00465964">
            <w:r w:rsidRPr="00465964">
              <w:t>h)</w:t>
            </w:r>
          </w:p>
        </w:tc>
        <w:tc>
          <w:tcPr>
            <w:tcW w:w="0" w:type="auto"/>
            <w:shd w:val="clear" w:color="auto" w:fill="auto"/>
            <w:hideMark/>
          </w:tcPr>
          <w:p w14:paraId="7CEAEA63" w14:textId="77777777" w:rsidR="00465964" w:rsidRPr="00465964" w:rsidRDefault="00465964" w:rsidP="00465964">
            <w:pPr>
              <w:rPr>
                <w:lang w:val="pt-PT"/>
              </w:rPr>
            </w:pPr>
            <w:r w:rsidRPr="00465964">
              <w:rPr>
                <w:lang w:val="pt-PT"/>
              </w:rPr>
              <w:t xml:space="preserve">Informação sobre os principais impactos negativos no clima e outros impactos negativos relacionados com o ambiente do mecanismo de consenso utilizado para emitir a </w:t>
            </w:r>
            <w:proofErr w:type="spellStart"/>
            <w:r w:rsidRPr="00465964">
              <w:rPr>
                <w:lang w:val="pt-PT"/>
              </w:rPr>
              <w:t>criptoficha</w:t>
            </w:r>
            <w:proofErr w:type="spellEnd"/>
            <w:r w:rsidRPr="00465964">
              <w:rPr>
                <w:lang w:val="pt-PT"/>
              </w:rPr>
              <w:t xml:space="preserve"> referenciada a ativos.</w:t>
            </w:r>
          </w:p>
        </w:tc>
      </w:tr>
    </w:tbl>
    <w:p w14:paraId="2D926DAE" w14:textId="77777777" w:rsidR="00465964" w:rsidRPr="00465964" w:rsidRDefault="00465964" w:rsidP="00465964">
      <w:pPr>
        <w:rPr>
          <w:lang w:val="pt-PT"/>
        </w:rPr>
      </w:pPr>
      <w:r w:rsidRPr="00465964">
        <w:rPr>
          <w:lang w:val="pt-PT"/>
        </w:rPr>
        <w:t>O livrete do criptoativo deve também incluir a identidade da pessoa que não seja o emitente que faz a oferta pública ou solicita a admissão à negociação nos termos do artigo 16.</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xml:space="preserve"> 1, segundo parágrafo, bem como a razão pela qual essa pessoa em particular oferece essa </w:t>
      </w:r>
      <w:proofErr w:type="spellStart"/>
      <w:r w:rsidRPr="00465964">
        <w:rPr>
          <w:lang w:val="pt-PT"/>
        </w:rPr>
        <w:t>criptoficha</w:t>
      </w:r>
      <w:proofErr w:type="spellEnd"/>
      <w:r w:rsidRPr="00465964">
        <w:rPr>
          <w:lang w:val="pt-PT"/>
        </w:rPr>
        <w:t xml:space="preserve"> referenciada a ativos ou solicita a sua admissão à negociação. Nos casos em que o livrete do criptoativo não seja redigido pelo emitente, o livrete do criptoativo deve também </w:t>
      </w:r>
      <w:r w:rsidRPr="00465964">
        <w:rPr>
          <w:lang w:val="pt-PT"/>
        </w:rPr>
        <w:lastRenderedPageBreak/>
        <w:t>incluir a identidade da pessoa que o redigiu e a razão pela qual essa pessoa em especial o redigiu.</w:t>
      </w:r>
    </w:p>
    <w:p w14:paraId="658672CB" w14:textId="77777777" w:rsidR="00465964" w:rsidRPr="00465964" w:rsidRDefault="00465964" w:rsidP="00465964">
      <w:pPr>
        <w:rPr>
          <w:lang w:val="pt-PT"/>
        </w:rPr>
      </w:pPr>
      <w:r w:rsidRPr="00465964">
        <w:rPr>
          <w:lang w:val="pt-PT"/>
        </w:rPr>
        <w:t xml:space="preserve">2.   As informações enumeradas no </w:t>
      </w:r>
      <w:proofErr w:type="spellStart"/>
      <w:r w:rsidRPr="00465964">
        <w:rPr>
          <w:lang w:val="pt-PT"/>
        </w:rPr>
        <w:t>n.</w:t>
      </w:r>
      <w:r w:rsidRPr="00465964">
        <w:rPr>
          <w:vertAlign w:val="superscript"/>
          <w:lang w:val="pt-PT"/>
        </w:rPr>
        <w:t>o</w:t>
      </w:r>
      <w:proofErr w:type="spellEnd"/>
      <w:r w:rsidRPr="00465964">
        <w:rPr>
          <w:lang w:val="pt-PT"/>
        </w:rPr>
        <w:t> 1 devem ser corretas, claras e não induzir em erro. O livrete do criptoativo não deve conter omissões materiais e deve ser apresentado de forma concisa e compreensível.</w:t>
      </w:r>
    </w:p>
    <w:p w14:paraId="71EEB3A1" w14:textId="77777777" w:rsidR="00465964" w:rsidRPr="00465964" w:rsidRDefault="00465964" w:rsidP="00465964">
      <w:pPr>
        <w:rPr>
          <w:lang w:val="pt-PT"/>
        </w:rPr>
      </w:pPr>
      <w:r w:rsidRPr="00465964">
        <w:rPr>
          <w:lang w:val="pt-PT"/>
        </w:rPr>
        <w:t xml:space="preserve">3.   O livrete do criptoativo não deve conter quaisquer afirmações relativamente ao valor futuro do criptoativo, para além da declaração referida no </w:t>
      </w:r>
      <w:proofErr w:type="spellStart"/>
      <w:r w:rsidRPr="00465964">
        <w:rPr>
          <w:lang w:val="pt-PT"/>
        </w:rPr>
        <w:t>n.</w:t>
      </w:r>
      <w:r w:rsidRPr="00465964">
        <w:rPr>
          <w:vertAlign w:val="superscript"/>
          <w:lang w:val="pt-PT"/>
        </w:rPr>
        <w:t>o</w:t>
      </w:r>
      <w:proofErr w:type="spellEnd"/>
      <w:r w:rsidRPr="00465964">
        <w:rPr>
          <w:lang w:val="pt-PT"/>
        </w:rPr>
        <w:t> 4.</w:t>
      </w:r>
    </w:p>
    <w:p w14:paraId="6D6E182E" w14:textId="77777777" w:rsidR="00465964" w:rsidRPr="00465964" w:rsidRDefault="00465964" w:rsidP="00465964">
      <w:pPr>
        <w:rPr>
          <w:lang w:val="pt-PT"/>
        </w:rPr>
      </w:pPr>
      <w:r w:rsidRPr="00465964">
        <w:rPr>
          <w:lang w:val="pt-PT"/>
        </w:rPr>
        <w:t>4.   O livrete do criptoativo deve conter uma declaração clara e inequívoca no sentido de que:</w:t>
      </w:r>
    </w:p>
    <w:tbl>
      <w:tblPr>
        <w:tblW w:w="5000" w:type="pct"/>
        <w:tblCellMar>
          <w:left w:w="0" w:type="dxa"/>
          <w:right w:w="0" w:type="dxa"/>
        </w:tblCellMar>
        <w:tblLook w:val="04A0" w:firstRow="1" w:lastRow="0" w:firstColumn="1" w:lastColumn="0" w:noHBand="0" w:noVBand="1"/>
      </w:tblPr>
      <w:tblGrid>
        <w:gridCol w:w="211"/>
        <w:gridCol w:w="8815"/>
      </w:tblGrid>
      <w:tr w:rsidR="00465964" w:rsidRPr="00465964" w14:paraId="60874FF4" w14:textId="77777777" w:rsidTr="00465964">
        <w:tc>
          <w:tcPr>
            <w:tcW w:w="0" w:type="auto"/>
            <w:shd w:val="clear" w:color="auto" w:fill="auto"/>
            <w:hideMark/>
          </w:tcPr>
          <w:p w14:paraId="33A27DBF" w14:textId="77777777" w:rsidR="00465964" w:rsidRPr="00465964" w:rsidRDefault="00465964" w:rsidP="00465964">
            <w:r w:rsidRPr="00465964">
              <w:t>a)</w:t>
            </w:r>
          </w:p>
        </w:tc>
        <w:tc>
          <w:tcPr>
            <w:tcW w:w="0" w:type="auto"/>
            <w:shd w:val="clear" w:color="auto" w:fill="auto"/>
            <w:hideMark/>
          </w:tcPr>
          <w:p w14:paraId="7BBEC48D" w14:textId="77777777" w:rsidR="00465964" w:rsidRPr="00465964" w:rsidRDefault="00465964" w:rsidP="00465964">
            <w:pPr>
              <w:rPr>
                <w:lang w:val="pt-PT"/>
              </w:rPr>
            </w:pPr>
            <w:r w:rsidRPr="00465964">
              <w:rPr>
                <w:lang w:val="pt-PT"/>
              </w:rPr>
              <w:t xml:space="preserve">A </w:t>
            </w:r>
            <w:proofErr w:type="spellStart"/>
            <w:r w:rsidRPr="00465964">
              <w:rPr>
                <w:lang w:val="pt-PT"/>
              </w:rPr>
              <w:t>criptoficha</w:t>
            </w:r>
            <w:proofErr w:type="spellEnd"/>
            <w:r w:rsidRPr="00465964">
              <w:rPr>
                <w:lang w:val="pt-PT"/>
              </w:rPr>
              <w:t xml:space="preserve"> referenciada a ativos pode perder parcial ou totalmente o seu valor;</w:t>
            </w:r>
          </w:p>
        </w:tc>
      </w:tr>
    </w:tbl>
    <w:p w14:paraId="421331DC"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261"/>
        <w:gridCol w:w="8765"/>
      </w:tblGrid>
      <w:tr w:rsidR="00465964" w:rsidRPr="00465964" w14:paraId="210B1E3B" w14:textId="77777777" w:rsidTr="00465964">
        <w:tc>
          <w:tcPr>
            <w:tcW w:w="0" w:type="auto"/>
            <w:shd w:val="clear" w:color="auto" w:fill="auto"/>
            <w:hideMark/>
          </w:tcPr>
          <w:p w14:paraId="756CA62D" w14:textId="77777777" w:rsidR="00465964" w:rsidRPr="00465964" w:rsidRDefault="00465964" w:rsidP="00465964">
            <w:r w:rsidRPr="00465964">
              <w:t>b)</w:t>
            </w:r>
          </w:p>
        </w:tc>
        <w:tc>
          <w:tcPr>
            <w:tcW w:w="0" w:type="auto"/>
            <w:shd w:val="clear" w:color="auto" w:fill="auto"/>
            <w:hideMark/>
          </w:tcPr>
          <w:p w14:paraId="643003B5" w14:textId="77777777" w:rsidR="00465964" w:rsidRPr="00465964" w:rsidRDefault="00465964" w:rsidP="00465964">
            <w:pPr>
              <w:rPr>
                <w:lang w:val="pt-PT"/>
              </w:rPr>
            </w:pPr>
            <w:r w:rsidRPr="00465964">
              <w:rPr>
                <w:lang w:val="pt-PT"/>
              </w:rPr>
              <w:t xml:space="preserve">A </w:t>
            </w:r>
            <w:proofErr w:type="spellStart"/>
            <w:r w:rsidRPr="00465964">
              <w:rPr>
                <w:lang w:val="pt-PT"/>
              </w:rPr>
              <w:t>criptoficha</w:t>
            </w:r>
            <w:proofErr w:type="spellEnd"/>
            <w:r w:rsidRPr="00465964">
              <w:rPr>
                <w:lang w:val="pt-PT"/>
              </w:rPr>
              <w:t xml:space="preserve"> referenciada a ativo pode não ser sempre transferível;</w:t>
            </w:r>
          </w:p>
        </w:tc>
      </w:tr>
    </w:tbl>
    <w:p w14:paraId="4293915A"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300"/>
        <w:gridCol w:w="8726"/>
      </w:tblGrid>
      <w:tr w:rsidR="00465964" w:rsidRPr="00465964" w14:paraId="63631FF2" w14:textId="77777777" w:rsidTr="00465964">
        <w:tc>
          <w:tcPr>
            <w:tcW w:w="0" w:type="auto"/>
            <w:shd w:val="clear" w:color="auto" w:fill="auto"/>
            <w:hideMark/>
          </w:tcPr>
          <w:p w14:paraId="323C1452" w14:textId="77777777" w:rsidR="00465964" w:rsidRPr="00465964" w:rsidRDefault="00465964" w:rsidP="00465964">
            <w:r w:rsidRPr="00465964">
              <w:t>c)</w:t>
            </w:r>
          </w:p>
        </w:tc>
        <w:tc>
          <w:tcPr>
            <w:tcW w:w="0" w:type="auto"/>
            <w:shd w:val="clear" w:color="auto" w:fill="auto"/>
            <w:hideMark/>
          </w:tcPr>
          <w:p w14:paraId="45E45379" w14:textId="77777777" w:rsidR="00465964" w:rsidRPr="00465964" w:rsidRDefault="00465964" w:rsidP="00465964">
            <w:pPr>
              <w:rPr>
                <w:lang w:val="pt-PT"/>
              </w:rPr>
            </w:pPr>
            <w:r w:rsidRPr="00465964">
              <w:rPr>
                <w:lang w:val="pt-PT"/>
              </w:rPr>
              <w:t xml:space="preserve">A </w:t>
            </w:r>
            <w:proofErr w:type="spellStart"/>
            <w:r w:rsidRPr="00465964">
              <w:rPr>
                <w:lang w:val="pt-PT"/>
              </w:rPr>
              <w:t>criptoficha</w:t>
            </w:r>
            <w:proofErr w:type="spellEnd"/>
            <w:r w:rsidRPr="00465964">
              <w:rPr>
                <w:lang w:val="pt-PT"/>
              </w:rPr>
              <w:t xml:space="preserve"> referenciada a ativos pode não ser líquida;</w:t>
            </w:r>
          </w:p>
        </w:tc>
      </w:tr>
    </w:tbl>
    <w:p w14:paraId="6CCD82B1"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8"/>
        <w:gridCol w:w="8838"/>
      </w:tblGrid>
      <w:tr w:rsidR="00465964" w:rsidRPr="00465964" w14:paraId="0AE6B319" w14:textId="77777777" w:rsidTr="00465964">
        <w:tc>
          <w:tcPr>
            <w:tcW w:w="0" w:type="auto"/>
            <w:shd w:val="clear" w:color="auto" w:fill="auto"/>
            <w:hideMark/>
          </w:tcPr>
          <w:p w14:paraId="231BC334" w14:textId="77777777" w:rsidR="00465964" w:rsidRPr="00465964" w:rsidRDefault="00465964" w:rsidP="00465964">
            <w:r w:rsidRPr="00465964">
              <w:t>d)</w:t>
            </w:r>
          </w:p>
        </w:tc>
        <w:tc>
          <w:tcPr>
            <w:tcW w:w="0" w:type="auto"/>
            <w:shd w:val="clear" w:color="auto" w:fill="auto"/>
            <w:hideMark/>
          </w:tcPr>
          <w:p w14:paraId="7B1C61F3" w14:textId="77777777" w:rsidR="00465964" w:rsidRPr="00465964" w:rsidRDefault="00465964" w:rsidP="00465964">
            <w:pPr>
              <w:rPr>
                <w:lang w:val="pt-PT"/>
              </w:rPr>
            </w:pPr>
            <w:r w:rsidRPr="00465964">
              <w:rPr>
                <w:lang w:val="pt-PT"/>
              </w:rPr>
              <w:t xml:space="preserve">A </w:t>
            </w:r>
            <w:proofErr w:type="spellStart"/>
            <w:r w:rsidRPr="00465964">
              <w:rPr>
                <w:lang w:val="pt-PT"/>
              </w:rPr>
              <w:t>criptoficha</w:t>
            </w:r>
            <w:proofErr w:type="spellEnd"/>
            <w:r w:rsidRPr="00465964">
              <w:rPr>
                <w:lang w:val="pt-PT"/>
              </w:rPr>
              <w:t xml:space="preserve"> referenciada a ativos não está abrangida pelos sistemas de garantia de depósitos ao abrigo da Diretiva 97/9/CE;</w:t>
            </w:r>
          </w:p>
        </w:tc>
      </w:tr>
    </w:tbl>
    <w:p w14:paraId="4F717776"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1"/>
        <w:gridCol w:w="8845"/>
      </w:tblGrid>
      <w:tr w:rsidR="00465964" w:rsidRPr="00465964" w14:paraId="12E08DB8" w14:textId="77777777" w:rsidTr="00465964">
        <w:tc>
          <w:tcPr>
            <w:tcW w:w="0" w:type="auto"/>
            <w:shd w:val="clear" w:color="auto" w:fill="auto"/>
            <w:hideMark/>
          </w:tcPr>
          <w:p w14:paraId="4F00B83E" w14:textId="77777777" w:rsidR="00465964" w:rsidRPr="00465964" w:rsidRDefault="00465964" w:rsidP="00465964">
            <w:r w:rsidRPr="00465964">
              <w:t>e)</w:t>
            </w:r>
          </w:p>
        </w:tc>
        <w:tc>
          <w:tcPr>
            <w:tcW w:w="0" w:type="auto"/>
            <w:shd w:val="clear" w:color="auto" w:fill="auto"/>
            <w:hideMark/>
          </w:tcPr>
          <w:p w14:paraId="69A8FC36" w14:textId="77777777" w:rsidR="00465964" w:rsidRPr="00465964" w:rsidRDefault="00465964" w:rsidP="00465964">
            <w:pPr>
              <w:rPr>
                <w:lang w:val="pt-PT"/>
              </w:rPr>
            </w:pPr>
            <w:r w:rsidRPr="00465964">
              <w:rPr>
                <w:lang w:val="pt-PT"/>
              </w:rPr>
              <w:t xml:space="preserve">A </w:t>
            </w:r>
            <w:proofErr w:type="spellStart"/>
            <w:r w:rsidRPr="00465964">
              <w:rPr>
                <w:lang w:val="pt-PT"/>
              </w:rPr>
              <w:t>criptoficha</w:t>
            </w:r>
            <w:proofErr w:type="spellEnd"/>
            <w:r w:rsidRPr="00465964">
              <w:rPr>
                <w:lang w:val="pt-PT"/>
              </w:rPr>
              <w:t xml:space="preserve"> referenciada a ativos não está abrangida pelos sistemas de garantia de depósitos ao abrigo da Diretiva 2014/49/UE.</w:t>
            </w:r>
          </w:p>
        </w:tc>
      </w:tr>
    </w:tbl>
    <w:p w14:paraId="4BA9871D" w14:textId="77777777" w:rsidR="00465964" w:rsidRPr="00465964" w:rsidRDefault="00465964" w:rsidP="00465964">
      <w:pPr>
        <w:rPr>
          <w:lang w:val="pt-PT"/>
        </w:rPr>
      </w:pPr>
      <w:r w:rsidRPr="00465964">
        <w:rPr>
          <w:lang w:val="pt-PT"/>
        </w:rPr>
        <w:t xml:space="preserve">5.   O livrete do criptoativo deve incluir uma declaração do órgão de administração do emitente da </w:t>
      </w:r>
      <w:proofErr w:type="spellStart"/>
      <w:r w:rsidRPr="00465964">
        <w:rPr>
          <w:lang w:val="pt-PT"/>
        </w:rPr>
        <w:t>criptoficha</w:t>
      </w:r>
      <w:proofErr w:type="spellEnd"/>
      <w:r w:rsidRPr="00465964">
        <w:rPr>
          <w:lang w:val="pt-PT"/>
        </w:rPr>
        <w:t xml:space="preserve"> referenciada a ativos. Essa declaração deve confirmar que o livrete do criptoativo está em conformidade com o presente título e que, tanto quanto é do conhecimento do órgão de administração, a informação apresentada no livrete do criptoativo é correta, clara e não induz em erro e que o livrete do criptoativo não contém omissões suscetíveis de afetar o seu alcance.</w:t>
      </w:r>
    </w:p>
    <w:p w14:paraId="41B13103" w14:textId="77777777" w:rsidR="00465964" w:rsidRPr="00465964" w:rsidRDefault="00465964" w:rsidP="00465964">
      <w:pPr>
        <w:rPr>
          <w:lang w:val="pt-PT"/>
        </w:rPr>
      </w:pPr>
      <w:r w:rsidRPr="00465964">
        <w:rPr>
          <w:lang w:val="pt-PT"/>
        </w:rPr>
        <w:t xml:space="preserve">6.   O livrete do criptoativo deve incluir um resumo, inserido após a declaração a que se refere o </w:t>
      </w:r>
      <w:proofErr w:type="spellStart"/>
      <w:r w:rsidRPr="00465964">
        <w:rPr>
          <w:lang w:val="pt-PT"/>
        </w:rPr>
        <w:t>n.</w:t>
      </w:r>
      <w:r w:rsidRPr="00465964">
        <w:rPr>
          <w:vertAlign w:val="superscript"/>
          <w:lang w:val="pt-PT"/>
        </w:rPr>
        <w:t>o</w:t>
      </w:r>
      <w:proofErr w:type="spellEnd"/>
      <w:r w:rsidRPr="00465964">
        <w:rPr>
          <w:lang w:val="pt-PT"/>
        </w:rPr>
        <w:t xml:space="preserve"> 5, que, de forma sucinta e em linguagem não técnica, forneça informação fundamental sobre a oferta pública da </w:t>
      </w:r>
      <w:proofErr w:type="spellStart"/>
      <w:r w:rsidRPr="00465964">
        <w:rPr>
          <w:lang w:val="pt-PT"/>
        </w:rPr>
        <w:t>criptoficha</w:t>
      </w:r>
      <w:proofErr w:type="spellEnd"/>
      <w:r w:rsidRPr="00465964">
        <w:rPr>
          <w:lang w:val="pt-PT"/>
        </w:rPr>
        <w:t xml:space="preserve"> referenciada a ativos ou a admissão à negociação prevista da </w:t>
      </w:r>
      <w:proofErr w:type="spellStart"/>
      <w:r w:rsidRPr="00465964">
        <w:rPr>
          <w:lang w:val="pt-PT"/>
        </w:rPr>
        <w:t>criptoficha</w:t>
      </w:r>
      <w:proofErr w:type="spellEnd"/>
      <w:r w:rsidRPr="00465964">
        <w:rPr>
          <w:lang w:val="pt-PT"/>
        </w:rPr>
        <w:t xml:space="preserve"> referenciada a ativos. O resumo deve ser facilmente inteligível e apresentado num formato claro e compreensível, com recurso a caracteres de tamanho legível. O resumo do livrete do criptoativo deve facultar, conjuntamente com o livrete do criptoativo, informação apropriada sobre as características da </w:t>
      </w:r>
      <w:proofErr w:type="spellStart"/>
      <w:r w:rsidRPr="00465964">
        <w:rPr>
          <w:lang w:val="pt-PT"/>
        </w:rPr>
        <w:t>criptoficha</w:t>
      </w:r>
      <w:proofErr w:type="spellEnd"/>
      <w:r w:rsidRPr="00465964">
        <w:rPr>
          <w:lang w:val="pt-PT"/>
        </w:rPr>
        <w:t xml:space="preserve"> referenciada a ativos em questão, de molde a permitir que os potenciais detentores dessa </w:t>
      </w:r>
      <w:proofErr w:type="spellStart"/>
      <w:r w:rsidRPr="00465964">
        <w:rPr>
          <w:lang w:val="pt-PT"/>
        </w:rPr>
        <w:t>criptoficha</w:t>
      </w:r>
      <w:proofErr w:type="spellEnd"/>
      <w:r w:rsidRPr="00465964">
        <w:rPr>
          <w:lang w:val="pt-PT"/>
        </w:rPr>
        <w:t xml:space="preserve"> referenciada a ativos possam tomar uma decisão informada.</w:t>
      </w:r>
    </w:p>
    <w:p w14:paraId="45B212E3" w14:textId="77777777" w:rsidR="00465964" w:rsidRPr="00465964" w:rsidRDefault="00465964" w:rsidP="00465964">
      <w:pPr>
        <w:rPr>
          <w:lang w:val="pt-PT"/>
        </w:rPr>
      </w:pPr>
      <w:r w:rsidRPr="00465964">
        <w:rPr>
          <w:lang w:val="pt-PT"/>
        </w:rPr>
        <w:t>O resumo deve também conter um aviso indicando que:</w:t>
      </w:r>
    </w:p>
    <w:tbl>
      <w:tblPr>
        <w:tblW w:w="5000" w:type="pct"/>
        <w:tblCellMar>
          <w:left w:w="0" w:type="dxa"/>
          <w:right w:w="0" w:type="dxa"/>
        </w:tblCellMar>
        <w:tblLook w:val="04A0" w:firstRow="1" w:lastRow="0" w:firstColumn="1" w:lastColumn="0" w:noHBand="0" w:noVBand="1"/>
      </w:tblPr>
      <w:tblGrid>
        <w:gridCol w:w="254"/>
        <w:gridCol w:w="8772"/>
      </w:tblGrid>
      <w:tr w:rsidR="00465964" w:rsidRPr="00465964" w14:paraId="280E3A31" w14:textId="77777777" w:rsidTr="00465964">
        <w:tc>
          <w:tcPr>
            <w:tcW w:w="0" w:type="auto"/>
            <w:shd w:val="clear" w:color="auto" w:fill="auto"/>
            <w:hideMark/>
          </w:tcPr>
          <w:p w14:paraId="5B8B5D4A" w14:textId="77777777" w:rsidR="00465964" w:rsidRPr="00465964" w:rsidRDefault="00465964" w:rsidP="00465964">
            <w:r w:rsidRPr="00465964">
              <w:t>a)</w:t>
            </w:r>
          </w:p>
        </w:tc>
        <w:tc>
          <w:tcPr>
            <w:tcW w:w="0" w:type="auto"/>
            <w:shd w:val="clear" w:color="auto" w:fill="auto"/>
            <w:hideMark/>
          </w:tcPr>
          <w:p w14:paraId="0C86BD06" w14:textId="77777777" w:rsidR="00465964" w:rsidRPr="00465964" w:rsidRDefault="00465964" w:rsidP="00465964">
            <w:pPr>
              <w:rPr>
                <w:lang w:val="pt-PT"/>
              </w:rPr>
            </w:pPr>
            <w:r w:rsidRPr="00465964">
              <w:rPr>
                <w:lang w:val="pt-PT"/>
              </w:rPr>
              <w:t>Deve ser entendido como uma introdução ao livrete do criptoativo;</w:t>
            </w:r>
          </w:p>
        </w:tc>
      </w:tr>
    </w:tbl>
    <w:p w14:paraId="44DB2751"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8"/>
        <w:gridCol w:w="8838"/>
      </w:tblGrid>
      <w:tr w:rsidR="00465964" w:rsidRPr="00465964" w14:paraId="0CCB4129" w14:textId="77777777" w:rsidTr="00465964">
        <w:tc>
          <w:tcPr>
            <w:tcW w:w="0" w:type="auto"/>
            <w:shd w:val="clear" w:color="auto" w:fill="auto"/>
            <w:hideMark/>
          </w:tcPr>
          <w:p w14:paraId="26802D23" w14:textId="77777777" w:rsidR="00465964" w:rsidRPr="00465964" w:rsidRDefault="00465964" w:rsidP="00465964">
            <w:r w:rsidRPr="00465964">
              <w:t>b)</w:t>
            </w:r>
          </w:p>
        </w:tc>
        <w:tc>
          <w:tcPr>
            <w:tcW w:w="0" w:type="auto"/>
            <w:shd w:val="clear" w:color="auto" w:fill="auto"/>
            <w:hideMark/>
          </w:tcPr>
          <w:p w14:paraId="1E5061F9" w14:textId="77777777" w:rsidR="00465964" w:rsidRPr="00465964" w:rsidRDefault="00465964" w:rsidP="00465964">
            <w:pPr>
              <w:rPr>
                <w:lang w:val="pt-PT"/>
              </w:rPr>
            </w:pPr>
            <w:r w:rsidRPr="00465964">
              <w:rPr>
                <w:lang w:val="pt-PT"/>
              </w:rPr>
              <w:t xml:space="preserve">O potencial detentor deve basear toda e qualquer decisão de compra da </w:t>
            </w:r>
            <w:proofErr w:type="spellStart"/>
            <w:r w:rsidRPr="00465964">
              <w:rPr>
                <w:lang w:val="pt-PT"/>
              </w:rPr>
              <w:t>criptoficha</w:t>
            </w:r>
            <w:proofErr w:type="spellEnd"/>
            <w:r w:rsidRPr="00465964">
              <w:rPr>
                <w:lang w:val="pt-PT"/>
              </w:rPr>
              <w:t xml:space="preserve"> referenciada a ativos no conteúdo do livrete do criptoativo no seu conjunto e não apenas no resumo;</w:t>
            </w:r>
          </w:p>
        </w:tc>
      </w:tr>
    </w:tbl>
    <w:p w14:paraId="6C8F821B"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0"/>
        <w:gridCol w:w="8846"/>
      </w:tblGrid>
      <w:tr w:rsidR="00465964" w:rsidRPr="00465964" w14:paraId="6AA700EC" w14:textId="77777777" w:rsidTr="00465964">
        <w:tc>
          <w:tcPr>
            <w:tcW w:w="0" w:type="auto"/>
            <w:shd w:val="clear" w:color="auto" w:fill="auto"/>
            <w:hideMark/>
          </w:tcPr>
          <w:p w14:paraId="587F3932" w14:textId="77777777" w:rsidR="00465964" w:rsidRPr="00465964" w:rsidRDefault="00465964" w:rsidP="00465964">
            <w:r w:rsidRPr="00465964">
              <w:t>c)</w:t>
            </w:r>
          </w:p>
        </w:tc>
        <w:tc>
          <w:tcPr>
            <w:tcW w:w="0" w:type="auto"/>
            <w:shd w:val="clear" w:color="auto" w:fill="auto"/>
            <w:hideMark/>
          </w:tcPr>
          <w:p w14:paraId="23C228E1" w14:textId="77777777" w:rsidR="00465964" w:rsidRPr="00465964" w:rsidRDefault="00465964" w:rsidP="00465964">
            <w:pPr>
              <w:rPr>
                <w:lang w:val="pt-PT"/>
              </w:rPr>
            </w:pPr>
            <w:r w:rsidRPr="00465964">
              <w:rPr>
                <w:lang w:val="pt-PT"/>
              </w:rPr>
              <w:t xml:space="preserve">A oferta pública da </w:t>
            </w:r>
            <w:proofErr w:type="spellStart"/>
            <w:r w:rsidRPr="00465964">
              <w:rPr>
                <w:lang w:val="pt-PT"/>
              </w:rPr>
              <w:t>criptoficha</w:t>
            </w:r>
            <w:proofErr w:type="spellEnd"/>
            <w:r w:rsidRPr="00465964">
              <w:rPr>
                <w:lang w:val="pt-PT"/>
              </w:rPr>
              <w:t xml:space="preserve"> referenciada a ativos não constitui uma oferta nem uma solicitação para comprar instrumentos financeiros e que qualquer oferta ou solicitação nesse sentido só pode ser feita através de um prospeto ou de outros documentos relativos à oferta nos termos do direito nacional aplicável;</w:t>
            </w:r>
          </w:p>
        </w:tc>
      </w:tr>
    </w:tbl>
    <w:p w14:paraId="23DB5EFD"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8"/>
        <w:gridCol w:w="8838"/>
      </w:tblGrid>
      <w:tr w:rsidR="00465964" w:rsidRPr="00465964" w14:paraId="45D5F420" w14:textId="77777777" w:rsidTr="00465964">
        <w:tc>
          <w:tcPr>
            <w:tcW w:w="0" w:type="auto"/>
            <w:shd w:val="clear" w:color="auto" w:fill="auto"/>
            <w:hideMark/>
          </w:tcPr>
          <w:p w14:paraId="31D7D00D" w14:textId="77777777" w:rsidR="00465964" w:rsidRPr="00465964" w:rsidRDefault="00465964" w:rsidP="00465964">
            <w:r w:rsidRPr="00465964">
              <w:lastRenderedPageBreak/>
              <w:t>d)</w:t>
            </w:r>
          </w:p>
        </w:tc>
        <w:tc>
          <w:tcPr>
            <w:tcW w:w="0" w:type="auto"/>
            <w:shd w:val="clear" w:color="auto" w:fill="auto"/>
            <w:hideMark/>
          </w:tcPr>
          <w:p w14:paraId="3F5548C8" w14:textId="77777777" w:rsidR="00465964" w:rsidRPr="00465964" w:rsidRDefault="00465964" w:rsidP="00465964">
            <w:pPr>
              <w:rPr>
                <w:lang w:val="pt-PT"/>
              </w:rPr>
            </w:pPr>
            <w:r w:rsidRPr="00465964">
              <w:rPr>
                <w:lang w:val="pt-PT"/>
              </w:rPr>
              <w:t>O livrete do criptoativo não constitui um prospeto na aceção do Regulamento (UE) 2017/1129, nem outro documento relativo à oferta nos termos do direito da União ou do direito nacional.</w:t>
            </w:r>
          </w:p>
        </w:tc>
      </w:tr>
    </w:tbl>
    <w:p w14:paraId="3C0356CD" w14:textId="7ADDB288" w:rsidR="00465964" w:rsidRPr="00465964" w:rsidRDefault="00465964" w:rsidP="00465964">
      <w:pPr>
        <w:rPr>
          <w:lang w:val="pt-PT"/>
        </w:rPr>
      </w:pPr>
      <w:r w:rsidRPr="00465964">
        <w:rPr>
          <w:lang w:val="pt-PT"/>
        </w:rPr>
        <w:t xml:space="preserve">O resumo deve indicar que os detentores de </w:t>
      </w:r>
      <w:r>
        <w:rPr>
          <w:lang w:val="pt-PT"/>
        </w:rPr>
        <w:t>criptomoedas</w:t>
      </w:r>
      <w:r w:rsidRPr="00465964">
        <w:rPr>
          <w:lang w:val="pt-PT"/>
        </w:rPr>
        <w:t xml:space="preserve"> referenciadas a ativos têm, em qualquer momento, um direito de reembolso, bem como as condições desse reembolso.</w:t>
      </w:r>
    </w:p>
    <w:p w14:paraId="6725D4E1" w14:textId="77777777" w:rsidR="00465964" w:rsidRPr="00465964" w:rsidRDefault="00465964" w:rsidP="00465964">
      <w:pPr>
        <w:rPr>
          <w:lang w:val="pt-PT"/>
        </w:rPr>
      </w:pPr>
      <w:r w:rsidRPr="00465964">
        <w:rPr>
          <w:lang w:val="pt-PT"/>
        </w:rPr>
        <w:t>7.   O livrete do criptoativo deve incluir a data da sua notificação e um índice.</w:t>
      </w:r>
    </w:p>
    <w:p w14:paraId="3164B6D9" w14:textId="77777777" w:rsidR="00465964" w:rsidRPr="00465964" w:rsidRDefault="00465964" w:rsidP="00465964">
      <w:pPr>
        <w:rPr>
          <w:lang w:val="pt-PT"/>
        </w:rPr>
      </w:pPr>
      <w:r w:rsidRPr="00465964">
        <w:rPr>
          <w:lang w:val="pt-PT"/>
        </w:rPr>
        <w:t>8.   O livrete do criptoativo é redigido numa língua oficial do Estado-Membro de origem ou numa língua habitual no sector financeiro internacional.</w:t>
      </w:r>
    </w:p>
    <w:p w14:paraId="7FC76703" w14:textId="77777777" w:rsidR="00465964" w:rsidRPr="00465964" w:rsidRDefault="00465964" w:rsidP="00465964">
      <w:pPr>
        <w:rPr>
          <w:lang w:val="pt-PT"/>
        </w:rPr>
      </w:pPr>
      <w:r w:rsidRPr="00465964">
        <w:rPr>
          <w:lang w:val="pt-PT"/>
        </w:rPr>
        <w:t xml:space="preserve">Caso a </w:t>
      </w:r>
      <w:proofErr w:type="spellStart"/>
      <w:r w:rsidRPr="00465964">
        <w:rPr>
          <w:lang w:val="pt-PT"/>
        </w:rPr>
        <w:t>criptoficha</w:t>
      </w:r>
      <w:proofErr w:type="spellEnd"/>
      <w:r w:rsidRPr="00465964">
        <w:rPr>
          <w:lang w:val="pt-PT"/>
        </w:rPr>
        <w:t xml:space="preserve"> referenciada a ativos também seja oferecida num Estado-Membro diferente do Estado-Membro de origem, o livrete do criptoativo é igualmente redigido numa língua oficial do Estado-Membro de acolhimento ou numa língua habitual no sector financeiro internacional.</w:t>
      </w:r>
    </w:p>
    <w:p w14:paraId="1FC7E989" w14:textId="77777777" w:rsidR="00465964" w:rsidRPr="00465964" w:rsidRDefault="00465964" w:rsidP="00465964">
      <w:pPr>
        <w:rPr>
          <w:lang w:val="pt-PT"/>
        </w:rPr>
      </w:pPr>
      <w:r w:rsidRPr="00465964">
        <w:rPr>
          <w:lang w:val="pt-PT"/>
        </w:rPr>
        <w:t>9.   O livrete do criptoativo é disponibilizado num formato legível por máquina.</w:t>
      </w:r>
    </w:p>
    <w:p w14:paraId="5356E198" w14:textId="77777777" w:rsidR="00465964" w:rsidRPr="00465964" w:rsidRDefault="00465964" w:rsidP="00465964">
      <w:pPr>
        <w:rPr>
          <w:lang w:val="pt-PT"/>
        </w:rPr>
      </w:pPr>
      <w:r w:rsidRPr="00465964">
        <w:rPr>
          <w:lang w:val="pt-PT"/>
        </w:rPr>
        <w:t xml:space="preserve">10.   A ESMA, em cooperação com a EBA, elabora projetos de normas técnicas de execução para criar formulários, formatos e modelos normalizados para efeitos do </w:t>
      </w:r>
      <w:proofErr w:type="spellStart"/>
      <w:r w:rsidRPr="00465964">
        <w:rPr>
          <w:lang w:val="pt-PT"/>
        </w:rPr>
        <w:t>n.</w:t>
      </w:r>
      <w:r w:rsidRPr="00465964">
        <w:rPr>
          <w:vertAlign w:val="superscript"/>
          <w:lang w:val="pt-PT"/>
        </w:rPr>
        <w:t>o</w:t>
      </w:r>
      <w:proofErr w:type="spellEnd"/>
      <w:r w:rsidRPr="00465964">
        <w:rPr>
          <w:lang w:val="pt-PT"/>
        </w:rPr>
        <w:t> 9.</w:t>
      </w:r>
    </w:p>
    <w:p w14:paraId="4719603B" w14:textId="77777777" w:rsidR="00465964" w:rsidRPr="00465964" w:rsidRDefault="00465964" w:rsidP="00465964">
      <w:pPr>
        <w:rPr>
          <w:lang w:val="pt-PT"/>
        </w:rPr>
      </w:pPr>
      <w:r w:rsidRPr="00465964">
        <w:rPr>
          <w:lang w:val="pt-PT"/>
        </w:rPr>
        <w:t>A ESMA apresenta à Comissão os projetos de normas técnicas de execução referidos no primeiro parágrafo até 30 de junho de 2024.</w:t>
      </w:r>
    </w:p>
    <w:p w14:paraId="338D935F" w14:textId="77777777" w:rsidR="00465964" w:rsidRPr="00465964" w:rsidRDefault="00465964" w:rsidP="00465964">
      <w:pPr>
        <w:rPr>
          <w:lang w:val="pt-PT"/>
        </w:rPr>
      </w:pPr>
      <w:r w:rsidRPr="00465964">
        <w:rPr>
          <w:lang w:val="pt-PT"/>
        </w:rPr>
        <w:t>É conferido à Comissão o poder de adotar as normas técnicas de execução a que se refere o primeiro parágrafo, em conformidade com o artigo 15.</w:t>
      </w:r>
      <w:r w:rsidRPr="00465964">
        <w:rPr>
          <w:vertAlign w:val="superscript"/>
          <w:lang w:val="pt-PT"/>
        </w:rPr>
        <w:t>o</w:t>
      </w:r>
      <w:r w:rsidRPr="00465964">
        <w:rPr>
          <w:lang w:val="pt-PT"/>
        </w:rPr>
        <w:t xml:space="preserve"> do Regulamento (UE) </w:t>
      </w:r>
      <w:proofErr w:type="spellStart"/>
      <w:r w:rsidRPr="00465964">
        <w:rPr>
          <w:lang w:val="pt-PT"/>
        </w:rPr>
        <w:t>n.</w:t>
      </w:r>
      <w:r w:rsidRPr="00465964">
        <w:rPr>
          <w:vertAlign w:val="superscript"/>
          <w:lang w:val="pt-PT"/>
        </w:rPr>
        <w:t>o</w:t>
      </w:r>
      <w:proofErr w:type="spellEnd"/>
      <w:r w:rsidRPr="00465964">
        <w:rPr>
          <w:lang w:val="pt-PT"/>
        </w:rPr>
        <w:t> 1095/2010.</w:t>
      </w:r>
    </w:p>
    <w:p w14:paraId="595B787B" w14:textId="77777777" w:rsidR="00465964" w:rsidRPr="00465964" w:rsidRDefault="00465964" w:rsidP="00465964">
      <w:pPr>
        <w:rPr>
          <w:lang w:val="pt-PT"/>
        </w:rPr>
      </w:pPr>
      <w:r w:rsidRPr="00465964">
        <w:rPr>
          <w:lang w:val="pt-PT"/>
        </w:rPr>
        <w:t xml:space="preserve">11.   A ESMA, em cooperação com a EBA, elabora projetos de normas técnicas de regulamentação sobre o conteúdo, as metodologias e a apresentação das informações a que se refere o </w:t>
      </w:r>
      <w:proofErr w:type="spellStart"/>
      <w:r w:rsidRPr="00465964">
        <w:rPr>
          <w:lang w:val="pt-PT"/>
        </w:rPr>
        <w:t>n.</w:t>
      </w:r>
      <w:r w:rsidRPr="00465964">
        <w:rPr>
          <w:vertAlign w:val="superscript"/>
          <w:lang w:val="pt-PT"/>
        </w:rPr>
        <w:t>o</w:t>
      </w:r>
      <w:proofErr w:type="spellEnd"/>
      <w:r w:rsidRPr="00465964">
        <w:rPr>
          <w:lang w:val="pt-PT"/>
        </w:rPr>
        <w:t> 1, primeiro parágrafo, alínea h), no que diz respeito aos indicadores de sustentabilidade relacionados com os impactos negativos no clima e outros impactos negativos relacionados com o ambiente.</w:t>
      </w:r>
    </w:p>
    <w:p w14:paraId="2529DFC6" w14:textId="77777777" w:rsidR="00465964" w:rsidRPr="00465964" w:rsidRDefault="00465964" w:rsidP="00465964">
      <w:pPr>
        <w:rPr>
          <w:lang w:val="pt-PT"/>
        </w:rPr>
      </w:pPr>
      <w:r w:rsidRPr="00465964">
        <w:rPr>
          <w:lang w:val="pt-PT"/>
        </w:rPr>
        <w:t>Ao elaborar os projetos de normas técnicas de regulamentação a que se refere o primeiro parágrafo, a ESMA tem em conta os vários tipos de mecanismos de consenso utilizados para validar as transações de criptoativos, as suas estruturas de incentivo e a utilização de energia, energias renováveis e recursos naturais, bem como a produção de resíduos e as emissões de gases com efeito de estufa. A ESMA atualiza as normas técnicas de regulamentação à luz da evolução regulamentar e tecnológica.</w:t>
      </w:r>
    </w:p>
    <w:p w14:paraId="527A87A5" w14:textId="77777777" w:rsidR="00465964" w:rsidRPr="00465964" w:rsidRDefault="00465964" w:rsidP="00465964">
      <w:pPr>
        <w:rPr>
          <w:lang w:val="pt-PT"/>
        </w:rPr>
      </w:pPr>
      <w:r w:rsidRPr="00465964">
        <w:rPr>
          <w:lang w:val="pt-PT"/>
        </w:rPr>
        <w:t>A ESMA apresenta à Comissão os projetos de normas técnicas de regulamentação referidos no primeiro parágrafo até 30 de junho de 2024.</w:t>
      </w:r>
    </w:p>
    <w:p w14:paraId="41B2A12E" w14:textId="77777777" w:rsidR="00465964" w:rsidRPr="00465964" w:rsidRDefault="00465964" w:rsidP="00465964">
      <w:pPr>
        <w:rPr>
          <w:lang w:val="pt-PT"/>
        </w:rPr>
      </w:pPr>
      <w:r w:rsidRPr="00465964">
        <w:rPr>
          <w:lang w:val="pt-PT"/>
        </w:rPr>
        <w:t>É delegado na Comissão o poder de completar o presente regulamento através da adoção das normas técnicas de regulamentação a que se refere o primeiro parágrafo do presente número em conformidade com os artigos 10.</w:t>
      </w:r>
      <w:r w:rsidRPr="00465964">
        <w:rPr>
          <w:vertAlign w:val="superscript"/>
          <w:lang w:val="pt-PT"/>
        </w:rPr>
        <w:t>o</w:t>
      </w:r>
      <w:r w:rsidRPr="00465964">
        <w:rPr>
          <w:lang w:val="pt-PT"/>
        </w:rPr>
        <w:t> a 14.</w:t>
      </w:r>
      <w:r w:rsidRPr="00465964">
        <w:rPr>
          <w:vertAlign w:val="superscript"/>
          <w:lang w:val="pt-PT"/>
        </w:rPr>
        <w:t>o</w:t>
      </w:r>
      <w:r w:rsidRPr="00465964">
        <w:rPr>
          <w:lang w:val="pt-PT"/>
        </w:rPr>
        <w:t xml:space="preserve"> do Regulamento (UE) </w:t>
      </w:r>
      <w:proofErr w:type="spellStart"/>
      <w:r w:rsidRPr="00465964">
        <w:rPr>
          <w:lang w:val="pt-PT"/>
        </w:rPr>
        <w:t>n.</w:t>
      </w:r>
      <w:r w:rsidRPr="00465964">
        <w:rPr>
          <w:vertAlign w:val="superscript"/>
          <w:lang w:val="pt-PT"/>
        </w:rPr>
        <w:t>o</w:t>
      </w:r>
      <w:proofErr w:type="spellEnd"/>
      <w:r w:rsidRPr="00465964">
        <w:rPr>
          <w:lang w:val="pt-PT"/>
        </w:rPr>
        <w:t> 1095/2010.</w:t>
      </w:r>
    </w:p>
    <w:p w14:paraId="7CDE2C30" w14:textId="77777777" w:rsidR="00465964" w:rsidRPr="00465964" w:rsidRDefault="00465964" w:rsidP="00465964">
      <w:pPr>
        <w:rPr>
          <w:i/>
          <w:iCs/>
          <w:lang w:val="pt-PT"/>
        </w:rPr>
      </w:pPr>
      <w:r w:rsidRPr="00465964">
        <w:rPr>
          <w:i/>
          <w:iCs/>
          <w:lang w:val="pt-PT"/>
        </w:rPr>
        <w:t>Artigo 20.</w:t>
      </w:r>
      <w:r w:rsidRPr="00465964">
        <w:rPr>
          <w:i/>
          <w:iCs/>
          <w:vertAlign w:val="superscript"/>
          <w:lang w:val="pt-PT"/>
        </w:rPr>
        <w:t>o</w:t>
      </w:r>
    </w:p>
    <w:p w14:paraId="72521C67" w14:textId="77777777" w:rsidR="00465964" w:rsidRPr="00465964" w:rsidRDefault="00465964" w:rsidP="00465964">
      <w:pPr>
        <w:rPr>
          <w:b/>
          <w:bCs/>
          <w:lang w:val="pt-PT"/>
        </w:rPr>
      </w:pPr>
      <w:r w:rsidRPr="00465964">
        <w:rPr>
          <w:b/>
          <w:bCs/>
          <w:lang w:val="pt-PT"/>
        </w:rPr>
        <w:t>Apreciação do pedido de autorização</w:t>
      </w:r>
    </w:p>
    <w:p w14:paraId="53189C12" w14:textId="77777777" w:rsidR="00465964" w:rsidRPr="00465964" w:rsidRDefault="00465964" w:rsidP="00465964">
      <w:pPr>
        <w:rPr>
          <w:lang w:val="pt-PT"/>
        </w:rPr>
      </w:pPr>
      <w:r w:rsidRPr="00465964">
        <w:rPr>
          <w:lang w:val="pt-PT"/>
        </w:rPr>
        <w:t>1.   As autoridades competentes que recebam um pedido de autorização a que se refere o artigo 18.</w:t>
      </w:r>
      <w:r w:rsidRPr="00465964">
        <w:rPr>
          <w:vertAlign w:val="superscript"/>
          <w:lang w:val="pt-PT"/>
        </w:rPr>
        <w:t>o</w:t>
      </w:r>
      <w:r w:rsidRPr="00465964">
        <w:rPr>
          <w:lang w:val="pt-PT"/>
        </w:rPr>
        <w:t> devem, no prazo de 25 dias úteis a contar da receção do pedido, avaliar se esse pedido, nomeadamente o livrete do criptoativo a que se refere o artigo 19.</w:t>
      </w:r>
      <w:r w:rsidRPr="00465964">
        <w:rPr>
          <w:vertAlign w:val="superscript"/>
          <w:lang w:val="pt-PT"/>
        </w:rPr>
        <w:t>o</w:t>
      </w:r>
      <w:r w:rsidRPr="00465964">
        <w:rPr>
          <w:lang w:val="pt-PT"/>
        </w:rPr>
        <w:t xml:space="preserve">, compreende todas </w:t>
      </w:r>
      <w:r w:rsidRPr="00465964">
        <w:rPr>
          <w:lang w:val="pt-PT"/>
        </w:rPr>
        <w:lastRenderedPageBreak/>
        <w:t>as informações exigidas. Devem notificar imediatamente o emitente requerente sobre se o pedido, nomeadamente o livrete do criptoativo, contém todas as informações exigidas. Se o pedido, incluindo o livrete do criptoativo, não estiver completo, as autoridades competentes devem fixar um prazo para que o emitente requerente forneça as informações em falta.</w:t>
      </w:r>
    </w:p>
    <w:p w14:paraId="722833BB" w14:textId="77777777" w:rsidR="00465964" w:rsidRPr="00465964" w:rsidRDefault="00465964" w:rsidP="00465964">
      <w:pPr>
        <w:rPr>
          <w:lang w:val="pt-PT"/>
        </w:rPr>
      </w:pPr>
      <w:r w:rsidRPr="00465964">
        <w:rPr>
          <w:lang w:val="pt-PT"/>
        </w:rPr>
        <w:t>2.   As autoridades competentes devem avaliar, no prazo de 60 dias úteis a contar da receção de um pedido completo, se o emitente requerente cumpre os requisitos enunciados no presente título e adotar um projeto de decisão devidamente fundamentado no sentido de conceder ou recusar a autorização. Nesse prazo de 60 dias úteis, as autoridades competentes podem solicitar ao emitente requerente quaisquer informações relativas ao pedido, nomeadamente no que respeita ao livrete do criptoativo a que se refere o artigo 19.</w:t>
      </w:r>
      <w:r w:rsidRPr="00465964">
        <w:rPr>
          <w:vertAlign w:val="superscript"/>
          <w:lang w:val="pt-PT"/>
        </w:rPr>
        <w:t>o</w:t>
      </w:r>
      <w:r w:rsidRPr="00465964">
        <w:rPr>
          <w:lang w:val="pt-PT"/>
        </w:rPr>
        <w:t>.</w:t>
      </w:r>
    </w:p>
    <w:p w14:paraId="0B557AEF" w14:textId="77777777" w:rsidR="00465964" w:rsidRPr="00465964" w:rsidRDefault="00465964" w:rsidP="00465964">
      <w:pPr>
        <w:rPr>
          <w:lang w:val="pt-PT"/>
        </w:rPr>
      </w:pPr>
      <w:r w:rsidRPr="00465964">
        <w:rPr>
          <w:lang w:val="pt-PT"/>
        </w:rPr>
        <w:t>Ao longo do processo de avaliação, as autoridades competentes podem cooperar com as autoridades competentes em matéria de luta contra o branqueamento de capitais e o financiamento do terrorismo, as Unidades de Informação Financeira ou outros organismos públicos.</w:t>
      </w:r>
    </w:p>
    <w:p w14:paraId="6959C8D0" w14:textId="77777777" w:rsidR="00465964" w:rsidRPr="00465964" w:rsidRDefault="00465964" w:rsidP="00465964">
      <w:pPr>
        <w:rPr>
          <w:lang w:val="pt-PT"/>
        </w:rPr>
      </w:pPr>
      <w:r w:rsidRPr="00465964">
        <w:rPr>
          <w:lang w:val="pt-PT"/>
        </w:rPr>
        <w:t xml:space="preserve">3.   O prazo de avaliação previsto nos </w:t>
      </w:r>
      <w:proofErr w:type="spellStart"/>
      <w:proofErr w:type="gramStart"/>
      <w:r w:rsidRPr="00465964">
        <w:rPr>
          <w:lang w:val="pt-PT"/>
        </w:rPr>
        <w:t>n.</w:t>
      </w:r>
      <w:r w:rsidRPr="00465964">
        <w:rPr>
          <w:vertAlign w:val="superscript"/>
          <w:lang w:val="pt-PT"/>
        </w:rPr>
        <w:t>os</w:t>
      </w:r>
      <w:proofErr w:type="spellEnd"/>
      <w:proofErr w:type="gramEnd"/>
      <w:r w:rsidRPr="00465964">
        <w:rPr>
          <w:lang w:val="pt-PT"/>
        </w:rPr>
        <w:t xml:space="preserve"> 1 e 2 fica suspenso durante o período compreendido entre a data do pedido de informação em falta pelas autoridades competentes e a receção por estas de uma resposta à mesma por parte do emitente requerente. A suspensão não pode exceder 20 dias úteis. É deixado ao critério das autoridades competentes formular mais pedidos com vista a completar ou clarificar as informações, mas esses pedidos não dão lugar à suspensão do prazo de avaliação nos termos dos </w:t>
      </w:r>
      <w:proofErr w:type="spellStart"/>
      <w:proofErr w:type="gramStart"/>
      <w:r w:rsidRPr="00465964">
        <w:rPr>
          <w:lang w:val="pt-PT"/>
        </w:rPr>
        <w:t>n.</w:t>
      </w:r>
      <w:r w:rsidRPr="00465964">
        <w:rPr>
          <w:vertAlign w:val="superscript"/>
          <w:lang w:val="pt-PT"/>
        </w:rPr>
        <w:t>os</w:t>
      </w:r>
      <w:proofErr w:type="spellEnd"/>
      <w:proofErr w:type="gramEnd"/>
      <w:r w:rsidRPr="00465964">
        <w:rPr>
          <w:lang w:val="pt-PT"/>
        </w:rPr>
        <w:t> 1 e 2.</w:t>
      </w:r>
    </w:p>
    <w:p w14:paraId="3479B0ED" w14:textId="77777777" w:rsidR="00465964" w:rsidRPr="00465964" w:rsidRDefault="00465964" w:rsidP="00465964">
      <w:pPr>
        <w:rPr>
          <w:lang w:val="pt-PT"/>
        </w:rPr>
      </w:pPr>
      <w:r w:rsidRPr="00465964">
        <w:rPr>
          <w:lang w:val="pt-PT"/>
        </w:rPr>
        <w:t xml:space="preserve">4.   Após os 60 dias úteis referidos no </w:t>
      </w:r>
      <w:proofErr w:type="spellStart"/>
      <w:r w:rsidRPr="00465964">
        <w:rPr>
          <w:lang w:val="pt-PT"/>
        </w:rPr>
        <w:t>n.</w:t>
      </w:r>
      <w:r w:rsidRPr="00465964">
        <w:rPr>
          <w:vertAlign w:val="superscript"/>
          <w:lang w:val="pt-PT"/>
        </w:rPr>
        <w:t>o</w:t>
      </w:r>
      <w:proofErr w:type="spellEnd"/>
      <w:r w:rsidRPr="00465964">
        <w:rPr>
          <w:lang w:val="pt-PT"/>
        </w:rPr>
        <w:t xml:space="preserve"> 2, as autoridades competentes devem transmitir o seu projeto de decisão e o pedido à EBA, à ESMA e ao BCE. Se o emitente requerente estiver estabelecido num Estado-Membro cuja moeda não seja o euro, ou se uma moeda oficial de um Estado-Membro que não seja o euro for referenciada pela </w:t>
      </w:r>
      <w:proofErr w:type="spellStart"/>
      <w:r w:rsidRPr="00465964">
        <w:rPr>
          <w:lang w:val="pt-PT"/>
        </w:rPr>
        <w:t>criptoficha</w:t>
      </w:r>
      <w:proofErr w:type="spellEnd"/>
      <w:r w:rsidRPr="00465964">
        <w:rPr>
          <w:lang w:val="pt-PT"/>
        </w:rPr>
        <w:t xml:space="preserve"> referenciada a ativos, as autoridades competentes transmitem também o seu projeto de decisão e o pedido ao banco central do Estado-Membro em causa.</w:t>
      </w:r>
    </w:p>
    <w:p w14:paraId="3B853403" w14:textId="77777777" w:rsidR="00465964" w:rsidRPr="00465964" w:rsidRDefault="00465964" w:rsidP="00465964">
      <w:pPr>
        <w:rPr>
          <w:lang w:val="pt-PT"/>
        </w:rPr>
      </w:pPr>
      <w:r w:rsidRPr="00465964">
        <w:rPr>
          <w:lang w:val="pt-PT"/>
        </w:rPr>
        <w:t>5.   A pedido da autoridade competente, e no prazo de 20 dias úteis a contar da receção do projeto de decisão e do pedido, a EBA e a ESMA emitem um parecer relativo à sua apreciação do parecer jurídico a que se refere o artigo 18.</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2, alínea e), e transmitem os respetivos pareceres à autoridade competente em causa.</w:t>
      </w:r>
    </w:p>
    <w:p w14:paraId="00292E9C" w14:textId="77777777" w:rsidR="00465964" w:rsidRPr="00465964" w:rsidRDefault="00465964" w:rsidP="00465964">
      <w:pPr>
        <w:rPr>
          <w:lang w:val="pt-PT"/>
        </w:rPr>
      </w:pPr>
      <w:r w:rsidRPr="00465964">
        <w:rPr>
          <w:lang w:val="pt-PT"/>
        </w:rPr>
        <w:t xml:space="preserve">O BCE e, se for o caso, o banco central a que se refere o </w:t>
      </w:r>
      <w:proofErr w:type="spellStart"/>
      <w:r w:rsidRPr="00465964">
        <w:rPr>
          <w:lang w:val="pt-PT"/>
        </w:rPr>
        <w:t>n.</w:t>
      </w:r>
      <w:r w:rsidRPr="00465964">
        <w:rPr>
          <w:vertAlign w:val="superscript"/>
          <w:lang w:val="pt-PT"/>
        </w:rPr>
        <w:t>o</w:t>
      </w:r>
      <w:proofErr w:type="spellEnd"/>
      <w:r w:rsidRPr="00465964">
        <w:rPr>
          <w:lang w:val="pt-PT"/>
        </w:rPr>
        <w:t xml:space="preserve"> 4, emitem, no prazo de 20 dias úteis a contar da receção do projeto de decisão e do pedido, um parecer sobre a sua apreciação dos riscos que a emissão dessa </w:t>
      </w:r>
      <w:proofErr w:type="spellStart"/>
      <w:r w:rsidRPr="00465964">
        <w:rPr>
          <w:lang w:val="pt-PT"/>
        </w:rPr>
        <w:t>criptoficha</w:t>
      </w:r>
      <w:proofErr w:type="spellEnd"/>
      <w:r w:rsidRPr="00465964">
        <w:rPr>
          <w:lang w:val="pt-PT"/>
        </w:rPr>
        <w:t xml:space="preserve"> referenciada a ativos seja suscetível de criar para a estabilidade financeira, o bom funcionamento dos sistemas de pagamento, a transmissão da política monetária e a soberania monetária, e transmite o seu parecer à autoridade competente em causa.</w:t>
      </w:r>
    </w:p>
    <w:p w14:paraId="46EDD024" w14:textId="77777777" w:rsidR="00465964" w:rsidRPr="00465964" w:rsidRDefault="00465964" w:rsidP="00465964">
      <w:pPr>
        <w:rPr>
          <w:lang w:val="pt-PT"/>
        </w:rPr>
      </w:pPr>
      <w:r w:rsidRPr="00465964">
        <w:rPr>
          <w:lang w:val="pt-PT"/>
        </w:rPr>
        <w:t>Sem prejuízo do disposto no artigo 21.</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4, os pareceres a que se referem o primeiro e o segundo parágrafos do presente número não são vinculativos.</w:t>
      </w:r>
    </w:p>
    <w:p w14:paraId="2C56DB22" w14:textId="77777777" w:rsidR="00465964" w:rsidRPr="00465964" w:rsidRDefault="00465964" w:rsidP="00465964">
      <w:pPr>
        <w:rPr>
          <w:lang w:val="pt-PT"/>
        </w:rPr>
      </w:pPr>
      <w:r w:rsidRPr="00465964">
        <w:rPr>
          <w:lang w:val="pt-PT"/>
        </w:rPr>
        <w:t>No entanto, a autoridade competente deve ter devidamente em conta os pareceres referidos nos primeiro e segundo parágrafos do presente número.</w:t>
      </w:r>
    </w:p>
    <w:p w14:paraId="1B21785A" w14:textId="77777777" w:rsidR="00465964" w:rsidRPr="00465964" w:rsidRDefault="00465964" w:rsidP="00465964">
      <w:pPr>
        <w:rPr>
          <w:i/>
          <w:iCs/>
          <w:lang w:val="pt-PT"/>
        </w:rPr>
      </w:pPr>
      <w:r w:rsidRPr="00465964">
        <w:rPr>
          <w:i/>
          <w:iCs/>
          <w:lang w:val="pt-PT"/>
        </w:rPr>
        <w:t>Artigo 21.</w:t>
      </w:r>
      <w:r w:rsidRPr="00465964">
        <w:rPr>
          <w:i/>
          <w:iCs/>
          <w:vertAlign w:val="superscript"/>
          <w:lang w:val="pt-PT"/>
        </w:rPr>
        <w:t>o</w:t>
      </w:r>
    </w:p>
    <w:p w14:paraId="6E12D5BB" w14:textId="77777777" w:rsidR="00465964" w:rsidRPr="00465964" w:rsidRDefault="00465964" w:rsidP="00465964">
      <w:pPr>
        <w:rPr>
          <w:b/>
          <w:bCs/>
          <w:lang w:val="pt-PT"/>
        </w:rPr>
      </w:pPr>
      <w:r w:rsidRPr="00465964">
        <w:rPr>
          <w:b/>
          <w:bCs/>
          <w:lang w:val="pt-PT"/>
        </w:rPr>
        <w:t>Concessão ou recusa da autorização</w:t>
      </w:r>
    </w:p>
    <w:p w14:paraId="639E5A3F" w14:textId="77777777" w:rsidR="00465964" w:rsidRPr="00465964" w:rsidRDefault="00465964" w:rsidP="00465964">
      <w:pPr>
        <w:rPr>
          <w:lang w:val="pt-PT"/>
        </w:rPr>
      </w:pPr>
      <w:r w:rsidRPr="00465964">
        <w:rPr>
          <w:lang w:val="pt-PT"/>
        </w:rPr>
        <w:lastRenderedPageBreak/>
        <w:t>1.   As autoridades competentes devem, no prazo de 25 dias úteis a contar da receção dos pareceres referidos no artigo 20.</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5, adotar uma decisão devidamente fundamentada de concessão ou recusa da autorização ao emitente requerente e notificar, no prazo de cinco dias úteis, essa decisão ao emitente requerente. Se o emitente requerente for autorizado, considera-se que o seu livrete do criptoativo foi aprovado.</w:t>
      </w:r>
    </w:p>
    <w:p w14:paraId="4CF911B5" w14:textId="77777777" w:rsidR="00465964" w:rsidRPr="00465964" w:rsidRDefault="00465964" w:rsidP="00465964">
      <w:pPr>
        <w:rPr>
          <w:lang w:val="pt-PT"/>
        </w:rPr>
      </w:pPr>
      <w:r w:rsidRPr="00465964">
        <w:rPr>
          <w:lang w:val="pt-PT"/>
        </w:rPr>
        <w:t>2.   As autoridades competentes devem recusar a autorização se existirem motivos objetivos e comprováveis para concluir que:</w:t>
      </w:r>
    </w:p>
    <w:tbl>
      <w:tblPr>
        <w:tblW w:w="5000" w:type="pct"/>
        <w:tblCellMar>
          <w:left w:w="0" w:type="dxa"/>
          <w:right w:w="0" w:type="dxa"/>
        </w:tblCellMar>
        <w:tblLook w:val="04A0" w:firstRow="1" w:lastRow="0" w:firstColumn="1" w:lastColumn="0" w:noHBand="0" w:noVBand="1"/>
      </w:tblPr>
      <w:tblGrid>
        <w:gridCol w:w="182"/>
        <w:gridCol w:w="8844"/>
      </w:tblGrid>
      <w:tr w:rsidR="00465964" w:rsidRPr="00465964" w14:paraId="7D413401" w14:textId="77777777" w:rsidTr="00465964">
        <w:tc>
          <w:tcPr>
            <w:tcW w:w="0" w:type="auto"/>
            <w:shd w:val="clear" w:color="auto" w:fill="auto"/>
            <w:hideMark/>
          </w:tcPr>
          <w:p w14:paraId="0A291909" w14:textId="77777777" w:rsidR="00465964" w:rsidRPr="00465964" w:rsidRDefault="00465964" w:rsidP="00465964">
            <w:r w:rsidRPr="00465964">
              <w:t>a)</w:t>
            </w:r>
          </w:p>
        </w:tc>
        <w:tc>
          <w:tcPr>
            <w:tcW w:w="0" w:type="auto"/>
            <w:shd w:val="clear" w:color="auto" w:fill="auto"/>
            <w:hideMark/>
          </w:tcPr>
          <w:p w14:paraId="65B21E4C" w14:textId="77777777" w:rsidR="00465964" w:rsidRPr="00465964" w:rsidRDefault="00465964" w:rsidP="00465964">
            <w:pPr>
              <w:rPr>
                <w:lang w:val="pt-PT"/>
              </w:rPr>
            </w:pPr>
            <w:r w:rsidRPr="00465964">
              <w:rPr>
                <w:lang w:val="pt-PT"/>
              </w:rPr>
              <w:t>O órgão de administração do emitente requerente pode constituir uma ameaça para a sua gestão eficaz, sã e prudente e para a continuidade das atividades, bem como para a consideração adequada dos interesses dos seus clientes e a integridade do mercado;</w:t>
            </w:r>
          </w:p>
        </w:tc>
      </w:tr>
    </w:tbl>
    <w:p w14:paraId="497507DE"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8"/>
        <w:gridCol w:w="8838"/>
      </w:tblGrid>
      <w:tr w:rsidR="00465964" w:rsidRPr="00465964" w14:paraId="2EC5DB06" w14:textId="77777777" w:rsidTr="00465964">
        <w:tc>
          <w:tcPr>
            <w:tcW w:w="0" w:type="auto"/>
            <w:shd w:val="clear" w:color="auto" w:fill="auto"/>
            <w:hideMark/>
          </w:tcPr>
          <w:p w14:paraId="29BBB314" w14:textId="77777777" w:rsidR="00465964" w:rsidRPr="00465964" w:rsidRDefault="00465964" w:rsidP="00465964">
            <w:r w:rsidRPr="00465964">
              <w:t>b)</w:t>
            </w:r>
          </w:p>
        </w:tc>
        <w:tc>
          <w:tcPr>
            <w:tcW w:w="0" w:type="auto"/>
            <w:shd w:val="clear" w:color="auto" w:fill="auto"/>
            <w:hideMark/>
          </w:tcPr>
          <w:p w14:paraId="20D1E188" w14:textId="77777777" w:rsidR="00465964" w:rsidRPr="00465964" w:rsidRDefault="00465964" w:rsidP="00465964">
            <w:pPr>
              <w:rPr>
                <w:lang w:val="pt-PT"/>
              </w:rPr>
            </w:pPr>
            <w:r w:rsidRPr="00465964">
              <w:rPr>
                <w:lang w:val="pt-PT"/>
              </w:rPr>
              <w:t>Os membros do órgão de administração não preenchem os critérios estabelecidos no artigo 34.</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2;</w:t>
            </w:r>
          </w:p>
        </w:tc>
      </w:tr>
    </w:tbl>
    <w:p w14:paraId="77704CFE"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0"/>
        <w:gridCol w:w="8846"/>
      </w:tblGrid>
      <w:tr w:rsidR="00465964" w:rsidRPr="00465964" w14:paraId="6D301917" w14:textId="77777777" w:rsidTr="00465964">
        <w:tc>
          <w:tcPr>
            <w:tcW w:w="0" w:type="auto"/>
            <w:shd w:val="clear" w:color="auto" w:fill="auto"/>
            <w:hideMark/>
          </w:tcPr>
          <w:p w14:paraId="2A46A7FB" w14:textId="77777777" w:rsidR="00465964" w:rsidRPr="00465964" w:rsidRDefault="00465964" w:rsidP="00465964">
            <w:r w:rsidRPr="00465964">
              <w:t>c)</w:t>
            </w:r>
          </w:p>
        </w:tc>
        <w:tc>
          <w:tcPr>
            <w:tcW w:w="0" w:type="auto"/>
            <w:shd w:val="clear" w:color="auto" w:fill="auto"/>
            <w:hideMark/>
          </w:tcPr>
          <w:p w14:paraId="73A71DD3" w14:textId="77777777" w:rsidR="00465964" w:rsidRPr="00465964" w:rsidRDefault="00465964" w:rsidP="00465964">
            <w:pPr>
              <w:rPr>
                <w:lang w:val="pt-PT"/>
              </w:rPr>
            </w:pPr>
            <w:r w:rsidRPr="00465964">
              <w:rPr>
                <w:lang w:val="pt-PT"/>
              </w:rPr>
              <w:t>Os acionistas ou sócios, diretos ou indiretos, que detêm participações qualificadas não preenchem os critérios de idoneidade estabelecidos no artigo 34.</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4;</w:t>
            </w:r>
          </w:p>
        </w:tc>
      </w:tr>
    </w:tbl>
    <w:p w14:paraId="693F87DB"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8"/>
        <w:gridCol w:w="8838"/>
      </w:tblGrid>
      <w:tr w:rsidR="00465964" w:rsidRPr="00465964" w14:paraId="70A74418" w14:textId="77777777" w:rsidTr="00465964">
        <w:tc>
          <w:tcPr>
            <w:tcW w:w="0" w:type="auto"/>
            <w:shd w:val="clear" w:color="auto" w:fill="auto"/>
            <w:hideMark/>
          </w:tcPr>
          <w:p w14:paraId="454BCA2E" w14:textId="77777777" w:rsidR="00465964" w:rsidRPr="00465964" w:rsidRDefault="00465964" w:rsidP="00465964">
            <w:r w:rsidRPr="00465964">
              <w:t>d)</w:t>
            </w:r>
          </w:p>
        </w:tc>
        <w:tc>
          <w:tcPr>
            <w:tcW w:w="0" w:type="auto"/>
            <w:shd w:val="clear" w:color="auto" w:fill="auto"/>
            <w:hideMark/>
          </w:tcPr>
          <w:p w14:paraId="07981697" w14:textId="77777777" w:rsidR="00465964" w:rsidRPr="00465964" w:rsidRDefault="00465964" w:rsidP="00465964">
            <w:pPr>
              <w:rPr>
                <w:lang w:val="pt-PT"/>
              </w:rPr>
            </w:pPr>
            <w:r w:rsidRPr="00465964">
              <w:rPr>
                <w:lang w:val="pt-PT"/>
              </w:rPr>
              <w:t>O emitente requerente não preenche ou pode não preencher algum dos requisitos estipulados no presente título;</w:t>
            </w:r>
          </w:p>
        </w:tc>
      </w:tr>
    </w:tbl>
    <w:p w14:paraId="5BEC311F"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1"/>
        <w:gridCol w:w="8845"/>
      </w:tblGrid>
      <w:tr w:rsidR="00465964" w:rsidRPr="00465964" w14:paraId="6CCEE0FB" w14:textId="77777777" w:rsidTr="00465964">
        <w:tc>
          <w:tcPr>
            <w:tcW w:w="0" w:type="auto"/>
            <w:shd w:val="clear" w:color="auto" w:fill="auto"/>
            <w:hideMark/>
          </w:tcPr>
          <w:p w14:paraId="0F255B64" w14:textId="77777777" w:rsidR="00465964" w:rsidRPr="00465964" w:rsidRDefault="00465964" w:rsidP="00465964">
            <w:r w:rsidRPr="00465964">
              <w:t>e)</w:t>
            </w:r>
          </w:p>
        </w:tc>
        <w:tc>
          <w:tcPr>
            <w:tcW w:w="0" w:type="auto"/>
            <w:shd w:val="clear" w:color="auto" w:fill="auto"/>
            <w:hideMark/>
          </w:tcPr>
          <w:p w14:paraId="272FB8BD" w14:textId="77777777" w:rsidR="00465964" w:rsidRPr="00465964" w:rsidRDefault="00465964" w:rsidP="00465964">
            <w:pPr>
              <w:rPr>
                <w:lang w:val="pt-PT"/>
              </w:rPr>
            </w:pPr>
            <w:r w:rsidRPr="00465964">
              <w:rPr>
                <w:lang w:val="pt-PT"/>
              </w:rPr>
              <w:t>O modelo de negócio do emitente requerente poderá constituir uma ameaça grave para a integridade do mercado, a estabilidade financeira ou o bom funcionamento dos sistemas de pagamento ou expõe o emitente ou o sector a riscos graves de branqueamento de capitais e de financiamento do terrorismo.</w:t>
            </w:r>
          </w:p>
        </w:tc>
      </w:tr>
    </w:tbl>
    <w:p w14:paraId="5799F179" w14:textId="6AE08568" w:rsidR="00465964" w:rsidRPr="00465964" w:rsidRDefault="00465964" w:rsidP="00465964">
      <w:pPr>
        <w:rPr>
          <w:lang w:val="pt-PT"/>
        </w:rPr>
      </w:pPr>
      <w:r w:rsidRPr="00465964">
        <w:rPr>
          <w:lang w:val="pt-PT"/>
        </w:rPr>
        <w:t>3.   Até 30 de junho de 2024, a EBA e a ESMA emitem, conjuntamente, orientações em conformidade com o artigo 16.</w:t>
      </w:r>
      <w:r w:rsidRPr="00465964">
        <w:rPr>
          <w:vertAlign w:val="superscript"/>
          <w:lang w:val="pt-PT"/>
        </w:rPr>
        <w:t>o</w:t>
      </w:r>
      <w:r w:rsidRPr="00465964">
        <w:rPr>
          <w:lang w:val="pt-PT"/>
        </w:rPr>
        <w:t xml:space="preserve"> do Regulamento (UE) </w:t>
      </w:r>
      <w:proofErr w:type="spellStart"/>
      <w:r w:rsidRPr="00465964">
        <w:rPr>
          <w:lang w:val="pt-PT"/>
        </w:rPr>
        <w:t>n.</w:t>
      </w:r>
      <w:r w:rsidRPr="00465964">
        <w:rPr>
          <w:vertAlign w:val="superscript"/>
          <w:lang w:val="pt-PT"/>
        </w:rPr>
        <w:t>o</w:t>
      </w:r>
      <w:proofErr w:type="spellEnd"/>
      <w:r w:rsidRPr="00465964">
        <w:rPr>
          <w:lang w:val="pt-PT"/>
        </w:rPr>
        <w:t> 1093/2010 e o artigo 16.</w:t>
      </w:r>
      <w:r w:rsidRPr="00465964">
        <w:rPr>
          <w:vertAlign w:val="superscript"/>
          <w:lang w:val="pt-PT"/>
        </w:rPr>
        <w:t>o</w:t>
      </w:r>
      <w:r w:rsidRPr="00465964">
        <w:rPr>
          <w:lang w:val="pt-PT"/>
        </w:rPr>
        <w:t xml:space="preserve"> do Regulamento (UE) </w:t>
      </w:r>
      <w:proofErr w:type="spellStart"/>
      <w:r w:rsidRPr="00465964">
        <w:rPr>
          <w:lang w:val="pt-PT"/>
        </w:rPr>
        <w:t>n.</w:t>
      </w:r>
      <w:r w:rsidRPr="00465964">
        <w:rPr>
          <w:vertAlign w:val="superscript"/>
          <w:lang w:val="pt-PT"/>
        </w:rPr>
        <w:t>o</w:t>
      </w:r>
      <w:proofErr w:type="spellEnd"/>
      <w:r w:rsidRPr="00465964">
        <w:rPr>
          <w:lang w:val="pt-PT"/>
        </w:rPr>
        <w:t xml:space="preserve"> 1095/2010, respetivamente, sobre a avaliação da aptidão dos membros do órgão de administração dos emitentes de </w:t>
      </w:r>
      <w:r>
        <w:rPr>
          <w:lang w:val="pt-PT"/>
        </w:rPr>
        <w:t>criptomoedas</w:t>
      </w:r>
      <w:r w:rsidRPr="00465964">
        <w:rPr>
          <w:lang w:val="pt-PT"/>
        </w:rPr>
        <w:t xml:space="preserve"> referenciadas a ativos e dos acionistas e sócios, diretos ou indiretos, que detenham participações qualificadas em emitentes de </w:t>
      </w:r>
      <w:r>
        <w:rPr>
          <w:lang w:val="pt-PT"/>
        </w:rPr>
        <w:t>criptomoedas</w:t>
      </w:r>
      <w:r w:rsidRPr="00465964">
        <w:rPr>
          <w:lang w:val="pt-PT"/>
        </w:rPr>
        <w:t xml:space="preserve"> referenciadas a ativos.</w:t>
      </w:r>
    </w:p>
    <w:p w14:paraId="47D18533" w14:textId="77777777" w:rsidR="00465964" w:rsidRPr="00465964" w:rsidRDefault="00465964" w:rsidP="00465964">
      <w:pPr>
        <w:rPr>
          <w:lang w:val="pt-PT"/>
        </w:rPr>
      </w:pPr>
      <w:r w:rsidRPr="00465964">
        <w:rPr>
          <w:lang w:val="pt-PT"/>
        </w:rPr>
        <w:t>4.   As autoridades competentes recusarão igualmente a autorização se o BCE ou, quando aplicável, o banco central emitir um parecer negativo nos termos do artigo 20.</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5, por motivos que se prendam com os riscos para o bom funcionamento dos sistemas de pagamento, a transmissão da política monetária ou a soberania monetária.</w:t>
      </w:r>
    </w:p>
    <w:p w14:paraId="4BEFD1FD" w14:textId="77777777" w:rsidR="00465964" w:rsidRPr="00465964" w:rsidRDefault="00465964" w:rsidP="00465964">
      <w:pPr>
        <w:rPr>
          <w:lang w:val="pt-PT"/>
        </w:rPr>
      </w:pPr>
      <w:r w:rsidRPr="00465964">
        <w:rPr>
          <w:lang w:val="pt-PT"/>
        </w:rPr>
        <w:t>5.   As autoridades competentes comunicam ao ponto único de contacto dos Estados-Membros de acolhimento, à ESMA, à EBA, ao BCE e, quando aplicável, aos bancos centrais a que se refere o artigo 20.</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4, no prazo de dois dias úteis a contar da concessão da autorização, as informações especificadas no artigo 109.</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3.</w:t>
      </w:r>
    </w:p>
    <w:p w14:paraId="4A57B64B" w14:textId="77777777" w:rsidR="00465964" w:rsidRPr="00465964" w:rsidRDefault="00465964" w:rsidP="00465964">
      <w:pPr>
        <w:rPr>
          <w:lang w:val="pt-PT"/>
        </w:rPr>
      </w:pPr>
      <w:r w:rsidRPr="00465964">
        <w:rPr>
          <w:lang w:val="pt-PT"/>
        </w:rPr>
        <w:t>A ESMA torna essas informações disponíveis no registo, nos termos do artigo 109.</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3, até à data de início da oferta pública ou da admissão à negociação.</w:t>
      </w:r>
    </w:p>
    <w:p w14:paraId="21F93DDB" w14:textId="77777777" w:rsidR="00465964" w:rsidRPr="00465964" w:rsidRDefault="00465964" w:rsidP="00465964">
      <w:pPr>
        <w:rPr>
          <w:lang w:val="pt-PT"/>
        </w:rPr>
      </w:pPr>
      <w:r w:rsidRPr="00465964">
        <w:rPr>
          <w:lang w:val="pt-PT"/>
        </w:rPr>
        <w:t>6.   As autoridades competentes informam a EBA, a ESMA, o BCE e, se for o caso, o banco central a que se refere o artigo 20.</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4, de todas as autorizações recusadas, expõem os motivos subjacentes à respetiva decisão e fundamentam, se for caso disso, qualquer desvio em relação aos pareceres a que se refere o artigo 20.</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5.</w:t>
      </w:r>
    </w:p>
    <w:p w14:paraId="71C6AF88" w14:textId="77777777" w:rsidR="00465964" w:rsidRPr="00465964" w:rsidRDefault="00465964" w:rsidP="00465964">
      <w:pPr>
        <w:rPr>
          <w:i/>
          <w:iCs/>
          <w:lang w:val="pt-PT"/>
        </w:rPr>
      </w:pPr>
      <w:r w:rsidRPr="00465964">
        <w:rPr>
          <w:i/>
          <w:iCs/>
          <w:lang w:val="pt-PT"/>
        </w:rPr>
        <w:t>Artigo 22.</w:t>
      </w:r>
      <w:r w:rsidRPr="00465964">
        <w:rPr>
          <w:i/>
          <w:iCs/>
          <w:vertAlign w:val="superscript"/>
          <w:lang w:val="pt-PT"/>
        </w:rPr>
        <w:t>o</w:t>
      </w:r>
    </w:p>
    <w:p w14:paraId="6E48DE5A" w14:textId="15BF9640" w:rsidR="00465964" w:rsidRPr="00465964" w:rsidRDefault="00465964" w:rsidP="00465964">
      <w:pPr>
        <w:rPr>
          <w:b/>
          <w:bCs/>
          <w:lang w:val="pt-PT"/>
        </w:rPr>
      </w:pPr>
      <w:r w:rsidRPr="00465964">
        <w:rPr>
          <w:b/>
          <w:bCs/>
          <w:lang w:val="pt-PT"/>
        </w:rPr>
        <w:lastRenderedPageBreak/>
        <w:t xml:space="preserve">Comunicação de informação sobre </w:t>
      </w:r>
      <w:r>
        <w:rPr>
          <w:b/>
          <w:bCs/>
          <w:lang w:val="pt-PT"/>
        </w:rPr>
        <w:t>criptomoedas</w:t>
      </w:r>
      <w:r w:rsidRPr="00465964">
        <w:rPr>
          <w:b/>
          <w:bCs/>
          <w:lang w:val="pt-PT"/>
        </w:rPr>
        <w:t xml:space="preserve"> referenciadas a ativos</w:t>
      </w:r>
    </w:p>
    <w:p w14:paraId="7C871CE6" w14:textId="77777777" w:rsidR="00465964" w:rsidRPr="00465964" w:rsidRDefault="00465964" w:rsidP="00465964">
      <w:pPr>
        <w:rPr>
          <w:lang w:val="pt-PT"/>
        </w:rPr>
      </w:pPr>
      <w:r w:rsidRPr="00465964">
        <w:rPr>
          <w:lang w:val="pt-PT"/>
        </w:rPr>
        <w:t xml:space="preserve">1.   O emitente comunica trimestralmente à autoridade competente, relativamente a cada </w:t>
      </w:r>
      <w:proofErr w:type="spellStart"/>
      <w:r w:rsidRPr="00465964">
        <w:rPr>
          <w:lang w:val="pt-PT"/>
        </w:rPr>
        <w:t>criptoficha</w:t>
      </w:r>
      <w:proofErr w:type="spellEnd"/>
      <w:r w:rsidRPr="00465964">
        <w:rPr>
          <w:lang w:val="pt-PT"/>
        </w:rPr>
        <w:t xml:space="preserve"> referenciada a ativos com um valor de emissão superior a 100 000 000 EUR, as seguintes informações:</w:t>
      </w:r>
    </w:p>
    <w:tbl>
      <w:tblPr>
        <w:tblW w:w="5000" w:type="pct"/>
        <w:tblCellMar>
          <w:left w:w="0" w:type="dxa"/>
          <w:right w:w="0" w:type="dxa"/>
        </w:tblCellMar>
        <w:tblLook w:val="04A0" w:firstRow="1" w:lastRow="0" w:firstColumn="1" w:lastColumn="0" w:noHBand="0" w:noVBand="1"/>
      </w:tblPr>
      <w:tblGrid>
        <w:gridCol w:w="644"/>
        <w:gridCol w:w="8382"/>
      </w:tblGrid>
      <w:tr w:rsidR="00465964" w:rsidRPr="00465964" w14:paraId="4A16D3A2" w14:textId="77777777" w:rsidTr="00465964">
        <w:tc>
          <w:tcPr>
            <w:tcW w:w="0" w:type="auto"/>
            <w:shd w:val="clear" w:color="auto" w:fill="auto"/>
            <w:hideMark/>
          </w:tcPr>
          <w:p w14:paraId="666CADA5" w14:textId="77777777" w:rsidR="00465964" w:rsidRPr="00465964" w:rsidRDefault="00465964" w:rsidP="00465964">
            <w:r w:rsidRPr="00465964">
              <w:t>a)</w:t>
            </w:r>
          </w:p>
        </w:tc>
        <w:tc>
          <w:tcPr>
            <w:tcW w:w="0" w:type="auto"/>
            <w:shd w:val="clear" w:color="auto" w:fill="auto"/>
            <w:hideMark/>
          </w:tcPr>
          <w:p w14:paraId="724E8A26" w14:textId="77777777" w:rsidR="00465964" w:rsidRPr="00465964" w:rsidRDefault="00465964" w:rsidP="00465964">
            <w:r w:rsidRPr="00465964">
              <w:t xml:space="preserve">O </w:t>
            </w:r>
            <w:proofErr w:type="spellStart"/>
            <w:r w:rsidRPr="00465964">
              <w:t>número</w:t>
            </w:r>
            <w:proofErr w:type="spellEnd"/>
            <w:r w:rsidRPr="00465964">
              <w:t xml:space="preserve"> de </w:t>
            </w:r>
            <w:proofErr w:type="spellStart"/>
            <w:r w:rsidRPr="00465964">
              <w:t>detentores</w:t>
            </w:r>
            <w:proofErr w:type="spellEnd"/>
            <w:r w:rsidRPr="00465964">
              <w:t>;</w:t>
            </w:r>
          </w:p>
        </w:tc>
      </w:tr>
    </w:tbl>
    <w:p w14:paraId="68C1C331"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211"/>
        <w:gridCol w:w="8815"/>
      </w:tblGrid>
      <w:tr w:rsidR="00465964" w:rsidRPr="00465964" w14:paraId="62F89DF7" w14:textId="77777777" w:rsidTr="00465964">
        <w:tc>
          <w:tcPr>
            <w:tcW w:w="0" w:type="auto"/>
            <w:shd w:val="clear" w:color="auto" w:fill="auto"/>
            <w:hideMark/>
          </w:tcPr>
          <w:p w14:paraId="6C6A2ABB" w14:textId="77777777" w:rsidR="00465964" w:rsidRPr="00465964" w:rsidRDefault="00465964" w:rsidP="00465964">
            <w:r w:rsidRPr="00465964">
              <w:t>b)</w:t>
            </w:r>
          </w:p>
        </w:tc>
        <w:tc>
          <w:tcPr>
            <w:tcW w:w="0" w:type="auto"/>
            <w:shd w:val="clear" w:color="auto" w:fill="auto"/>
            <w:hideMark/>
          </w:tcPr>
          <w:p w14:paraId="3FF63268" w14:textId="77777777" w:rsidR="00465964" w:rsidRPr="00465964" w:rsidRDefault="00465964" w:rsidP="00465964">
            <w:pPr>
              <w:rPr>
                <w:lang w:val="pt-PT"/>
              </w:rPr>
            </w:pPr>
            <w:r w:rsidRPr="00465964">
              <w:rPr>
                <w:lang w:val="pt-PT"/>
              </w:rPr>
              <w:t xml:space="preserve">O valor da </w:t>
            </w:r>
            <w:proofErr w:type="spellStart"/>
            <w:r w:rsidRPr="00465964">
              <w:rPr>
                <w:lang w:val="pt-PT"/>
              </w:rPr>
              <w:t>criptoficha</w:t>
            </w:r>
            <w:proofErr w:type="spellEnd"/>
            <w:r w:rsidRPr="00465964">
              <w:rPr>
                <w:lang w:val="pt-PT"/>
              </w:rPr>
              <w:t xml:space="preserve"> referenciada a ativos emitida e o volume da reserva de ativos;</w:t>
            </w:r>
          </w:p>
        </w:tc>
      </w:tr>
    </w:tbl>
    <w:p w14:paraId="76D0F2EE"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4"/>
        <w:gridCol w:w="8842"/>
      </w:tblGrid>
      <w:tr w:rsidR="00465964" w:rsidRPr="00465964" w14:paraId="5EEC5DC7" w14:textId="77777777" w:rsidTr="00465964">
        <w:tc>
          <w:tcPr>
            <w:tcW w:w="0" w:type="auto"/>
            <w:shd w:val="clear" w:color="auto" w:fill="auto"/>
            <w:hideMark/>
          </w:tcPr>
          <w:p w14:paraId="49048B5F" w14:textId="77777777" w:rsidR="00465964" w:rsidRPr="00465964" w:rsidRDefault="00465964" w:rsidP="00465964">
            <w:r w:rsidRPr="00465964">
              <w:t>c)</w:t>
            </w:r>
          </w:p>
        </w:tc>
        <w:tc>
          <w:tcPr>
            <w:tcW w:w="0" w:type="auto"/>
            <w:shd w:val="clear" w:color="auto" w:fill="auto"/>
            <w:hideMark/>
          </w:tcPr>
          <w:p w14:paraId="4E639F8A" w14:textId="77777777" w:rsidR="00465964" w:rsidRPr="00465964" w:rsidRDefault="00465964" w:rsidP="00465964">
            <w:pPr>
              <w:rPr>
                <w:lang w:val="pt-PT"/>
              </w:rPr>
            </w:pPr>
            <w:r w:rsidRPr="00465964">
              <w:rPr>
                <w:lang w:val="pt-PT"/>
              </w:rPr>
              <w:t>A média do número e do valor agregado de transações diárias durante o trimestre relevante;</w:t>
            </w:r>
          </w:p>
        </w:tc>
      </w:tr>
    </w:tbl>
    <w:p w14:paraId="2CD683AB"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8"/>
        <w:gridCol w:w="8838"/>
      </w:tblGrid>
      <w:tr w:rsidR="00465964" w:rsidRPr="00465964" w14:paraId="64BADC99" w14:textId="77777777" w:rsidTr="00465964">
        <w:tc>
          <w:tcPr>
            <w:tcW w:w="0" w:type="auto"/>
            <w:shd w:val="clear" w:color="auto" w:fill="auto"/>
            <w:hideMark/>
          </w:tcPr>
          <w:p w14:paraId="3C8611EF" w14:textId="77777777" w:rsidR="00465964" w:rsidRPr="00465964" w:rsidRDefault="00465964" w:rsidP="00465964">
            <w:r w:rsidRPr="00465964">
              <w:t>d)</w:t>
            </w:r>
          </w:p>
        </w:tc>
        <w:tc>
          <w:tcPr>
            <w:tcW w:w="0" w:type="auto"/>
            <w:shd w:val="clear" w:color="auto" w:fill="auto"/>
            <w:hideMark/>
          </w:tcPr>
          <w:p w14:paraId="7E6ADD5B" w14:textId="77777777" w:rsidR="00465964" w:rsidRPr="00465964" w:rsidRDefault="00465964" w:rsidP="00465964">
            <w:pPr>
              <w:rPr>
                <w:lang w:val="pt-PT"/>
              </w:rPr>
            </w:pPr>
            <w:r w:rsidRPr="00465964">
              <w:rPr>
                <w:lang w:val="pt-PT"/>
              </w:rPr>
              <w:t>Uma estimativa da média do número e do valor agregado das transações diárias durante o trimestre relevante que estão associadas às suas utilizações como meio de troca numa área de moeda única.</w:t>
            </w:r>
          </w:p>
        </w:tc>
      </w:tr>
    </w:tbl>
    <w:p w14:paraId="6FADD330" w14:textId="77777777" w:rsidR="00465964" w:rsidRPr="00465964" w:rsidRDefault="00465964" w:rsidP="00465964">
      <w:pPr>
        <w:rPr>
          <w:lang w:val="pt-PT"/>
        </w:rPr>
      </w:pPr>
      <w:r w:rsidRPr="00465964">
        <w:rPr>
          <w:lang w:val="pt-PT"/>
        </w:rPr>
        <w:t xml:space="preserve">Para efeitos das alíneas c) e d) do primeiro parágrafo, entende-se por «transação» qualquer mudança da pessoa singular ou coletiva com direito à </w:t>
      </w:r>
      <w:proofErr w:type="spellStart"/>
      <w:r w:rsidRPr="00465964">
        <w:rPr>
          <w:lang w:val="pt-PT"/>
        </w:rPr>
        <w:t>criptoficha</w:t>
      </w:r>
      <w:proofErr w:type="spellEnd"/>
      <w:r w:rsidRPr="00465964">
        <w:rPr>
          <w:lang w:val="pt-PT"/>
        </w:rPr>
        <w:t xml:space="preserve"> referenciada a ativos que resulte da transferência da </w:t>
      </w:r>
      <w:proofErr w:type="spellStart"/>
      <w:r w:rsidRPr="00465964">
        <w:rPr>
          <w:lang w:val="pt-PT"/>
        </w:rPr>
        <w:t>criptoficha</w:t>
      </w:r>
      <w:proofErr w:type="spellEnd"/>
      <w:r w:rsidRPr="00465964">
        <w:rPr>
          <w:lang w:val="pt-PT"/>
        </w:rPr>
        <w:t xml:space="preserve"> referenciada a ativos de um endereço ou conta de registo distribuído para outro.</w:t>
      </w:r>
    </w:p>
    <w:p w14:paraId="7A8BD112" w14:textId="77777777" w:rsidR="00465964" w:rsidRPr="00465964" w:rsidRDefault="00465964" w:rsidP="00465964">
      <w:pPr>
        <w:rPr>
          <w:lang w:val="pt-PT"/>
        </w:rPr>
      </w:pPr>
      <w:r w:rsidRPr="00465964">
        <w:rPr>
          <w:lang w:val="pt-PT"/>
        </w:rPr>
        <w:t xml:space="preserve">As transações que estão associadas à troca por fundos ou outros criptoativos com o emitente ou com um prestador de serviços de criptoativos não devem ser consideradas como estando associadas a utilizações da </w:t>
      </w:r>
      <w:proofErr w:type="spellStart"/>
      <w:r w:rsidRPr="00465964">
        <w:rPr>
          <w:lang w:val="pt-PT"/>
        </w:rPr>
        <w:t>criptoficha</w:t>
      </w:r>
      <w:proofErr w:type="spellEnd"/>
      <w:r w:rsidRPr="00465964">
        <w:rPr>
          <w:lang w:val="pt-PT"/>
        </w:rPr>
        <w:t xml:space="preserve"> referenciada a ativos como um meio de troca, salvo se existirem provas de que a </w:t>
      </w:r>
      <w:proofErr w:type="spellStart"/>
      <w:r w:rsidRPr="00465964">
        <w:rPr>
          <w:lang w:val="pt-PT"/>
        </w:rPr>
        <w:t>criptoficha</w:t>
      </w:r>
      <w:proofErr w:type="spellEnd"/>
      <w:r w:rsidRPr="00465964">
        <w:rPr>
          <w:lang w:val="pt-PT"/>
        </w:rPr>
        <w:t xml:space="preserve"> referenciada a ativos é utilizada para a liquidação de outros criptoativos.</w:t>
      </w:r>
    </w:p>
    <w:p w14:paraId="60E08A76" w14:textId="707D9A67" w:rsidR="00465964" w:rsidRPr="00465964" w:rsidRDefault="00465964" w:rsidP="00465964">
      <w:pPr>
        <w:rPr>
          <w:lang w:val="pt-PT"/>
        </w:rPr>
      </w:pPr>
      <w:r w:rsidRPr="00465964">
        <w:rPr>
          <w:lang w:val="pt-PT"/>
        </w:rPr>
        <w:t xml:space="preserve">2.   A autoridade competente pode exigir que os emitentes de </w:t>
      </w:r>
      <w:r>
        <w:rPr>
          <w:lang w:val="pt-PT"/>
        </w:rPr>
        <w:t>criptomoedas</w:t>
      </w:r>
      <w:r w:rsidRPr="00465964">
        <w:rPr>
          <w:lang w:val="pt-PT"/>
        </w:rPr>
        <w:t xml:space="preserve"> referenciadas a ativos cumpram a obrigação de comunicação de informações a que se refere o </w:t>
      </w:r>
      <w:proofErr w:type="spellStart"/>
      <w:r w:rsidRPr="00465964">
        <w:rPr>
          <w:lang w:val="pt-PT"/>
        </w:rPr>
        <w:t>n.</w:t>
      </w:r>
      <w:r w:rsidRPr="00465964">
        <w:rPr>
          <w:vertAlign w:val="superscript"/>
          <w:lang w:val="pt-PT"/>
        </w:rPr>
        <w:t>o</w:t>
      </w:r>
      <w:proofErr w:type="spellEnd"/>
      <w:r w:rsidRPr="00465964">
        <w:rPr>
          <w:lang w:val="pt-PT"/>
        </w:rPr>
        <w:t xml:space="preserve"> 1 relativamente a </w:t>
      </w:r>
      <w:r>
        <w:rPr>
          <w:lang w:val="pt-PT"/>
        </w:rPr>
        <w:t>criptomoedas</w:t>
      </w:r>
      <w:r w:rsidRPr="00465964">
        <w:rPr>
          <w:lang w:val="pt-PT"/>
        </w:rPr>
        <w:t xml:space="preserve"> referenciadas a ativos emitidas com um valor inferior a 100 000 000 EUR.</w:t>
      </w:r>
    </w:p>
    <w:p w14:paraId="212CB280" w14:textId="1C3DD0CF" w:rsidR="00465964" w:rsidRPr="00465964" w:rsidRDefault="00465964" w:rsidP="00465964">
      <w:pPr>
        <w:rPr>
          <w:lang w:val="pt-PT"/>
        </w:rPr>
      </w:pPr>
      <w:r w:rsidRPr="00465964">
        <w:rPr>
          <w:lang w:val="pt-PT"/>
        </w:rPr>
        <w:t xml:space="preserve">3.   Os prestadores de serviços de criptoativos que prestam serviços relacionados com </w:t>
      </w:r>
      <w:r>
        <w:rPr>
          <w:lang w:val="pt-PT"/>
        </w:rPr>
        <w:t>criptomoedas</w:t>
      </w:r>
      <w:r w:rsidRPr="00465964">
        <w:rPr>
          <w:lang w:val="pt-PT"/>
        </w:rPr>
        <w:t xml:space="preserve"> referenciadas a ativos facultam ao emitente da </w:t>
      </w:r>
      <w:proofErr w:type="spellStart"/>
      <w:r w:rsidRPr="00465964">
        <w:rPr>
          <w:lang w:val="pt-PT"/>
        </w:rPr>
        <w:t>criptoficha</w:t>
      </w:r>
      <w:proofErr w:type="spellEnd"/>
      <w:r w:rsidRPr="00465964">
        <w:rPr>
          <w:lang w:val="pt-PT"/>
        </w:rPr>
        <w:t xml:space="preserve"> referenciada a ativos a informação necessária para a elaboração do relatório a que se refere o </w:t>
      </w:r>
      <w:proofErr w:type="spellStart"/>
      <w:r w:rsidRPr="00465964">
        <w:rPr>
          <w:lang w:val="pt-PT"/>
        </w:rPr>
        <w:t>n.</w:t>
      </w:r>
      <w:r w:rsidRPr="00465964">
        <w:rPr>
          <w:vertAlign w:val="superscript"/>
          <w:lang w:val="pt-PT"/>
        </w:rPr>
        <w:t>o</w:t>
      </w:r>
      <w:proofErr w:type="spellEnd"/>
      <w:r w:rsidRPr="00465964">
        <w:rPr>
          <w:lang w:val="pt-PT"/>
        </w:rPr>
        <w:t> 1, nomeadamente comunicando as transações efetuadas fora do registo distribuído.</w:t>
      </w:r>
    </w:p>
    <w:p w14:paraId="4AC8A5FA" w14:textId="77777777" w:rsidR="00465964" w:rsidRPr="00465964" w:rsidRDefault="00465964" w:rsidP="00465964">
      <w:pPr>
        <w:rPr>
          <w:lang w:val="pt-PT"/>
        </w:rPr>
      </w:pPr>
      <w:r w:rsidRPr="00465964">
        <w:rPr>
          <w:lang w:val="pt-PT"/>
        </w:rPr>
        <w:t>4.   A autoridade competente partilha as informações recebidas com o BCE e, se for o caso, com o banco central a que se refere o artigo 20.</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4, bem como com as autoridades competentes dos Estados-Membros de acolhimento.</w:t>
      </w:r>
    </w:p>
    <w:p w14:paraId="0E943A9F" w14:textId="77777777" w:rsidR="00465964" w:rsidRPr="00465964" w:rsidRDefault="00465964" w:rsidP="00465964">
      <w:pPr>
        <w:rPr>
          <w:lang w:val="pt-PT"/>
        </w:rPr>
      </w:pPr>
      <w:r w:rsidRPr="00465964">
        <w:rPr>
          <w:lang w:val="pt-PT"/>
        </w:rPr>
        <w:t>5.   O BCE e, se for o caso, o banco central a que se refere o artigo 20.</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xml:space="preserve"> 4, podem disponibilizar à autoridade competente as suas próprias estimativas da média trimestral do número e do valor agregado das transações diárias que estão associadas às utilizações da </w:t>
      </w:r>
      <w:proofErr w:type="spellStart"/>
      <w:r w:rsidRPr="00465964">
        <w:rPr>
          <w:lang w:val="pt-PT"/>
        </w:rPr>
        <w:t>criptoficha</w:t>
      </w:r>
      <w:proofErr w:type="spellEnd"/>
      <w:r w:rsidRPr="00465964">
        <w:rPr>
          <w:lang w:val="pt-PT"/>
        </w:rPr>
        <w:t xml:space="preserve"> referenciada a ativos como meio de troca numa área de moeda única.</w:t>
      </w:r>
    </w:p>
    <w:p w14:paraId="67998E39" w14:textId="77777777" w:rsidR="00465964" w:rsidRPr="00465964" w:rsidRDefault="00465964" w:rsidP="00465964">
      <w:pPr>
        <w:rPr>
          <w:lang w:val="pt-PT"/>
        </w:rPr>
      </w:pPr>
      <w:r w:rsidRPr="00465964">
        <w:rPr>
          <w:lang w:val="pt-PT"/>
        </w:rPr>
        <w:t xml:space="preserve">6.   A EBA, em estreita cooperação com o BCE, elabora projetos de normas técnicas de regulamentação para especificar a metodologia para estimar a média trimestral do número e do valor agregado das transações diárias que estão associadas às utilizações da </w:t>
      </w:r>
      <w:proofErr w:type="spellStart"/>
      <w:r w:rsidRPr="00465964">
        <w:rPr>
          <w:lang w:val="pt-PT"/>
        </w:rPr>
        <w:t>criptoficha</w:t>
      </w:r>
      <w:proofErr w:type="spellEnd"/>
      <w:r w:rsidRPr="00465964">
        <w:rPr>
          <w:lang w:val="pt-PT"/>
        </w:rPr>
        <w:t xml:space="preserve"> referenciada a ativos como meio de troca numa área de moeda única.</w:t>
      </w:r>
    </w:p>
    <w:p w14:paraId="08F1FDD9" w14:textId="77777777" w:rsidR="00465964" w:rsidRPr="00465964" w:rsidRDefault="00465964" w:rsidP="00465964">
      <w:pPr>
        <w:rPr>
          <w:lang w:val="pt-PT"/>
        </w:rPr>
      </w:pPr>
      <w:r w:rsidRPr="00465964">
        <w:rPr>
          <w:lang w:val="pt-PT"/>
        </w:rPr>
        <w:t>A EBA apresenta à Comissão os projetos de normas técnicas de regulamentação referidos no primeiro parágrafo até 30 de junho de 2024.</w:t>
      </w:r>
    </w:p>
    <w:p w14:paraId="46A418D7" w14:textId="77777777" w:rsidR="00465964" w:rsidRPr="00465964" w:rsidRDefault="00465964" w:rsidP="00465964">
      <w:pPr>
        <w:rPr>
          <w:lang w:val="pt-PT"/>
        </w:rPr>
      </w:pPr>
      <w:r w:rsidRPr="00465964">
        <w:rPr>
          <w:lang w:val="pt-PT"/>
        </w:rPr>
        <w:lastRenderedPageBreak/>
        <w:t>É delegado na Comissão o poder de completar o presente regulamento através da adoção das normas técnicas de regulamentação a que se refere o primeiro parágrafo do presente número em conformidade com os artigos 10.</w:t>
      </w:r>
      <w:r w:rsidRPr="00465964">
        <w:rPr>
          <w:vertAlign w:val="superscript"/>
          <w:lang w:val="pt-PT"/>
        </w:rPr>
        <w:t>o</w:t>
      </w:r>
      <w:r w:rsidRPr="00465964">
        <w:rPr>
          <w:lang w:val="pt-PT"/>
        </w:rPr>
        <w:t> a 14.</w:t>
      </w:r>
      <w:r w:rsidRPr="00465964">
        <w:rPr>
          <w:vertAlign w:val="superscript"/>
          <w:lang w:val="pt-PT"/>
        </w:rPr>
        <w:t>o</w:t>
      </w:r>
      <w:r w:rsidRPr="00465964">
        <w:rPr>
          <w:lang w:val="pt-PT"/>
        </w:rPr>
        <w:t xml:space="preserve"> do Regulamento (UE) </w:t>
      </w:r>
      <w:proofErr w:type="spellStart"/>
      <w:r w:rsidRPr="00465964">
        <w:rPr>
          <w:lang w:val="pt-PT"/>
        </w:rPr>
        <w:t>n.</w:t>
      </w:r>
      <w:r w:rsidRPr="00465964">
        <w:rPr>
          <w:vertAlign w:val="superscript"/>
          <w:lang w:val="pt-PT"/>
        </w:rPr>
        <w:t>o</w:t>
      </w:r>
      <w:proofErr w:type="spellEnd"/>
      <w:r w:rsidRPr="00465964">
        <w:rPr>
          <w:lang w:val="pt-PT"/>
        </w:rPr>
        <w:t> 1093/2010.</w:t>
      </w:r>
    </w:p>
    <w:p w14:paraId="2059D3FD" w14:textId="77777777" w:rsidR="00465964" w:rsidRPr="00465964" w:rsidRDefault="00465964" w:rsidP="00465964">
      <w:pPr>
        <w:rPr>
          <w:lang w:val="pt-PT"/>
        </w:rPr>
      </w:pPr>
      <w:r w:rsidRPr="00465964">
        <w:rPr>
          <w:lang w:val="pt-PT"/>
        </w:rPr>
        <w:t xml:space="preserve">7.   A EBA elabora projetos de normas técnicas de execução para criar formulários, modelos e procedimentos normalizados para efeitos da comunicação das informações a que se refere o </w:t>
      </w:r>
      <w:proofErr w:type="spellStart"/>
      <w:r w:rsidRPr="00465964">
        <w:rPr>
          <w:lang w:val="pt-PT"/>
        </w:rPr>
        <w:t>n.</w:t>
      </w:r>
      <w:r w:rsidRPr="00465964">
        <w:rPr>
          <w:vertAlign w:val="superscript"/>
          <w:lang w:val="pt-PT"/>
        </w:rPr>
        <w:t>o</w:t>
      </w:r>
      <w:proofErr w:type="spellEnd"/>
      <w:r w:rsidRPr="00465964">
        <w:rPr>
          <w:lang w:val="pt-PT"/>
        </w:rPr>
        <w:t xml:space="preserve"> 1 e da prestação da informação a que se refere o </w:t>
      </w:r>
      <w:proofErr w:type="spellStart"/>
      <w:r w:rsidRPr="00465964">
        <w:rPr>
          <w:lang w:val="pt-PT"/>
        </w:rPr>
        <w:t>n.</w:t>
      </w:r>
      <w:r w:rsidRPr="00465964">
        <w:rPr>
          <w:vertAlign w:val="superscript"/>
          <w:lang w:val="pt-PT"/>
        </w:rPr>
        <w:t>o</w:t>
      </w:r>
      <w:proofErr w:type="spellEnd"/>
      <w:r w:rsidRPr="00465964">
        <w:rPr>
          <w:lang w:val="pt-PT"/>
        </w:rPr>
        <w:t> 3.</w:t>
      </w:r>
    </w:p>
    <w:p w14:paraId="31264942" w14:textId="77777777" w:rsidR="00465964" w:rsidRPr="00465964" w:rsidRDefault="00465964" w:rsidP="00465964">
      <w:pPr>
        <w:rPr>
          <w:lang w:val="pt-PT"/>
        </w:rPr>
      </w:pPr>
      <w:r w:rsidRPr="00465964">
        <w:rPr>
          <w:lang w:val="pt-PT"/>
        </w:rPr>
        <w:t>A EBA apresenta à Comissão os projetos de normas técnicas de execução referidos no primeiro parágrafo até 30 de junho de 2024.</w:t>
      </w:r>
    </w:p>
    <w:p w14:paraId="24D5333C" w14:textId="77777777" w:rsidR="00465964" w:rsidRPr="00465964" w:rsidRDefault="00465964" w:rsidP="00465964">
      <w:pPr>
        <w:rPr>
          <w:lang w:val="pt-PT"/>
        </w:rPr>
      </w:pPr>
      <w:r w:rsidRPr="00465964">
        <w:rPr>
          <w:lang w:val="pt-PT"/>
        </w:rPr>
        <w:t>É conferido à Comissão o poder de adotar as normas técnicas de execução a que se refere o primeiro parágrafo do presente número, em conformidade com o artigo 15.</w:t>
      </w:r>
      <w:r w:rsidRPr="00465964">
        <w:rPr>
          <w:vertAlign w:val="superscript"/>
          <w:lang w:val="pt-PT"/>
        </w:rPr>
        <w:t>o</w:t>
      </w:r>
      <w:r w:rsidRPr="00465964">
        <w:rPr>
          <w:lang w:val="pt-PT"/>
        </w:rPr>
        <w:t xml:space="preserve"> do Regulamento (UE) </w:t>
      </w:r>
      <w:proofErr w:type="spellStart"/>
      <w:r w:rsidRPr="00465964">
        <w:rPr>
          <w:lang w:val="pt-PT"/>
        </w:rPr>
        <w:t>n.</w:t>
      </w:r>
      <w:r w:rsidRPr="00465964">
        <w:rPr>
          <w:vertAlign w:val="superscript"/>
          <w:lang w:val="pt-PT"/>
        </w:rPr>
        <w:t>o</w:t>
      </w:r>
      <w:proofErr w:type="spellEnd"/>
      <w:r w:rsidRPr="00465964">
        <w:rPr>
          <w:lang w:val="pt-PT"/>
        </w:rPr>
        <w:t> 1093/2010.</w:t>
      </w:r>
    </w:p>
    <w:p w14:paraId="221B3880" w14:textId="77777777" w:rsidR="00465964" w:rsidRPr="00465964" w:rsidRDefault="00465964" w:rsidP="00465964">
      <w:pPr>
        <w:rPr>
          <w:i/>
          <w:iCs/>
          <w:lang w:val="pt-PT"/>
        </w:rPr>
      </w:pPr>
      <w:r w:rsidRPr="00465964">
        <w:rPr>
          <w:i/>
          <w:iCs/>
          <w:lang w:val="pt-PT"/>
        </w:rPr>
        <w:t>Artigo 23.</w:t>
      </w:r>
      <w:r w:rsidRPr="00465964">
        <w:rPr>
          <w:i/>
          <w:iCs/>
          <w:vertAlign w:val="superscript"/>
          <w:lang w:val="pt-PT"/>
        </w:rPr>
        <w:t>o</w:t>
      </w:r>
    </w:p>
    <w:p w14:paraId="095346B8" w14:textId="7A0B9D01" w:rsidR="00465964" w:rsidRPr="00465964" w:rsidRDefault="00465964" w:rsidP="00465964">
      <w:pPr>
        <w:rPr>
          <w:b/>
          <w:bCs/>
          <w:lang w:val="pt-PT"/>
        </w:rPr>
      </w:pPr>
      <w:r w:rsidRPr="00465964">
        <w:rPr>
          <w:b/>
          <w:bCs/>
          <w:lang w:val="pt-PT"/>
        </w:rPr>
        <w:t xml:space="preserve">Restrições para a emissão de </w:t>
      </w:r>
      <w:r>
        <w:rPr>
          <w:b/>
          <w:bCs/>
          <w:lang w:val="pt-PT"/>
        </w:rPr>
        <w:t>criptomoedas</w:t>
      </w:r>
      <w:r w:rsidRPr="00465964">
        <w:rPr>
          <w:b/>
          <w:bCs/>
          <w:lang w:val="pt-PT"/>
        </w:rPr>
        <w:t xml:space="preserve"> referenciadas a ativos amplamente utilizadas como meio de troca</w:t>
      </w:r>
    </w:p>
    <w:p w14:paraId="5ACCA781" w14:textId="77777777" w:rsidR="00465964" w:rsidRPr="00465964" w:rsidRDefault="00465964" w:rsidP="00465964">
      <w:pPr>
        <w:rPr>
          <w:lang w:val="pt-PT"/>
        </w:rPr>
      </w:pPr>
      <w:r w:rsidRPr="00465964">
        <w:rPr>
          <w:lang w:val="pt-PT"/>
        </w:rPr>
        <w:t xml:space="preserve">1.   Sempre que, relativamente a uma </w:t>
      </w:r>
      <w:proofErr w:type="spellStart"/>
      <w:r w:rsidRPr="00465964">
        <w:rPr>
          <w:lang w:val="pt-PT"/>
        </w:rPr>
        <w:t>criptoficha</w:t>
      </w:r>
      <w:proofErr w:type="spellEnd"/>
      <w:r w:rsidRPr="00465964">
        <w:rPr>
          <w:lang w:val="pt-PT"/>
        </w:rPr>
        <w:t xml:space="preserve"> referenciada a ativos, a média trimestral estimada do número e do valor agregado das transações diárias associadas às suas utilizações como meio de troca numa área de moeda única for superior a um milhão de transações e 200 000 000 EUR, respetivamente, o emitente:</w:t>
      </w:r>
    </w:p>
    <w:tbl>
      <w:tblPr>
        <w:tblW w:w="5000" w:type="pct"/>
        <w:tblCellMar>
          <w:left w:w="0" w:type="dxa"/>
          <w:right w:w="0" w:type="dxa"/>
        </w:tblCellMar>
        <w:tblLook w:val="04A0" w:firstRow="1" w:lastRow="0" w:firstColumn="1" w:lastColumn="0" w:noHBand="0" w:noVBand="1"/>
      </w:tblPr>
      <w:tblGrid>
        <w:gridCol w:w="272"/>
        <w:gridCol w:w="8754"/>
      </w:tblGrid>
      <w:tr w:rsidR="00465964" w:rsidRPr="00465964" w14:paraId="4CA93EAE" w14:textId="77777777" w:rsidTr="00465964">
        <w:tc>
          <w:tcPr>
            <w:tcW w:w="0" w:type="auto"/>
            <w:shd w:val="clear" w:color="auto" w:fill="auto"/>
            <w:hideMark/>
          </w:tcPr>
          <w:p w14:paraId="7842F593" w14:textId="77777777" w:rsidR="00465964" w:rsidRPr="00465964" w:rsidRDefault="00465964" w:rsidP="00465964">
            <w:r w:rsidRPr="00465964">
              <w:t>a)</w:t>
            </w:r>
          </w:p>
        </w:tc>
        <w:tc>
          <w:tcPr>
            <w:tcW w:w="0" w:type="auto"/>
            <w:shd w:val="clear" w:color="auto" w:fill="auto"/>
            <w:hideMark/>
          </w:tcPr>
          <w:p w14:paraId="3BD3EFF4" w14:textId="77777777" w:rsidR="00465964" w:rsidRPr="00465964" w:rsidRDefault="00465964" w:rsidP="00465964">
            <w:pPr>
              <w:rPr>
                <w:lang w:val="pt-PT"/>
              </w:rPr>
            </w:pPr>
            <w:r w:rsidRPr="00465964">
              <w:rPr>
                <w:lang w:val="pt-PT"/>
              </w:rPr>
              <w:t xml:space="preserve">Deixa de emitir a </w:t>
            </w:r>
            <w:proofErr w:type="spellStart"/>
            <w:r w:rsidRPr="00465964">
              <w:rPr>
                <w:lang w:val="pt-PT"/>
              </w:rPr>
              <w:t>criptoficha</w:t>
            </w:r>
            <w:proofErr w:type="spellEnd"/>
            <w:r w:rsidRPr="00465964">
              <w:rPr>
                <w:lang w:val="pt-PT"/>
              </w:rPr>
              <w:t xml:space="preserve"> referenciada a ativos em causa; e</w:t>
            </w:r>
          </w:p>
        </w:tc>
      </w:tr>
    </w:tbl>
    <w:p w14:paraId="13D6674A"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8"/>
        <w:gridCol w:w="8838"/>
      </w:tblGrid>
      <w:tr w:rsidR="00465964" w:rsidRPr="00465964" w14:paraId="2D297305" w14:textId="77777777" w:rsidTr="00465964">
        <w:tc>
          <w:tcPr>
            <w:tcW w:w="0" w:type="auto"/>
            <w:shd w:val="clear" w:color="auto" w:fill="auto"/>
            <w:hideMark/>
          </w:tcPr>
          <w:p w14:paraId="23453FB3" w14:textId="77777777" w:rsidR="00465964" w:rsidRPr="00465964" w:rsidRDefault="00465964" w:rsidP="00465964">
            <w:r w:rsidRPr="00465964">
              <w:t>b)</w:t>
            </w:r>
          </w:p>
        </w:tc>
        <w:tc>
          <w:tcPr>
            <w:tcW w:w="0" w:type="auto"/>
            <w:shd w:val="clear" w:color="auto" w:fill="auto"/>
            <w:hideMark/>
          </w:tcPr>
          <w:p w14:paraId="32A98A3F" w14:textId="77777777" w:rsidR="00465964" w:rsidRPr="00465964" w:rsidRDefault="00465964" w:rsidP="00465964">
            <w:pPr>
              <w:rPr>
                <w:lang w:val="pt-PT"/>
              </w:rPr>
            </w:pPr>
            <w:r w:rsidRPr="00465964">
              <w:rPr>
                <w:lang w:val="pt-PT"/>
              </w:rPr>
              <w:t>No prazo de 40 dias úteis após ter atingido esse limiar, apresenta um plano à autoridade competente para assegurar que a média trimestral estimada do número e do valor agregado dessas transações diárias não ultrapassa um milhão de transações e 200 000 000 EUR, respetivamente.</w:t>
            </w:r>
          </w:p>
        </w:tc>
      </w:tr>
    </w:tbl>
    <w:p w14:paraId="2A2E6261" w14:textId="77777777" w:rsidR="00465964" w:rsidRPr="00465964" w:rsidRDefault="00465964" w:rsidP="00465964">
      <w:pPr>
        <w:rPr>
          <w:lang w:val="pt-PT"/>
        </w:rPr>
      </w:pPr>
      <w:r w:rsidRPr="00465964">
        <w:rPr>
          <w:lang w:val="pt-PT"/>
        </w:rPr>
        <w:t>2.   A autoridade competente utiliza as informações prestadas pelo emitente, as suas próprias estimativas ou as estimativas disponibilizadas pelo BCE ou, se for o caso, pelo banco central a que se refere o artigo 20.</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xml:space="preserve"> 4, consoante o que for mais elevado, a fim de verificar se o limiar a que se refere o </w:t>
      </w:r>
      <w:proofErr w:type="spellStart"/>
      <w:r w:rsidRPr="00465964">
        <w:rPr>
          <w:lang w:val="pt-PT"/>
        </w:rPr>
        <w:t>n.</w:t>
      </w:r>
      <w:r w:rsidRPr="00465964">
        <w:rPr>
          <w:vertAlign w:val="superscript"/>
          <w:lang w:val="pt-PT"/>
        </w:rPr>
        <w:t>o</w:t>
      </w:r>
      <w:proofErr w:type="spellEnd"/>
      <w:r w:rsidRPr="00465964">
        <w:rPr>
          <w:lang w:val="pt-PT"/>
        </w:rPr>
        <w:t> 1 foi atingido.</w:t>
      </w:r>
    </w:p>
    <w:p w14:paraId="5080FBBA" w14:textId="77777777" w:rsidR="00465964" w:rsidRPr="00465964" w:rsidRDefault="00465964" w:rsidP="00465964">
      <w:pPr>
        <w:rPr>
          <w:lang w:val="pt-PT"/>
        </w:rPr>
      </w:pPr>
      <w:r w:rsidRPr="00465964">
        <w:rPr>
          <w:lang w:val="pt-PT"/>
        </w:rPr>
        <w:t xml:space="preserve">3.   Caso vários emitentes emitam a mesma </w:t>
      </w:r>
      <w:proofErr w:type="spellStart"/>
      <w:r w:rsidRPr="00465964">
        <w:rPr>
          <w:lang w:val="pt-PT"/>
        </w:rPr>
        <w:t>criptoficha</w:t>
      </w:r>
      <w:proofErr w:type="spellEnd"/>
      <w:r w:rsidRPr="00465964">
        <w:rPr>
          <w:lang w:val="pt-PT"/>
        </w:rPr>
        <w:t xml:space="preserve"> referenciada a ativos, os critérios referidos no </w:t>
      </w:r>
      <w:proofErr w:type="spellStart"/>
      <w:r w:rsidRPr="00465964">
        <w:rPr>
          <w:lang w:val="pt-PT"/>
        </w:rPr>
        <w:t>n.</w:t>
      </w:r>
      <w:r w:rsidRPr="00465964">
        <w:rPr>
          <w:vertAlign w:val="superscript"/>
          <w:lang w:val="pt-PT"/>
        </w:rPr>
        <w:t>o</w:t>
      </w:r>
      <w:proofErr w:type="spellEnd"/>
      <w:r w:rsidRPr="00465964">
        <w:rPr>
          <w:lang w:val="pt-PT"/>
        </w:rPr>
        <w:t> 1 são avaliados pela autoridade competente após agregação dos dados de todos os emitentes.</w:t>
      </w:r>
    </w:p>
    <w:p w14:paraId="7F45FC43" w14:textId="77777777" w:rsidR="00465964" w:rsidRPr="00465964" w:rsidRDefault="00465964" w:rsidP="00465964">
      <w:pPr>
        <w:rPr>
          <w:lang w:val="pt-PT"/>
        </w:rPr>
      </w:pPr>
      <w:r w:rsidRPr="00465964">
        <w:rPr>
          <w:lang w:val="pt-PT"/>
        </w:rPr>
        <w:t xml:space="preserve">4.   O emitente apresenta à autoridade competente o plano a que se refere o </w:t>
      </w:r>
      <w:proofErr w:type="spellStart"/>
      <w:r w:rsidRPr="00465964">
        <w:rPr>
          <w:lang w:val="pt-PT"/>
        </w:rPr>
        <w:t>n.</w:t>
      </w:r>
      <w:r w:rsidRPr="00465964">
        <w:rPr>
          <w:vertAlign w:val="superscript"/>
          <w:lang w:val="pt-PT"/>
        </w:rPr>
        <w:t>o</w:t>
      </w:r>
      <w:proofErr w:type="spellEnd"/>
      <w:r w:rsidRPr="00465964">
        <w:rPr>
          <w:lang w:val="pt-PT"/>
        </w:rPr>
        <w:t xml:space="preserve"> 1, alínea b), para aprovação. Se necessário, a autoridade competente pode exigir alterações, nomeadamente a imposição de um montante nominal mínimo, a fim de assegurar a redução, em tempo útil, da utilização da </w:t>
      </w:r>
      <w:proofErr w:type="spellStart"/>
      <w:r w:rsidRPr="00465964">
        <w:rPr>
          <w:lang w:val="pt-PT"/>
        </w:rPr>
        <w:t>criptoficha</w:t>
      </w:r>
      <w:proofErr w:type="spellEnd"/>
      <w:r w:rsidRPr="00465964">
        <w:rPr>
          <w:lang w:val="pt-PT"/>
        </w:rPr>
        <w:t xml:space="preserve"> referenciada a ativo enquanto meio de troca.</w:t>
      </w:r>
    </w:p>
    <w:p w14:paraId="3AEB938C" w14:textId="77777777" w:rsidR="00465964" w:rsidRPr="00465964" w:rsidRDefault="00465964" w:rsidP="00465964">
      <w:pPr>
        <w:rPr>
          <w:lang w:val="pt-PT"/>
        </w:rPr>
      </w:pPr>
      <w:r w:rsidRPr="00465964">
        <w:rPr>
          <w:lang w:val="pt-PT"/>
        </w:rPr>
        <w:t xml:space="preserve">5.   A autoridade competente só deve autorizar o emitente a emitir a </w:t>
      </w:r>
      <w:proofErr w:type="spellStart"/>
      <w:r w:rsidRPr="00465964">
        <w:rPr>
          <w:lang w:val="pt-PT"/>
        </w:rPr>
        <w:t>criptoficha</w:t>
      </w:r>
      <w:proofErr w:type="spellEnd"/>
      <w:r w:rsidRPr="00465964">
        <w:rPr>
          <w:lang w:val="pt-PT"/>
        </w:rPr>
        <w:t xml:space="preserve"> referenciada a ativos quando tiver provas de que a média trimestral estimada do número e do valor agregado das transações diárias associadas às suas utilizações como meio de troca numa área de moeda única é inferior a um milhão de transações e 200 000 000 EUR, respetivamente.</w:t>
      </w:r>
    </w:p>
    <w:p w14:paraId="7A88296A" w14:textId="77777777" w:rsidR="00465964" w:rsidRPr="00465964" w:rsidRDefault="00465964" w:rsidP="00465964">
      <w:pPr>
        <w:rPr>
          <w:i/>
          <w:iCs/>
          <w:lang w:val="pt-PT"/>
        </w:rPr>
      </w:pPr>
      <w:r w:rsidRPr="00465964">
        <w:rPr>
          <w:i/>
          <w:iCs/>
          <w:lang w:val="pt-PT"/>
        </w:rPr>
        <w:t>Artigo 24.</w:t>
      </w:r>
      <w:r w:rsidRPr="00465964">
        <w:rPr>
          <w:i/>
          <w:iCs/>
          <w:vertAlign w:val="superscript"/>
          <w:lang w:val="pt-PT"/>
        </w:rPr>
        <w:t>o</w:t>
      </w:r>
    </w:p>
    <w:p w14:paraId="54A9B341" w14:textId="77777777" w:rsidR="00465964" w:rsidRPr="00465964" w:rsidRDefault="00465964" w:rsidP="00465964">
      <w:pPr>
        <w:rPr>
          <w:b/>
          <w:bCs/>
          <w:lang w:val="pt-PT"/>
        </w:rPr>
      </w:pPr>
      <w:r w:rsidRPr="00465964">
        <w:rPr>
          <w:b/>
          <w:bCs/>
          <w:lang w:val="pt-PT"/>
        </w:rPr>
        <w:t>Revogação da autorização</w:t>
      </w:r>
    </w:p>
    <w:p w14:paraId="0D4EA640" w14:textId="77777777" w:rsidR="00465964" w:rsidRPr="00465964" w:rsidRDefault="00465964" w:rsidP="00465964">
      <w:pPr>
        <w:rPr>
          <w:lang w:val="pt-PT"/>
        </w:rPr>
      </w:pPr>
      <w:r w:rsidRPr="00465964">
        <w:rPr>
          <w:lang w:val="pt-PT"/>
        </w:rPr>
        <w:lastRenderedPageBreak/>
        <w:t xml:space="preserve">1.   As autoridades competentes devem revogar a autorização de um emitente de uma </w:t>
      </w:r>
      <w:proofErr w:type="spellStart"/>
      <w:r w:rsidRPr="00465964">
        <w:rPr>
          <w:lang w:val="pt-PT"/>
        </w:rPr>
        <w:t>criptoficha</w:t>
      </w:r>
      <w:proofErr w:type="spellEnd"/>
      <w:r w:rsidRPr="00465964">
        <w:rPr>
          <w:lang w:val="pt-PT"/>
        </w:rPr>
        <w:t xml:space="preserve"> referenciada a ativos em qualquer uma das seguintes situações:</w:t>
      </w:r>
    </w:p>
    <w:tbl>
      <w:tblPr>
        <w:tblW w:w="5000" w:type="pct"/>
        <w:tblCellMar>
          <w:left w:w="0" w:type="dxa"/>
          <w:right w:w="0" w:type="dxa"/>
        </w:tblCellMar>
        <w:tblLook w:val="04A0" w:firstRow="1" w:lastRow="0" w:firstColumn="1" w:lastColumn="0" w:noHBand="0" w:noVBand="1"/>
      </w:tblPr>
      <w:tblGrid>
        <w:gridCol w:w="182"/>
        <w:gridCol w:w="8844"/>
      </w:tblGrid>
      <w:tr w:rsidR="00465964" w:rsidRPr="00465964" w14:paraId="651D88F4" w14:textId="77777777" w:rsidTr="00465964">
        <w:tc>
          <w:tcPr>
            <w:tcW w:w="0" w:type="auto"/>
            <w:shd w:val="clear" w:color="auto" w:fill="auto"/>
            <w:hideMark/>
          </w:tcPr>
          <w:p w14:paraId="1D4C8C5D" w14:textId="77777777" w:rsidR="00465964" w:rsidRPr="00465964" w:rsidRDefault="00465964" w:rsidP="00465964">
            <w:r w:rsidRPr="00465964">
              <w:t>a)</w:t>
            </w:r>
          </w:p>
        </w:tc>
        <w:tc>
          <w:tcPr>
            <w:tcW w:w="0" w:type="auto"/>
            <w:shd w:val="clear" w:color="auto" w:fill="auto"/>
            <w:hideMark/>
          </w:tcPr>
          <w:p w14:paraId="1CB19E95" w14:textId="77777777" w:rsidR="00465964" w:rsidRPr="00465964" w:rsidRDefault="00465964" w:rsidP="00465964">
            <w:pPr>
              <w:rPr>
                <w:lang w:val="pt-PT"/>
              </w:rPr>
            </w:pPr>
            <w:r w:rsidRPr="00465964">
              <w:rPr>
                <w:lang w:val="pt-PT"/>
              </w:rPr>
              <w:t>O emitente cessou o exercício da atividade empresarial durante seis meses consecutivos ou não utilizou a sua autorização durante 12 meses consecutivos;</w:t>
            </w:r>
          </w:p>
        </w:tc>
      </w:tr>
    </w:tbl>
    <w:p w14:paraId="391BD5C7"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8"/>
        <w:gridCol w:w="8838"/>
      </w:tblGrid>
      <w:tr w:rsidR="00465964" w:rsidRPr="00465964" w14:paraId="00A73901" w14:textId="77777777" w:rsidTr="00465964">
        <w:tc>
          <w:tcPr>
            <w:tcW w:w="0" w:type="auto"/>
            <w:shd w:val="clear" w:color="auto" w:fill="auto"/>
            <w:hideMark/>
          </w:tcPr>
          <w:p w14:paraId="7BE504A9" w14:textId="77777777" w:rsidR="00465964" w:rsidRPr="00465964" w:rsidRDefault="00465964" w:rsidP="00465964">
            <w:r w:rsidRPr="00465964">
              <w:t>b)</w:t>
            </w:r>
          </w:p>
        </w:tc>
        <w:tc>
          <w:tcPr>
            <w:tcW w:w="0" w:type="auto"/>
            <w:shd w:val="clear" w:color="auto" w:fill="auto"/>
            <w:hideMark/>
          </w:tcPr>
          <w:p w14:paraId="1BF0D1A4" w14:textId="77777777" w:rsidR="00465964" w:rsidRPr="00465964" w:rsidRDefault="00465964" w:rsidP="00465964">
            <w:pPr>
              <w:rPr>
                <w:lang w:val="pt-PT"/>
              </w:rPr>
            </w:pPr>
            <w:r w:rsidRPr="00465964">
              <w:rPr>
                <w:lang w:val="pt-PT"/>
              </w:rPr>
              <w:t>O emitente obteve a sua autorização por meios irregulares, nomeadamente fazendo declarações falsas no pedido de autorização a que se refere o artigo 18.</w:t>
            </w:r>
            <w:r w:rsidRPr="00465964">
              <w:rPr>
                <w:vertAlign w:val="superscript"/>
                <w:lang w:val="pt-PT"/>
              </w:rPr>
              <w:t>o</w:t>
            </w:r>
            <w:r w:rsidRPr="00465964">
              <w:rPr>
                <w:lang w:val="pt-PT"/>
              </w:rPr>
              <w:t> ou num livrete do criptoativo modificado em conformidade com o artigo 25.</w:t>
            </w:r>
            <w:r w:rsidRPr="00465964">
              <w:rPr>
                <w:vertAlign w:val="superscript"/>
                <w:lang w:val="pt-PT"/>
              </w:rPr>
              <w:t>o</w:t>
            </w:r>
            <w:r w:rsidRPr="00465964">
              <w:rPr>
                <w:lang w:val="pt-PT"/>
              </w:rPr>
              <w:t>;</w:t>
            </w:r>
          </w:p>
        </w:tc>
      </w:tr>
    </w:tbl>
    <w:p w14:paraId="2A428639"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3"/>
        <w:gridCol w:w="8843"/>
      </w:tblGrid>
      <w:tr w:rsidR="00465964" w:rsidRPr="00465964" w14:paraId="7EB83297" w14:textId="77777777" w:rsidTr="00465964">
        <w:tc>
          <w:tcPr>
            <w:tcW w:w="0" w:type="auto"/>
            <w:shd w:val="clear" w:color="auto" w:fill="auto"/>
            <w:hideMark/>
          </w:tcPr>
          <w:p w14:paraId="55240EA6" w14:textId="77777777" w:rsidR="00465964" w:rsidRPr="00465964" w:rsidRDefault="00465964" w:rsidP="00465964">
            <w:r w:rsidRPr="00465964">
              <w:t>c)</w:t>
            </w:r>
          </w:p>
        </w:tc>
        <w:tc>
          <w:tcPr>
            <w:tcW w:w="0" w:type="auto"/>
            <w:shd w:val="clear" w:color="auto" w:fill="auto"/>
            <w:hideMark/>
          </w:tcPr>
          <w:p w14:paraId="6352E8C1" w14:textId="77777777" w:rsidR="00465964" w:rsidRPr="00465964" w:rsidRDefault="00465964" w:rsidP="00465964">
            <w:pPr>
              <w:rPr>
                <w:lang w:val="pt-PT"/>
              </w:rPr>
            </w:pPr>
            <w:r w:rsidRPr="00465964">
              <w:rPr>
                <w:lang w:val="pt-PT"/>
              </w:rPr>
              <w:t>O emitente deixou de cumprir as condições ao abrigo das quais a autorização foi concedida;</w:t>
            </w:r>
          </w:p>
        </w:tc>
      </w:tr>
    </w:tbl>
    <w:p w14:paraId="7B79BC12"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269"/>
        <w:gridCol w:w="8757"/>
      </w:tblGrid>
      <w:tr w:rsidR="00465964" w:rsidRPr="00465964" w14:paraId="52398C1A" w14:textId="77777777" w:rsidTr="00465964">
        <w:tc>
          <w:tcPr>
            <w:tcW w:w="0" w:type="auto"/>
            <w:shd w:val="clear" w:color="auto" w:fill="auto"/>
            <w:hideMark/>
          </w:tcPr>
          <w:p w14:paraId="0830EA11" w14:textId="77777777" w:rsidR="00465964" w:rsidRPr="00465964" w:rsidRDefault="00465964" w:rsidP="00465964">
            <w:r w:rsidRPr="00465964">
              <w:t>d)</w:t>
            </w:r>
          </w:p>
        </w:tc>
        <w:tc>
          <w:tcPr>
            <w:tcW w:w="0" w:type="auto"/>
            <w:shd w:val="clear" w:color="auto" w:fill="auto"/>
            <w:hideMark/>
          </w:tcPr>
          <w:p w14:paraId="57903477" w14:textId="77777777" w:rsidR="00465964" w:rsidRPr="00465964" w:rsidRDefault="00465964" w:rsidP="00465964">
            <w:pPr>
              <w:rPr>
                <w:lang w:val="pt-PT"/>
              </w:rPr>
            </w:pPr>
            <w:r w:rsidRPr="00465964">
              <w:rPr>
                <w:lang w:val="pt-PT"/>
              </w:rPr>
              <w:t>O emitente infringiu de forma grave o disposto no presente título;</w:t>
            </w:r>
          </w:p>
        </w:tc>
      </w:tr>
    </w:tbl>
    <w:p w14:paraId="04C0973E"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349"/>
        <w:gridCol w:w="8677"/>
      </w:tblGrid>
      <w:tr w:rsidR="00465964" w:rsidRPr="00465964" w14:paraId="1E536127" w14:textId="77777777" w:rsidTr="00465964">
        <w:tc>
          <w:tcPr>
            <w:tcW w:w="0" w:type="auto"/>
            <w:shd w:val="clear" w:color="auto" w:fill="auto"/>
            <w:hideMark/>
          </w:tcPr>
          <w:p w14:paraId="6B76D82C" w14:textId="77777777" w:rsidR="00465964" w:rsidRPr="00465964" w:rsidRDefault="00465964" w:rsidP="00465964">
            <w:r w:rsidRPr="00465964">
              <w:t>e)</w:t>
            </w:r>
          </w:p>
        </w:tc>
        <w:tc>
          <w:tcPr>
            <w:tcW w:w="0" w:type="auto"/>
            <w:shd w:val="clear" w:color="auto" w:fill="auto"/>
            <w:hideMark/>
          </w:tcPr>
          <w:p w14:paraId="49500818" w14:textId="77777777" w:rsidR="00465964" w:rsidRPr="00465964" w:rsidRDefault="00465964" w:rsidP="00465964">
            <w:pPr>
              <w:rPr>
                <w:lang w:val="pt-PT"/>
              </w:rPr>
            </w:pPr>
            <w:r w:rsidRPr="00465964">
              <w:rPr>
                <w:lang w:val="pt-PT"/>
              </w:rPr>
              <w:t>O emitente é objeto de um plano de reembolso;</w:t>
            </w:r>
          </w:p>
        </w:tc>
      </w:tr>
    </w:tbl>
    <w:p w14:paraId="7FC2E63D"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36"/>
        <w:gridCol w:w="8890"/>
      </w:tblGrid>
      <w:tr w:rsidR="00465964" w:rsidRPr="00465964" w14:paraId="347DAEDD" w14:textId="77777777" w:rsidTr="00465964">
        <w:tc>
          <w:tcPr>
            <w:tcW w:w="0" w:type="auto"/>
            <w:shd w:val="clear" w:color="auto" w:fill="auto"/>
            <w:hideMark/>
          </w:tcPr>
          <w:p w14:paraId="7307A087" w14:textId="77777777" w:rsidR="00465964" w:rsidRPr="00465964" w:rsidRDefault="00465964" w:rsidP="00465964">
            <w:r w:rsidRPr="00465964">
              <w:t>f)</w:t>
            </w:r>
          </w:p>
        </w:tc>
        <w:tc>
          <w:tcPr>
            <w:tcW w:w="0" w:type="auto"/>
            <w:shd w:val="clear" w:color="auto" w:fill="auto"/>
            <w:hideMark/>
          </w:tcPr>
          <w:p w14:paraId="06A64A51" w14:textId="77777777" w:rsidR="00465964" w:rsidRPr="00465964" w:rsidRDefault="00465964" w:rsidP="00465964">
            <w:pPr>
              <w:rPr>
                <w:lang w:val="pt-PT"/>
              </w:rPr>
            </w:pPr>
            <w:r w:rsidRPr="00465964">
              <w:rPr>
                <w:lang w:val="pt-PT"/>
              </w:rPr>
              <w:t>O emitente renunciou expressamente à sua autorização ou decidiu pôr termo às suas operações;</w:t>
            </w:r>
          </w:p>
        </w:tc>
      </w:tr>
    </w:tbl>
    <w:p w14:paraId="54AA18EB"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74"/>
        <w:gridCol w:w="8852"/>
      </w:tblGrid>
      <w:tr w:rsidR="00465964" w:rsidRPr="00465964" w14:paraId="508C78D7" w14:textId="77777777" w:rsidTr="00465964">
        <w:tc>
          <w:tcPr>
            <w:tcW w:w="0" w:type="auto"/>
            <w:shd w:val="clear" w:color="auto" w:fill="auto"/>
            <w:hideMark/>
          </w:tcPr>
          <w:p w14:paraId="1C8AD7E6" w14:textId="77777777" w:rsidR="00465964" w:rsidRPr="00465964" w:rsidRDefault="00465964" w:rsidP="00465964">
            <w:r w:rsidRPr="00465964">
              <w:t>g)</w:t>
            </w:r>
          </w:p>
        </w:tc>
        <w:tc>
          <w:tcPr>
            <w:tcW w:w="0" w:type="auto"/>
            <w:shd w:val="clear" w:color="auto" w:fill="auto"/>
            <w:hideMark/>
          </w:tcPr>
          <w:p w14:paraId="158954F2" w14:textId="77777777" w:rsidR="00465964" w:rsidRPr="00465964" w:rsidRDefault="00465964" w:rsidP="00465964">
            <w:pPr>
              <w:rPr>
                <w:lang w:val="pt-PT"/>
              </w:rPr>
            </w:pPr>
            <w:r w:rsidRPr="00465964">
              <w:rPr>
                <w:lang w:val="pt-PT"/>
              </w:rPr>
              <w:t>A atividade exercida pelo emitente representa uma ameaça grave para a integridade do mercado, a estabilidade financeira ou o bom funcionamento dos sistemas de pagamento ou expõe o emitente ou o sector a riscos graves de branqueamento de capitais e de financiamento do terrorismo.</w:t>
            </w:r>
          </w:p>
        </w:tc>
      </w:tr>
    </w:tbl>
    <w:p w14:paraId="3804C166" w14:textId="77777777" w:rsidR="00465964" w:rsidRPr="00465964" w:rsidRDefault="00465964" w:rsidP="00465964">
      <w:pPr>
        <w:rPr>
          <w:lang w:val="pt-PT"/>
        </w:rPr>
      </w:pPr>
      <w:r w:rsidRPr="00465964">
        <w:rPr>
          <w:lang w:val="pt-PT"/>
        </w:rPr>
        <w:t xml:space="preserve">O emitente de uma </w:t>
      </w:r>
      <w:proofErr w:type="spellStart"/>
      <w:r w:rsidRPr="00465964">
        <w:rPr>
          <w:lang w:val="pt-PT"/>
        </w:rPr>
        <w:t>criptoficha</w:t>
      </w:r>
      <w:proofErr w:type="spellEnd"/>
      <w:r w:rsidRPr="00465964">
        <w:rPr>
          <w:lang w:val="pt-PT"/>
        </w:rPr>
        <w:t xml:space="preserve"> referenciada a ativos deve notificar a respetiva autoridade competente de qualquer uma das situações referidas no primeiro parágrafo, alíneas e) e f).</w:t>
      </w:r>
    </w:p>
    <w:p w14:paraId="297C321C" w14:textId="77777777" w:rsidR="00465964" w:rsidRPr="00465964" w:rsidRDefault="00465964" w:rsidP="00465964">
      <w:pPr>
        <w:rPr>
          <w:lang w:val="pt-PT"/>
        </w:rPr>
      </w:pPr>
      <w:r w:rsidRPr="00465964">
        <w:rPr>
          <w:lang w:val="pt-PT"/>
        </w:rPr>
        <w:t xml:space="preserve">2.   As autoridades competentes devem revogar igualmente a autorização de um emitente de uma </w:t>
      </w:r>
      <w:proofErr w:type="spellStart"/>
      <w:r w:rsidRPr="00465964">
        <w:rPr>
          <w:lang w:val="pt-PT"/>
        </w:rPr>
        <w:t>criptoficha</w:t>
      </w:r>
      <w:proofErr w:type="spellEnd"/>
      <w:r w:rsidRPr="00465964">
        <w:rPr>
          <w:lang w:val="pt-PT"/>
        </w:rPr>
        <w:t xml:space="preserve"> referenciada a ativos quando o BCE ou, se for o caso, o banco central a que se refere o artigo 20.</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xml:space="preserve"> 4, emite um parecer segundo o qual a </w:t>
      </w:r>
      <w:proofErr w:type="spellStart"/>
      <w:r w:rsidRPr="00465964">
        <w:rPr>
          <w:lang w:val="pt-PT"/>
        </w:rPr>
        <w:t>criptoficha</w:t>
      </w:r>
      <w:proofErr w:type="spellEnd"/>
      <w:r w:rsidRPr="00465964">
        <w:rPr>
          <w:lang w:val="pt-PT"/>
        </w:rPr>
        <w:t xml:space="preserve"> referenciada a ativos constitui uma ameaça grave para o bom funcionamento dos sistemas de pagamento, a transmissão da política monetária ou a soberania monetária.</w:t>
      </w:r>
    </w:p>
    <w:p w14:paraId="1C9B1DA9" w14:textId="77777777" w:rsidR="00465964" w:rsidRPr="00465964" w:rsidRDefault="00465964" w:rsidP="00465964">
      <w:pPr>
        <w:rPr>
          <w:lang w:val="pt-PT"/>
        </w:rPr>
      </w:pPr>
      <w:r w:rsidRPr="00465964">
        <w:rPr>
          <w:lang w:val="pt-PT"/>
        </w:rPr>
        <w:t xml:space="preserve">3.   As autoridades competentes limitam igualmente o montante de uma </w:t>
      </w:r>
      <w:proofErr w:type="spellStart"/>
      <w:r w:rsidRPr="00465964">
        <w:rPr>
          <w:lang w:val="pt-PT"/>
        </w:rPr>
        <w:t>criptoficha</w:t>
      </w:r>
      <w:proofErr w:type="spellEnd"/>
      <w:r w:rsidRPr="00465964">
        <w:rPr>
          <w:lang w:val="pt-PT"/>
        </w:rPr>
        <w:t xml:space="preserve"> referenciada a ativos a emitir ou impõem um montante nominal mínimo à </w:t>
      </w:r>
      <w:proofErr w:type="spellStart"/>
      <w:r w:rsidRPr="00465964">
        <w:rPr>
          <w:lang w:val="pt-PT"/>
        </w:rPr>
        <w:t>criptoficha</w:t>
      </w:r>
      <w:proofErr w:type="spellEnd"/>
      <w:r w:rsidRPr="00465964">
        <w:rPr>
          <w:lang w:val="pt-PT"/>
        </w:rPr>
        <w:t xml:space="preserve"> referenciada a ativos quando o BCE ou, se for o caso, o banco central a que se refere o artigo 20.</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xml:space="preserve"> 4, emite um parecer segundo o qual a </w:t>
      </w:r>
      <w:proofErr w:type="spellStart"/>
      <w:r w:rsidRPr="00465964">
        <w:rPr>
          <w:lang w:val="pt-PT"/>
        </w:rPr>
        <w:t>criptoficha</w:t>
      </w:r>
      <w:proofErr w:type="spellEnd"/>
      <w:r w:rsidRPr="00465964">
        <w:rPr>
          <w:lang w:val="pt-PT"/>
        </w:rPr>
        <w:t xml:space="preserve"> referenciada a ativos constitui uma ameaça para o bom funcionamento dos sistemas de pagamento, a transmissão da política monetária ou a soberania monetária, e especificam o limite aplicável ou o montante nominal mínimo.</w:t>
      </w:r>
    </w:p>
    <w:p w14:paraId="05CDACCC" w14:textId="77777777" w:rsidR="00465964" w:rsidRPr="00465964" w:rsidRDefault="00465964" w:rsidP="00465964">
      <w:pPr>
        <w:rPr>
          <w:lang w:val="pt-PT"/>
        </w:rPr>
      </w:pPr>
      <w:r w:rsidRPr="00465964">
        <w:rPr>
          <w:lang w:val="pt-PT"/>
        </w:rPr>
        <w:t xml:space="preserve">4.   As autoridades competentes pertinentes devem notificar sem demora à autoridade competente de um emitente de uma </w:t>
      </w:r>
      <w:proofErr w:type="spellStart"/>
      <w:r w:rsidRPr="00465964">
        <w:rPr>
          <w:lang w:val="pt-PT"/>
        </w:rPr>
        <w:t>criptoficha</w:t>
      </w:r>
      <w:proofErr w:type="spellEnd"/>
      <w:r w:rsidRPr="00465964">
        <w:rPr>
          <w:lang w:val="pt-PT"/>
        </w:rPr>
        <w:t xml:space="preserve"> referenciada a ativos as seguintes situações:</w:t>
      </w:r>
    </w:p>
    <w:tbl>
      <w:tblPr>
        <w:tblW w:w="5000" w:type="pct"/>
        <w:tblCellMar>
          <w:left w:w="0" w:type="dxa"/>
          <w:right w:w="0" w:type="dxa"/>
        </w:tblCellMar>
        <w:tblLook w:val="04A0" w:firstRow="1" w:lastRow="0" w:firstColumn="1" w:lastColumn="0" w:noHBand="0" w:noVBand="1"/>
      </w:tblPr>
      <w:tblGrid>
        <w:gridCol w:w="182"/>
        <w:gridCol w:w="8844"/>
      </w:tblGrid>
      <w:tr w:rsidR="00465964" w:rsidRPr="00465964" w14:paraId="0D75313A" w14:textId="77777777" w:rsidTr="00465964">
        <w:tc>
          <w:tcPr>
            <w:tcW w:w="0" w:type="auto"/>
            <w:shd w:val="clear" w:color="auto" w:fill="auto"/>
            <w:hideMark/>
          </w:tcPr>
          <w:p w14:paraId="3E6ABDC4" w14:textId="77777777" w:rsidR="00465964" w:rsidRPr="00465964" w:rsidRDefault="00465964" w:rsidP="00465964">
            <w:r w:rsidRPr="00465964">
              <w:t>a)</w:t>
            </w:r>
          </w:p>
        </w:tc>
        <w:tc>
          <w:tcPr>
            <w:tcW w:w="0" w:type="auto"/>
            <w:shd w:val="clear" w:color="auto" w:fill="auto"/>
            <w:hideMark/>
          </w:tcPr>
          <w:p w14:paraId="1FFECFC3" w14:textId="77777777" w:rsidR="00465964" w:rsidRPr="00465964" w:rsidRDefault="00465964" w:rsidP="00465964">
            <w:pPr>
              <w:rPr>
                <w:lang w:val="pt-PT"/>
              </w:rPr>
            </w:pPr>
            <w:r w:rsidRPr="00465964">
              <w:rPr>
                <w:lang w:val="pt-PT"/>
              </w:rPr>
              <w:t>Uma entidade terceira referida no artigo 34.</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5, primeiro parágrafo, alínea h), do presente regulamento deixou de dispor da sua autorização como instituição de crédito nos termos do artigo 8.</w:t>
            </w:r>
            <w:r w:rsidRPr="00465964">
              <w:rPr>
                <w:vertAlign w:val="superscript"/>
                <w:lang w:val="pt-PT"/>
              </w:rPr>
              <w:t>o</w:t>
            </w:r>
            <w:r w:rsidRPr="00465964">
              <w:rPr>
                <w:lang w:val="pt-PT"/>
              </w:rPr>
              <w:t> da Diretiva 2013/36/UE, como prestador de serviços de criptoativos nos termos do artigo 59.</w:t>
            </w:r>
            <w:r w:rsidRPr="00465964">
              <w:rPr>
                <w:vertAlign w:val="superscript"/>
                <w:lang w:val="pt-PT"/>
              </w:rPr>
              <w:t>o</w:t>
            </w:r>
            <w:r w:rsidRPr="00465964">
              <w:rPr>
                <w:lang w:val="pt-PT"/>
              </w:rPr>
              <w:t> do presente regulamento, como instituição de pagamento ou como instituição de moeda eletrónica;</w:t>
            </w:r>
          </w:p>
        </w:tc>
      </w:tr>
    </w:tbl>
    <w:p w14:paraId="63EE3930"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8"/>
        <w:gridCol w:w="8838"/>
      </w:tblGrid>
      <w:tr w:rsidR="00465964" w:rsidRPr="00465964" w14:paraId="17558805" w14:textId="77777777" w:rsidTr="00465964">
        <w:tc>
          <w:tcPr>
            <w:tcW w:w="0" w:type="auto"/>
            <w:shd w:val="clear" w:color="auto" w:fill="auto"/>
            <w:hideMark/>
          </w:tcPr>
          <w:p w14:paraId="4514CC57" w14:textId="77777777" w:rsidR="00465964" w:rsidRPr="00465964" w:rsidRDefault="00465964" w:rsidP="00465964">
            <w:r w:rsidRPr="00465964">
              <w:t>b)</w:t>
            </w:r>
          </w:p>
        </w:tc>
        <w:tc>
          <w:tcPr>
            <w:tcW w:w="0" w:type="auto"/>
            <w:shd w:val="clear" w:color="auto" w:fill="auto"/>
            <w:hideMark/>
          </w:tcPr>
          <w:p w14:paraId="49F000A5" w14:textId="77777777" w:rsidR="00465964" w:rsidRPr="00465964" w:rsidRDefault="00465964" w:rsidP="00465964">
            <w:pPr>
              <w:rPr>
                <w:lang w:val="pt-PT"/>
              </w:rPr>
            </w:pPr>
            <w:r w:rsidRPr="00465964">
              <w:rPr>
                <w:lang w:val="pt-PT"/>
              </w:rPr>
              <w:t>Os membros do órgão de administração do emitente ou os acionistas ou sócios, diretos ou indiretos, que detêm participações qualificadas no emitente violaram as disposições do direito nacional de transposição da Diretiva (UE) 2015/849.</w:t>
            </w:r>
          </w:p>
        </w:tc>
      </w:tr>
    </w:tbl>
    <w:p w14:paraId="474FE5A2" w14:textId="77777777" w:rsidR="00465964" w:rsidRPr="00465964" w:rsidRDefault="00465964" w:rsidP="00465964">
      <w:pPr>
        <w:rPr>
          <w:lang w:val="pt-PT"/>
        </w:rPr>
      </w:pPr>
      <w:r w:rsidRPr="00465964">
        <w:rPr>
          <w:lang w:val="pt-PT"/>
        </w:rPr>
        <w:lastRenderedPageBreak/>
        <w:t xml:space="preserve">5.   As autoridades competentes devem revogar a autorização de um emitente de uma </w:t>
      </w:r>
      <w:proofErr w:type="spellStart"/>
      <w:r w:rsidRPr="00465964">
        <w:rPr>
          <w:lang w:val="pt-PT"/>
        </w:rPr>
        <w:t>criptoficha</w:t>
      </w:r>
      <w:proofErr w:type="spellEnd"/>
      <w:r w:rsidRPr="00465964">
        <w:rPr>
          <w:lang w:val="pt-PT"/>
        </w:rPr>
        <w:t xml:space="preserve"> referenciada a ativos sempre que considerem que as situações referidas no </w:t>
      </w:r>
      <w:proofErr w:type="spellStart"/>
      <w:r w:rsidRPr="00465964">
        <w:rPr>
          <w:lang w:val="pt-PT"/>
        </w:rPr>
        <w:t>n.</w:t>
      </w:r>
      <w:r w:rsidRPr="00465964">
        <w:rPr>
          <w:vertAlign w:val="superscript"/>
          <w:lang w:val="pt-PT"/>
        </w:rPr>
        <w:t>o</w:t>
      </w:r>
      <w:proofErr w:type="spellEnd"/>
      <w:r w:rsidRPr="00465964">
        <w:rPr>
          <w:lang w:val="pt-PT"/>
        </w:rPr>
        <w:t> 4 do presente artigo afetam a idoneidade do órgão de administração desse emitente ou a idoneidade de quaisquer acionistas ou sócios, diretos ou indiretos, que detêm participações qualificadas no emitente ou que haja outra indicação no sentido de existir uma falha a nível dos sistemas de governação ou dos mecanismos de controlo interno referidos no artigo 34.</w:t>
      </w:r>
      <w:r w:rsidRPr="00465964">
        <w:rPr>
          <w:vertAlign w:val="superscript"/>
          <w:lang w:val="pt-PT"/>
        </w:rPr>
        <w:t>o</w:t>
      </w:r>
      <w:r w:rsidRPr="00465964">
        <w:rPr>
          <w:lang w:val="pt-PT"/>
        </w:rPr>
        <w:t>.</w:t>
      </w:r>
    </w:p>
    <w:p w14:paraId="5F294C12" w14:textId="77777777" w:rsidR="00465964" w:rsidRPr="00465964" w:rsidRDefault="00465964" w:rsidP="00465964">
      <w:pPr>
        <w:rPr>
          <w:lang w:val="pt-PT"/>
        </w:rPr>
      </w:pPr>
      <w:r w:rsidRPr="00465964">
        <w:rPr>
          <w:lang w:val="pt-PT"/>
        </w:rPr>
        <w:t xml:space="preserve">Quando a autorização for revogada, o emitente da </w:t>
      </w:r>
      <w:proofErr w:type="spellStart"/>
      <w:r w:rsidRPr="00465964">
        <w:rPr>
          <w:lang w:val="pt-PT"/>
        </w:rPr>
        <w:t>criptoficha</w:t>
      </w:r>
      <w:proofErr w:type="spellEnd"/>
      <w:r w:rsidRPr="00465964">
        <w:rPr>
          <w:lang w:val="pt-PT"/>
        </w:rPr>
        <w:t xml:space="preserve"> referenciada a ativos deve aplicar o procedimento previsto no artigo 47.</w:t>
      </w:r>
      <w:r w:rsidRPr="00465964">
        <w:rPr>
          <w:vertAlign w:val="superscript"/>
          <w:lang w:val="pt-PT"/>
        </w:rPr>
        <w:t>o</w:t>
      </w:r>
      <w:r w:rsidRPr="00465964">
        <w:rPr>
          <w:lang w:val="pt-PT"/>
        </w:rPr>
        <w:t>.</w:t>
      </w:r>
    </w:p>
    <w:p w14:paraId="4E582EAC" w14:textId="77777777" w:rsidR="00465964" w:rsidRPr="00465964" w:rsidRDefault="00465964" w:rsidP="00465964">
      <w:pPr>
        <w:rPr>
          <w:lang w:val="pt-PT"/>
        </w:rPr>
      </w:pPr>
      <w:r w:rsidRPr="00465964">
        <w:rPr>
          <w:lang w:val="pt-PT"/>
        </w:rPr>
        <w:t xml:space="preserve">6.   As autoridades competentes comunicam à ESMA, no prazo de dois dias úteis a contar da revogação da autorização, a revogação da autorização do emitente da </w:t>
      </w:r>
      <w:proofErr w:type="spellStart"/>
      <w:r w:rsidRPr="00465964">
        <w:rPr>
          <w:lang w:val="pt-PT"/>
        </w:rPr>
        <w:t>criptoficha</w:t>
      </w:r>
      <w:proofErr w:type="spellEnd"/>
      <w:r w:rsidRPr="00465964">
        <w:rPr>
          <w:lang w:val="pt-PT"/>
        </w:rPr>
        <w:t xml:space="preserve"> referenciada a ativos. A ESMA disponibiliza as informações sobre essa revogação no registo a que se refere o artigo 109.</w:t>
      </w:r>
      <w:r w:rsidRPr="00465964">
        <w:rPr>
          <w:vertAlign w:val="superscript"/>
          <w:lang w:val="pt-PT"/>
        </w:rPr>
        <w:t>o</w:t>
      </w:r>
      <w:r w:rsidRPr="00465964">
        <w:rPr>
          <w:lang w:val="pt-PT"/>
        </w:rPr>
        <w:t>, sem demora injustificada.</w:t>
      </w:r>
    </w:p>
    <w:p w14:paraId="2803580C" w14:textId="77777777" w:rsidR="00465964" w:rsidRPr="00465964" w:rsidRDefault="00465964" w:rsidP="00465964">
      <w:pPr>
        <w:rPr>
          <w:i/>
          <w:iCs/>
          <w:lang w:val="pt-PT"/>
        </w:rPr>
      </w:pPr>
      <w:r w:rsidRPr="00465964">
        <w:rPr>
          <w:i/>
          <w:iCs/>
          <w:lang w:val="pt-PT"/>
        </w:rPr>
        <w:t>Artigo 25.</w:t>
      </w:r>
      <w:r w:rsidRPr="00465964">
        <w:rPr>
          <w:i/>
          <w:iCs/>
          <w:vertAlign w:val="superscript"/>
          <w:lang w:val="pt-PT"/>
        </w:rPr>
        <w:t>o</w:t>
      </w:r>
    </w:p>
    <w:p w14:paraId="23559CDA" w14:textId="68BD6037" w:rsidR="00465964" w:rsidRPr="00465964" w:rsidRDefault="00465964" w:rsidP="00465964">
      <w:pPr>
        <w:rPr>
          <w:b/>
          <w:bCs/>
          <w:lang w:val="pt-PT"/>
        </w:rPr>
      </w:pPr>
      <w:r w:rsidRPr="00465964">
        <w:rPr>
          <w:b/>
          <w:bCs/>
          <w:lang w:val="pt-PT"/>
        </w:rPr>
        <w:t xml:space="preserve">Modificação dos livretes do criptoativo publicados para </w:t>
      </w:r>
      <w:r>
        <w:rPr>
          <w:b/>
          <w:bCs/>
          <w:lang w:val="pt-PT"/>
        </w:rPr>
        <w:t>criptomoedas</w:t>
      </w:r>
      <w:r w:rsidRPr="00465964">
        <w:rPr>
          <w:b/>
          <w:bCs/>
          <w:lang w:val="pt-PT"/>
        </w:rPr>
        <w:t xml:space="preserve"> referenciadas a ativos</w:t>
      </w:r>
    </w:p>
    <w:p w14:paraId="266F1E87" w14:textId="044D09A8" w:rsidR="00465964" w:rsidRPr="00465964" w:rsidRDefault="00465964" w:rsidP="00465964">
      <w:pPr>
        <w:rPr>
          <w:lang w:val="pt-PT"/>
        </w:rPr>
      </w:pPr>
      <w:r w:rsidRPr="00465964">
        <w:rPr>
          <w:lang w:val="pt-PT"/>
        </w:rPr>
        <w:t xml:space="preserve">1.   Os emitentes de </w:t>
      </w:r>
      <w:r>
        <w:rPr>
          <w:lang w:val="pt-PT"/>
        </w:rPr>
        <w:t>criptomoedas</w:t>
      </w:r>
      <w:r w:rsidRPr="00465964">
        <w:rPr>
          <w:lang w:val="pt-PT"/>
        </w:rPr>
        <w:t xml:space="preserve"> referenciadas a ativos devem notificar a autoridade competente do seu Estado-Membro de origem de qualquer alteração prevista do seu modelo de negócios, suscetível de ter uma influência significativa na decisão de qualquer detentor ou potencial detentor de compra de </w:t>
      </w:r>
      <w:r>
        <w:rPr>
          <w:lang w:val="pt-PT"/>
        </w:rPr>
        <w:t>criptomoedas</w:t>
      </w:r>
      <w:r w:rsidRPr="00465964">
        <w:rPr>
          <w:lang w:val="pt-PT"/>
        </w:rPr>
        <w:t xml:space="preserve"> referenciadas a ativos, que ocorra após a autorização a que se refere o artigo 21.</w:t>
      </w:r>
      <w:r w:rsidRPr="00465964">
        <w:rPr>
          <w:vertAlign w:val="superscript"/>
          <w:lang w:val="pt-PT"/>
        </w:rPr>
        <w:t>o</w:t>
      </w:r>
      <w:r w:rsidRPr="00465964">
        <w:rPr>
          <w:lang w:val="pt-PT"/>
        </w:rPr>
        <w:t> ou após a aprovação do livrete do criptoativo nos termos do artigo 17.</w:t>
      </w:r>
      <w:r w:rsidRPr="00465964">
        <w:rPr>
          <w:vertAlign w:val="superscript"/>
          <w:lang w:val="pt-PT"/>
        </w:rPr>
        <w:t>o</w:t>
      </w:r>
      <w:r w:rsidRPr="00465964">
        <w:rPr>
          <w:lang w:val="pt-PT"/>
        </w:rPr>
        <w:t>, bem como no contexto do artigo 23.</w:t>
      </w:r>
      <w:r w:rsidRPr="00465964">
        <w:rPr>
          <w:vertAlign w:val="superscript"/>
          <w:lang w:val="pt-PT"/>
        </w:rPr>
        <w:t>o</w:t>
      </w:r>
      <w:r w:rsidRPr="00465964">
        <w:rPr>
          <w:lang w:val="pt-PT"/>
        </w:rPr>
        <w:t>. Estas incluem, nomeadamente, todas as modificações materiais dos seguintes elementos:</w:t>
      </w:r>
    </w:p>
    <w:tbl>
      <w:tblPr>
        <w:tblW w:w="5000" w:type="pct"/>
        <w:tblCellMar>
          <w:left w:w="0" w:type="dxa"/>
          <w:right w:w="0" w:type="dxa"/>
        </w:tblCellMar>
        <w:tblLook w:val="04A0" w:firstRow="1" w:lastRow="0" w:firstColumn="1" w:lastColumn="0" w:noHBand="0" w:noVBand="1"/>
      </w:tblPr>
      <w:tblGrid>
        <w:gridCol w:w="182"/>
        <w:gridCol w:w="8844"/>
      </w:tblGrid>
      <w:tr w:rsidR="00465964" w:rsidRPr="00465964" w14:paraId="1C71D6B2" w14:textId="77777777" w:rsidTr="00465964">
        <w:tc>
          <w:tcPr>
            <w:tcW w:w="0" w:type="auto"/>
            <w:shd w:val="clear" w:color="auto" w:fill="auto"/>
            <w:hideMark/>
          </w:tcPr>
          <w:p w14:paraId="0FF2F7E3" w14:textId="77777777" w:rsidR="00465964" w:rsidRPr="00465964" w:rsidRDefault="00465964" w:rsidP="00465964">
            <w:r w:rsidRPr="00465964">
              <w:t>a)</w:t>
            </w:r>
          </w:p>
        </w:tc>
        <w:tc>
          <w:tcPr>
            <w:tcW w:w="0" w:type="auto"/>
            <w:shd w:val="clear" w:color="auto" w:fill="auto"/>
            <w:hideMark/>
          </w:tcPr>
          <w:p w14:paraId="771C86F2" w14:textId="77777777" w:rsidR="00465964" w:rsidRPr="00465964" w:rsidRDefault="00465964" w:rsidP="00465964">
            <w:pPr>
              <w:rPr>
                <w:lang w:val="pt-PT"/>
              </w:rPr>
            </w:pPr>
            <w:r w:rsidRPr="00465964">
              <w:rPr>
                <w:lang w:val="pt-PT"/>
              </w:rPr>
              <w:t>Os mecanismos de governação, incluindo os canais de comunicação de informações ao órgão de administração e o quadro de gestão dos riscos;</w:t>
            </w:r>
          </w:p>
        </w:tc>
      </w:tr>
    </w:tbl>
    <w:p w14:paraId="564629FA"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316"/>
        <w:gridCol w:w="8710"/>
      </w:tblGrid>
      <w:tr w:rsidR="00465964" w:rsidRPr="00465964" w14:paraId="5DDD7257" w14:textId="77777777" w:rsidTr="00465964">
        <w:tc>
          <w:tcPr>
            <w:tcW w:w="0" w:type="auto"/>
            <w:shd w:val="clear" w:color="auto" w:fill="auto"/>
            <w:hideMark/>
          </w:tcPr>
          <w:p w14:paraId="5CC54851" w14:textId="77777777" w:rsidR="00465964" w:rsidRPr="00465964" w:rsidRDefault="00465964" w:rsidP="00465964">
            <w:r w:rsidRPr="00465964">
              <w:t>b)</w:t>
            </w:r>
          </w:p>
        </w:tc>
        <w:tc>
          <w:tcPr>
            <w:tcW w:w="0" w:type="auto"/>
            <w:shd w:val="clear" w:color="auto" w:fill="auto"/>
            <w:hideMark/>
          </w:tcPr>
          <w:p w14:paraId="177425DE" w14:textId="77777777" w:rsidR="00465964" w:rsidRPr="00465964" w:rsidRDefault="00465964" w:rsidP="00465964">
            <w:pPr>
              <w:rPr>
                <w:lang w:val="pt-PT"/>
              </w:rPr>
            </w:pPr>
            <w:r w:rsidRPr="00465964">
              <w:rPr>
                <w:lang w:val="pt-PT"/>
              </w:rPr>
              <w:t>Os ativos de reserva e a custódia dos ativos de reserva;</w:t>
            </w:r>
          </w:p>
        </w:tc>
      </w:tr>
    </w:tbl>
    <w:p w14:paraId="13785265"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212"/>
        <w:gridCol w:w="8814"/>
      </w:tblGrid>
      <w:tr w:rsidR="00465964" w:rsidRPr="00465964" w14:paraId="3AAA7C36" w14:textId="77777777" w:rsidTr="00465964">
        <w:tc>
          <w:tcPr>
            <w:tcW w:w="0" w:type="auto"/>
            <w:shd w:val="clear" w:color="auto" w:fill="auto"/>
            <w:hideMark/>
          </w:tcPr>
          <w:p w14:paraId="09FD978E" w14:textId="77777777" w:rsidR="00465964" w:rsidRPr="00465964" w:rsidRDefault="00465964" w:rsidP="00465964">
            <w:r w:rsidRPr="00465964">
              <w:t>c)</w:t>
            </w:r>
          </w:p>
        </w:tc>
        <w:tc>
          <w:tcPr>
            <w:tcW w:w="0" w:type="auto"/>
            <w:shd w:val="clear" w:color="auto" w:fill="auto"/>
            <w:hideMark/>
          </w:tcPr>
          <w:p w14:paraId="60ABD22A" w14:textId="0CDC6E11" w:rsidR="00465964" w:rsidRPr="00465964" w:rsidRDefault="00465964" w:rsidP="00465964">
            <w:pPr>
              <w:rPr>
                <w:lang w:val="pt-PT"/>
              </w:rPr>
            </w:pPr>
            <w:r w:rsidRPr="00465964">
              <w:rPr>
                <w:lang w:val="pt-PT"/>
              </w:rPr>
              <w:t xml:space="preserve">Os direitos concedidos aos detentores de </w:t>
            </w:r>
            <w:r>
              <w:rPr>
                <w:lang w:val="pt-PT"/>
              </w:rPr>
              <w:t>criptomoedas</w:t>
            </w:r>
            <w:r w:rsidRPr="00465964">
              <w:rPr>
                <w:lang w:val="pt-PT"/>
              </w:rPr>
              <w:t xml:space="preserve"> referenciadas a ativos;</w:t>
            </w:r>
          </w:p>
        </w:tc>
      </w:tr>
    </w:tbl>
    <w:p w14:paraId="396BED1F"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8"/>
        <w:gridCol w:w="8838"/>
      </w:tblGrid>
      <w:tr w:rsidR="00465964" w:rsidRPr="00465964" w14:paraId="67BF4AC1" w14:textId="77777777" w:rsidTr="00465964">
        <w:tc>
          <w:tcPr>
            <w:tcW w:w="0" w:type="auto"/>
            <w:shd w:val="clear" w:color="auto" w:fill="auto"/>
            <w:hideMark/>
          </w:tcPr>
          <w:p w14:paraId="7C749F5E" w14:textId="77777777" w:rsidR="00465964" w:rsidRPr="00465964" w:rsidRDefault="00465964" w:rsidP="00465964">
            <w:r w:rsidRPr="00465964">
              <w:t>d)</w:t>
            </w:r>
          </w:p>
        </w:tc>
        <w:tc>
          <w:tcPr>
            <w:tcW w:w="0" w:type="auto"/>
            <w:shd w:val="clear" w:color="auto" w:fill="auto"/>
            <w:hideMark/>
          </w:tcPr>
          <w:p w14:paraId="2112C293" w14:textId="77777777" w:rsidR="00465964" w:rsidRPr="00465964" w:rsidRDefault="00465964" w:rsidP="00465964">
            <w:pPr>
              <w:rPr>
                <w:lang w:val="pt-PT"/>
              </w:rPr>
            </w:pPr>
            <w:r w:rsidRPr="00465964">
              <w:rPr>
                <w:lang w:val="pt-PT"/>
              </w:rPr>
              <w:t xml:space="preserve">O mecanismo através do qual uma </w:t>
            </w:r>
            <w:proofErr w:type="spellStart"/>
            <w:r w:rsidRPr="00465964">
              <w:rPr>
                <w:lang w:val="pt-PT"/>
              </w:rPr>
              <w:t>criptoficha</w:t>
            </w:r>
            <w:proofErr w:type="spellEnd"/>
            <w:r w:rsidRPr="00465964">
              <w:rPr>
                <w:lang w:val="pt-PT"/>
              </w:rPr>
              <w:t xml:space="preserve"> referenciada a ativos é emitida e reembolsada;</w:t>
            </w:r>
          </w:p>
        </w:tc>
      </w:tr>
    </w:tbl>
    <w:p w14:paraId="30A3C7A6"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202"/>
        <w:gridCol w:w="8824"/>
      </w:tblGrid>
      <w:tr w:rsidR="00465964" w:rsidRPr="00465964" w14:paraId="75CAA922" w14:textId="77777777" w:rsidTr="00465964">
        <w:tc>
          <w:tcPr>
            <w:tcW w:w="0" w:type="auto"/>
            <w:shd w:val="clear" w:color="auto" w:fill="auto"/>
            <w:hideMark/>
          </w:tcPr>
          <w:p w14:paraId="162EF69C" w14:textId="77777777" w:rsidR="00465964" w:rsidRPr="00465964" w:rsidRDefault="00465964" w:rsidP="00465964">
            <w:r w:rsidRPr="00465964">
              <w:t>e)</w:t>
            </w:r>
          </w:p>
        </w:tc>
        <w:tc>
          <w:tcPr>
            <w:tcW w:w="0" w:type="auto"/>
            <w:shd w:val="clear" w:color="auto" w:fill="auto"/>
            <w:hideMark/>
          </w:tcPr>
          <w:p w14:paraId="22B78734" w14:textId="1DB65DCC" w:rsidR="00465964" w:rsidRPr="00465964" w:rsidRDefault="00465964" w:rsidP="00465964">
            <w:pPr>
              <w:rPr>
                <w:lang w:val="pt-PT"/>
              </w:rPr>
            </w:pPr>
            <w:r w:rsidRPr="00465964">
              <w:rPr>
                <w:lang w:val="pt-PT"/>
              </w:rPr>
              <w:t xml:space="preserve">Os protocolos de validação das transações de </w:t>
            </w:r>
            <w:r>
              <w:rPr>
                <w:lang w:val="pt-PT"/>
              </w:rPr>
              <w:t>criptomoedas</w:t>
            </w:r>
            <w:r w:rsidRPr="00465964">
              <w:rPr>
                <w:lang w:val="pt-PT"/>
              </w:rPr>
              <w:t xml:space="preserve"> referenciadas a ativos;</w:t>
            </w:r>
          </w:p>
        </w:tc>
      </w:tr>
    </w:tbl>
    <w:p w14:paraId="7AC775FC"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36"/>
        <w:gridCol w:w="8890"/>
      </w:tblGrid>
      <w:tr w:rsidR="00465964" w:rsidRPr="00465964" w14:paraId="49A7AE8C" w14:textId="77777777" w:rsidTr="00465964">
        <w:tc>
          <w:tcPr>
            <w:tcW w:w="0" w:type="auto"/>
            <w:shd w:val="clear" w:color="auto" w:fill="auto"/>
            <w:hideMark/>
          </w:tcPr>
          <w:p w14:paraId="51062F78" w14:textId="77777777" w:rsidR="00465964" w:rsidRPr="00465964" w:rsidRDefault="00465964" w:rsidP="00465964">
            <w:r w:rsidRPr="00465964">
              <w:t>f)</w:t>
            </w:r>
          </w:p>
        </w:tc>
        <w:tc>
          <w:tcPr>
            <w:tcW w:w="0" w:type="auto"/>
            <w:shd w:val="clear" w:color="auto" w:fill="auto"/>
            <w:hideMark/>
          </w:tcPr>
          <w:p w14:paraId="7557F039" w14:textId="40925AEC" w:rsidR="00465964" w:rsidRPr="00465964" w:rsidRDefault="00465964" w:rsidP="00465964">
            <w:pPr>
              <w:rPr>
                <w:lang w:val="pt-PT"/>
              </w:rPr>
            </w:pPr>
            <w:r w:rsidRPr="00465964">
              <w:rPr>
                <w:lang w:val="pt-PT"/>
              </w:rPr>
              <w:t xml:space="preserve">O funcionamento da tecnologia proprietária de registo distribuído do emitente, caso as </w:t>
            </w:r>
            <w:r>
              <w:rPr>
                <w:lang w:val="pt-PT"/>
              </w:rPr>
              <w:t>criptomoedas</w:t>
            </w:r>
            <w:r w:rsidRPr="00465964">
              <w:rPr>
                <w:lang w:val="pt-PT"/>
              </w:rPr>
              <w:t xml:space="preserve"> referenciadas a ativos sejam emitidas, transferidas e armazenadas utilizando uma tal tecnologia de registo distribuído;</w:t>
            </w:r>
          </w:p>
        </w:tc>
      </w:tr>
    </w:tbl>
    <w:p w14:paraId="40E003CE"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74"/>
        <w:gridCol w:w="8852"/>
      </w:tblGrid>
      <w:tr w:rsidR="00465964" w:rsidRPr="00465964" w14:paraId="29057685" w14:textId="77777777" w:rsidTr="00465964">
        <w:tc>
          <w:tcPr>
            <w:tcW w:w="0" w:type="auto"/>
            <w:shd w:val="clear" w:color="auto" w:fill="auto"/>
            <w:hideMark/>
          </w:tcPr>
          <w:p w14:paraId="6CFED298" w14:textId="77777777" w:rsidR="00465964" w:rsidRPr="00465964" w:rsidRDefault="00465964" w:rsidP="00465964">
            <w:r w:rsidRPr="00465964">
              <w:t>g)</w:t>
            </w:r>
          </w:p>
        </w:tc>
        <w:tc>
          <w:tcPr>
            <w:tcW w:w="0" w:type="auto"/>
            <w:shd w:val="clear" w:color="auto" w:fill="auto"/>
            <w:hideMark/>
          </w:tcPr>
          <w:p w14:paraId="06E20C7B" w14:textId="6DCFE109" w:rsidR="00465964" w:rsidRPr="00465964" w:rsidRDefault="00465964" w:rsidP="00465964">
            <w:pPr>
              <w:rPr>
                <w:lang w:val="pt-PT"/>
              </w:rPr>
            </w:pPr>
            <w:r w:rsidRPr="00465964">
              <w:rPr>
                <w:lang w:val="pt-PT"/>
              </w:rPr>
              <w:t xml:space="preserve">Os mecanismos destinados a assegurar a liquidez das </w:t>
            </w:r>
            <w:r>
              <w:rPr>
                <w:lang w:val="pt-PT"/>
              </w:rPr>
              <w:t>criptomoedas</w:t>
            </w:r>
            <w:r w:rsidRPr="00465964">
              <w:rPr>
                <w:lang w:val="pt-PT"/>
              </w:rPr>
              <w:t xml:space="preserve"> referenciadas a ativos, nomeadamente a política de gestão da liquidez e os procedimentos aplicáveis aos emitentes de </w:t>
            </w:r>
            <w:r>
              <w:rPr>
                <w:lang w:val="pt-PT"/>
              </w:rPr>
              <w:t>criptomoedas</w:t>
            </w:r>
            <w:r w:rsidRPr="00465964">
              <w:rPr>
                <w:lang w:val="pt-PT"/>
              </w:rPr>
              <w:t xml:space="preserve"> referenciadas a ativos significativas a que se refere o artigo 45.</w:t>
            </w:r>
            <w:r w:rsidRPr="00465964">
              <w:rPr>
                <w:vertAlign w:val="superscript"/>
                <w:lang w:val="pt-PT"/>
              </w:rPr>
              <w:t>o</w:t>
            </w:r>
            <w:r w:rsidRPr="00465964">
              <w:rPr>
                <w:lang w:val="pt-PT"/>
              </w:rPr>
              <w:t>;</w:t>
            </w:r>
          </w:p>
        </w:tc>
      </w:tr>
    </w:tbl>
    <w:p w14:paraId="51A089C2"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6"/>
        <w:gridCol w:w="8840"/>
      </w:tblGrid>
      <w:tr w:rsidR="00465964" w:rsidRPr="00465964" w14:paraId="611CFD88" w14:textId="77777777" w:rsidTr="00465964">
        <w:tc>
          <w:tcPr>
            <w:tcW w:w="0" w:type="auto"/>
            <w:shd w:val="clear" w:color="auto" w:fill="auto"/>
            <w:hideMark/>
          </w:tcPr>
          <w:p w14:paraId="16D1AF38" w14:textId="77777777" w:rsidR="00465964" w:rsidRPr="00465964" w:rsidRDefault="00465964" w:rsidP="00465964">
            <w:r w:rsidRPr="00465964">
              <w:t>h)</w:t>
            </w:r>
          </w:p>
        </w:tc>
        <w:tc>
          <w:tcPr>
            <w:tcW w:w="0" w:type="auto"/>
            <w:shd w:val="clear" w:color="auto" w:fill="auto"/>
            <w:hideMark/>
          </w:tcPr>
          <w:p w14:paraId="053BC5B9" w14:textId="1F59034B" w:rsidR="00465964" w:rsidRPr="00465964" w:rsidRDefault="00465964" w:rsidP="00465964">
            <w:pPr>
              <w:rPr>
                <w:lang w:val="pt-PT"/>
              </w:rPr>
            </w:pPr>
            <w:r w:rsidRPr="00465964">
              <w:rPr>
                <w:lang w:val="pt-PT"/>
              </w:rPr>
              <w:t xml:space="preserve">Os acordos com entidades terceiras, nomeadamente para a gestão dos ativos de reserva e do investimento da reserva, a custódia dos ativos de reserva e, se for caso disso, a distribuição ao público das </w:t>
            </w:r>
            <w:r>
              <w:rPr>
                <w:lang w:val="pt-PT"/>
              </w:rPr>
              <w:t>criptomoedas</w:t>
            </w:r>
            <w:r w:rsidRPr="00465964">
              <w:rPr>
                <w:lang w:val="pt-PT"/>
              </w:rPr>
              <w:t xml:space="preserve"> referenciadas a ativos;</w:t>
            </w:r>
          </w:p>
        </w:tc>
      </w:tr>
    </w:tbl>
    <w:p w14:paraId="30373482"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221"/>
        <w:gridCol w:w="8805"/>
      </w:tblGrid>
      <w:tr w:rsidR="00465964" w:rsidRPr="00465964" w14:paraId="7B2F24D4" w14:textId="77777777" w:rsidTr="00465964">
        <w:tc>
          <w:tcPr>
            <w:tcW w:w="0" w:type="auto"/>
            <w:shd w:val="clear" w:color="auto" w:fill="auto"/>
            <w:hideMark/>
          </w:tcPr>
          <w:p w14:paraId="50E61A7E" w14:textId="77777777" w:rsidR="00465964" w:rsidRPr="00465964" w:rsidRDefault="00465964" w:rsidP="00465964">
            <w:proofErr w:type="spellStart"/>
            <w:r w:rsidRPr="00465964">
              <w:t>i</w:t>
            </w:r>
            <w:proofErr w:type="spellEnd"/>
            <w:r w:rsidRPr="00465964">
              <w:t>)</w:t>
            </w:r>
          </w:p>
        </w:tc>
        <w:tc>
          <w:tcPr>
            <w:tcW w:w="0" w:type="auto"/>
            <w:shd w:val="clear" w:color="auto" w:fill="auto"/>
            <w:hideMark/>
          </w:tcPr>
          <w:p w14:paraId="2693479D" w14:textId="77777777" w:rsidR="00465964" w:rsidRPr="00465964" w:rsidRDefault="00465964" w:rsidP="00465964">
            <w:pPr>
              <w:rPr>
                <w:lang w:val="pt-PT"/>
              </w:rPr>
            </w:pPr>
            <w:r w:rsidRPr="00465964">
              <w:rPr>
                <w:lang w:val="pt-PT"/>
              </w:rPr>
              <w:t>O procedimento de tratamento das reclamações;</w:t>
            </w:r>
          </w:p>
        </w:tc>
      </w:tr>
    </w:tbl>
    <w:p w14:paraId="5AA4CE34"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17"/>
        <w:gridCol w:w="8909"/>
      </w:tblGrid>
      <w:tr w:rsidR="00465964" w:rsidRPr="00465964" w14:paraId="296F2C0A" w14:textId="77777777" w:rsidTr="00465964">
        <w:tc>
          <w:tcPr>
            <w:tcW w:w="0" w:type="auto"/>
            <w:shd w:val="clear" w:color="auto" w:fill="auto"/>
            <w:hideMark/>
          </w:tcPr>
          <w:p w14:paraId="7F877E06" w14:textId="77777777" w:rsidR="00465964" w:rsidRPr="00465964" w:rsidRDefault="00465964" w:rsidP="00465964">
            <w:r w:rsidRPr="00465964">
              <w:lastRenderedPageBreak/>
              <w:t>j)</w:t>
            </w:r>
          </w:p>
        </w:tc>
        <w:tc>
          <w:tcPr>
            <w:tcW w:w="0" w:type="auto"/>
            <w:shd w:val="clear" w:color="auto" w:fill="auto"/>
            <w:hideMark/>
          </w:tcPr>
          <w:p w14:paraId="0BFAA3EB" w14:textId="77777777" w:rsidR="00465964" w:rsidRPr="00465964" w:rsidRDefault="00465964" w:rsidP="00465964">
            <w:pPr>
              <w:rPr>
                <w:lang w:val="pt-PT"/>
              </w:rPr>
            </w:pPr>
            <w:r w:rsidRPr="00465964">
              <w:rPr>
                <w:lang w:val="pt-PT"/>
              </w:rPr>
              <w:t>A avaliação do risco de branqueamento de capitais e de financiamento do terrorismo e as respetivas políticas e procedimentos gerais.</w:t>
            </w:r>
          </w:p>
        </w:tc>
      </w:tr>
    </w:tbl>
    <w:p w14:paraId="28F941EB" w14:textId="16100248" w:rsidR="00465964" w:rsidRPr="00465964" w:rsidRDefault="00465964" w:rsidP="00465964">
      <w:pPr>
        <w:rPr>
          <w:lang w:val="pt-PT"/>
        </w:rPr>
      </w:pPr>
      <w:r w:rsidRPr="00465964">
        <w:rPr>
          <w:lang w:val="pt-PT"/>
        </w:rPr>
        <w:t xml:space="preserve">Os emitentes de </w:t>
      </w:r>
      <w:r>
        <w:rPr>
          <w:lang w:val="pt-PT"/>
        </w:rPr>
        <w:t>criptomoedas</w:t>
      </w:r>
      <w:r w:rsidRPr="00465964">
        <w:rPr>
          <w:lang w:val="pt-PT"/>
        </w:rPr>
        <w:t xml:space="preserve"> referenciadas a ativos notificam a autoridade competente do seu Estado-Membro de origem pelo menos 30 dias úteis antes de as alterações previstas produzirem efeitos.</w:t>
      </w:r>
    </w:p>
    <w:p w14:paraId="7D629661" w14:textId="77777777" w:rsidR="00465964" w:rsidRPr="00465964" w:rsidRDefault="00465964" w:rsidP="00465964">
      <w:pPr>
        <w:rPr>
          <w:lang w:val="pt-PT"/>
        </w:rPr>
      </w:pPr>
      <w:r w:rsidRPr="00465964">
        <w:rPr>
          <w:lang w:val="pt-PT"/>
        </w:rPr>
        <w:t xml:space="preserve">2.   Se qualquer alteração prevista referida no </w:t>
      </w:r>
      <w:proofErr w:type="spellStart"/>
      <w:r w:rsidRPr="00465964">
        <w:rPr>
          <w:lang w:val="pt-PT"/>
        </w:rPr>
        <w:t>n.</w:t>
      </w:r>
      <w:r w:rsidRPr="00465964">
        <w:rPr>
          <w:vertAlign w:val="superscript"/>
          <w:lang w:val="pt-PT"/>
        </w:rPr>
        <w:t>o</w:t>
      </w:r>
      <w:proofErr w:type="spellEnd"/>
      <w:r w:rsidRPr="00465964">
        <w:rPr>
          <w:lang w:val="pt-PT"/>
        </w:rPr>
        <w:t xml:space="preserve"> 1 tiver sido notificada à autoridade competente, o emitente de uma </w:t>
      </w:r>
      <w:proofErr w:type="spellStart"/>
      <w:r w:rsidRPr="00465964">
        <w:rPr>
          <w:lang w:val="pt-PT"/>
        </w:rPr>
        <w:t>criptoficha</w:t>
      </w:r>
      <w:proofErr w:type="spellEnd"/>
      <w:r w:rsidRPr="00465964">
        <w:rPr>
          <w:lang w:val="pt-PT"/>
        </w:rPr>
        <w:t xml:space="preserve"> referenciada a ativos deve redigir um projeto de livrete do criptoativo modificado e assegurar que a ordem das informações nele constantes é coerente com a do livrete do criptoativo original.</w:t>
      </w:r>
    </w:p>
    <w:p w14:paraId="4A30086A" w14:textId="77777777" w:rsidR="00465964" w:rsidRPr="00465964" w:rsidRDefault="00465964" w:rsidP="00465964">
      <w:pPr>
        <w:rPr>
          <w:lang w:val="pt-PT"/>
        </w:rPr>
      </w:pPr>
      <w:r w:rsidRPr="00465964">
        <w:rPr>
          <w:lang w:val="pt-PT"/>
        </w:rPr>
        <w:t xml:space="preserve">O emitente da </w:t>
      </w:r>
      <w:proofErr w:type="spellStart"/>
      <w:r w:rsidRPr="00465964">
        <w:rPr>
          <w:lang w:val="pt-PT"/>
        </w:rPr>
        <w:t>criptoficha</w:t>
      </w:r>
      <w:proofErr w:type="spellEnd"/>
      <w:r w:rsidRPr="00465964">
        <w:rPr>
          <w:lang w:val="pt-PT"/>
        </w:rPr>
        <w:t xml:space="preserve"> referenciada a ativos notifica o projeto de livrete do criptoativo modificado à autoridade competente do Estado-Membro de origem.</w:t>
      </w:r>
    </w:p>
    <w:p w14:paraId="2FBFAA0B" w14:textId="77777777" w:rsidR="00465964" w:rsidRPr="00465964" w:rsidRDefault="00465964" w:rsidP="00465964">
      <w:pPr>
        <w:rPr>
          <w:lang w:val="pt-PT"/>
        </w:rPr>
      </w:pPr>
      <w:r w:rsidRPr="00465964">
        <w:rPr>
          <w:lang w:val="pt-PT"/>
        </w:rPr>
        <w:t>A autoridade competente deve acusar por via eletrónica a receção do projeto de livrete do criptoativo modificado o mais rapidamente possível e, o mais tardar, cinco dias úteis a contar da sua receção.</w:t>
      </w:r>
    </w:p>
    <w:p w14:paraId="66EB322C" w14:textId="77777777" w:rsidR="00465964" w:rsidRPr="00465964" w:rsidRDefault="00465964" w:rsidP="00465964">
      <w:pPr>
        <w:rPr>
          <w:lang w:val="pt-PT"/>
        </w:rPr>
      </w:pPr>
      <w:r w:rsidRPr="00465964">
        <w:rPr>
          <w:lang w:val="pt-PT"/>
        </w:rPr>
        <w:t>A autoridade competente deve conceder a aprovação ou recusar a aprovação do projeto de livrete do criptoativo modificado no prazo de 30 dias úteis após ter acusado a sua receção. Durante o processo de análise do projeto de livrete do criptoativo modificado, a autoridade competente pode solicitar informações, explicações ou justificações adicionais sobre o mesmo. Caso a autoridade competente formule um pedido nesse sentido, o prazo limite de 30 dias úteis só começa a correr quando a autoridade competente tiver recebido as informações adicionais solicitadas.</w:t>
      </w:r>
    </w:p>
    <w:p w14:paraId="67F0BB71" w14:textId="77777777" w:rsidR="00465964" w:rsidRPr="00465964" w:rsidRDefault="00465964" w:rsidP="00465964">
      <w:pPr>
        <w:rPr>
          <w:lang w:val="pt-PT"/>
        </w:rPr>
      </w:pPr>
      <w:r w:rsidRPr="00465964">
        <w:rPr>
          <w:lang w:val="pt-PT"/>
        </w:rPr>
        <w:t>3.   Caso considere que as alterações a um livrete do criptoativo são potencialmente relevantes para o bom funcionamento dos sistemas de pagamento, a transmissão da política monetária e a soberania monetária, a autoridade competente deve consultar o BCE e, se for o caso, o banco central a que se refere o artigo 20.</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4. Em tais casos, a autoridade competente pode também consultar a EBA e a ESMA.</w:t>
      </w:r>
    </w:p>
    <w:p w14:paraId="1953C8C0" w14:textId="77777777" w:rsidR="00465964" w:rsidRPr="00465964" w:rsidRDefault="00465964" w:rsidP="00465964">
      <w:pPr>
        <w:rPr>
          <w:lang w:val="pt-PT"/>
        </w:rPr>
      </w:pPr>
      <w:r w:rsidRPr="00465964">
        <w:rPr>
          <w:lang w:val="pt-PT"/>
        </w:rPr>
        <w:t>O BCE ou o banco central pertinente e, se for o caso, a EBA e a ESMA emitem um parecer no prazo de 20 dias úteis a contar da receção do pedido de consulta a que se refere o primeiro parágrafo.</w:t>
      </w:r>
    </w:p>
    <w:p w14:paraId="3E493A67" w14:textId="77777777" w:rsidR="00465964" w:rsidRPr="00465964" w:rsidRDefault="00465964" w:rsidP="00465964">
      <w:pPr>
        <w:rPr>
          <w:lang w:val="pt-PT"/>
        </w:rPr>
      </w:pPr>
      <w:r w:rsidRPr="00465964">
        <w:rPr>
          <w:lang w:val="pt-PT"/>
        </w:rPr>
        <w:t xml:space="preserve">4.   Caso aprove o livrete do criptoativo modificado, a autoridade competente pode solicitar ao emitente da </w:t>
      </w:r>
      <w:proofErr w:type="spellStart"/>
      <w:r w:rsidRPr="00465964">
        <w:rPr>
          <w:lang w:val="pt-PT"/>
        </w:rPr>
        <w:t>criptoficha</w:t>
      </w:r>
      <w:proofErr w:type="spellEnd"/>
      <w:r w:rsidRPr="00465964">
        <w:rPr>
          <w:lang w:val="pt-PT"/>
        </w:rPr>
        <w:t xml:space="preserve"> referenciada a ativos:</w:t>
      </w:r>
    </w:p>
    <w:tbl>
      <w:tblPr>
        <w:tblW w:w="5000" w:type="pct"/>
        <w:tblCellMar>
          <w:left w:w="0" w:type="dxa"/>
          <w:right w:w="0" w:type="dxa"/>
        </w:tblCellMar>
        <w:tblLook w:val="04A0" w:firstRow="1" w:lastRow="0" w:firstColumn="1" w:lastColumn="0" w:noHBand="0" w:noVBand="1"/>
      </w:tblPr>
      <w:tblGrid>
        <w:gridCol w:w="182"/>
        <w:gridCol w:w="8844"/>
      </w:tblGrid>
      <w:tr w:rsidR="00465964" w:rsidRPr="00465964" w14:paraId="1E8775DD" w14:textId="77777777" w:rsidTr="00465964">
        <w:tc>
          <w:tcPr>
            <w:tcW w:w="0" w:type="auto"/>
            <w:shd w:val="clear" w:color="auto" w:fill="auto"/>
            <w:hideMark/>
          </w:tcPr>
          <w:p w14:paraId="1A52544B" w14:textId="77777777" w:rsidR="00465964" w:rsidRPr="00465964" w:rsidRDefault="00465964" w:rsidP="00465964">
            <w:r w:rsidRPr="00465964">
              <w:t>a)</w:t>
            </w:r>
          </w:p>
        </w:tc>
        <w:tc>
          <w:tcPr>
            <w:tcW w:w="0" w:type="auto"/>
            <w:shd w:val="clear" w:color="auto" w:fill="auto"/>
            <w:hideMark/>
          </w:tcPr>
          <w:p w14:paraId="637870AD" w14:textId="77777777" w:rsidR="00465964" w:rsidRPr="00465964" w:rsidRDefault="00465964" w:rsidP="00465964">
            <w:pPr>
              <w:rPr>
                <w:lang w:val="pt-PT"/>
              </w:rPr>
            </w:pPr>
            <w:r w:rsidRPr="00465964">
              <w:rPr>
                <w:lang w:val="pt-PT"/>
              </w:rPr>
              <w:t xml:space="preserve">Que crie mecanismos para assegurar a proteção dos detentores da </w:t>
            </w:r>
            <w:proofErr w:type="spellStart"/>
            <w:r w:rsidRPr="00465964">
              <w:rPr>
                <w:lang w:val="pt-PT"/>
              </w:rPr>
              <w:t>criptoficha</w:t>
            </w:r>
            <w:proofErr w:type="spellEnd"/>
            <w:r w:rsidRPr="00465964">
              <w:rPr>
                <w:lang w:val="pt-PT"/>
              </w:rPr>
              <w:t xml:space="preserve"> referenciada a ativos, sempre que uma potencial modificação das operações do emitente possa ter um efeito importante sobre o valor, a estabilidade ou os riscos da </w:t>
            </w:r>
            <w:proofErr w:type="spellStart"/>
            <w:r w:rsidRPr="00465964">
              <w:rPr>
                <w:lang w:val="pt-PT"/>
              </w:rPr>
              <w:t>criptoficha</w:t>
            </w:r>
            <w:proofErr w:type="spellEnd"/>
            <w:r w:rsidRPr="00465964">
              <w:rPr>
                <w:lang w:val="pt-PT"/>
              </w:rPr>
              <w:t xml:space="preserve"> referenciada a ativos ou dos ativos de reserva;</w:t>
            </w:r>
          </w:p>
        </w:tc>
      </w:tr>
    </w:tbl>
    <w:p w14:paraId="4DC17108"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8"/>
        <w:gridCol w:w="8838"/>
      </w:tblGrid>
      <w:tr w:rsidR="00465964" w:rsidRPr="00465964" w14:paraId="72C3C353" w14:textId="77777777" w:rsidTr="00465964">
        <w:tc>
          <w:tcPr>
            <w:tcW w:w="0" w:type="auto"/>
            <w:shd w:val="clear" w:color="auto" w:fill="auto"/>
            <w:hideMark/>
          </w:tcPr>
          <w:p w14:paraId="111A2044" w14:textId="77777777" w:rsidR="00465964" w:rsidRPr="00465964" w:rsidRDefault="00465964" w:rsidP="00465964">
            <w:r w:rsidRPr="00465964">
              <w:t>b)</w:t>
            </w:r>
          </w:p>
        </w:tc>
        <w:tc>
          <w:tcPr>
            <w:tcW w:w="0" w:type="auto"/>
            <w:shd w:val="clear" w:color="auto" w:fill="auto"/>
            <w:hideMark/>
          </w:tcPr>
          <w:p w14:paraId="32549ACF" w14:textId="77777777" w:rsidR="00465964" w:rsidRPr="00465964" w:rsidRDefault="00465964" w:rsidP="00465964">
            <w:pPr>
              <w:rPr>
                <w:lang w:val="pt-PT"/>
              </w:rPr>
            </w:pPr>
            <w:r w:rsidRPr="00465964">
              <w:rPr>
                <w:lang w:val="pt-PT"/>
              </w:rPr>
              <w:t>Que tome todas as medidas corretivas adequadas para dar resposta a preocupações relacionadas com a integridade do mercado, a estabilidade financeira ou o bom funcionamento dos sistemas de pagamento.</w:t>
            </w:r>
          </w:p>
        </w:tc>
      </w:tr>
    </w:tbl>
    <w:p w14:paraId="5B2935F8" w14:textId="77777777" w:rsidR="00465964" w:rsidRPr="00465964" w:rsidRDefault="00465964" w:rsidP="00465964">
      <w:pPr>
        <w:rPr>
          <w:lang w:val="pt-PT"/>
        </w:rPr>
      </w:pPr>
      <w:r w:rsidRPr="00465964">
        <w:rPr>
          <w:lang w:val="pt-PT"/>
        </w:rPr>
        <w:t xml:space="preserve">A autoridade competente solicita ao emitente da </w:t>
      </w:r>
      <w:proofErr w:type="spellStart"/>
      <w:r w:rsidRPr="00465964">
        <w:rPr>
          <w:lang w:val="pt-PT"/>
        </w:rPr>
        <w:t>criptoficha</w:t>
      </w:r>
      <w:proofErr w:type="spellEnd"/>
      <w:r w:rsidRPr="00465964">
        <w:rPr>
          <w:lang w:val="pt-PT"/>
        </w:rPr>
        <w:t xml:space="preserve"> referenciada a ativos que tome as medidas corretivas adequadas para dar resposta às preocupações relacionadas com o bom funcionamento dos sistemas de pagamentos, a transmissão da política monetária ou a soberania monetária se, no âmbito das consultas a que se refere o </w:t>
      </w:r>
      <w:proofErr w:type="spellStart"/>
      <w:r w:rsidRPr="00465964">
        <w:rPr>
          <w:lang w:val="pt-PT"/>
        </w:rPr>
        <w:t>n.</w:t>
      </w:r>
      <w:r w:rsidRPr="00465964">
        <w:rPr>
          <w:vertAlign w:val="superscript"/>
          <w:lang w:val="pt-PT"/>
        </w:rPr>
        <w:t>o</w:t>
      </w:r>
      <w:proofErr w:type="spellEnd"/>
      <w:r w:rsidRPr="00465964">
        <w:rPr>
          <w:lang w:val="pt-PT"/>
        </w:rPr>
        <w:t xml:space="preserve"> 3 do presente artigo, tais </w:t>
      </w:r>
      <w:r w:rsidRPr="00465964">
        <w:rPr>
          <w:lang w:val="pt-PT"/>
        </w:rPr>
        <w:lastRenderedPageBreak/>
        <w:t>medidas corretivas forem propostas pelo BCE ou, se for o caso, por um banco central a que se refere o artigo 20.</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4.</w:t>
      </w:r>
    </w:p>
    <w:p w14:paraId="57085DCF" w14:textId="77777777" w:rsidR="00465964" w:rsidRPr="00465964" w:rsidRDefault="00465964" w:rsidP="00465964">
      <w:pPr>
        <w:rPr>
          <w:lang w:val="pt-PT"/>
        </w:rPr>
      </w:pPr>
      <w:r w:rsidRPr="00465964">
        <w:rPr>
          <w:lang w:val="pt-PT"/>
        </w:rPr>
        <w:t>Caso o BCE ou o banco central a que se refere o artigo 20.</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4, proponham medidas que difiram das exigidas pela autoridade competente, as medidas propostas devem ser combinadas. Se tal não for possível, a medida mais rigorosa deverá ser imposta.</w:t>
      </w:r>
    </w:p>
    <w:p w14:paraId="7703AB8F" w14:textId="77777777" w:rsidR="00465964" w:rsidRPr="00465964" w:rsidRDefault="00465964" w:rsidP="00465964">
      <w:pPr>
        <w:rPr>
          <w:lang w:val="pt-PT"/>
        </w:rPr>
      </w:pPr>
      <w:r w:rsidRPr="00465964">
        <w:rPr>
          <w:lang w:val="pt-PT"/>
        </w:rPr>
        <w:t>5.   A autoridade competente comunica o livrete do criptoativo modificado à ESMA, aos pontos de contacto únicos dos Estados-Membros de acolhimento, à EBA, ao BCE e, se for o caso, ao banco central do Estado-Membro em causa, no prazo de dois dias úteis a contar da concessão da aprovação.</w:t>
      </w:r>
    </w:p>
    <w:p w14:paraId="62D97339" w14:textId="77777777" w:rsidR="00465964" w:rsidRPr="00465964" w:rsidRDefault="00465964" w:rsidP="00465964">
      <w:pPr>
        <w:rPr>
          <w:lang w:val="pt-PT"/>
        </w:rPr>
      </w:pPr>
      <w:r w:rsidRPr="00465964">
        <w:rPr>
          <w:lang w:val="pt-PT"/>
        </w:rPr>
        <w:t>A ESMA disponibiliza, sem demora injustificada, o livrete do criptoativo modificado no registo a que se refere o artigo 109.</w:t>
      </w:r>
      <w:r w:rsidRPr="00465964">
        <w:rPr>
          <w:vertAlign w:val="superscript"/>
          <w:lang w:val="pt-PT"/>
        </w:rPr>
        <w:t>o</w:t>
      </w:r>
      <w:r w:rsidRPr="00465964">
        <w:rPr>
          <w:lang w:val="pt-PT"/>
        </w:rPr>
        <w:t>.</w:t>
      </w:r>
    </w:p>
    <w:p w14:paraId="4B264FA9" w14:textId="77777777" w:rsidR="00465964" w:rsidRPr="00465964" w:rsidRDefault="00465964" w:rsidP="00465964">
      <w:pPr>
        <w:rPr>
          <w:i/>
          <w:iCs/>
          <w:lang w:val="pt-PT"/>
        </w:rPr>
      </w:pPr>
      <w:r w:rsidRPr="00465964">
        <w:rPr>
          <w:i/>
          <w:iCs/>
          <w:lang w:val="pt-PT"/>
        </w:rPr>
        <w:t>Artigo 26.</w:t>
      </w:r>
      <w:r w:rsidRPr="00465964">
        <w:rPr>
          <w:i/>
          <w:iCs/>
          <w:vertAlign w:val="superscript"/>
          <w:lang w:val="pt-PT"/>
        </w:rPr>
        <w:t>o</w:t>
      </w:r>
    </w:p>
    <w:p w14:paraId="17CAED33" w14:textId="1201EB1F" w:rsidR="00465964" w:rsidRPr="00465964" w:rsidRDefault="00465964" w:rsidP="00465964">
      <w:pPr>
        <w:rPr>
          <w:b/>
          <w:bCs/>
          <w:lang w:val="pt-PT"/>
        </w:rPr>
      </w:pPr>
      <w:r w:rsidRPr="00465964">
        <w:rPr>
          <w:b/>
          <w:bCs/>
          <w:lang w:val="pt-PT"/>
        </w:rPr>
        <w:t xml:space="preserve">Responsabilidade dos emitentes de </w:t>
      </w:r>
      <w:r>
        <w:rPr>
          <w:b/>
          <w:bCs/>
          <w:lang w:val="pt-PT"/>
        </w:rPr>
        <w:t>criptomoedas</w:t>
      </w:r>
      <w:r w:rsidRPr="00465964">
        <w:rPr>
          <w:b/>
          <w:bCs/>
          <w:lang w:val="pt-PT"/>
        </w:rPr>
        <w:t xml:space="preserve"> referenciadas a ativos pelas informações incluídas num livrete do criptoativo</w:t>
      </w:r>
    </w:p>
    <w:p w14:paraId="5EFA7918" w14:textId="77777777" w:rsidR="00465964" w:rsidRPr="00465964" w:rsidRDefault="00465964" w:rsidP="00465964">
      <w:pPr>
        <w:rPr>
          <w:lang w:val="pt-PT"/>
        </w:rPr>
      </w:pPr>
      <w:r w:rsidRPr="00465964">
        <w:rPr>
          <w:lang w:val="pt-PT"/>
        </w:rPr>
        <w:t>1.   Caso um emitente tenha infringido o artigo 19.</w:t>
      </w:r>
      <w:r w:rsidRPr="00465964">
        <w:rPr>
          <w:vertAlign w:val="superscript"/>
          <w:lang w:val="pt-PT"/>
        </w:rPr>
        <w:t>o</w:t>
      </w:r>
      <w:r w:rsidRPr="00465964">
        <w:rPr>
          <w:lang w:val="pt-PT"/>
        </w:rPr>
        <w:t xml:space="preserve"> através da prestação, no seu livrete do criptoativo ou num livrete do criptoativo modificado, de informação que não seja completa, ou não seja correta ou não seja clara ou que induza em erro, esse emitente e os membros do seu órgão de administração, direção ou supervisão são responsáveis perante um detentor dessa </w:t>
      </w:r>
      <w:proofErr w:type="spellStart"/>
      <w:r w:rsidRPr="00465964">
        <w:rPr>
          <w:lang w:val="pt-PT"/>
        </w:rPr>
        <w:t>criptoficha</w:t>
      </w:r>
      <w:proofErr w:type="spellEnd"/>
      <w:r w:rsidRPr="00465964">
        <w:rPr>
          <w:lang w:val="pt-PT"/>
        </w:rPr>
        <w:t xml:space="preserve"> referenciada a ativos por quaisquer perdas sofridas devido a essa infração.</w:t>
      </w:r>
    </w:p>
    <w:p w14:paraId="4A047711" w14:textId="77777777" w:rsidR="00465964" w:rsidRPr="00465964" w:rsidRDefault="00465964" w:rsidP="00465964">
      <w:pPr>
        <w:rPr>
          <w:lang w:val="pt-PT"/>
        </w:rPr>
      </w:pPr>
      <w:r w:rsidRPr="00465964">
        <w:rPr>
          <w:lang w:val="pt-PT"/>
        </w:rPr>
        <w:t xml:space="preserve">2.   Toda e qualquer exclusão ou limitação contratual da responsabilidade civil a que se refere o </w:t>
      </w:r>
      <w:proofErr w:type="spellStart"/>
      <w:r w:rsidRPr="00465964">
        <w:rPr>
          <w:lang w:val="pt-PT"/>
        </w:rPr>
        <w:t>n.</w:t>
      </w:r>
      <w:r w:rsidRPr="00465964">
        <w:rPr>
          <w:vertAlign w:val="superscript"/>
          <w:lang w:val="pt-PT"/>
        </w:rPr>
        <w:t>o</w:t>
      </w:r>
      <w:proofErr w:type="spellEnd"/>
      <w:r w:rsidRPr="00465964">
        <w:rPr>
          <w:lang w:val="pt-PT"/>
        </w:rPr>
        <w:t> 1 não produz efeitos jurídicos.</w:t>
      </w:r>
    </w:p>
    <w:p w14:paraId="2858AFDA" w14:textId="77777777" w:rsidR="00465964" w:rsidRPr="00465964" w:rsidRDefault="00465964" w:rsidP="00465964">
      <w:pPr>
        <w:rPr>
          <w:lang w:val="pt-PT"/>
        </w:rPr>
      </w:pPr>
      <w:r w:rsidRPr="00465964">
        <w:rPr>
          <w:lang w:val="pt-PT"/>
        </w:rPr>
        <w:t xml:space="preserve">3.   Recai sobre o detentor da </w:t>
      </w:r>
      <w:proofErr w:type="spellStart"/>
      <w:r w:rsidRPr="00465964">
        <w:rPr>
          <w:lang w:val="pt-PT"/>
        </w:rPr>
        <w:t>criptoficha</w:t>
      </w:r>
      <w:proofErr w:type="spellEnd"/>
      <w:r w:rsidRPr="00465964">
        <w:rPr>
          <w:lang w:val="pt-PT"/>
        </w:rPr>
        <w:t xml:space="preserve"> referenciada a ativos a responsabilidade de apresentar provas que indiquem que o emitente dessa </w:t>
      </w:r>
      <w:proofErr w:type="spellStart"/>
      <w:r w:rsidRPr="00465964">
        <w:rPr>
          <w:lang w:val="pt-PT"/>
        </w:rPr>
        <w:t>criptoficha</w:t>
      </w:r>
      <w:proofErr w:type="spellEnd"/>
      <w:r w:rsidRPr="00465964">
        <w:rPr>
          <w:lang w:val="pt-PT"/>
        </w:rPr>
        <w:t xml:space="preserve"> referenciada a ativos infringiu o artigo 19.</w:t>
      </w:r>
      <w:r w:rsidRPr="00465964">
        <w:rPr>
          <w:vertAlign w:val="superscript"/>
          <w:lang w:val="pt-PT"/>
        </w:rPr>
        <w:t>o</w:t>
      </w:r>
      <w:r w:rsidRPr="00465964">
        <w:rPr>
          <w:lang w:val="pt-PT"/>
        </w:rPr>
        <w:t xml:space="preserve"> ao prestar, no seu livrete do criptoativo ou num livrete do criptoativo modificado, informação que não era completa, ou não era correta, ou não era clara ou que induzia em erro e que o recurso a essa informação teve impacto na decisão do detentor de comprar, vender ou trocar a </w:t>
      </w:r>
      <w:proofErr w:type="spellStart"/>
      <w:r w:rsidRPr="00465964">
        <w:rPr>
          <w:lang w:val="pt-PT"/>
        </w:rPr>
        <w:t>criptoficha</w:t>
      </w:r>
      <w:proofErr w:type="spellEnd"/>
      <w:r w:rsidRPr="00465964">
        <w:rPr>
          <w:lang w:val="pt-PT"/>
        </w:rPr>
        <w:t xml:space="preserve"> em causa.</w:t>
      </w:r>
    </w:p>
    <w:p w14:paraId="6D5F0E84" w14:textId="77777777" w:rsidR="00465964" w:rsidRPr="00465964" w:rsidRDefault="00465964" w:rsidP="00465964">
      <w:pPr>
        <w:rPr>
          <w:lang w:val="pt-PT"/>
        </w:rPr>
      </w:pPr>
      <w:r w:rsidRPr="00465964">
        <w:rPr>
          <w:lang w:val="pt-PT"/>
        </w:rPr>
        <w:t>4.   O emitente e os membros do seu órgão administrativo, direção ou supervisão não são responsáveis pelas perdas sofridos em resultado da confiança depositada nas informações facultadas num resumo nos termos do artigo 19.</w:t>
      </w:r>
      <w:r w:rsidRPr="00465964">
        <w:rPr>
          <w:vertAlign w:val="superscript"/>
          <w:lang w:val="pt-PT"/>
        </w:rPr>
        <w:t>o</w:t>
      </w:r>
      <w:r w:rsidRPr="00465964">
        <w:rPr>
          <w:lang w:val="pt-PT"/>
        </w:rPr>
        <w:t>, nomeadamente em traduções dessas informações, salvo se o resumo:</w:t>
      </w:r>
    </w:p>
    <w:tbl>
      <w:tblPr>
        <w:tblW w:w="5000" w:type="pct"/>
        <w:tblCellMar>
          <w:left w:w="0" w:type="dxa"/>
          <w:right w:w="0" w:type="dxa"/>
        </w:tblCellMar>
        <w:tblLook w:val="04A0" w:firstRow="1" w:lastRow="0" w:firstColumn="1" w:lastColumn="0" w:noHBand="0" w:noVBand="1"/>
      </w:tblPr>
      <w:tblGrid>
        <w:gridCol w:w="182"/>
        <w:gridCol w:w="8844"/>
      </w:tblGrid>
      <w:tr w:rsidR="00465964" w:rsidRPr="00465964" w14:paraId="5C61D1F8" w14:textId="77777777" w:rsidTr="00465964">
        <w:tc>
          <w:tcPr>
            <w:tcW w:w="0" w:type="auto"/>
            <w:shd w:val="clear" w:color="auto" w:fill="auto"/>
            <w:hideMark/>
          </w:tcPr>
          <w:p w14:paraId="72BCD35D" w14:textId="77777777" w:rsidR="00465964" w:rsidRPr="00465964" w:rsidRDefault="00465964" w:rsidP="00465964">
            <w:r w:rsidRPr="00465964">
              <w:t>a)</w:t>
            </w:r>
          </w:p>
        </w:tc>
        <w:tc>
          <w:tcPr>
            <w:tcW w:w="0" w:type="auto"/>
            <w:shd w:val="clear" w:color="auto" w:fill="auto"/>
            <w:hideMark/>
          </w:tcPr>
          <w:p w14:paraId="510588E6" w14:textId="77777777" w:rsidR="00465964" w:rsidRPr="00465964" w:rsidRDefault="00465964" w:rsidP="00465964">
            <w:pPr>
              <w:rPr>
                <w:lang w:val="pt-PT"/>
              </w:rPr>
            </w:pPr>
            <w:r w:rsidRPr="00465964">
              <w:rPr>
                <w:lang w:val="pt-PT"/>
              </w:rPr>
              <w:t>Quando lido em conjunto com as outras partes do livrete do criptoativo, induzir em erro, for inexato ou incoerente; ou</w:t>
            </w:r>
          </w:p>
        </w:tc>
      </w:tr>
    </w:tbl>
    <w:p w14:paraId="2FC0FEF2"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8"/>
        <w:gridCol w:w="8838"/>
      </w:tblGrid>
      <w:tr w:rsidR="00465964" w:rsidRPr="00465964" w14:paraId="32E83E30" w14:textId="77777777" w:rsidTr="00465964">
        <w:tc>
          <w:tcPr>
            <w:tcW w:w="0" w:type="auto"/>
            <w:shd w:val="clear" w:color="auto" w:fill="auto"/>
            <w:hideMark/>
          </w:tcPr>
          <w:p w14:paraId="1A015A51" w14:textId="77777777" w:rsidR="00465964" w:rsidRPr="00465964" w:rsidRDefault="00465964" w:rsidP="00465964">
            <w:r w:rsidRPr="00465964">
              <w:t>b)</w:t>
            </w:r>
          </w:p>
        </w:tc>
        <w:tc>
          <w:tcPr>
            <w:tcW w:w="0" w:type="auto"/>
            <w:shd w:val="clear" w:color="auto" w:fill="auto"/>
            <w:hideMark/>
          </w:tcPr>
          <w:p w14:paraId="40F28515" w14:textId="77777777" w:rsidR="00465964" w:rsidRPr="00465964" w:rsidRDefault="00465964" w:rsidP="00465964">
            <w:pPr>
              <w:rPr>
                <w:lang w:val="pt-PT"/>
              </w:rPr>
            </w:pPr>
            <w:r w:rsidRPr="00465964">
              <w:rPr>
                <w:lang w:val="pt-PT"/>
              </w:rPr>
              <w:t xml:space="preserve">Quando lido em conjunto com as outras partes do livrete do criptoativo, não prestar a informação fundamental para ajudar os potenciais detentores a decidirem se devem comprar a </w:t>
            </w:r>
            <w:proofErr w:type="spellStart"/>
            <w:r w:rsidRPr="00465964">
              <w:rPr>
                <w:lang w:val="pt-PT"/>
              </w:rPr>
              <w:t>criptoficha</w:t>
            </w:r>
            <w:proofErr w:type="spellEnd"/>
            <w:r w:rsidRPr="00465964">
              <w:rPr>
                <w:lang w:val="pt-PT"/>
              </w:rPr>
              <w:t xml:space="preserve"> referenciada a ativos.</w:t>
            </w:r>
          </w:p>
        </w:tc>
      </w:tr>
    </w:tbl>
    <w:p w14:paraId="12A67CD3" w14:textId="77777777" w:rsidR="00465964" w:rsidRPr="00465964" w:rsidRDefault="00465964" w:rsidP="00465964">
      <w:pPr>
        <w:rPr>
          <w:lang w:val="pt-PT"/>
        </w:rPr>
      </w:pPr>
      <w:r w:rsidRPr="00465964">
        <w:rPr>
          <w:lang w:val="pt-PT"/>
        </w:rPr>
        <w:t>5.   O presente artigo não prejudica qualquer outra forma de responsabilidade civil prevista no direito nacional.</w:t>
      </w:r>
    </w:p>
    <w:p w14:paraId="180F65C6" w14:textId="77777777" w:rsidR="00465964" w:rsidRPr="00465964" w:rsidRDefault="00465964" w:rsidP="00465964">
      <w:pPr>
        <w:rPr>
          <w:b/>
          <w:bCs/>
          <w:lang w:val="pt-PT"/>
        </w:rPr>
      </w:pPr>
      <w:r w:rsidRPr="00465964">
        <w:rPr>
          <w:b/>
          <w:bCs/>
          <w:i/>
          <w:iCs/>
          <w:lang w:val="pt-PT"/>
        </w:rPr>
        <w:t>CAPÍTULO 2</w:t>
      </w:r>
    </w:p>
    <w:p w14:paraId="21C01C79" w14:textId="66921ED0" w:rsidR="00465964" w:rsidRPr="00465964" w:rsidRDefault="00465964" w:rsidP="00465964">
      <w:pPr>
        <w:rPr>
          <w:b/>
          <w:bCs/>
          <w:lang w:val="pt-PT"/>
        </w:rPr>
      </w:pPr>
      <w:r w:rsidRPr="00465964">
        <w:rPr>
          <w:b/>
          <w:bCs/>
          <w:i/>
          <w:iCs/>
          <w:lang w:val="pt-PT"/>
        </w:rPr>
        <w:t xml:space="preserve">Obrigações dos emitentes de </w:t>
      </w:r>
      <w:r>
        <w:rPr>
          <w:b/>
          <w:bCs/>
          <w:i/>
          <w:iCs/>
          <w:lang w:val="pt-PT"/>
        </w:rPr>
        <w:t>criptomoedas</w:t>
      </w:r>
      <w:r w:rsidRPr="00465964">
        <w:rPr>
          <w:b/>
          <w:bCs/>
          <w:i/>
          <w:iCs/>
          <w:lang w:val="pt-PT"/>
        </w:rPr>
        <w:t xml:space="preserve"> referenciadas a ativos</w:t>
      </w:r>
    </w:p>
    <w:p w14:paraId="621102A1" w14:textId="77777777" w:rsidR="00465964" w:rsidRPr="00465964" w:rsidRDefault="00465964" w:rsidP="00465964">
      <w:pPr>
        <w:rPr>
          <w:i/>
          <w:iCs/>
          <w:lang w:val="pt-PT"/>
        </w:rPr>
      </w:pPr>
      <w:r w:rsidRPr="00465964">
        <w:rPr>
          <w:i/>
          <w:iCs/>
          <w:lang w:val="pt-PT"/>
        </w:rPr>
        <w:lastRenderedPageBreak/>
        <w:t>Artigo 27.</w:t>
      </w:r>
      <w:r w:rsidRPr="00465964">
        <w:rPr>
          <w:i/>
          <w:iCs/>
          <w:vertAlign w:val="superscript"/>
          <w:lang w:val="pt-PT"/>
        </w:rPr>
        <w:t>o</w:t>
      </w:r>
    </w:p>
    <w:p w14:paraId="419ECEED" w14:textId="50F37AD8" w:rsidR="00465964" w:rsidRPr="00465964" w:rsidRDefault="00465964" w:rsidP="00465964">
      <w:pPr>
        <w:rPr>
          <w:b/>
          <w:bCs/>
          <w:lang w:val="pt-PT"/>
        </w:rPr>
      </w:pPr>
      <w:r w:rsidRPr="00465964">
        <w:rPr>
          <w:b/>
          <w:bCs/>
          <w:lang w:val="pt-PT"/>
        </w:rPr>
        <w:t xml:space="preserve">Obrigação de atuar com honestidade, lealdade e profissionalismo no melhor interesse dos detentores de </w:t>
      </w:r>
      <w:r>
        <w:rPr>
          <w:b/>
          <w:bCs/>
          <w:lang w:val="pt-PT"/>
        </w:rPr>
        <w:t>criptomoedas</w:t>
      </w:r>
      <w:r w:rsidRPr="00465964">
        <w:rPr>
          <w:b/>
          <w:bCs/>
          <w:lang w:val="pt-PT"/>
        </w:rPr>
        <w:t xml:space="preserve"> referenciadas a ativos</w:t>
      </w:r>
    </w:p>
    <w:p w14:paraId="04753E48" w14:textId="71C6CC6A" w:rsidR="00465964" w:rsidRPr="00465964" w:rsidRDefault="00465964" w:rsidP="00465964">
      <w:pPr>
        <w:rPr>
          <w:lang w:val="pt-PT"/>
        </w:rPr>
      </w:pPr>
      <w:r w:rsidRPr="00465964">
        <w:rPr>
          <w:lang w:val="pt-PT"/>
        </w:rPr>
        <w:t xml:space="preserve">1.   Os emitentes de </w:t>
      </w:r>
      <w:r>
        <w:rPr>
          <w:lang w:val="pt-PT"/>
        </w:rPr>
        <w:t>criptomoedas</w:t>
      </w:r>
      <w:r w:rsidRPr="00465964">
        <w:rPr>
          <w:lang w:val="pt-PT"/>
        </w:rPr>
        <w:t xml:space="preserve"> referenciadas a ativos devem atuar com honestidade, lealdade e profissionalismo e comunicar com os detentores e potenciais detentores de </w:t>
      </w:r>
      <w:r>
        <w:rPr>
          <w:lang w:val="pt-PT"/>
        </w:rPr>
        <w:t>criptomoedas</w:t>
      </w:r>
      <w:r w:rsidRPr="00465964">
        <w:rPr>
          <w:lang w:val="pt-PT"/>
        </w:rPr>
        <w:t xml:space="preserve"> referenciadas a ativos de forma leal, clara e que não induza em erro.</w:t>
      </w:r>
    </w:p>
    <w:p w14:paraId="20E2FE04" w14:textId="2776C0A6" w:rsidR="00465964" w:rsidRPr="00465964" w:rsidRDefault="00465964" w:rsidP="00465964">
      <w:pPr>
        <w:rPr>
          <w:lang w:val="pt-PT"/>
        </w:rPr>
      </w:pPr>
      <w:r w:rsidRPr="00465964">
        <w:rPr>
          <w:lang w:val="pt-PT"/>
        </w:rPr>
        <w:t xml:space="preserve">2.   Os emitentes de </w:t>
      </w:r>
      <w:r>
        <w:rPr>
          <w:lang w:val="pt-PT"/>
        </w:rPr>
        <w:t>criptomoedas</w:t>
      </w:r>
      <w:r w:rsidRPr="00465964">
        <w:rPr>
          <w:lang w:val="pt-PT"/>
        </w:rPr>
        <w:t xml:space="preserve"> referenciadas a ativos devem atuar no melhor interesse dos detentores dessas </w:t>
      </w:r>
      <w:r>
        <w:rPr>
          <w:lang w:val="pt-PT"/>
        </w:rPr>
        <w:t>criptomoedas</w:t>
      </w:r>
      <w:r w:rsidRPr="00465964">
        <w:rPr>
          <w:lang w:val="pt-PT"/>
        </w:rPr>
        <w:t xml:space="preserve"> e tratá-los de forma equitativa, exceto se qualquer tratamento preferencial for divulgado no livrete do criptoativo e, se for caso disso, nas comunicações comerciais.</w:t>
      </w:r>
    </w:p>
    <w:p w14:paraId="3F379939" w14:textId="77777777" w:rsidR="00465964" w:rsidRPr="00465964" w:rsidRDefault="00465964" w:rsidP="00465964">
      <w:pPr>
        <w:rPr>
          <w:i/>
          <w:iCs/>
          <w:lang w:val="pt-PT"/>
        </w:rPr>
      </w:pPr>
      <w:r w:rsidRPr="00465964">
        <w:rPr>
          <w:i/>
          <w:iCs/>
          <w:lang w:val="pt-PT"/>
        </w:rPr>
        <w:t>Artigo 28.</w:t>
      </w:r>
      <w:r w:rsidRPr="00465964">
        <w:rPr>
          <w:i/>
          <w:iCs/>
          <w:vertAlign w:val="superscript"/>
          <w:lang w:val="pt-PT"/>
        </w:rPr>
        <w:t>o</w:t>
      </w:r>
    </w:p>
    <w:p w14:paraId="52FDFB45" w14:textId="77777777" w:rsidR="00465964" w:rsidRPr="00465964" w:rsidRDefault="00465964" w:rsidP="00465964">
      <w:pPr>
        <w:rPr>
          <w:b/>
          <w:bCs/>
          <w:lang w:val="pt-PT"/>
        </w:rPr>
      </w:pPr>
      <w:r w:rsidRPr="00465964">
        <w:rPr>
          <w:b/>
          <w:bCs/>
          <w:lang w:val="pt-PT"/>
        </w:rPr>
        <w:t>Publicação do livrete do criptoativo</w:t>
      </w:r>
    </w:p>
    <w:p w14:paraId="749D5E8E" w14:textId="77777777" w:rsidR="00465964" w:rsidRPr="00465964" w:rsidRDefault="00465964" w:rsidP="00465964">
      <w:pPr>
        <w:rPr>
          <w:lang w:val="pt-PT"/>
        </w:rPr>
      </w:pPr>
      <w:r w:rsidRPr="00465964">
        <w:rPr>
          <w:lang w:val="pt-PT"/>
        </w:rPr>
        <w:t xml:space="preserve">Um emitente de uma </w:t>
      </w:r>
      <w:proofErr w:type="spellStart"/>
      <w:r w:rsidRPr="00465964">
        <w:rPr>
          <w:lang w:val="pt-PT"/>
        </w:rPr>
        <w:t>criptoficha</w:t>
      </w:r>
      <w:proofErr w:type="spellEnd"/>
      <w:r w:rsidRPr="00465964">
        <w:rPr>
          <w:lang w:val="pt-PT"/>
        </w:rPr>
        <w:t xml:space="preserve"> referenciada a ativos deve publicar no seu sítio Web o livrete do criptoativo aprovado a que se refere o artigo 17.</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1, o artigo 21.</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1, e, se for caso disso, o livrete do criptoativo modificado a que se refere o artigo 25.</w:t>
      </w:r>
      <w:r w:rsidRPr="00465964">
        <w:rPr>
          <w:vertAlign w:val="superscript"/>
          <w:lang w:val="pt-PT"/>
        </w:rPr>
        <w:t>o</w:t>
      </w:r>
      <w:r w:rsidRPr="00465964">
        <w:rPr>
          <w:lang w:val="pt-PT"/>
        </w:rPr>
        <w:t xml:space="preserve">. O livrete do criptoativo aprovado deve estar acessível ao público à data de início da oferta pública da </w:t>
      </w:r>
      <w:proofErr w:type="spellStart"/>
      <w:r w:rsidRPr="00465964">
        <w:rPr>
          <w:lang w:val="pt-PT"/>
        </w:rPr>
        <w:t>criptoficha</w:t>
      </w:r>
      <w:proofErr w:type="spellEnd"/>
      <w:r w:rsidRPr="00465964">
        <w:rPr>
          <w:lang w:val="pt-PT"/>
        </w:rPr>
        <w:t xml:space="preserve"> referenciada a ativos ou da admissão à negociação dessa </w:t>
      </w:r>
      <w:proofErr w:type="spellStart"/>
      <w:r w:rsidRPr="00465964">
        <w:rPr>
          <w:lang w:val="pt-PT"/>
        </w:rPr>
        <w:t>criptoficha</w:t>
      </w:r>
      <w:proofErr w:type="spellEnd"/>
      <w:r w:rsidRPr="00465964">
        <w:rPr>
          <w:lang w:val="pt-PT"/>
        </w:rPr>
        <w:t xml:space="preserve">. O livrete do criptoativo aprovado e, se for caso disso, o livrete do criptoativo modificado devem permanecer disponíveis no sítio Web do emitente enquanto a </w:t>
      </w:r>
      <w:proofErr w:type="spellStart"/>
      <w:r w:rsidRPr="00465964">
        <w:rPr>
          <w:lang w:val="pt-PT"/>
        </w:rPr>
        <w:t>criptoficha</w:t>
      </w:r>
      <w:proofErr w:type="spellEnd"/>
      <w:r w:rsidRPr="00465964">
        <w:rPr>
          <w:lang w:val="pt-PT"/>
        </w:rPr>
        <w:t xml:space="preserve"> referenciada a ativos for detida pelo público.</w:t>
      </w:r>
    </w:p>
    <w:p w14:paraId="54415B48" w14:textId="77777777" w:rsidR="00465964" w:rsidRPr="00465964" w:rsidRDefault="00465964" w:rsidP="00465964">
      <w:pPr>
        <w:rPr>
          <w:i/>
          <w:iCs/>
          <w:lang w:val="pt-PT"/>
        </w:rPr>
      </w:pPr>
      <w:r w:rsidRPr="00465964">
        <w:rPr>
          <w:i/>
          <w:iCs/>
          <w:lang w:val="pt-PT"/>
        </w:rPr>
        <w:t>Artigo 29.</w:t>
      </w:r>
      <w:r w:rsidRPr="00465964">
        <w:rPr>
          <w:i/>
          <w:iCs/>
          <w:vertAlign w:val="superscript"/>
          <w:lang w:val="pt-PT"/>
        </w:rPr>
        <w:t>o</w:t>
      </w:r>
    </w:p>
    <w:p w14:paraId="6A57AFFF" w14:textId="77777777" w:rsidR="00465964" w:rsidRPr="00465964" w:rsidRDefault="00465964" w:rsidP="00465964">
      <w:pPr>
        <w:rPr>
          <w:b/>
          <w:bCs/>
          <w:lang w:val="pt-PT"/>
        </w:rPr>
      </w:pPr>
      <w:r w:rsidRPr="00465964">
        <w:rPr>
          <w:b/>
          <w:bCs/>
          <w:lang w:val="pt-PT"/>
        </w:rPr>
        <w:t>Comunicações comerciais</w:t>
      </w:r>
    </w:p>
    <w:p w14:paraId="4107B77B" w14:textId="77777777" w:rsidR="00465964" w:rsidRPr="00465964" w:rsidRDefault="00465964" w:rsidP="00465964">
      <w:pPr>
        <w:rPr>
          <w:lang w:val="pt-PT"/>
        </w:rPr>
      </w:pPr>
      <w:r w:rsidRPr="00465964">
        <w:rPr>
          <w:lang w:val="pt-PT"/>
        </w:rPr>
        <w:t xml:space="preserve">1.   Todas as comunicações comerciais relativas a uma oferta pública de uma </w:t>
      </w:r>
      <w:proofErr w:type="spellStart"/>
      <w:r w:rsidRPr="00465964">
        <w:rPr>
          <w:lang w:val="pt-PT"/>
        </w:rPr>
        <w:t>criptoficha</w:t>
      </w:r>
      <w:proofErr w:type="spellEnd"/>
      <w:r w:rsidRPr="00465964">
        <w:rPr>
          <w:lang w:val="pt-PT"/>
        </w:rPr>
        <w:t xml:space="preserve"> referenciada a ativos ou à admissão à negociação dessa </w:t>
      </w:r>
      <w:proofErr w:type="spellStart"/>
      <w:r w:rsidRPr="00465964">
        <w:rPr>
          <w:lang w:val="pt-PT"/>
        </w:rPr>
        <w:t>criptoficha</w:t>
      </w:r>
      <w:proofErr w:type="spellEnd"/>
      <w:r w:rsidRPr="00465964">
        <w:rPr>
          <w:lang w:val="pt-PT"/>
        </w:rPr>
        <w:t xml:space="preserve"> referenciada a ativos devem cumprir todos os seguintes requisitos:</w:t>
      </w:r>
    </w:p>
    <w:tbl>
      <w:tblPr>
        <w:tblW w:w="5000" w:type="pct"/>
        <w:tblCellMar>
          <w:left w:w="0" w:type="dxa"/>
          <w:right w:w="0" w:type="dxa"/>
        </w:tblCellMar>
        <w:tblLook w:val="04A0" w:firstRow="1" w:lastRow="0" w:firstColumn="1" w:lastColumn="0" w:noHBand="0" w:noVBand="1"/>
      </w:tblPr>
      <w:tblGrid>
        <w:gridCol w:w="244"/>
        <w:gridCol w:w="8782"/>
      </w:tblGrid>
      <w:tr w:rsidR="00465964" w:rsidRPr="00465964" w14:paraId="7930631E" w14:textId="77777777" w:rsidTr="00465964">
        <w:tc>
          <w:tcPr>
            <w:tcW w:w="0" w:type="auto"/>
            <w:shd w:val="clear" w:color="auto" w:fill="auto"/>
            <w:hideMark/>
          </w:tcPr>
          <w:p w14:paraId="6016CE76" w14:textId="77777777" w:rsidR="00465964" w:rsidRPr="00465964" w:rsidRDefault="00465964" w:rsidP="00465964">
            <w:r w:rsidRPr="00465964">
              <w:t>a)</w:t>
            </w:r>
          </w:p>
        </w:tc>
        <w:tc>
          <w:tcPr>
            <w:tcW w:w="0" w:type="auto"/>
            <w:shd w:val="clear" w:color="auto" w:fill="auto"/>
            <w:hideMark/>
          </w:tcPr>
          <w:p w14:paraId="65FB6A78" w14:textId="77777777" w:rsidR="00465964" w:rsidRPr="00465964" w:rsidRDefault="00465964" w:rsidP="00465964">
            <w:pPr>
              <w:rPr>
                <w:lang w:val="pt-PT"/>
              </w:rPr>
            </w:pPr>
            <w:r w:rsidRPr="00465964">
              <w:rPr>
                <w:lang w:val="pt-PT"/>
              </w:rPr>
              <w:t>As comunicações comerciais são claramente identificáveis como tal;</w:t>
            </w:r>
          </w:p>
        </w:tc>
      </w:tr>
    </w:tbl>
    <w:p w14:paraId="50577AD2"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8"/>
        <w:gridCol w:w="8838"/>
      </w:tblGrid>
      <w:tr w:rsidR="00465964" w:rsidRPr="00465964" w14:paraId="77E96AA9" w14:textId="77777777" w:rsidTr="00465964">
        <w:tc>
          <w:tcPr>
            <w:tcW w:w="0" w:type="auto"/>
            <w:shd w:val="clear" w:color="auto" w:fill="auto"/>
            <w:hideMark/>
          </w:tcPr>
          <w:p w14:paraId="470FAD1F" w14:textId="77777777" w:rsidR="00465964" w:rsidRPr="00465964" w:rsidRDefault="00465964" w:rsidP="00465964">
            <w:r w:rsidRPr="00465964">
              <w:t>b)</w:t>
            </w:r>
          </w:p>
        </w:tc>
        <w:tc>
          <w:tcPr>
            <w:tcW w:w="0" w:type="auto"/>
            <w:shd w:val="clear" w:color="auto" w:fill="auto"/>
            <w:hideMark/>
          </w:tcPr>
          <w:p w14:paraId="3F714824" w14:textId="77777777" w:rsidR="00465964" w:rsidRPr="00465964" w:rsidRDefault="00465964" w:rsidP="00465964">
            <w:pPr>
              <w:rPr>
                <w:lang w:val="pt-PT"/>
              </w:rPr>
            </w:pPr>
            <w:r w:rsidRPr="00465964">
              <w:rPr>
                <w:lang w:val="pt-PT"/>
              </w:rPr>
              <w:t>As informações incluídas nas comunicações comerciais são corretas, claras e não induzem em erro;</w:t>
            </w:r>
          </w:p>
        </w:tc>
      </w:tr>
    </w:tbl>
    <w:p w14:paraId="50ADD093"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0"/>
        <w:gridCol w:w="8846"/>
      </w:tblGrid>
      <w:tr w:rsidR="00465964" w:rsidRPr="00465964" w14:paraId="1493F202" w14:textId="77777777" w:rsidTr="00465964">
        <w:tc>
          <w:tcPr>
            <w:tcW w:w="0" w:type="auto"/>
            <w:shd w:val="clear" w:color="auto" w:fill="auto"/>
            <w:hideMark/>
          </w:tcPr>
          <w:p w14:paraId="372788EB" w14:textId="77777777" w:rsidR="00465964" w:rsidRPr="00465964" w:rsidRDefault="00465964" w:rsidP="00465964">
            <w:r w:rsidRPr="00465964">
              <w:t>c)</w:t>
            </w:r>
          </w:p>
        </w:tc>
        <w:tc>
          <w:tcPr>
            <w:tcW w:w="0" w:type="auto"/>
            <w:shd w:val="clear" w:color="auto" w:fill="auto"/>
            <w:hideMark/>
          </w:tcPr>
          <w:p w14:paraId="02BC8055" w14:textId="77777777" w:rsidR="00465964" w:rsidRPr="00465964" w:rsidRDefault="00465964" w:rsidP="00465964">
            <w:pPr>
              <w:rPr>
                <w:lang w:val="pt-PT"/>
              </w:rPr>
            </w:pPr>
            <w:r w:rsidRPr="00465964">
              <w:rPr>
                <w:lang w:val="pt-PT"/>
              </w:rPr>
              <w:t>As informações incluídas nas comunicações comerciais são coerentes com as informações incluídas no livrete do criptoativo;</w:t>
            </w:r>
          </w:p>
        </w:tc>
      </w:tr>
    </w:tbl>
    <w:p w14:paraId="0AB7E1E4"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8"/>
        <w:gridCol w:w="8838"/>
      </w:tblGrid>
      <w:tr w:rsidR="00465964" w:rsidRPr="00465964" w14:paraId="03F3A48C" w14:textId="77777777" w:rsidTr="00465964">
        <w:tc>
          <w:tcPr>
            <w:tcW w:w="0" w:type="auto"/>
            <w:shd w:val="clear" w:color="auto" w:fill="auto"/>
            <w:hideMark/>
          </w:tcPr>
          <w:p w14:paraId="4B61A3EC" w14:textId="77777777" w:rsidR="00465964" w:rsidRPr="00465964" w:rsidRDefault="00465964" w:rsidP="00465964">
            <w:r w:rsidRPr="00465964">
              <w:t>d)</w:t>
            </w:r>
          </w:p>
        </w:tc>
        <w:tc>
          <w:tcPr>
            <w:tcW w:w="0" w:type="auto"/>
            <w:shd w:val="clear" w:color="auto" w:fill="auto"/>
            <w:hideMark/>
          </w:tcPr>
          <w:p w14:paraId="7BDA6222" w14:textId="77777777" w:rsidR="00465964" w:rsidRPr="00465964" w:rsidRDefault="00465964" w:rsidP="00465964">
            <w:pPr>
              <w:rPr>
                <w:lang w:val="pt-PT"/>
              </w:rPr>
            </w:pPr>
            <w:r w:rsidRPr="00465964">
              <w:rPr>
                <w:lang w:val="pt-PT"/>
              </w:rPr>
              <w:t xml:space="preserve">As comunicações comerciais mencionam claramente que foi publicado um livrete do criptoativo e indicam claramente o endereço do sítio Web do emitente da </w:t>
            </w:r>
            <w:proofErr w:type="spellStart"/>
            <w:r w:rsidRPr="00465964">
              <w:rPr>
                <w:lang w:val="pt-PT"/>
              </w:rPr>
              <w:t>criptoficha</w:t>
            </w:r>
            <w:proofErr w:type="spellEnd"/>
            <w:r w:rsidRPr="00465964">
              <w:rPr>
                <w:lang w:val="pt-PT"/>
              </w:rPr>
              <w:t xml:space="preserve"> referenciada a ativos, bem como um número de telefone e um endereço de correio eletrónico para contactar o emitente.</w:t>
            </w:r>
          </w:p>
        </w:tc>
      </w:tr>
    </w:tbl>
    <w:p w14:paraId="34FC3B71" w14:textId="77777777" w:rsidR="00465964" w:rsidRPr="00465964" w:rsidRDefault="00465964" w:rsidP="00465964">
      <w:pPr>
        <w:rPr>
          <w:lang w:val="pt-PT"/>
        </w:rPr>
      </w:pPr>
      <w:r w:rsidRPr="00465964">
        <w:rPr>
          <w:lang w:val="pt-PT"/>
        </w:rPr>
        <w:t xml:space="preserve">2.   As comunicações comerciais devem incluir uma declaração clara e inequívoca no sentido de que todos os detentores da </w:t>
      </w:r>
      <w:proofErr w:type="spellStart"/>
      <w:r w:rsidRPr="00465964">
        <w:rPr>
          <w:lang w:val="pt-PT"/>
        </w:rPr>
        <w:t>criptoficha</w:t>
      </w:r>
      <w:proofErr w:type="spellEnd"/>
      <w:r w:rsidRPr="00465964">
        <w:rPr>
          <w:lang w:val="pt-PT"/>
        </w:rPr>
        <w:t xml:space="preserve"> referenciada a ativos dispõem, a qualquer momento, de um direito de reembolso sobre o emitente.</w:t>
      </w:r>
    </w:p>
    <w:p w14:paraId="4B813AD0" w14:textId="77777777" w:rsidR="00465964" w:rsidRPr="00465964" w:rsidRDefault="00465964" w:rsidP="00465964">
      <w:pPr>
        <w:rPr>
          <w:lang w:val="pt-PT"/>
        </w:rPr>
      </w:pPr>
      <w:r w:rsidRPr="00465964">
        <w:rPr>
          <w:lang w:val="pt-PT"/>
        </w:rPr>
        <w:t>3.   As comunicações comerciais e quaisquer versões modificadas dessas comunicações comerciais devem ser publicadas no sítio Web do emitente.</w:t>
      </w:r>
    </w:p>
    <w:p w14:paraId="37BA1275" w14:textId="77777777" w:rsidR="00465964" w:rsidRPr="00465964" w:rsidRDefault="00465964" w:rsidP="00465964">
      <w:pPr>
        <w:rPr>
          <w:lang w:val="pt-PT"/>
        </w:rPr>
      </w:pPr>
      <w:r w:rsidRPr="00465964">
        <w:rPr>
          <w:lang w:val="pt-PT"/>
        </w:rPr>
        <w:lastRenderedPageBreak/>
        <w:t>4.   As autoridades competentes não podem exigir uma aprovação prévia das comunicações comerciais antes da sua publicação.</w:t>
      </w:r>
    </w:p>
    <w:p w14:paraId="7862E49F" w14:textId="77777777" w:rsidR="00465964" w:rsidRPr="00465964" w:rsidRDefault="00465964" w:rsidP="00465964">
      <w:pPr>
        <w:rPr>
          <w:lang w:val="pt-PT"/>
        </w:rPr>
      </w:pPr>
      <w:r w:rsidRPr="00465964">
        <w:rPr>
          <w:lang w:val="pt-PT"/>
        </w:rPr>
        <w:t>5.   As comunicações comerciais são, a pedido, notificadas às autoridades competentes.</w:t>
      </w:r>
    </w:p>
    <w:p w14:paraId="04E9AAF7" w14:textId="77777777" w:rsidR="00465964" w:rsidRPr="00465964" w:rsidRDefault="00465964" w:rsidP="00465964">
      <w:pPr>
        <w:rPr>
          <w:lang w:val="pt-PT"/>
        </w:rPr>
      </w:pPr>
      <w:r w:rsidRPr="00465964">
        <w:rPr>
          <w:lang w:val="pt-PT"/>
        </w:rPr>
        <w:t xml:space="preserve">6.   Nenhuma comunicação comercial pode ser divulgada antes da publicação do livrete do criptoativo. Esta restrição não afeta a capacidade do emitente da </w:t>
      </w:r>
      <w:proofErr w:type="spellStart"/>
      <w:r w:rsidRPr="00465964">
        <w:rPr>
          <w:lang w:val="pt-PT"/>
        </w:rPr>
        <w:t>criptoficha</w:t>
      </w:r>
      <w:proofErr w:type="spellEnd"/>
      <w:r w:rsidRPr="00465964">
        <w:rPr>
          <w:lang w:val="pt-PT"/>
        </w:rPr>
        <w:t xml:space="preserve"> referenciada a ativos para realizar sondagens de mercado.</w:t>
      </w:r>
    </w:p>
    <w:p w14:paraId="13507B4F" w14:textId="77777777" w:rsidR="00465964" w:rsidRPr="00465964" w:rsidRDefault="00465964" w:rsidP="00465964">
      <w:pPr>
        <w:rPr>
          <w:i/>
          <w:iCs/>
          <w:lang w:val="pt-PT"/>
        </w:rPr>
      </w:pPr>
      <w:r w:rsidRPr="00465964">
        <w:rPr>
          <w:i/>
          <w:iCs/>
          <w:lang w:val="pt-PT"/>
        </w:rPr>
        <w:t>Artigo 30.</w:t>
      </w:r>
      <w:r w:rsidRPr="00465964">
        <w:rPr>
          <w:i/>
          <w:iCs/>
          <w:vertAlign w:val="superscript"/>
          <w:lang w:val="pt-PT"/>
        </w:rPr>
        <w:t>o</w:t>
      </w:r>
    </w:p>
    <w:p w14:paraId="1197344F" w14:textId="7931B12E" w:rsidR="00465964" w:rsidRPr="00465964" w:rsidRDefault="00465964" w:rsidP="00465964">
      <w:pPr>
        <w:rPr>
          <w:b/>
          <w:bCs/>
          <w:lang w:val="pt-PT"/>
        </w:rPr>
      </w:pPr>
      <w:r w:rsidRPr="00465964">
        <w:rPr>
          <w:b/>
          <w:bCs/>
          <w:lang w:val="pt-PT"/>
        </w:rPr>
        <w:t xml:space="preserve">Informação periódica aos detentores de </w:t>
      </w:r>
      <w:r>
        <w:rPr>
          <w:b/>
          <w:bCs/>
          <w:lang w:val="pt-PT"/>
        </w:rPr>
        <w:t>criptomoedas</w:t>
      </w:r>
      <w:r w:rsidRPr="00465964">
        <w:rPr>
          <w:b/>
          <w:bCs/>
          <w:lang w:val="pt-PT"/>
        </w:rPr>
        <w:t xml:space="preserve"> referenciadas a ativos</w:t>
      </w:r>
    </w:p>
    <w:p w14:paraId="70BE6D6C" w14:textId="1C9D87A7" w:rsidR="00465964" w:rsidRPr="00465964" w:rsidRDefault="00465964" w:rsidP="00465964">
      <w:pPr>
        <w:rPr>
          <w:lang w:val="pt-PT"/>
        </w:rPr>
      </w:pPr>
      <w:r w:rsidRPr="00465964">
        <w:rPr>
          <w:lang w:val="pt-PT"/>
        </w:rPr>
        <w:t xml:space="preserve">1.   Os emitentes de </w:t>
      </w:r>
      <w:r>
        <w:rPr>
          <w:lang w:val="pt-PT"/>
        </w:rPr>
        <w:t>criptomoedas</w:t>
      </w:r>
      <w:r w:rsidRPr="00465964">
        <w:rPr>
          <w:lang w:val="pt-PT"/>
        </w:rPr>
        <w:t xml:space="preserve"> referenciadas a ativos devem divulgar, de uma forma clara, exata e transparente, num lugar facilmente acessível ao público no seu sítio Web, o montante das </w:t>
      </w:r>
      <w:r>
        <w:rPr>
          <w:lang w:val="pt-PT"/>
        </w:rPr>
        <w:t>criptomoedas</w:t>
      </w:r>
      <w:r w:rsidRPr="00465964">
        <w:rPr>
          <w:lang w:val="pt-PT"/>
        </w:rPr>
        <w:t xml:space="preserve"> referenciadas a ativos em circulação e o valor e composição da reserva de ativos a que se refere o artigo 36.</w:t>
      </w:r>
      <w:r w:rsidRPr="00465964">
        <w:rPr>
          <w:vertAlign w:val="superscript"/>
          <w:lang w:val="pt-PT"/>
        </w:rPr>
        <w:t>o</w:t>
      </w:r>
      <w:r w:rsidRPr="00465964">
        <w:rPr>
          <w:lang w:val="pt-PT"/>
        </w:rPr>
        <w:t>. Essa informação deve ser atualizada pelo menos mensalmente.</w:t>
      </w:r>
    </w:p>
    <w:p w14:paraId="5478C750" w14:textId="0FBFA27A" w:rsidR="00465964" w:rsidRPr="00465964" w:rsidRDefault="00465964" w:rsidP="00465964">
      <w:pPr>
        <w:rPr>
          <w:lang w:val="pt-PT"/>
        </w:rPr>
      </w:pPr>
      <w:r w:rsidRPr="00465964">
        <w:rPr>
          <w:lang w:val="pt-PT"/>
        </w:rPr>
        <w:t xml:space="preserve">2.   Os emitentes de </w:t>
      </w:r>
      <w:r>
        <w:rPr>
          <w:lang w:val="pt-PT"/>
        </w:rPr>
        <w:t>criptomoedas</w:t>
      </w:r>
      <w:r w:rsidRPr="00465964">
        <w:rPr>
          <w:lang w:val="pt-PT"/>
        </w:rPr>
        <w:t xml:space="preserve"> referenciadas a ativos devem publicar num local facilmente acessível ao público no seu sítio Web, com a maior brevidade possível, um resumo sucinto, claro, exato e transparente do relatório de auditoria, bem com a versão integral e inalterada do relatório de auditoria, relativo à reserva de ativos a que se refere o artigo 36.</w:t>
      </w:r>
      <w:r w:rsidRPr="00465964">
        <w:rPr>
          <w:vertAlign w:val="superscript"/>
          <w:lang w:val="pt-PT"/>
        </w:rPr>
        <w:t>o</w:t>
      </w:r>
      <w:r w:rsidRPr="00465964">
        <w:rPr>
          <w:lang w:val="pt-PT"/>
        </w:rPr>
        <w:t>.</w:t>
      </w:r>
    </w:p>
    <w:p w14:paraId="3883244D" w14:textId="7E2829D6" w:rsidR="00465964" w:rsidRPr="00465964" w:rsidRDefault="00465964" w:rsidP="00465964">
      <w:pPr>
        <w:rPr>
          <w:lang w:val="pt-PT"/>
        </w:rPr>
      </w:pPr>
      <w:r w:rsidRPr="00465964">
        <w:rPr>
          <w:lang w:val="pt-PT"/>
        </w:rPr>
        <w:t>3.   Sem prejuízo do artigo 88.</w:t>
      </w:r>
      <w:r w:rsidRPr="00465964">
        <w:rPr>
          <w:vertAlign w:val="superscript"/>
          <w:lang w:val="pt-PT"/>
        </w:rPr>
        <w:t>o</w:t>
      </w:r>
      <w:r w:rsidRPr="00465964">
        <w:rPr>
          <w:lang w:val="pt-PT"/>
        </w:rPr>
        <w:t xml:space="preserve">, os emitentes de </w:t>
      </w:r>
      <w:r>
        <w:rPr>
          <w:lang w:val="pt-PT"/>
        </w:rPr>
        <w:t>criptomoedas</w:t>
      </w:r>
      <w:r w:rsidRPr="00465964">
        <w:rPr>
          <w:lang w:val="pt-PT"/>
        </w:rPr>
        <w:t xml:space="preserve"> referenciadas a ativos devem divulgar no seu sítio Web, com a maior brevidade possível e de forma clara, exata e transparente, num lugar facilmente acessível ao público, qualquer evento que tenha ou possa ter um efeito significativo sobre o valor das </w:t>
      </w:r>
      <w:r>
        <w:rPr>
          <w:lang w:val="pt-PT"/>
        </w:rPr>
        <w:t>criptomoedas</w:t>
      </w:r>
      <w:r w:rsidRPr="00465964">
        <w:rPr>
          <w:lang w:val="pt-PT"/>
        </w:rPr>
        <w:t xml:space="preserve"> referenciadas a ativos ou sobre a reserva de ativos a que se refere o artigo 36.</w:t>
      </w:r>
      <w:r w:rsidRPr="00465964">
        <w:rPr>
          <w:vertAlign w:val="superscript"/>
          <w:lang w:val="pt-PT"/>
        </w:rPr>
        <w:t>o</w:t>
      </w:r>
      <w:r w:rsidRPr="00465964">
        <w:rPr>
          <w:lang w:val="pt-PT"/>
        </w:rPr>
        <w:t>.</w:t>
      </w:r>
    </w:p>
    <w:p w14:paraId="1A146874" w14:textId="77777777" w:rsidR="00465964" w:rsidRPr="00465964" w:rsidRDefault="00465964" w:rsidP="00465964">
      <w:pPr>
        <w:rPr>
          <w:i/>
          <w:iCs/>
          <w:lang w:val="pt-PT"/>
        </w:rPr>
      </w:pPr>
      <w:r w:rsidRPr="00465964">
        <w:rPr>
          <w:i/>
          <w:iCs/>
          <w:lang w:val="pt-PT"/>
        </w:rPr>
        <w:t>Artigo 31.</w:t>
      </w:r>
      <w:r w:rsidRPr="00465964">
        <w:rPr>
          <w:i/>
          <w:iCs/>
          <w:vertAlign w:val="superscript"/>
          <w:lang w:val="pt-PT"/>
        </w:rPr>
        <w:t>o</w:t>
      </w:r>
    </w:p>
    <w:p w14:paraId="1BF7F2C0" w14:textId="77777777" w:rsidR="00465964" w:rsidRPr="00465964" w:rsidRDefault="00465964" w:rsidP="00465964">
      <w:pPr>
        <w:rPr>
          <w:b/>
          <w:bCs/>
          <w:lang w:val="pt-PT"/>
        </w:rPr>
      </w:pPr>
      <w:r w:rsidRPr="00465964">
        <w:rPr>
          <w:b/>
          <w:bCs/>
          <w:lang w:val="pt-PT"/>
        </w:rPr>
        <w:t>Procedimentos de tratamento das reclamações</w:t>
      </w:r>
    </w:p>
    <w:p w14:paraId="1228639A" w14:textId="2B85254F" w:rsidR="00465964" w:rsidRPr="00465964" w:rsidRDefault="00465964" w:rsidP="00465964">
      <w:pPr>
        <w:rPr>
          <w:lang w:val="pt-PT"/>
        </w:rPr>
      </w:pPr>
      <w:r w:rsidRPr="00465964">
        <w:rPr>
          <w:lang w:val="pt-PT"/>
        </w:rPr>
        <w:t xml:space="preserve">1.   Os emitentes de </w:t>
      </w:r>
      <w:r>
        <w:rPr>
          <w:lang w:val="pt-PT"/>
        </w:rPr>
        <w:t>criptomoedas</w:t>
      </w:r>
      <w:r w:rsidRPr="00465964">
        <w:rPr>
          <w:lang w:val="pt-PT"/>
        </w:rPr>
        <w:t xml:space="preserve"> referenciadas a ativos devem estabelecer e manter procedimentos eficazes e transparentes com vista ao tratamento expedito, leal e coerente das reclamações recebidas de detentores de </w:t>
      </w:r>
      <w:r>
        <w:rPr>
          <w:lang w:val="pt-PT"/>
        </w:rPr>
        <w:t>criptomoedas</w:t>
      </w:r>
      <w:r w:rsidRPr="00465964">
        <w:rPr>
          <w:lang w:val="pt-PT"/>
        </w:rPr>
        <w:t xml:space="preserve"> referenciadas a ativos e de outras partes interessadas, nomeadamente associações de consumidores que representem detentores de </w:t>
      </w:r>
      <w:r>
        <w:rPr>
          <w:lang w:val="pt-PT"/>
        </w:rPr>
        <w:t>criptomoedas</w:t>
      </w:r>
      <w:r w:rsidRPr="00465964">
        <w:rPr>
          <w:lang w:val="pt-PT"/>
        </w:rPr>
        <w:t xml:space="preserve"> referenciadas a ativos, e devem publicar descrições desses procedimentos. Se as </w:t>
      </w:r>
      <w:r>
        <w:rPr>
          <w:lang w:val="pt-PT"/>
        </w:rPr>
        <w:t>criptomoedas</w:t>
      </w:r>
      <w:r w:rsidRPr="00465964">
        <w:rPr>
          <w:lang w:val="pt-PT"/>
        </w:rPr>
        <w:t xml:space="preserve"> referenciadas a ativos forem distribuídas, total ou parcialmente, por entidades terceiras, nos termos do artigo 34.</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xml:space="preserve"> 5, primeiro parágrafo, alínea h), os emitentes das </w:t>
      </w:r>
      <w:r>
        <w:rPr>
          <w:lang w:val="pt-PT"/>
        </w:rPr>
        <w:t>criptomoedas</w:t>
      </w:r>
      <w:r w:rsidRPr="00465964">
        <w:rPr>
          <w:lang w:val="pt-PT"/>
        </w:rPr>
        <w:t xml:space="preserve"> referenciadas a ativos devem estabelecer procedimentos para também facilitar o tratamento dessas reclamações entre os detentores das </w:t>
      </w:r>
      <w:r>
        <w:rPr>
          <w:lang w:val="pt-PT"/>
        </w:rPr>
        <w:t>criptomoedas</w:t>
      </w:r>
      <w:r w:rsidRPr="00465964">
        <w:rPr>
          <w:lang w:val="pt-PT"/>
        </w:rPr>
        <w:t xml:space="preserve"> referenciadas a ativos e essas entidades terceiras.</w:t>
      </w:r>
    </w:p>
    <w:p w14:paraId="3281D919" w14:textId="267A2161" w:rsidR="00465964" w:rsidRPr="00465964" w:rsidRDefault="00465964" w:rsidP="00465964">
      <w:pPr>
        <w:rPr>
          <w:lang w:val="pt-PT"/>
        </w:rPr>
      </w:pPr>
      <w:r w:rsidRPr="00465964">
        <w:rPr>
          <w:lang w:val="pt-PT"/>
        </w:rPr>
        <w:t xml:space="preserve">2.   Os detentores de </w:t>
      </w:r>
      <w:r>
        <w:rPr>
          <w:lang w:val="pt-PT"/>
        </w:rPr>
        <w:t>criptomoedas</w:t>
      </w:r>
      <w:r w:rsidRPr="00465964">
        <w:rPr>
          <w:lang w:val="pt-PT"/>
        </w:rPr>
        <w:t xml:space="preserve"> referenciadas a ativos devem poder apresentar, a título gratuito, reclamações aos emitentes das suas </w:t>
      </w:r>
      <w:r>
        <w:rPr>
          <w:lang w:val="pt-PT"/>
        </w:rPr>
        <w:t>criptomoedas</w:t>
      </w:r>
      <w:r w:rsidRPr="00465964">
        <w:rPr>
          <w:lang w:val="pt-PT"/>
        </w:rPr>
        <w:t xml:space="preserve"> referenciadas a ativos ou, se for caso disso, às entidades terceiras a que se refere o </w:t>
      </w:r>
      <w:proofErr w:type="spellStart"/>
      <w:r w:rsidRPr="00465964">
        <w:rPr>
          <w:lang w:val="pt-PT"/>
        </w:rPr>
        <w:t>n.</w:t>
      </w:r>
      <w:r w:rsidRPr="00465964">
        <w:rPr>
          <w:vertAlign w:val="superscript"/>
          <w:lang w:val="pt-PT"/>
        </w:rPr>
        <w:t>o</w:t>
      </w:r>
      <w:proofErr w:type="spellEnd"/>
      <w:r w:rsidRPr="00465964">
        <w:rPr>
          <w:lang w:val="pt-PT"/>
        </w:rPr>
        <w:t> 1.</w:t>
      </w:r>
    </w:p>
    <w:p w14:paraId="3A7258DE" w14:textId="2EA89ECC" w:rsidR="00465964" w:rsidRPr="00465964" w:rsidRDefault="00465964" w:rsidP="00465964">
      <w:pPr>
        <w:rPr>
          <w:lang w:val="pt-PT"/>
        </w:rPr>
      </w:pPr>
      <w:r w:rsidRPr="00465964">
        <w:rPr>
          <w:lang w:val="pt-PT"/>
        </w:rPr>
        <w:t xml:space="preserve">3.   Os emitentes de </w:t>
      </w:r>
      <w:r>
        <w:rPr>
          <w:lang w:val="pt-PT"/>
        </w:rPr>
        <w:t>criptomoedas</w:t>
      </w:r>
      <w:r w:rsidRPr="00465964">
        <w:rPr>
          <w:lang w:val="pt-PT"/>
        </w:rPr>
        <w:t xml:space="preserve"> referenciadas a ativos e, se for caso disso, as entidades terceiras a que se refere o </w:t>
      </w:r>
      <w:proofErr w:type="spellStart"/>
      <w:r w:rsidRPr="00465964">
        <w:rPr>
          <w:lang w:val="pt-PT"/>
        </w:rPr>
        <w:t>n.</w:t>
      </w:r>
      <w:r w:rsidRPr="00465964">
        <w:rPr>
          <w:vertAlign w:val="superscript"/>
          <w:lang w:val="pt-PT"/>
        </w:rPr>
        <w:t>o</w:t>
      </w:r>
      <w:proofErr w:type="spellEnd"/>
      <w:r w:rsidRPr="00465964">
        <w:rPr>
          <w:lang w:val="pt-PT"/>
        </w:rPr>
        <w:t xml:space="preserve"> 1, devem elaborar e disponibilizar aos detentores de </w:t>
      </w:r>
      <w:r>
        <w:rPr>
          <w:lang w:val="pt-PT"/>
        </w:rPr>
        <w:t>criptomoedas</w:t>
      </w:r>
      <w:r w:rsidRPr="00465964">
        <w:rPr>
          <w:lang w:val="pt-PT"/>
        </w:rPr>
        <w:t xml:space="preserve"> referenciadas a ativos um modelo para a apresentação de reclamações e manter </w:t>
      </w:r>
      <w:r w:rsidRPr="00465964">
        <w:rPr>
          <w:lang w:val="pt-PT"/>
        </w:rPr>
        <w:lastRenderedPageBreak/>
        <w:t>um registo de todas as reclamações recebidas e de quaisquer medidas adotadas para dar resposta às mesmas.</w:t>
      </w:r>
    </w:p>
    <w:p w14:paraId="4FC80CBF" w14:textId="3B687492" w:rsidR="00465964" w:rsidRPr="00465964" w:rsidRDefault="00465964" w:rsidP="00465964">
      <w:pPr>
        <w:rPr>
          <w:lang w:val="pt-PT"/>
        </w:rPr>
      </w:pPr>
      <w:r w:rsidRPr="00465964">
        <w:rPr>
          <w:lang w:val="pt-PT"/>
        </w:rPr>
        <w:t xml:space="preserve">4.   Os emitentes de </w:t>
      </w:r>
      <w:r>
        <w:rPr>
          <w:lang w:val="pt-PT"/>
        </w:rPr>
        <w:t>criptomoedas</w:t>
      </w:r>
      <w:r w:rsidRPr="00465964">
        <w:rPr>
          <w:lang w:val="pt-PT"/>
        </w:rPr>
        <w:t xml:space="preserve"> referenciadas a ativos devem investigar todas as reclamações de forma atempada e leal, e comunicar as conclusões dessas investigações aos detentores das suas </w:t>
      </w:r>
      <w:r>
        <w:rPr>
          <w:lang w:val="pt-PT"/>
        </w:rPr>
        <w:t>criptomoedas</w:t>
      </w:r>
      <w:r w:rsidRPr="00465964">
        <w:rPr>
          <w:lang w:val="pt-PT"/>
        </w:rPr>
        <w:t xml:space="preserve"> referenciadas a ativos dentro de um prazo razoável.</w:t>
      </w:r>
    </w:p>
    <w:p w14:paraId="489DDBE5" w14:textId="77777777" w:rsidR="00465964" w:rsidRPr="00465964" w:rsidRDefault="00465964" w:rsidP="00465964">
      <w:pPr>
        <w:rPr>
          <w:lang w:val="pt-PT"/>
        </w:rPr>
      </w:pPr>
      <w:r w:rsidRPr="00465964">
        <w:rPr>
          <w:lang w:val="pt-PT"/>
        </w:rPr>
        <w:t>5.   A EBA, em estreita cooperação com a ESMA, elabora projetos de normas técnicas de regulamentação a fim de especificar mais pormenorizadamente os requisitos, os modelos e os procedimentos para o tratamento das reclamações.</w:t>
      </w:r>
    </w:p>
    <w:p w14:paraId="6B09B83B" w14:textId="77777777" w:rsidR="00465964" w:rsidRPr="00465964" w:rsidRDefault="00465964" w:rsidP="00465964">
      <w:pPr>
        <w:rPr>
          <w:lang w:val="pt-PT"/>
        </w:rPr>
      </w:pPr>
      <w:r w:rsidRPr="00465964">
        <w:rPr>
          <w:lang w:val="pt-PT"/>
        </w:rPr>
        <w:t>A EBA apresenta à Comissão os projetos de normas técnicas de regulamentação referidos no primeiro parágrafo até 30 de junho de 2024.</w:t>
      </w:r>
    </w:p>
    <w:p w14:paraId="6EED99AE" w14:textId="77777777" w:rsidR="00465964" w:rsidRPr="00465964" w:rsidRDefault="00465964" w:rsidP="00465964">
      <w:pPr>
        <w:rPr>
          <w:lang w:val="pt-PT"/>
        </w:rPr>
      </w:pPr>
      <w:r w:rsidRPr="00465964">
        <w:rPr>
          <w:lang w:val="pt-PT"/>
        </w:rPr>
        <w:t>É delegado na Comissão o poder de completar o presente regulamento através da adoção das normas técnicas de regulamentação a que se refere o primeiro parágrafo do presente número, nos termos dos artigos 10.</w:t>
      </w:r>
      <w:r w:rsidRPr="00465964">
        <w:rPr>
          <w:vertAlign w:val="superscript"/>
          <w:lang w:val="pt-PT"/>
        </w:rPr>
        <w:t>o</w:t>
      </w:r>
      <w:r w:rsidRPr="00465964">
        <w:rPr>
          <w:lang w:val="pt-PT"/>
        </w:rPr>
        <w:t> a 14.</w:t>
      </w:r>
      <w:r w:rsidRPr="00465964">
        <w:rPr>
          <w:vertAlign w:val="superscript"/>
          <w:lang w:val="pt-PT"/>
        </w:rPr>
        <w:t>o</w:t>
      </w:r>
      <w:r w:rsidRPr="00465964">
        <w:rPr>
          <w:lang w:val="pt-PT"/>
        </w:rPr>
        <w:t xml:space="preserve"> do Regulamento (UE) </w:t>
      </w:r>
      <w:proofErr w:type="spellStart"/>
      <w:r w:rsidRPr="00465964">
        <w:rPr>
          <w:lang w:val="pt-PT"/>
        </w:rPr>
        <w:t>n.</w:t>
      </w:r>
      <w:r w:rsidRPr="00465964">
        <w:rPr>
          <w:vertAlign w:val="superscript"/>
          <w:lang w:val="pt-PT"/>
        </w:rPr>
        <w:t>o</w:t>
      </w:r>
      <w:proofErr w:type="spellEnd"/>
      <w:r w:rsidRPr="00465964">
        <w:rPr>
          <w:lang w:val="pt-PT"/>
        </w:rPr>
        <w:t> 1093/2010.</w:t>
      </w:r>
    </w:p>
    <w:p w14:paraId="2C2D97EE" w14:textId="77777777" w:rsidR="00465964" w:rsidRPr="00465964" w:rsidRDefault="00465964" w:rsidP="00465964">
      <w:pPr>
        <w:rPr>
          <w:i/>
          <w:iCs/>
          <w:lang w:val="pt-PT"/>
        </w:rPr>
      </w:pPr>
      <w:r w:rsidRPr="00465964">
        <w:rPr>
          <w:i/>
          <w:iCs/>
          <w:lang w:val="pt-PT"/>
        </w:rPr>
        <w:t>Artigo 32.</w:t>
      </w:r>
      <w:r w:rsidRPr="00465964">
        <w:rPr>
          <w:i/>
          <w:iCs/>
          <w:vertAlign w:val="superscript"/>
          <w:lang w:val="pt-PT"/>
        </w:rPr>
        <w:t>o</w:t>
      </w:r>
    </w:p>
    <w:p w14:paraId="6C2A58B4" w14:textId="77777777" w:rsidR="00465964" w:rsidRPr="00465964" w:rsidRDefault="00465964" w:rsidP="00465964">
      <w:pPr>
        <w:rPr>
          <w:b/>
          <w:bCs/>
          <w:lang w:val="pt-PT"/>
        </w:rPr>
      </w:pPr>
      <w:r w:rsidRPr="00465964">
        <w:rPr>
          <w:b/>
          <w:bCs/>
          <w:lang w:val="pt-PT"/>
        </w:rPr>
        <w:t>Identificação, prevenção, gestão e divulgação de conflitos de interesses</w:t>
      </w:r>
    </w:p>
    <w:p w14:paraId="2F99EA07" w14:textId="6EFD992A" w:rsidR="00465964" w:rsidRPr="00465964" w:rsidRDefault="00465964" w:rsidP="00465964">
      <w:pPr>
        <w:rPr>
          <w:lang w:val="pt-PT"/>
        </w:rPr>
      </w:pPr>
      <w:r w:rsidRPr="00465964">
        <w:rPr>
          <w:lang w:val="pt-PT"/>
        </w:rPr>
        <w:t xml:space="preserve">1.   Os emitentes de </w:t>
      </w:r>
      <w:r>
        <w:rPr>
          <w:lang w:val="pt-PT"/>
        </w:rPr>
        <w:t>criptomoedas</w:t>
      </w:r>
      <w:r w:rsidRPr="00465964">
        <w:rPr>
          <w:lang w:val="pt-PT"/>
        </w:rPr>
        <w:t xml:space="preserve"> referenciadas a ativos devem aplicar e manter políticas e procedimentos para identificar, prevenir, gerir e divulgar conflitos de interesses entre si e:</w:t>
      </w:r>
    </w:p>
    <w:tbl>
      <w:tblPr>
        <w:tblW w:w="5000" w:type="pct"/>
        <w:tblCellMar>
          <w:left w:w="0" w:type="dxa"/>
          <w:right w:w="0" w:type="dxa"/>
        </w:tblCellMar>
        <w:tblLook w:val="04A0" w:firstRow="1" w:lastRow="0" w:firstColumn="1" w:lastColumn="0" w:noHBand="0" w:noVBand="1"/>
      </w:tblPr>
      <w:tblGrid>
        <w:gridCol w:w="550"/>
        <w:gridCol w:w="8476"/>
      </w:tblGrid>
      <w:tr w:rsidR="00465964" w:rsidRPr="00465964" w14:paraId="58A6E2DF" w14:textId="77777777" w:rsidTr="00465964">
        <w:tc>
          <w:tcPr>
            <w:tcW w:w="0" w:type="auto"/>
            <w:shd w:val="clear" w:color="auto" w:fill="auto"/>
            <w:hideMark/>
          </w:tcPr>
          <w:p w14:paraId="3EB3D31A" w14:textId="77777777" w:rsidR="00465964" w:rsidRPr="00465964" w:rsidRDefault="00465964" w:rsidP="00465964">
            <w:r w:rsidRPr="00465964">
              <w:t>a)</w:t>
            </w:r>
          </w:p>
        </w:tc>
        <w:tc>
          <w:tcPr>
            <w:tcW w:w="0" w:type="auto"/>
            <w:shd w:val="clear" w:color="auto" w:fill="auto"/>
            <w:hideMark/>
          </w:tcPr>
          <w:p w14:paraId="13B66E01" w14:textId="77777777" w:rsidR="00465964" w:rsidRPr="00465964" w:rsidRDefault="00465964" w:rsidP="00465964">
            <w:pPr>
              <w:rPr>
                <w:lang w:val="pt-PT"/>
              </w:rPr>
            </w:pPr>
            <w:r w:rsidRPr="00465964">
              <w:rPr>
                <w:lang w:val="pt-PT"/>
              </w:rPr>
              <w:t>Os seus acionistas ou sócios;</w:t>
            </w:r>
          </w:p>
        </w:tc>
      </w:tr>
    </w:tbl>
    <w:p w14:paraId="155A5BEE"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8"/>
        <w:gridCol w:w="8838"/>
      </w:tblGrid>
      <w:tr w:rsidR="00465964" w:rsidRPr="00465964" w14:paraId="40192DF3" w14:textId="77777777" w:rsidTr="00465964">
        <w:tc>
          <w:tcPr>
            <w:tcW w:w="0" w:type="auto"/>
            <w:shd w:val="clear" w:color="auto" w:fill="auto"/>
            <w:hideMark/>
          </w:tcPr>
          <w:p w14:paraId="468587E9" w14:textId="77777777" w:rsidR="00465964" w:rsidRPr="00465964" w:rsidRDefault="00465964" w:rsidP="00465964">
            <w:r w:rsidRPr="00465964">
              <w:t>b)</w:t>
            </w:r>
          </w:p>
        </w:tc>
        <w:tc>
          <w:tcPr>
            <w:tcW w:w="0" w:type="auto"/>
            <w:shd w:val="clear" w:color="auto" w:fill="auto"/>
            <w:hideMark/>
          </w:tcPr>
          <w:p w14:paraId="0BBBD64E" w14:textId="77777777" w:rsidR="00465964" w:rsidRPr="00465964" w:rsidRDefault="00465964" w:rsidP="00465964">
            <w:pPr>
              <w:rPr>
                <w:lang w:val="pt-PT"/>
              </w:rPr>
            </w:pPr>
            <w:r w:rsidRPr="00465964">
              <w:rPr>
                <w:lang w:val="pt-PT"/>
              </w:rPr>
              <w:t>Qualquer acionista ou sócio, direto ou indireto, que detenha uma participação qualificada no emitente;</w:t>
            </w:r>
          </w:p>
        </w:tc>
      </w:tr>
    </w:tbl>
    <w:p w14:paraId="2104A549"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367"/>
        <w:gridCol w:w="8659"/>
      </w:tblGrid>
      <w:tr w:rsidR="00465964" w:rsidRPr="00465964" w14:paraId="653BE349" w14:textId="77777777" w:rsidTr="00465964">
        <w:tc>
          <w:tcPr>
            <w:tcW w:w="0" w:type="auto"/>
            <w:shd w:val="clear" w:color="auto" w:fill="auto"/>
            <w:hideMark/>
          </w:tcPr>
          <w:p w14:paraId="4A45AB79" w14:textId="77777777" w:rsidR="00465964" w:rsidRPr="00465964" w:rsidRDefault="00465964" w:rsidP="00465964">
            <w:r w:rsidRPr="00465964">
              <w:t>c)</w:t>
            </w:r>
          </w:p>
        </w:tc>
        <w:tc>
          <w:tcPr>
            <w:tcW w:w="0" w:type="auto"/>
            <w:shd w:val="clear" w:color="auto" w:fill="auto"/>
            <w:hideMark/>
          </w:tcPr>
          <w:p w14:paraId="6DD02582" w14:textId="77777777" w:rsidR="00465964" w:rsidRPr="00465964" w:rsidRDefault="00465964" w:rsidP="00465964">
            <w:pPr>
              <w:rPr>
                <w:lang w:val="pt-PT"/>
              </w:rPr>
            </w:pPr>
            <w:r w:rsidRPr="00465964">
              <w:rPr>
                <w:lang w:val="pt-PT"/>
              </w:rPr>
              <w:t>Os membros do seu órgão de administração;</w:t>
            </w:r>
          </w:p>
        </w:tc>
      </w:tr>
    </w:tbl>
    <w:p w14:paraId="458B597C"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711"/>
        <w:gridCol w:w="8315"/>
      </w:tblGrid>
      <w:tr w:rsidR="00465964" w:rsidRPr="00465964" w14:paraId="51C643B0" w14:textId="77777777" w:rsidTr="00465964">
        <w:tc>
          <w:tcPr>
            <w:tcW w:w="0" w:type="auto"/>
            <w:shd w:val="clear" w:color="auto" w:fill="auto"/>
            <w:hideMark/>
          </w:tcPr>
          <w:p w14:paraId="0DF4CE74" w14:textId="77777777" w:rsidR="00465964" w:rsidRPr="00465964" w:rsidRDefault="00465964" w:rsidP="00465964">
            <w:r w:rsidRPr="00465964">
              <w:t>d)</w:t>
            </w:r>
          </w:p>
        </w:tc>
        <w:tc>
          <w:tcPr>
            <w:tcW w:w="0" w:type="auto"/>
            <w:shd w:val="clear" w:color="auto" w:fill="auto"/>
            <w:hideMark/>
          </w:tcPr>
          <w:p w14:paraId="03A0FAE8" w14:textId="77777777" w:rsidR="00465964" w:rsidRPr="00465964" w:rsidRDefault="00465964" w:rsidP="00465964">
            <w:proofErr w:type="spellStart"/>
            <w:r w:rsidRPr="00465964">
              <w:t>Os</w:t>
            </w:r>
            <w:proofErr w:type="spellEnd"/>
            <w:r w:rsidRPr="00465964">
              <w:t xml:space="preserve"> </w:t>
            </w:r>
            <w:proofErr w:type="spellStart"/>
            <w:r w:rsidRPr="00465964">
              <w:t>seus</w:t>
            </w:r>
            <w:proofErr w:type="spellEnd"/>
            <w:r w:rsidRPr="00465964">
              <w:t xml:space="preserve"> </w:t>
            </w:r>
            <w:proofErr w:type="spellStart"/>
            <w:r w:rsidRPr="00465964">
              <w:t>trabalhadores</w:t>
            </w:r>
            <w:proofErr w:type="spellEnd"/>
            <w:r w:rsidRPr="00465964">
              <w:t>;</w:t>
            </w:r>
          </w:p>
        </w:tc>
      </w:tr>
    </w:tbl>
    <w:p w14:paraId="3E1F93A0"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289"/>
        <w:gridCol w:w="8737"/>
      </w:tblGrid>
      <w:tr w:rsidR="00465964" w:rsidRPr="00465964" w14:paraId="5B3F6F31" w14:textId="77777777" w:rsidTr="00465964">
        <w:tc>
          <w:tcPr>
            <w:tcW w:w="0" w:type="auto"/>
            <w:shd w:val="clear" w:color="auto" w:fill="auto"/>
            <w:hideMark/>
          </w:tcPr>
          <w:p w14:paraId="5C6F2F0D" w14:textId="77777777" w:rsidR="00465964" w:rsidRPr="00465964" w:rsidRDefault="00465964" w:rsidP="00465964">
            <w:r w:rsidRPr="00465964">
              <w:t>e)</w:t>
            </w:r>
          </w:p>
        </w:tc>
        <w:tc>
          <w:tcPr>
            <w:tcW w:w="0" w:type="auto"/>
            <w:shd w:val="clear" w:color="auto" w:fill="auto"/>
            <w:hideMark/>
          </w:tcPr>
          <w:p w14:paraId="306CDBF7" w14:textId="518640F2" w:rsidR="00465964" w:rsidRPr="00465964" w:rsidRDefault="00465964" w:rsidP="00465964">
            <w:pPr>
              <w:rPr>
                <w:lang w:val="pt-PT"/>
              </w:rPr>
            </w:pPr>
            <w:r w:rsidRPr="00465964">
              <w:rPr>
                <w:lang w:val="pt-PT"/>
              </w:rPr>
              <w:t xml:space="preserve">Os detentores de </w:t>
            </w:r>
            <w:r>
              <w:rPr>
                <w:lang w:val="pt-PT"/>
              </w:rPr>
              <w:t>criptomoedas</w:t>
            </w:r>
            <w:r w:rsidRPr="00465964">
              <w:rPr>
                <w:lang w:val="pt-PT"/>
              </w:rPr>
              <w:t xml:space="preserve"> referenciadas a ativos; ou</w:t>
            </w:r>
          </w:p>
        </w:tc>
      </w:tr>
    </w:tbl>
    <w:p w14:paraId="2B998A30"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36"/>
        <w:gridCol w:w="8890"/>
      </w:tblGrid>
      <w:tr w:rsidR="00465964" w:rsidRPr="00465964" w14:paraId="170821D0" w14:textId="77777777" w:rsidTr="00465964">
        <w:tc>
          <w:tcPr>
            <w:tcW w:w="0" w:type="auto"/>
            <w:shd w:val="clear" w:color="auto" w:fill="auto"/>
            <w:hideMark/>
          </w:tcPr>
          <w:p w14:paraId="3C570FAE" w14:textId="77777777" w:rsidR="00465964" w:rsidRPr="00465964" w:rsidRDefault="00465964" w:rsidP="00465964">
            <w:r w:rsidRPr="00465964">
              <w:t>f)</w:t>
            </w:r>
          </w:p>
        </w:tc>
        <w:tc>
          <w:tcPr>
            <w:tcW w:w="0" w:type="auto"/>
            <w:shd w:val="clear" w:color="auto" w:fill="auto"/>
            <w:hideMark/>
          </w:tcPr>
          <w:p w14:paraId="7301618C" w14:textId="77777777" w:rsidR="00465964" w:rsidRPr="00465964" w:rsidRDefault="00465964" w:rsidP="00465964">
            <w:pPr>
              <w:rPr>
                <w:lang w:val="pt-PT"/>
              </w:rPr>
            </w:pPr>
            <w:r w:rsidRPr="00465964">
              <w:rPr>
                <w:lang w:val="pt-PT"/>
              </w:rPr>
              <w:t>Qualquer terceiro que desempenhe uma das funções referidas no artigo 34.</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5, primeiro parágrafo, alínea h).</w:t>
            </w:r>
          </w:p>
        </w:tc>
      </w:tr>
    </w:tbl>
    <w:p w14:paraId="2E05D60C" w14:textId="261CE51B" w:rsidR="00465964" w:rsidRPr="00465964" w:rsidRDefault="00465964" w:rsidP="00465964">
      <w:pPr>
        <w:rPr>
          <w:lang w:val="pt-PT"/>
        </w:rPr>
      </w:pPr>
      <w:r w:rsidRPr="00465964">
        <w:rPr>
          <w:lang w:val="pt-PT"/>
        </w:rPr>
        <w:t xml:space="preserve">2.   Em especial, os emitentes de </w:t>
      </w:r>
      <w:r>
        <w:rPr>
          <w:lang w:val="pt-PT"/>
        </w:rPr>
        <w:t>criptomoedas</w:t>
      </w:r>
      <w:r w:rsidRPr="00465964">
        <w:rPr>
          <w:lang w:val="pt-PT"/>
        </w:rPr>
        <w:t xml:space="preserve"> referenciadas a ativos tomam todas as medidas adequadas para identificar, prevenir, gerir e divulgar conflitos de interesses decorrentes da gestão e do investimento da reserva de ativos a que se refere o artigo 36.</w:t>
      </w:r>
      <w:r w:rsidRPr="00465964">
        <w:rPr>
          <w:vertAlign w:val="superscript"/>
          <w:lang w:val="pt-PT"/>
        </w:rPr>
        <w:t>o</w:t>
      </w:r>
      <w:r w:rsidRPr="00465964">
        <w:rPr>
          <w:lang w:val="pt-PT"/>
        </w:rPr>
        <w:t>.</w:t>
      </w:r>
    </w:p>
    <w:p w14:paraId="30F147A7" w14:textId="4D29E277" w:rsidR="00465964" w:rsidRPr="00465964" w:rsidRDefault="00465964" w:rsidP="00465964">
      <w:pPr>
        <w:rPr>
          <w:lang w:val="pt-PT"/>
        </w:rPr>
      </w:pPr>
      <w:r w:rsidRPr="00465964">
        <w:rPr>
          <w:lang w:val="pt-PT"/>
        </w:rPr>
        <w:t xml:space="preserve">3.   Os emitentes de </w:t>
      </w:r>
      <w:r>
        <w:rPr>
          <w:lang w:val="pt-PT"/>
        </w:rPr>
        <w:t>criptomoedas</w:t>
      </w:r>
      <w:r w:rsidRPr="00465964">
        <w:rPr>
          <w:lang w:val="pt-PT"/>
        </w:rPr>
        <w:t xml:space="preserve"> referenciadas a ativos devem, num lugar de destaque no seu sítio Web, divulgar aos detentores das suas </w:t>
      </w:r>
      <w:r>
        <w:rPr>
          <w:lang w:val="pt-PT"/>
        </w:rPr>
        <w:t>criptomoedas</w:t>
      </w:r>
      <w:r w:rsidRPr="00465964">
        <w:rPr>
          <w:lang w:val="pt-PT"/>
        </w:rPr>
        <w:t xml:space="preserve"> referenciadas a ativos a natureza geral e as fontes de conflitos de interesses a que se refere o </w:t>
      </w:r>
      <w:proofErr w:type="spellStart"/>
      <w:r w:rsidRPr="00465964">
        <w:rPr>
          <w:lang w:val="pt-PT"/>
        </w:rPr>
        <w:t>n.</w:t>
      </w:r>
      <w:r w:rsidRPr="00465964">
        <w:rPr>
          <w:vertAlign w:val="superscript"/>
          <w:lang w:val="pt-PT"/>
        </w:rPr>
        <w:t>o</w:t>
      </w:r>
      <w:proofErr w:type="spellEnd"/>
      <w:r w:rsidRPr="00465964">
        <w:rPr>
          <w:lang w:val="pt-PT"/>
        </w:rPr>
        <w:t> 1, bem como as medidas adotadas para os mitigar.</w:t>
      </w:r>
    </w:p>
    <w:p w14:paraId="33569B79" w14:textId="60C91618" w:rsidR="00465964" w:rsidRPr="00465964" w:rsidRDefault="00465964" w:rsidP="00465964">
      <w:pPr>
        <w:rPr>
          <w:lang w:val="pt-PT"/>
        </w:rPr>
      </w:pPr>
      <w:r w:rsidRPr="00465964">
        <w:rPr>
          <w:lang w:val="pt-PT"/>
        </w:rPr>
        <w:t xml:space="preserve">4.   A divulgação referida no </w:t>
      </w:r>
      <w:proofErr w:type="spellStart"/>
      <w:r w:rsidRPr="00465964">
        <w:rPr>
          <w:lang w:val="pt-PT"/>
        </w:rPr>
        <w:t>n.</w:t>
      </w:r>
      <w:r w:rsidRPr="00465964">
        <w:rPr>
          <w:vertAlign w:val="superscript"/>
          <w:lang w:val="pt-PT"/>
        </w:rPr>
        <w:t>o</w:t>
      </w:r>
      <w:proofErr w:type="spellEnd"/>
      <w:r w:rsidRPr="00465964">
        <w:rPr>
          <w:lang w:val="pt-PT"/>
        </w:rPr>
        <w:t xml:space="preserve"> 3 deve ser suficientemente precisa para permitir que os potenciais detentores das suas </w:t>
      </w:r>
      <w:r>
        <w:rPr>
          <w:lang w:val="pt-PT"/>
        </w:rPr>
        <w:t>criptomoedas</w:t>
      </w:r>
      <w:r w:rsidRPr="00465964">
        <w:rPr>
          <w:lang w:val="pt-PT"/>
        </w:rPr>
        <w:t xml:space="preserve"> referenciadas a ativos tomem uma decisão informada sobre a compra das </w:t>
      </w:r>
      <w:r>
        <w:rPr>
          <w:lang w:val="pt-PT"/>
        </w:rPr>
        <w:t>criptomoedas</w:t>
      </w:r>
      <w:r w:rsidRPr="00465964">
        <w:rPr>
          <w:lang w:val="pt-PT"/>
        </w:rPr>
        <w:t xml:space="preserve"> referenciadas a ativos.</w:t>
      </w:r>
    </w:p>
    <w:p w14:paraId="1C974794" w14:textId="77777777" w:rsidR="00465964" w:rsidRPr="00465964" w:rsidRDefault="00465964" w:rsidP="00465964">
      <w:pPr>
        <w:rPr>
          <w:lang w:val="pt-PT"/>
        </w:rPr>
      </w:pPr>
      <w:r w:rsidRPr="00465964">
        <w:rPr>
          <w:lang w:val="pt-PT"/>
        </w:rPr>
        <w:t>5.   A EBA elabora projetos de normas técnicas de regulamentação para especificar mais pormenorizadamente:</w:t>
      </w:r>
    </w:p>
    <w:tbl>
      <w:tblPr>
        <w:tblW w:w="5000" w:type="pct"/>
        <w:tblCellMar>
          <w:left w:w="0" w:type="dxa"/>
          <w:right w:w="0" w:type="dxa"/>
        </w:tblCellMar>
        <w:tblLook w:val="04A0" w:firstRow="1" w:lastRow="0" w:firstColumn="1" w:lastColumn="0" w:noHBand="0" w:noVBand="1"/>
      </w:tblPr>
      <w:tblGrid>
        <w:gridCol w:w="255"/>
        <w:gridCol w:w="8771"/>
      </w:tblGrid>
      <w:tr w:rsidR="00465964" w:rsidRPr="00465964" w14:paraId="3FE39904" w14:textId="77777777" w:rsidTr="00465964">
        <w:tc>
          <w:tcPr>
            <w:tcW w:w="0" w:type="auto"/>
            <w:shd w:val="clear" w:color="auto" w:fill="auto"/>
            <w:hideMark/>
          </w:tcPr>
          <w:p w14:paraId="72A1AB57" w14:textId="77777777" w:rsidR="00465964" w:rsidRPr="00465964" w:rsidRDefault="00465964" w:rsidP="00465964">
            <w:r w:rsidRPr="00465964">
              <w:lastRenderedPageBreak/>
              <w:t>a)</w:t>
            </w:r>
          </w:p>
        </w:tc>
        <w:tc>
          <w:tcPr>
            <w:tcW w:w="0" w:type="auto"/>
            <w:shd w:val="clear" w:color="auto" w:fill="auto"/>
            <w:hideMark/>
          </w:tcPr>
          <w:p w14:paraId="3F3719BF" w14:textId="77777777" w:rsidR="00465964" w:rsidRPr="00465964" w:rsidRDefault="00465964" w:rsidP="00465964">
            <w:pPr>
              <w:rPr>
                <w:lang w:val="pt-PT"/>
              </w:rPr>
            </w:pPr>
            <w:r w:rsidRPr="00465964">
              <w:rPr>
                <w:lang w:val="pt-PT"/>
              </w:rPr>
              <w:t xml:space="preserve">Os requisitos das políticas e dos procedimentos referidos no </w:t>
            </w:r>
            <w:proofErr w:type="spellStart"/>
            <w:r w:rsidRPr="00465964">
              <w:rPr>
                <w:lang w:val="pt-PT"/>
              </w:rPr>
              <w:t>n.</w:t>
            </w:r>
            <w:r w:rsidRPr="00465964">
              <w:rPr>
                <w:vertAlign w:val="superscript"/>
                <w:lang w:val="pt-PT"/>
              </w:rPr>
              <w:t>o</w:t>
            </w:r>
            <w:proofErr w:type="spellEnd"/>
            <w:r w:rsidRPr="00465964">
              <w:rPr>
                <w:lang w:val="pt-PT"/>
              </w:rPr>
              <w:t> 1;</w:t>
            </w:r>
          </w:p>
        </w:tc>
      </w:tr>
    </w:tbl>
    <w:p w14:paraId="1972061F"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8"/>
        <w:gridCol w:w="8838"/>
      </w:tblGrid>
      <w:tr w:rsidR="00465964" w:rsidRPr="00465964" w14:paraId="660DE72F" w14:textId="77777777" w:rsidTr="00465964">
        <w:tc>
          <w:tcPr>
            <w:tcW w:w="0" w:type="auto"/>
            <w:shd w:val="clear" w:color="auto" w:fill="auto"/>
            <w:hideMark/>
          </w:tcPr>
          <w:p w14:paraId="46619AAB" w14:textId="77777777" w:rsidR="00465964" w:rsidRPr="00465964" w:rsidRDefault="00465964" w:rsidP="00465964">
            <w:r w:rsidRPr="00465964">
              <w:t>b)</w:t>
            </w:r>
          </w:p>
        </w:tc>
        <w:tc>
          <w:tcPr>
            <w:tcW w:w="0" w:type="auto"/>
            <w:shd w:val="clear" w:color="auto" w:fill="auto"/>
            <w:hideMark/>
          </w:tcPr>
          <w:p w14:paraId="29776FEF" w14:textId="77777777" w:rsidR="00465964" w:rsidRPr="00465964" w:rsidRDefault="00465964" w:rsidP="00465964">
            <w:pPr>
              <w:rPr>
                <w:lang w:val="pt-PT"/>
              </w:rPr>
            </w:pPr>
            <w:r w:rsidRPr="00465964">
              <w:rPr>
                <w:lang w:val="pt-PT"/>
              </w:rPr>
              <w:t xml:space="preserve">Os pormenores e a metodologia relativos ao conteúdo da comunicação a que se refere o </w:t>
            </w:r>
            <w:proofErr w:type="spellStart"/>
            <w:r w:rsidRPr="00465964">
              <w:rPr>
                <w:lang w:val="pt-PT"/>
              </w:rPr>
              <w:t>n.</w:t>
            </w:r>
            <w:r w:rsidRPr="00465964">
              <w:rPr>
                <w:vertAlign w:val="superscript"/>
                <w:lang w:val="pt-PT"/>
              </w:rPr>
              <w:t>o</w:t>
            </w:r>
            <w:proofErr w:type="spellEnd"/>
            <w:r w:rsidRPr="00465964">
              <w:rPr>
                <w:lang w:val="pt-PT"/>
              </w:rPr>
              <w:t> 3.</w:t>
            </w:r>
          </w:p>
        </w:tc>
      </w:tr>
    </w:tbl>
    <w:p w14:paraId="3E6ADB3A" w14:textId="77777777" w:rsidR="00465964" w:rsidRPr="00465964" w:rsidRDefault="00465964" w:rsidP="00465964">
      <w:pPr>
        <w:rPr>
          <w:lang w:val="pt-PT"/>
        </w:rPr>
      </w:pPr>
      <w:r w:rsidRPr="00465964">
        <w:rPr>
          <w:lang w:val="pt-PT"/>
        </w:rPr>
        <w:t>A EBA apresenta à Comissão os projetos de normas técnicas de regulamentação referidos no primeiro parágrafo até 30 de junho de 2024.</w:t>
      </w:r>
    </w:p>
    <w:p w14:paraId="24692227" w14:textId="77777777" w:rsidR="00465964" w:rsidRPr="00465964" w:rsidRDefault="00465964" w:rsidP="00465964">
      <w:pPr>
        <w:rPr>
          <w:lang w:val="pt-PT"/>
        </w:rPr>
      </w:pPr>
      <w:r w:rsidRPr="00465964">
        <w:rPr>
          <w:lang w:val="pt-PT"/>
        </w:rPr>
        <w:t>É delegado na Comissão o poder de completar o presente regulamento através da adoção das normas técnicas de regulamentação a que se refere o primeiro parágrafo do presente número em conformidade com os artigos 10.</w:t>
      </w:r>
      <w:r w:rsidRPr="00465964">
        <w:rPr>
          <w:vertAlign w:val="superscript"/>
          <w:lang w:val="pt-PT"/>
        </w:rPr>
        <w:t>o</w:t>
      </w:r>
      <w:r w:rsidRPr="00465964">
        <w:rPr>
          <w:lang w:val="pt-PT"/>
        </w:rPr>
        <w:t> a 14.</w:t>
      </w:r>
      <w:r w:rsidRPr="00465964">
        <w:rPr>
          <w:vertAlign w:val="superscript"/>
          <w:lang w:val="pt-PT"/>
        </w:rPr>
        <w:t>o</w:t>
      </w:r>
      <w:r w:rsidRPr="00465964">
        <w:rPr>
          <w:lang w:val="pt-PT"/>
        </w:rPr>
        <w:t xml:space="preserve"> do Regulamento (UE) </w:t>
      </w:r>
      <w:proofErr w:type="spellStart"/>
      <w:r w:rsidRPr="00465964">
        <w:rPr>
          <w:lang w:val="pt-PT"/>
        </w:rPr>
        <w:t>n.</w:t>
      </w:r>
      <w:r w:rsidRPr="00465964">
        <w:rPr>
          <w:vertAlign w:val="superscript"/>
          <w:lang w:val="pt-PT"/>
        </w:rPr>
        <w:t>o</w:t>
      </w:r>
      <w:proofErr w:type="spellEnd"/>
      <w:r w:rsidRPr="00465964">
        <w:rPr>
          <w:lang w:val="pt-PT"/>
        </w:rPr>
        <w:t> 1093/2010.</w:t>
      </w:r>
    </w:p>
    <w:p w14:paraId="70500317" w14:textId="77777777" w:rsidR="00465964" w:rsidRPr="00465964" w:rsidRDefault="00465964" w:rsidP="00465964">
      <w:pPr>
        <w:rPr>
          <w:i/>
          <w:iCs/>
          <w:lang w:val="pt-PT"/>
        </w:rPr>
      </w:pPr>
      <w:r w:rsidRPr="00465964">
        <w:rPr>
          <w:i/>
          <w:iCs/>
          <w:lang w:val="pt-PT"/>
        </w:rPr>
        <w:t>Artigo 33.</w:t>
      </w:r>
      <w:r w:rsidRPr="00465964">
        <w:rPr>
          <w:i/>
          <w:iCs/>
          <w:vertAlign w:val="superscript"/>
          <w:lang w:val="pt-PT"/>
        </w:rPr>
        <w:t>o</w:t>
      </w:r>
    </w:p>
    <w:p w14:paraId="489369CA" w14:textId="77777777" w:rsidR="00465964" w:rsidRPr="00465964" w:rsidRDefault="00465964" w:rsidP="00465964">
      <w:pPr>
        <w:rPr>
          <w:b/>
          <w:bCs/>
          <w:lang w:val="pt-PT"/>
        </w:rPr>
      </w:pPr>
      <w:r w:rsidRPr="00465964">
        <w:rPr>
          <w:b/>
          <w:bCs/>
          <w:lang w:val="pt-PT"/>
        </w:rPr>
        <w:t>Notificação de alterações do órgão de administração</w:t>
      </w:r>
    </w:p>
    <w:p w14:paraId="5A4E3B87" w14:textId="3F22045F" w:rsidR="00465964" w:rsidRPr="00465964" w:rsidRDefault="00465964" w:rsidP="00465964">
      <w:pPr>
        <w:rPr>
          <w:lang w:val="pt-PT"/>
        </w:rPr>
      </w:pPr>
      <w:r w:rsidRPr="00465964">
        <w:rPr>
          <w:lang w:val="pt-PT"/>
        </w:rPr>
        <w:t xml:space="preserve">Os emitentes de </w:t>
      </w:r>
      <w:r>
        <w:rPr>
          <w:lang w:val="pt-PT"/>
        </w:rPr>
        <w:t>criptomoedas</w:t>
      </w:r>
      <w:r w:rsidRPr="00465964">
        <w:rPr>
          <w:lang w:val="pt-PT"/>
        </w:rPr>
        <w:t xml:space="preserve"> referenciadas a ativos devem comunicar de imediato à respetiva autoridade competente quaisquer alterações do seu órgão de administração, facultando-lhe todas as informações necessárias para verificar o cumprimento do disposto no artigo 34.</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2.</w:t>
      </w:r>
    </w:p>
    <w:p w14:paraId="064E9F62" w14:textId="77777777" w:rsidR="00465964" w:rsidRPr="00465964" w:rsidRDefault="00465964" w:rsidP="00465964">
      <w:pPr>
        <w:rPr>
          <w:i/>
          <w:iCs/>
          <w:lang w:val="pt-PT"/>
        </w:rPr>
      </w:pPr>
      <w:r w:rsidRPr="00465964">
        <w:rPr>
          <w:i/>
          <w:iCs/>
          <w:lang w:val="pt-PT"/>
        </w:rPr>
        <w:t>Artigo 34.</w:t>
      </w:r>
      <w:r w:rsidRPr="00465964">
        <w:rPr>
          <w:i/>
          <w:iCs/>
          <w:vertAlign w:val="superscript"/>
          <w:lang w:val="pt-PT"/>
        </w:rPr>
        <w:t>o</w:t>
      </w:r>
    </w:p>
    <w:p w14:paraId="11453750" w14:textId="77777777" w:rsidR="00465964" w:rsidRPr="00465964" w:rsidRDefault="00465964" w:rsidP="00465964">
      <w:pPr>
        <w:rPr>
          <w:b/>
          <w:bCs/>
          <w:lang w:val="pt-PT"/>
        </w:rPr>
      </w:pPr>
      <w:r w:rsidRPr="00465964">
        <w:rPr>
          <w:b/>
          <w:bCs/>
          <w:lang w:val="pt-PT"/>
        </w:rPr>
        <w:t>Mecanismos de governação</w:t>
      </w:r>
    </w:p>
    <w:p w14:paraId="2767C132" w14:textId="21D06809" w:rsidR="00465964" w:rsidRPr="00465964" w:rsidRDefault="00465964" w:rsidP="00465964">
      <w:pPr>
        <w:rPr>
          <w:lang w:val="pt-PT"/>
        </w:rPr>
      </w:pPr>
      <w:r w:rsidRPr="00465964">
        <w:rPr>
          <w:lang w:val="pt-PT"/>
        </w:rPr>
        <w:t xml:space="preserve">1.   Os emitentes de </w:t>
      </w:r>
      <w:r>
        <w:rPr>
          <w:lang w:val="pt-PT"/>
        </w:rPr>
        <w:t>criptomoedas</w:t>
      </w:r>
      <w:r w:rsidRPr="00465964">
        <w:rPr>
          <w:lang w:val="pt-PT"/>
        </w:rPr>
        <w:t xml:space="preserve"> referenciadas a ativos devem dispor de mecanismos de governação sólidos, incluindo uma estrutura organizativa clara, com linhas de responsabilidade bem definidas, transparentes e coerentes, processos eficazes de identificação, gestão, controlo e comunicação dos riscos a que estejam ou possam vir a estar expostos e mecanismos adequados de controlo interno, nomeadamente procedimentos administrativos e contabilísticos sólidos.</w:t>
      </w:r>
    </w:p>
    <w:p w14:paraId="526B596E" w14:textId="0A2CEA41" w:rsidR="00465964" w:rsidRPr="00465964" w:rsidRDefault="00465964" w:rsidP="00465964">
      <w:pPr>
        <w:rPr>
          <w:lang w:val="pt-PT"/>
        </w:rPr>
      </w:pPr>
      <w:r w:rsidRPr="00465964">
        <w:rPr>
          <w:lang w:val="pt-PT"/>
        </w:rPr>
        <w:t xml:space="preserve">2.   Os membros do órgão de administração de um emitente de </w:t>
      </w:r>
      <w:r>
        <w:rPr>
          <w:lang w:val="pt-PT"/>
        </w:rPr>
        <w:t>criptomoedas</w:t>
      </w:r>
      <w:r w:rsidRPr="00465964">
        <w:rPr>
          <w:lang w:val="pt-PT"/>
        </w:rPr>
        <w:t xml:space="preserve"> referenciadas a ativos devem ter idoneidade suficiente e possuir os conhecimentos, competências e experiência adequados, tanto a nível individual como no seu conjunto, para o desempenho das suas funções. Em especial, não podem ter sido condenados por infrações relacionadas com branqueamento de capitais ou financiamento do terrorismo, nem por quaisquer outras infrações que afetem a sua idoneidade. Devem ainda demonstrar que estão em condições de dedicar tempo suficiente ao desempenho eficaz das suas funções.</w:t>
      </w:r>
    </w:p>
    <w:p w14:paraId="7B52A8A0" w14:textId="057E4E73" w:rsidR="00465964" w:rsidRPr="00465964" w:rsidRDefault="00465964" w:rsidP="00465964">
      <w:pPr>
        <w:rPr>
          <w:lang w:val="pt-PT"/>
        </w:rPr>
      </w:pPr>
      <w:r w:rsidRPr="00465964">
        <w:rPr>
          <w:lang w:val="pt-PT"/>
        </w:rPr>
        <w:t xml:space="preserve">3.   O órgão de administração de um emitente de </w:t>
      </w:r>
      <w:r>
        <w:rPr>
          <w:lang w:val="pt-PT"/>
        </w:rPr>
        <w:t>criptomoedas</w:t>
      </w:r>
      <w:r w:rsidRPr="00465964">
        <w:rPr>
          <w:lang w:val="pt-PT"/>
        </w:rPr>
        <w:t xml:space="preserve"> referenciadas a ativos deve avaliar e reanalisar periodicamente a eficácia dos mecanismos e procedimentos aplicados tendo em vista o cumprimento do disposto nos capítulos 2, 3, 5 e 6 do presente título e tomar as medidas adequadas para corrigir quaisquer deficiências a este respeito.</w:t>
      </w:r>
    </w:p>
    <w:p w14:paraId="2D1BEFE5" w14:textId="29A18FBC" w:rsidR="00465964" w:rsidRPr="00465964" w:rsidRDefault="00465964" w:rsidP="00465964">
      <w:pPr>
        <w:rPr>
          <w:lang w:val="pt-PT"/>
        </w:rPr>
      </w:pPr>
      <w:r w:rsidRPr="00465964">
        <w:rPr>
          <w:lang w:val="pt-PT"/>
        </w:rPr>
        <w:t xml:space="preserve">4.   Os acionistas ou sócios, diretos ou indiretos, que detêm participações qualificadas em emitentes de </w:t>
      </w:r>
      <w:r>
        <w:rPr>
          <w:lang w:val="pt-PT"/>
        </w:rPr>
        <w:t>criptomoedas</w:t>
      </w:r>
      <w:r w:rsidRPr="00465964">
        <w:rPr>
          <w:lang w:val="pt-PT"/>
        </w:rPr>
        <w:t xml:space="preserve"> referenciadas a ativos devem ter idoneidade suficiente e não podem, em especial, ter sido condenadas por infrações relacionadas com branqueamento de capitais ou financiamento do terrorismo, nem por quaisquer outras infrações que afetariam a sua idoneidade.</w:t>
      </w:r>
    </w:p>
    <w:p w14:paraId="23CF0214" w14:textId="74CB4234" w:rsidR="00465964" w:rsidRPr="00465964" w:rsidRDefault="00465964" w:rsidP="00465964">
      <w:pPr>
        <w:rPr>
          <w:lang w:val="pt-PT"/>
        </w:rPr>
      </w:pPr>
      <w:r w:rsidRPr="00465964">
        <w:rPr>
          <w:lang w:val="pt-PT"/>
        </w:rPr>
        <w:t xml:space="preserve">5.   Os emitentes de </w:t>
      </w:r>
      <w:r>
        <w:rPr>
          <w:lang w:val="pt-PT"/>
        </w:rPr>
        <w:t>criptomoedas</w:t>
      </w:r>
      <w:r w:rsidRPr="00465964">
        <w:rPr>
          <w:lang w:val="pt-PT"/>
        </w:rPr>
        <w:t xml:space="preserve"> referenciadas a ativos devem adotar políticas e procedimentos suficientemente eficazes para assegurar o cumprimento do presente </w:t>
      </w:r>
      <w:r w:rsidRPr="00465964">
        <w:rPr>
          <w:lang w:val="pt-PT"/>
        </w:rPr>
        <w:lastRenderedPageBreak/>
        <w:t xml:space="preserve">regulamento. Os emitentes de </w:t>
      </w:r>
      <w:r>
        <w:rPr>
          <w:lang w:val="pt-PT"/>
        </w:rPr>
        <w:t>criptomoedas</w:t>
      </w:r>
      <w:r w:rsidRPr="00465964">
        <w:rPr>
          <w:lang w:val="pt-PT"/>
        </w:rPr>
        <w:t xml:space="preserve"> referenciadas a ativos devem estabelecer, manter e aplicar, em especial, políticas e procedimentos sobre:</w:t>
      </w:r>
    </w:p>
    <w:tbl>
      <w:tblPr>
        <w:tblW w:w="5000" w:type="pct"/>
        <w:tblCellMar>
          <w:left w:w="0" w:type="dxa"/>
          <w:right w:w="0" w:type="dxa"/>
        </w:tblCellMar>
        <w:tblLook w:val="04A0" w:firstRow="1" w:lastRow="0" w:firstColumn="1" w:lastColumn="0" w:noHBand="0" w:noVBand="1"/>
      </w:tblPr>
      <w:tblGrid>
        <w:gridCol w:w="356"/>
        <w:gridCol w:w="8670"/>
      </w:tblGrid>
      <w:tr w:rsidR="00465964" w:rsidRPr="00465964" w14:paraId="325F5CB5" w14:textId="77777777" w:rsidTr="00465964">
        <w:tc>
          <w:tcPr>
            <w:tcW w:w="0" w:type="auto"/>
            <w:shd w:val="clear" w:color="auto" w:fill="auto"/>
            <w:hideMark/>
          </w:tcPr>
          <w:p w14:paraId="578F8398" w14:textId="77777777" w:rsidR="00465964" w:rsidRPr="00465964" w:rsidRDefault="00465964" w:rsidP="00465964">
            <w:r w:rsidRPr="00465964">
              <w:t>a)</w:t>
            </w:r>
          </w:p>
        </w:tc>
        <w:tc>
          <w:tcPr>
            <w:tcW w:w="0" w:type="auto"/>
            <w:shd w:val="clear" w:color="auto" w:fill="auto"/>
            <w:hideMark/>
          </w:tcPr>
          <w:p w14:paraId="37B83F40" w14:textId="77777777" w:rsidR="00465964" w:rsidRPr="00465964" w:rsidRDefault="00465964" w:rsidP="00465964">
            <w:pPr>
              <w:rPr>
                <w:lang w:val="pt-PT"/>
              </w:rPr>
            </w:pPr>
            <w:r w:rsidRPr="00465964">
              <w:rPr>
                <w:lang w:val="pt-PT"/>
              </w:rPr>
              <w:t>A reserva de ativos a que se refere o artigo 36.</w:t>
            </w:r>
            <w:r w:rsidRPr="00465964">
              <w:rPr>
                <w:vertAlign w:val="superscript"/>
                <w:lang w:val="pt-PT"/>
              </w:rPr>
              <w:t>o</w:t>
            </w:r>
            <w:r w:rsidRPr="00465964">
              <w:rPr>
                <w:lang w:val="pt-PT"/>
              </w:rPr>
              <w:t>;</w:t>
            </w:r>
          </w:p>
        </w:tc>
      </w:tr>
    </w:tbl>
    <w:p w14:paraId="0F745928"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8"/>
        <w:gridCol w:w="8838"/>
      </w:tblGrid>
      <w:tr w:rsidR="00465964" w:rsidRPr="00465964" w14:paraId="4B9DF5FC" w14:textId="77777777" w:rsidTr="00465964">
        <w:tc>
          <w:tcPr>
            <w:tcW w:w="0" w:type="auto"/>
            <w:shd w:val="clear" w:color="auto" w:fill="auto"/>
            <w:hideMark/>
          </w:tcPr>
          <w:p w14:paraId="7D8D1F5B" w14:textId="77777777" w:rsidR="00465964" w:rsidRPr="00465964" w:rsidRDefault="00465964" w:rsidP="00465964">
            <w:r w:rsidRPr="00465964">
              <w:t>b)</w:t>
            </w:r>
          </w:p>
        </w:tc>
        <w:tc>
          <w:tcPr>
            <w:tcW w:w="0" w:type="auto"/>
            <w:shd w:val="clear" w:color="auto" w:fill="auto"/>
            <w:hideMark/>
          </w:tcPr>
          <w:p w14:paraId="29F8DF5F" w14:textId="77777777" w:rsidR="00465964" w:rsidRPr="00465964" w:rsidRDefault="00465964" w:rsidP="00465964">
            <w:pPr>
              <w:rPr>
                <w:lang w:val="pt-PT"/>
              </w:rPr>
            </w:pPr>
            <w:r w:rsidRPr="00465964">
              <w:rPr>
                <w:lang w:val="pt-PT"/>
              </w:rPr>
              <w:t>A custódia dos ativos de reserva, incluindo a segregação dos ativos, como especificado no artigo 37.</w:t>
            </w:r>
            <w:r w:rsidRPr="00465964">
              <w:rPr>
                <w:vertAlign w:val="superscript"/>
                <w:lang w:val="pt-PT"/>
              </w:rPr>
              <w:t>o</w:t>
            </w:r>
            <w:r w:rsidRPr="00465964">
              <w:rPr>
                <w:lang w:val="pt-PT"/>
              </w:rPr>
              <w:t>;</w:t>
            </w:r>
          </w:p>
        </w:tc>
      </w:tr>
    </w:tbl>
    <w:p w14:paraId="05F2A06A"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0"/>
        <w:gridCol w:w="8846"/>
      </w:tblGrid>
      <w:tr w:rsidR="00465964" w:rsidRPr="00465964" w14:paraId="084D2103" w14:textId="77777777" w:rsidTr="00465964">
        <w:tc>
          <w:tcPr>
            <w:tcW w:w="0" w:type="auto"/>
            <w:shd w:val="clear" w:color="auto" w:fill="auto"/>
            <w:hideMark/>
          </w:tcPr>
          <w:p w14:paraId="4800AA25" w14:textId="77777777" w:rsidR="00465964" w:rsidRPr="00465964" w:rsidRDefault="00465964" w:rsidP="00465964">
            <w:r w:rsidRPr="00465964">
              <w:t>c)</w:t>
            </w:r>
          </w:p>
        </w:tc>
        <w:tc>
          <w:tcPr>
            <w:tcW w:w="0" w:type="auto"/>
            <w:shd w:val="clear" w:color="auto" w:fill="auto"/>
            <w:hideMark/>
          </w:tcPr>
          <w:p w14:paraId="5C8C2AA7" w14:textId="05CF60F9" w:rsidR="00465964" w:rsidRPr="00465964" w:rsidRDefault="00465964" w:rsidP="00465964">
            <w:pPr>
              <w:rPr>
                <w:lang w:val="pt-PT"/>
              </w:rPr>
            </w:pPr>
            <w:r w:rsidRPr="00465964">
              <w:rPr>
                <w:lang w:val="pt-PT"/>
              </w:rPr>
              <w:t xml:space="preserve">Os direitos concedidos aos detentores de </w:t>
            </w:r>
            <w:r>
              <w:rPr>
                <w:lang w:val="pt-PT"/>
              </w:rPr>
              <w:t>criptomoedas</w:t>
            </w:r>
            <w:r w:rsidRPr="00465964">
              <w:rPr>
                <w:lang w:val="pt-PT"/>
              </w:rPr>
              <w:t xml:space="preserve"> referenciadas a ativos, nos termos do artigo 39.</w:t>
            </w:r>
            <w:r w:rsidRPr="00465964">
              <w:rPr>
                <w:vertAlign w:val="superscript"/>
                <w:lang w:val="pt-PT"/>
              </w:rPr>
              <w:t>o</w:t>
            </w:r>
            <w:r w:rsidRPr="00465964">
              <w:rPr>
                <w:lang w:val="pt-PT"/>
              </w:rPr>
              <w:t>;</w:t>
            </w:r>
          </w:p>
        </w:tc>
      </w:tr>
    </w:tbl>
    <w:p w14:paraId="11F8297D"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8"/>
        <w:gridCol w:w="8838"/>
      </w:tblGrid>
      <w:tr w:rsidR="00465964" w:rsidRPr="00465964" w14:paraId="2CDEF574" w14:textId="77777777" w:rsidTr="00465964">
        <w:tc>
          <w:tcPr>
            <w:tcW w:w="0" w:type="auto"/>
            <w:shd w:val="clear" w:color="auto" w:fill="auto"/>
            <w:hideMark/>
          </w:tcPr>
          <w:p w14:paraId="785C5921" w14:textId="77777777" w:rsidR="00465964" w:rsidRPr="00465964" w:rsidRDefault="00465964" w:rsidP="00465964">
            <w:r w:rsidRPr="00465964">
              <w:t>d)</w:t>
            </w:r>
          </w:p>
        </w:tc>
        <w:tc>
          <w:tcPr>
            <w:tcW w:w="0" w:type="auto"/>
            <w:shd w:val="clear" w:color="auto" w:fill="auto"/>
            <w:hideMark/>
          </w:tcPr>
          <w:p w14:paraId="09D43416" w14:textId="345A6429" w:rsidR="00465964" w:rsidRPr="00465964" w:rsidRDefault="00465964" w:rsidP="00465964">
            <w:pPr>
              <w:rPr>
                <w:lang w:val="pt-PT"/>
              </w:rPr>
            </w:pPr>
            <w:r w:rsidRPr="00465964">
              <w:rPr>
                <w:lang w:val="pt-PT"/>
              </w:rPr>
              <w:t xml:space="preserve">O mecanismo através do qual as </w:t>
            </w:r>
            <w:r>
              <w:rPr>
                <w:lang w:val="pt-PT"/>
              </w:rPr>
              <w:t>criptomoedas</w:t>
            </w:r>
            <w:r w:rsidRPr="00465964">
              <w:rPr>
                <w:lang w:val="pt-PT"/>
              </w:rPr>
              <w:t xml:space="preserve"> referenciadas a ativos são emitidas e reembolsadas;</w:t>
            </w:r>
          </w:p>
        </w:tc>
      </w:tr>
    </w:tbl>
    <w:p w14:paraId="007B253B"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202"/>
        <w:gridCol w:w="8824"/>
      </w:tblGrid>
      <w:tr w:rsidR="00465964" w:rsidRPr="00465964" w14:paraId="119B3FBB" w14:textId="77777777" w:rsidTr="00465964">
        <w:tc>
          <w:tcPr>
            <w:tcW w:w="0" w:type="auto"/>
            <w:shd w:val="clear" w:color="auto" w:fill="auto"/>
            <w:hideMark/>
          </w:tcPr>
          <w:p w14:paraId="0F5003DB" w14:textId="77777777" w:rsidR="00465964" w:rsidRPr="00465964" w:rsidRDefault="00465964" w:rsidP="00465964">
            <w:r w:rsidRPr="00465964">
              <w:t>e)</w:t>
            </w:r>
          </w:p>
        </w:tc>
        <w:tc>
          <w:tcPr>
            <w:tcW w:w="0" w:type="auto"/>
            <w:shd w:val="clear" w:color="auto" w:fill="auto"/>
            <w:hideMark/>
          </w:tcPr>
          <w:p w14:paraId="0BB09D9D" w14:textId="3156F899" w:rsidR="00465964" w:rsidRPr="00465964" w:rsidRDefault="00465964" w:rsidP="00465964">
            <w:pPr>
              <w:rPr>
                <w:lang w:val="pt-PT"/>
              </w:rPr>
            </w:pPr>
            <w:r w:rsidRPr="00465964">
              <w:rPr>
                <w:lang w:val="pt-PT"/>
              </w:rPr>
              <w:t xml:space="preserve">Os protocolos de validação das transações de </w:t>
            </w:r>
            <w:r>
              <w:rPr>
                <w:lang w:val="pt-PT"/>
              </w:rPr>
              <w:t>criptomoedas</w:t>
            </w:r>
            <w:r w:rsidRPr="00465964">
              <w:rPr>
                <w:lang w:val="pt-PT"/>
              </w:rPr>
              <w:t xml:space="preserve"> referenciadas a ativos;</w:t>
            </w:r>
          </w:p>
        </w:tc>
      </w:tr>
    </w:tbl>
    <w:p w14:paraId="0BE8A0CC"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36"/>
        <w:gridCol w:w="8890"/>
      </w:tblGrid>
      <w:tr w:rsidR="00465964" w:rsidRPr="00465964" w14:paraId="2365A58D" w14:textId="77777777" w:rsidTr="00465964">
        <w:tc>
          <w:tcPr>
            <w:tcW w:w="0" w:type="auto"/>
            <w:shd w:val="clear" w:color="auto" w:fill="auto"/>
            <w:hideMark/>
          </w:tcPr>
          <w:p w14:paraId="766D623F" w14:textId="77777777" w:rsidR="00465964" w:rsidRPr="00465964" w:rsidRDefault="00465964" w:rsidP="00465964">
            <w:r w:rsidRPr="00465964">
              <w:t>f)</w:t>
            </w:r>
          </w:p>
        </w:tc>
        <w:tc>
          <w:tcPr>
            <w:tcW w:w="0" w:type="auto"/>
            <w:shd w:val="clear" w:color="auto" w:fill="auto"/>
            <w:hideMark/>
          </w:tcPr>
          <w:p w14:paraId="5D5F12EB" w14:textId="3D74ED08" w:rsidR="00465964" w:rsidRPr="00465964" w:rsidRDefault="00465964" w:rsidP="00465964">
            <w:pPr>
              <w:rPr>
                <w:lang w:val="pt-PT"/>
              </w:rPr>
            </w:pPr>
            <w:r w:rsidRPr="00465964">
              <w:rPr>
                <w:lang w:val="pt-PT"/>
              </w:rPr>
              <w:t xml:space="preserve">O funcionamento da tecnologia proprietária de registo distribuído do emitente, caso as </w:t>
            </w:r>
            <w:r>
              <w:rPr>
                <w:lang w:val="pt-PT"/>
              </w:rPr>
              <w:t>criptomoedas</w:t>
            </w:r>
            <w:r w:rsidRPr="00465964">
              <w:rPr>
                <w:lang w:val="pt-PT"/>
              </w:rPr>
              <w:t xml:space="preserve"> referenciadas a ativos sejam emitidas, transferidas e armazenadas utilizando essa tecnologia de registo distribuído ou uma tecnologia similar operada pelo emitente ou por um terceiro agindo em seu nome;</w:t>
            </w:r>
          </w:p>
        </w:tc>
      </w:tr>
    </w:tbl>
    <w:p w14:paraId="0D8CE672"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74"/>
        <w:gridCol w:w="8852"/>
      </w:tblGrid>
      <w:tr w:rsidR="00465964" w:rsidRPr="00465964" w14:paraId="0C2ED8DC" w14:textId="77777777" w:rsidTr="00465964">
        <w:tc>
          <w:tcPr>
            <w:tcW w:w="0" w:type="auto"/>
            <w:shd w:val="clear" w:color="auto" w:fill="auto"/>
            <w:hideMark/>
          </w:tcPr>
          <w:p w14:paraId="71715D2E" w14:textId="77777777" w:rsidR="00465964" w:rsidRPr="00465964" w:rsidRDefault="00465964" w:rsidP="00465964">
            <w:r w:rsidRPr="00465964">
              <w:t>g)</w:t>
            </w:r>
          </w:p>
        </w:tc>
        <w:tc>
          <w:tcPr>
            <w:tcW w:w="0" w:type="auto"/>
            <w:shd w:val="clear" w:color="auto" w:fill="auto"/>
            <w:hideMark/>
          </w:tcPr>
          <w:p w14:paraId="2510AFA3" w14:textId="1F4DFFD1" w:rsidR="00465964" w:rsidRPr="00465964" w:rsidRDefault="00465964" w:rsidP="00465964">
            <w:pPr>
              <w:rPr>
                <w:lang w:val="pt-PT"/>
              </w:rPr>
            </w:pPr>
            <w:r w:rsidRPr="00465964">
              <w:rPr>
                <w:lang w:val="pt-PT"/>
              </w:rPr>
              <w:t xml:space="preserve">Os mecanismos para assegurar a liquidez das </w:t>
            </w:r>
            <w:r>
              <w:rPr>
                <w:lang w:val="pt-PT"/>
              </w:rPr>
              <w:t>criptomoedas</w:t>
            </w:r>
            <w:r w:rsidRPr="00465964">
              <w:rPr>
                <w:lang w:val="pt-PT"/>
              </w:rPr>
              <w:t xml:space="preserve"> referenciadas a ativos, incluindo a política de gestão da liquidez e os procedimentos aplicáveis aos emitentes de </w:t>
            </w:r>
            <w:r>
              <w:rPr>
                <w:lang w:val="pt-PT"/>
              </w:rPr>
              <w:t>criptomoedas</w:t>
            </w:r>
            <w:r w:rsidRPr="00465964">
              <w:rPr>
                <w:lang w:val="pt-PT"/>
              </w:rPr>
              <w:t xml:space="preserve"> referenciadas a ativos significativas a que se refere o artigo 45.</w:t>
            </w:r>
            <w:r w:rsidRPr="00465964">
              <w:rPr>
                <w:vertAlign w:val="superscript"/>
                <w:lang w:val="pt-PT"/>
              </w:rPr>
              <w:t>o</w:t>
            </w:r>
            <w:r w:rsidRPr="00465964">
              <w:rPr>
                <w:lang w:val="pt-PT"/>
              </w:rPr>
              <w:t>;</w:t>
            </w:r>
          </w:p>
        </w:tc>
      </w:tr>
    </w:tbl>
    <w:p w14:paraId="7C421ED3"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6"/>
        <w:gridCol w:w="8840"/>
      </w:tblGrid>
      <w:tr w:rsidR="00465964" w:rsidRPr="00465964" w14:paraId="1B056019" w14:textId="77777777" w:rsidTr="00465964">
        <w:tc>
          <w:tcPr>
            <w:tcW w:w="0" w:type="auto"/>
            <w:shd w:val="clear" w:color="auto" w:fill="auto"/>
            <w:hideMark/>
          </w:tcPr>
          <w:p w14:paraId="0FA5799E" w14:textId="77777777" w:rsidR="00465964" w:rsidRPr="00465964" w:rsidRDefault="00465964" w:rsidP="00465964">
            <w:r w:rsidRPr="00465964">
              <w:t>h)</w:t>
            </w:r>
          </w:p>
        </w:tc>
        <w:tc>
          <w:tcPr>
            <w:tcW w:w="0" w:type="auto"/>
            <w:shd w:val="clear" w:color="auto" w:fill="auto"/>
            <w:hideMark/>
          </w:tcPr>
          <w:p w14:paraId="5A376AB4" w14:textId="7229719B" w:rsidR="00465964" w:rsidRPr="00465964" w:rsidRDefault="00465964" w:rsidP="00465964">
            <w:pPr>
              <w:rPr>
                <w:lang w:val="pt-PT"/>
              </w:rPr>
            </w:pPr>
            <w:r w:rsidRPr="00465964">
              <w:rPr>
                <w:lang w:val="pt-PT"/>
              </w:rPr>
              <w:t xml:space="preserve">Os acordos com entidades terceiras para a operação da reserva de ativos e para o investimento dos ativos de reserva, a custódia dos ativos de reserva e, se for caso disso, a distribuição ao público das </w:t>
            </w:r>
            <w:r>
              <w:rPr>
                <w:lang w:val="pt-PT"/>
              </w:rPr>
              <w:t>criptomoedas</w:t>
            </w:r>
            <w:r w:rsidRPr="00465964">
              <w:rPr>
                <w:lang w:val="pt-PT"/>
              </w:rPr>
              <w:t xml:space="preserve"> referenciadas a ativos;</w:t>
            </w:r>
          </w:p>
        </w:tc>
      </w:tr>
    </w:tbl>
    <w:p w14:paraId="3844575B"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17"/>
        <w:gridCol w:w="8909"/>
      </w:tblGrid>
      <w:tr w:rsidR="00465964" w:rsidRPr="00465964" w14:paraId="62F39D5E" w14:textId="77777777" w:rsidTr="00465964">
        <w:tc>
          <w:tcPr>
            <w:tcW w:w="0" w:type="auto"/>
            <w:shd w:val="clear" w:color="auto" w:fill="auto"/>
            <w:hideMark/>
          </w:tcPr>
          <w:p w14:paraId="30D80158" w14:textId="77777777" w:rsidR="00465964" w:rsidRPr="00465964" w:rsidRDefault="00465964" w:rsidP="00465964">
            <w:proofErr w:type="spellStart"/>
            <w:r w:rsidRPr="00465964">
              <w:t>i</w:t>
            </w:r>
            <w:proofErr w:type="spellEnd"/>
            <w:r w:rsidRPr="00465964">
              <w:t>)</w:t>
            </w:r>
          </w:p>
        </w:tc>
        <w:tc>
          <w:tcPr>
            <w:tcW w:w="0" w:type="auto"/>
            <w:shd w:val="clear" w:color="auto" w:fill="auto"/>
            <w:hideMark/>
          </w:tcPr>
          <w:p w14:paraId="69B86B27" w14:textId="44CF7301" w:rsidR="00465964" w:rsidRPr="00465964" w:rsidRDefault="00465964" w:rsidP="00465964">
            <w:pPr>
              <w:rPr>
                <w:lang w:val="pt-PT"/>
              </w:rPr>
            </w:pPr>
            <w:r w:rsidRPr="00465964">
              <w:rPr>
                <w:lang w:val="pt-PT"/>
              </w:rPr>
              <w:t xml:space="preserve">O consentimento escrito dado pelos emitentes de </w:t>
            </w:r>
            <w:r>
              <w:rPr>
                <w:lang w:val="pt-PT"/>
              </w:rPr>
              <w:t>criptomoedas</w:t>
            </w:r>
            <w:r w:rsidRPr="00465964">
              <w:rPr>
                <w:lang w:val="pt-PT"/>
              </w:rPr>
              <w:t xml:space="preserve"> referenciadas a ativos a outras pessoas que possam oferecer ou solicitar a admissão à negociação de </w:t>
            </w:r>
            <w:r>
              <w:rPr>
                <w:lang w:val="pt-PT"/>
              </w:rPr>
              <w:t>criptomoedas</w:t>
            </w:r>
            <w:r w:rsidRPr="00465964">
              <w:rPr>
                <w:lang w:val="pt-PT"/>
              </w:rPr>
              <w:t xml:space="preserve"> referenciadas a ativos;</w:t>
            </w:r>
          </w:p>
        </w:tc>
      </w:tr>
    </w:tbl>
    <w:p w14:paraId="36E9160F"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9"/>
        <w:gridCol w:w="8837"/>
      </w:tblGrid>
      <w:tr w:rsidR="00465964" w:rsidRPr="00465964" w14:paraId="7F704F36" w14:textId="77777777" w:rsidTr="00465964">
        <w:tc>
          <w:tcPr>
            <w:tcW w:w="0" w:type="auto"/>
            <w:shd w:val="clear" w:color="auto" w:fill="auto"/>
            <w:hideMark/>
          </w:tcPr>
          <w:p w14:paraId="27002168" w14:textId="77777777" w:rsidR="00465964" w:rsidRPr="00465964" w:rsidRDefault="00465964" w:rsidP="00465964">
            <w:r w:rsidRPr="00465964">
              <w:t>j)</w:t>
            </w:r>
          </w:p>
        </w:tc>
        <w:tc>
          <w:tcPr>
            <w:tcW w:w="0" w:type="auto"/>
            <w:shd w:val="clear" w:color="auto" w:fill="auto"/>
            <w:hideMark/>
          </w:tcPr>
          <w:p w14:paraId="4B0E5218" w14:textId="77777777" w:rsidR="00465964" w:rsidRPr="00465964" w:rsidRDefault="00465964" w:rsidP="00465964">
            <w:pPr>
              <w:rPr>
                <w:lang w:val="pt-PT"/>
              </w:rPr>
            </w:pPr>
            <w:r w:rsidRPr="00465964">
              <w:rPr>
                <w:lang w:val="pt-PT"/>
              </w:rPr>
              <w:t>O tratamento das reclamações, nos termos do artigo 31.</w:t>
            </w:r>
            <w:r w:rsidRPr="00465964">
              <w:rPr>
                <w:vertAlign w:val="superscript"/>
                <w:lang w:val="pt-PT"/>
              </w:rPr>
              <w:t>o</w:t>
            </w:r>
            <w:r w:rsidRPr="00465964">
              <w:rPr>
                <w:lang w:val="pt-PT"/>
              </w:rPr>
              <w:t>,</w:t>
            </w:r>
          </w:p>
        </w:tc>
      </w:tr>
    </w:tbl>
    <w:p w14:paraId="129BCB6C"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302"/>
        <w:gridCol w:w="8724"/>
      </w:tblGrid>
      <w:tr w:rsidR="00465964" w:rsidRPr="00465964" w14:paraId="756B2D5D" w14:textId="77777777" w:rsidTr="00465964">
        <w:tc>
          <w:tcPr>
            <w:tcW w:w="0" w:type="auto"/>
            <w:shd w:val="clear" w:color="auto" w:fill="auto"/>
            <w:hideMark/>
          </w:tcPr>
          <w:p w14:paraId="7DD7AAFF" w14:textId="77777777" w:rsidR="00465964" w:rsidRPr="00465964" w:rsidRDefault="00465964" w:rsidP="00465964">
            <w:r w:rsidRPr="00465964">
              <w:t>k)</w:t>
            </w:r>
          </w:p>
        </w:tc>
        <w:tc>
          <w:tcPr>
            <w:tcW w:w="0" w:type="auto"/>
            <w:shd w:val="clear" w:color="auto" w:fill="auto"/>
            <w:hideMark/>
          </w:tcPr>
          <w:p w14:paraId="55C804C0" w14:textId="77777777" w:rsidR="00465964" w:rsidRPr="00465964" w:rsidRDefault="00465964" w:rsidP="00465964">
            <w:pPr>
              <w:rPr>
                <w:lang w:val="pt-PT"/>
              </w:rPr>
            </w:pPr>
            <w:r w:rsidRPr="00465964">
              <w:rPr>
                <w:lang w:val="pt-PT"/>
              </w:rPr>
              <w:t xml:space="preserve">Os conflitos de interesses, nos termos do artigo </w:t>
            </w:r>
            <w:proofErr w:type="gramStart"/>
            <w:r w:rsidRPr="00465964">
              <w:rPr>
                <w:lang w:val="pt-PT"/>
              </w:rPr>
              <w:t>32.</w:t>
            </w:r>
            <w:r w:rsidRPr="00465964">
              <w:rPr>
                <w:vertAlign w:val="superscript"/>
                <w:lang w:val="pt-PT"/>
              </w:rPr>
              <w:t>o</w:t>
            </w:r>
            <w:r w:rsidRPr="00465964">
              <w:rPr>
                <w:lang w:val="pt-PT"/>
              </w:rPr>
              <w:t>.</w:t>
            </w:r>
            <w:proofErr w:type="gramEnd"/>
          </w:p>
        </w:tc>
      </w:tr>
    </w:tbl>
    <w:p w14:paraId="2BB82D0A" w14:textId="2308DF3B" w:rsidR="00465964" w:rsidRPr="00465964" w:rsidRDefault="00465964" w:rsidP="00465964">
      <w:pPr>
        <w:rPr>
          <w:lang w:val="pt-PT"/>
        </w:rPr>
      </w:pPr>
      <w:r w:rsidRPr="00465964">
        <w:rPr>
          <w:lang w:val="pt-PT"/>
        </w:rPr>
        <w:t xml:space="preserve">Caso os emitentes de </w:t>
      </w:r>
      <w:r>
        <w:rPr>
          <w:lang w:val="pt-PT"/>
        </w:rPr>
        <w:t>criptomoedas</w:t>
      </w:r>
      <w:r w:rsidRPr="00465964">
        <w:rPr>
          <w:lang w:val="pt-PT"/>
        </w:rPr>
        <w:t xml:space="preserve"> referenciadas a ativos celebrem acordos conforme referido no primeiro parágrafo, alínea h), esses acordos devem ser estabelecidos num contrato com as entidades terceiras. As disposições contratuais em causa devem definir as funções, as responsabilidades, os direitos e as obrigações tanto dos emitentes de </w:t>
      </w:r>
      <w:r>
        <w:rPr>
          <w:lang w:val="pt-PT"/>
        </w:rPr>
        <w:t>criptomoedas</w:t>
      </w:r>
      <w:r w:rsidRPr="00465964">
        <w:rPr>
          <w:lang w:val="pt-PT"/>
        </w:rPr>
        <w:t xml:space="preserve"> referenciadas a ativos como das entidades terceiras. Toda e qualquer disposição contratual que envolva várias jurisdições deve estipular de forma inequívoca a lei aplicável.</w:t>
      </w:r>
    </w:p>
    <w:p w14:paraId="53A4B3F8" w14:textId="614793C0" w:rsidR="00465964" w:rsidRPr="00465964" w:rsidRDefault="00465964" w:rsidP="00465964">
      <w:pPr>
        <w:rPr>
          <w:lang w:val="pt-PT"/>
        </w:rPr>
      </w:pPr>
      <w:r w:rsidRPr="00465964">
        <w:rPr>
          <w:lang w:val="pt-PT"/>
        </w:rPr>
        <w:t>6.   A menos que tenham lançado um plano de reembolso referido no artigo 47.</w:t>
      </w:r>
      <w:r w:rsidRPr="00465964">
        <w:rPr>
          <w:vertAlign w:val="superscript"/>
          <w:lang w:val="pt-PT"/>
        </w:rPr>
        <w:t>o</w:t>
      </w:r>
      <w:r w:rsidRPr="00465964">
        <w:rPr>
          <w:lang w:val="pt-PT"/>
        </w:rPr>
        <w:t xml:space="preserve">, os emitentes de </w:t>
      </w:r>
      <w:r>
        <w:rPr>
          <w:lang w:val="pt-PT"/>
        </w:rPr>
        <w:t>criptomoedas</w:t>
      </w:r>
      <w:r w:rsidRPr="00465964">
        <w:rPr>
          <w:lang w:val="pt-PT"/>
        </w:rPr>
        <w:t xml:space="preserve"> referenciadas a ativos devem utilizar sistemas, recursos e procedimentos adequados e proporcionados para assegurar o desempenho contínuo e regular dos seus serviços e atividades. Para esse efeito, os emitentes de </w:t>
      </w:r>
      <w:r>
        <w:rPr>
          <w:lang w:val="pt-PT"/>
        </w:rPr>
        <w:t>criptomoedas</w:t>
      </w:r>
      <w:r w:rsidRPr="00465964">
        <w:rPr>
          <w:lang w:val="pt-PT"/>
        </w:rPr>
        <w:t xml:space="preserve"> referenciadas a ativos devem manter todos os seus sistemas e protocolos de acesso de segurança em conformidade com as normas adequadas da União.</w:t>
      </w:r>
    </w:p>
    <w:p w14:paraId="70991B0A" w14:textId="77777777" w:rsidR="00465964" w:rsidRPr="00465964" w:rsidRDefault="00465964" w:rsidP="00465964">
      <w:pPr>
        <w:rPr>
          <w:lang w:val="pt-PT"/>
        </w:rPr>
      </w:pPr>
      <w:r w:rsidRPr="00465964">
        <w:rPr>
          <w:lang w:val="pt-PT"/>
        </w:rPr>
        <w:t xml:space="preserve">7.   Se o emitente de uma </w:t>
      </w:r>
      <w:proofErr w:type="spellStart"/>
      <w:r w:rsidRPr="00465964">
        <w:rPr>
          <w:lang w:val="pt-PT"/>
        </w:rPr>
        <w:t>criptoficha</w:t>
      </w:r>
      <w:proofErr w:type="spellEnd"/>
      <w:r w:rsidRPr="00465964">
        <w:rPr>
          <w:lang w:val="pt-PT"/>
        </w:rPr>
        <w:t xml:space="preserve"> referenciada a ativos decidir interromper a prestação de serviços e atividades conexos, nomeadamente suspendendo a emissão da </w:t>
      </w:r>
      <w:proofErr w:type="spellStart"/>
      <w:r w:rsidRPr="00465964">
        <w:rPr>
          <w:lang w:val="pt-PT"/>
        </w:rPr>
        <w:t>criptoficha</w:t>
      </w:r>
      <w:proofErr w:type="spellEnd"/>
      <w:r w:rsidRPr="00465964">
        <w:rPr>
          <w:lang w:val="pt-PT"/>
        </w:rPr>
        <w:t xml:space="preserve"> </w:t>
      </w:r>
      <w:r w:rsidRPr="00465964">
        <w:rPr>
          <w:lang w:val="pt-PT"/>
        </w:rPr>
        <w:lastRenderedPageBreak/>
        <w:t>referenciada a ativos, deve apresentar um plano à autoridade competente para aprovação dessa interrupção.</w:t>
      </w:r>
    </w:p>
    <w:p w14:paraId="3CAF48B1" w14:textId="0D2DF9AD" w:rsidR="00465964" w:rsidRPr="00465964" w:rsidRDefault="00465964" w:rsidP="00465964">
      <w:pPr>
        <w:rPr>
          <w:lang w:val="pt-PT"/>
        </w:rPr>
      </w:pPr>
      <w:r w:rsidRPr="00465964">
        <w:rPr>
          <w:lang w:val="pt-PT"/>
        </w:rPr>
        <w:t xml:space="preserve">8.   Os emitentes de </w:t>
      </w:r>
      <w:r>
        <w:rPr>
          <w:lang w:val="pt-PT"/>
        </w:rPr>
        <w:t>criptomoedas</w:t>
      </w:r>
      <w:r w:rsidRPr="00465964">
        <w:rPr>
          <w:lang w:val="pt-PT"/>
        </w:rPr>
        <w:t xml:space="preserve"> referenciadas a ativos devem identificar as fontes de risco operacional e limitar esse risco através do desenvolvimento de sistemas, controlos e procedimentos adequados.</w:t>
      </w:r>
    </w:p>
    <w:p w14:paraId="2B848418" w14:textId="4680EF4C" w:rsidR="00465964" w:rsidRPr="00465964" w:rsidRDefault="00465964" w:rsidP="00465964">
      <w:pPr>
        <w:rPr>
          <w:lang w:val="pt-PT"/>
        </w:rPr>
      </w:pPr>
      <w:r w:rsidRPr="00465964">
        <w:rPr>
          <w:lang w:val="pt-PT"/>
        </w:rPr>
        <w:t xml:space="preserve">9.   Os emitentes de </w:t>
      </w:r>
      <w:r>
        <w:rPr>
          <w:lang w:val="pt-PT"/>
        </w:rPr>
        <w:t>criptomoedas</w:t>
      </w:r>
      <w:r w:rsidRPr="00465964">
        <w:rPr>
          <w:lang w:val="pt-PT"/>
        </w:rPr>
        <w:t xml:space="preserve"> referenciadas a ativos devem estabelecer uma política de continuidade das atividades e planos para garantir, no caso de uma interrupção dos seus sistemas e procedimentos de TIC, a preservação de dados e funções essenciais e a prossecução das suas atividades ou, se tal não for possível, a rápida recuperação desses dados e funções e o rápido reatamento das suas atividades.</w:t>
      </w:r>
    </w:p>
    <w:p w14:paraId="15CC65BD" w14:textId="1E641DB8" w:rsidR="00465964" w:rsidRPr="00465964" w:rsidRDefault="00465964" w:rsidP="00465964">
      <w:pPr>
        <w:rPr>
          <w:lang w:val="pt-PT"/>
        </w:rPr>
      </w:pPr>
      <w:r w:rsidRPr="00465964">
        <w:rPr>
          <w:lang w:val="pt-PT"/>
        </w:rPr>
        <w:t xml:space="preserve">10.   Os emitentes de </w:t>
      </w:r>
      <w:r>
        <w:rPr>
          <w:lang w:val="pt-PT"/>
        </w:rPr>
        <w:t>criptomoedas</w:t>
      </w:r>
      <w:r w:rsidRPr="00465964">
        <w:rPr>
          <w:lang w:val="pt-PT"/>
        </w:rPr>
        <w:t xml:space="preserve"> referenciadas a ativos devem dispor de mecanismos de controlo interno e de procedimentos eficazes para a gestão dos riscos, nomeadamente mecanismos eficazes de controlo e proteção para a gestão dos sistemas de TIC, conforme exigido pelo Regulamento (UE) 2022/2554 do Parlamento Europeu e do Conselho </w:t>
      </w:r>
      <w:hyperlink r:id="rId44" w:anchor="ntr37-L_2023150PT.01004001-E0037" w:history="1">
        <w:r w:rsidRPr="00465964">
          <w:rPr>
            <w:rStyle w:val="Hyperlink"/>
            <w:lang w:val="pt-PT"/>
          </w:rPr>
          <w:t>(</w:t>
        </w:r>
        <w:r w:rsidRPr="00465964">
          <w:rPr>
            <w:rStyle w:val="Hyperlink"/>
            <w:vertAlign w:val="superscript"/>
            <w:lang w:val="pt-PT"/>
          </w:rPr>
          <w:t>37</w:t>
        </w:r>
        <w:r w:rsidRPr="00465964">
          <w:rPr>
            <w:rStyle w:val="Hyperlink"/>
            <w:lang w:val="pt-PT"/>
          </w:rPr>
          <w:t>)</w:t>
        </w:r>
      </w:hyperlink>
      <w:r w:rsidRPr="00465964">
        <w:rPr>
          <w:lang w:val="pt-PT"/>
        </w:rPr>
        <w:t xml:space="preserve">. Os procedimentos devem prever uma avaliação abrangente da dependência de entidades terceiras, nos termos do </w:t>
      </w:r>
      <w:proofErr w:type="spellStart"/>
      <w:r w:rsidRPr="00465964">
        <w:rPr>
          <w:lang w:val="pt-PT"/>
        </w:rPr>
        <w:t>n.</w:t>
      </w:r>
      <w:r w:rsidRPr="00465964">
        <w:rPr>
          <w:vertAlign w:val="superscript"/>
          <w:lang w:val="pt-PT"/>
        </w:rPr>
        <w:t>o</w:t>
      </w:r>
      <w:proofErr w:type="spellEnd"/>
      <w:r w:rsidRPr="00465964">
        <w:rPr>
          <w:lang w:val="pt-PT"/>
        </w:rPr>
        <w:t xml:space="preserve"> 5, primeiro parágrafo, alínea h), do presente artigo. Os emitentes de </w:t>
      </w:r>
      <w:r>
        <w:rPr>
          <w:lang w:val="pt-PT"/>
        </w:rPr>
        <w:t>criptomoedas</w:t>
      </w:r>
      <w:r w:rsidRPr="00465964">
        <w:rPr>
          <w:lang w:val="pt-PT"/>
        </w:rPr>
        <w:t xml:space="preserve"> referenciadas a ativos devem acompanhar e avaliar regularmente a adequação e a eficácia dos mecanismos de controlo interno e dos procedimentos para a avaliação dos riscos, e tomar medidas adequadas para corrigir quaisquer deficiências a este respeito.</w:t>
      </w:r>
    </w:p>
    <w:p w14:paraId="5D67AF0B" w14:textId="5F586979" w:rsidR="00465964" w:rsidRPr="00465964" w:rsidRDefault="00465964" w:rsidP="00465964">
      <w:pPr>
        <w:rPr>
          <w:lang w:val="pt-PT"/>
        </w:rPr>
      </w:pPr>
      <w:r w:rsidRPr="00465964">
        <w:rPr>
          <w:lang w:val="pt-PT"/>
        </w:rPr>
        <w:t xml:space="preserve">11.   Os emitentes de </w:t>
      </w:r>
      <w:r>
        <w:rPr>
          <w:lang w:val="pt-PT"/>
        </w:rPr>
        <w:t>criptomoedas</w:t>
      </w:r>
      <w:r w:rsidRPr="00465964">
        <w:rPr>
          <w:lang w:val="pt-PT"/>
        </w:rPr>
        <w:t xml:space="preserve"> referenciadas a ativos devem dispor de sistemas e procedimentos adequados que garantam a disponibilidade, autenticidade, integridade e confidencialidade dos dados, conforme exigido pelo Regulamento (UE) 2022/2554 e em consonância com o Regulamento (UE) 2016/679. Esses sistemas devem registar e proteger as informações e os dados pertinentes recolhidos e produzidos no âmbito das atividades dos emitentes.</w:t>
      </w:r>
    </w:p>
    <w:p w14:paraId="6DB3195A" w14:textId="09250933" w:rsidR="00465964" w:rsidRPr="00465964" w:rsidRDefault="00465964" w:rsidP="00465964">
      <w:pPr>
        <w:rPr>
          <w:lang w:val="pt-PT"/>
        </w:rPr>
      </w:pPr>
      <w:r w:rsidRPr="00465964">
        <w:rPr>
          <w:lang w:val="pt-PT"/>
        </w:rPr>
        <w:t xml:space="preserve">12.   Os emitentes de </w:t>
      </w:r>
      <w:r>
        <w:rPr>
          <w:lang w:val="pt-PT"/>
        </w:rPr>
        <w:t>criptomoedas</w:t>
      </w:r>
      <w:r w:rsidRPr="00465964">
        <w:rPr>
          <w:lang w:val="pt-PT"/>
        </w:rPr>
        <w:t xml:space="preserve"> referenciadas a ativos devem assegurar que são regularmente auditados por auditores independentes. Os resultados dessas auditorias devem ser comunicados ao órgão de administração do emitente em causa e disponibilizados à autoridade competente.</w:t>
      </w:r>
    </w:p>
    <w:p w14:paraId="0AE0822B" w14:textId="77777777" w:rsidR="00465964" w:rsidRPr="00465964" w:rsidRDefault="00465964" w:rsidP="00465964">
      <w:pPr>
        <w:rPr>
          <w:lang w:val="pt-PT"/>
        </w:rPr>
      </w:pPr>
      <w:r w:rsidRPr="00465964">
        <w:rPr>
          <w:lang w:val="pt-PT"/>
        </w:rPr>
        <w:t>13.   Até 30 de junho de 2024, a EBA, em estreita cooperação com a ESMA e o BCE, emite orientações em conformidade com o artigo 16.</w:t>
      </w:r>
      <w:r w:rsidRPr="00465964">
        <w:rPr>
          <w:vertAlign w:val="superscript"/>
          <w:lang w:val="pt-PT"/>
        </w:rPr>
        <w:t>o</w:t>
      </w:r>
      <w:r w:rsidRPr="00465964">
        <w:rPr>
          <w:lang w:val="pt-PT"/>
        </w:rPr>
        <w:t xml:space="preserve"> do Regulamento (UE) </w:t>
      </w:r>
      <w:proofErr w:type="spellStart"/>
      <w:r w:rsidRPr="00465964">
        <w:rPr>
          <w:lang w:val="pt-PT"/>
        </w:rPr>
        <w:t>n.</w:t>
      </w:r>
      <w:r w:rsidRPr="00465964">
        <w:rPr>
          <w:vertAlign w:val="superscript"/>
          <w:lang w:val="pt-PT"/>
        </w:rPr>
        <w:t>o</w:t>
      </w:r>
      <w:proofErr w:type="spellEnd"/>
      <w:r w:rsidRPr="00465964">
        <w:rPr>
          <w:lang w:val="pt-PT"/>
        </w:rPr>
        <w:t> 1093/2010 que especifiquem o conteúdo mínimo dos mecanismos de governação quanto:</w:t>
      </w:r>
    </w:p>
    <w:tbl>
      <w:tblPr>
        <w:tblW w:w="5000" w:type="pct"/>
        <w:tblCellMar>
          <w:left w:w="0" w:type="dxa"/>
          <w:right w:w="0" w:type="dxa"/>
        </w:tblCellMar>
        <w:tblLook w:val="04A0" w:firstRow="1" w:lastRow="0" w:firstColumn="1" w:lastColumn="0" w:noHBand="0" w:noVBand="1"/>
      </w:tblPr>
      <w:tblGrid>
        <w:gridCol w:w="232"/>
        <w:gridCol w:w="8794"/>
      </w:tblGrid>
      <w:tr w:rsidR="00465964" w:rsidRPr="00465964" w14:paraId="40CA6467" w14:textId="77777777" w:rsidTr="00465964">
        <w:tc>
          <w:tcPr>
            <w:tcW w:w="0" w:type="auto"/>
            <w:shd w:val="clear" w:color="auto" w:fill="auto"/>
            <w:hideMark/>
          </w:tcPr>
          <w:p w14:paraId="61EE5175" w14:textId="77777777" w:rsidR="00465964" w:rsidRPr="00465964" w:rsidRDefault="00465964" w:rsidP="00465964">
            <w:r w:rsidRPr="00465964">
              <w:t>a)</w:t>
            </w:r>
          </w:p>
        </w:tc>
        <w:tc>
          <w:tcPr>
            <w:tcW w:w="0" w:type="auto"/>
            <w:shd w:val="clear" w:color="auto" w:fill="auto"/>
            <w:hideMark/>
          </w:tcPr>
          <w:p w14:paraId="0EB7EB4B" w14:textId="77777777" w:rsidR="00465964" w:rsidRPr="00465964" w:rsidRDefault="00465964" w:rsidP="00465964">
            <w:pPr>
              <w:rPr>
                <w:lang w:val="pt-PT"/>
              </w:rPr>
            </w:pPr>
            <w:r w:rsidRPr="00465964">
              <w:rPr>
                <w:lang w:val="pt-PT"/>
              </w:rPr>
              <w:t xml:space="preserve">Aos instrumentos de acompanhamento dos riscos a que se refere o </w:t>
            </w:r>
            <w:proofErr w:type="spellStart"/>
            <w:r w:rsidRPr="00465964">
              <w:rPr>
                <w:lang w:val="pt-PT"/>
              </w:rPr>
              <w:t>n.</w:t>
            </w:r>
            <w:r w:rsidRPr="00465964">
              <w:rPr>
                <w:vertAlign w:val="superscript"/>
                <w:lang w:val="pt-PT"/>
              </w:rPr>
              <w:t>o</w:t>
            </w:r>
            <w:proofErr w:type="spellEnd"/>
            <w:r w:rsidRPr="00465964">
              <w:rPr>
                <w:lang w:val="pt-PT"/>
              </w:rPr>
              <w:t> 8;</w:t>
            </w:r>
          </w:p>
        </w:tc>
      </w:tr>
    </w:tbl>
    <w:p w14:paraId="2F7A9A30"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276"/>
        <w:gridCol w:w="8750"/>
      </w:tblGrid>
      <w:tr w:rsidR="00465964" w:rsidRPr="00465964" w14:paraId="3C9B0594" w14:textId="77777777" w:rsidTr="00465964">
        <w:tc>
          <w:tcPr>
            <w:tcW w:w="0" w:type="auto"/>
            <w:shd w:val="clear" w:color="auto" w:fill="auto"/>
            <w:hideMark/>
          </w:tcPr>
          <w:p w14:paraId="0D79E3F4" w14:textId="77777777" w:rsidR="00465964" w:rsidRPr="00465964" w:rsidRDefault="00465964" w:rsidP="00465964">
            <w:r w:rsidRPr="00465964">
              <w:t>b)</w:t>
            </w:r>
          </w:p>
        </w:tc>
        <w:tc>
          <w:tcPr>
            <w:tcW w:w="0" w:type="auto"/>
            <w:shd w:val="clear" w:color="auto" w:fill="auto"/>
            <w:hideMark/>
          </w:tcPr>
          <w:p w14:paraId="182ACA2E" w14:textId="77777777" w:rsidR="00465964" w:rsidRPr="00465964" w:rsidRDefault="00465964" w:rsidP="00465964">
            <w:pPr>
              <w:rPr>
                <w:lang w:val="pt-PT"/>
              </w:rPr>
            </w:pPr>
            <w:r w:rsidRPr="00465964">
              <w:rPr>
                <w:lang w:val="pt-PT"/>
              </w:rPr>
              <w:t xml:space="preserve">Ao plano de continuidade das atividades a que se refere o </w:t>
            </w:r>
            <w:proofErr w:type="spellStart"/>
            <w:r w:rsidRPr="00465964">
              <w:rPr>
                <w:lang w:val="pt-PT"/>
              </w:rPr>
              <w:t>n.</w:t>
            </w:r>
            <w:r w:rsidRPr="00465964">
              <w:rPr>
                <w:vertAlign w:val="superscript"/>
                <w:lang w:val="pt-PT"/>
              </w:rPr>
              <w:t>o</w:t>
            </w:r>
            <w:proofErr w:type="spellEnd"/>
            <w:r w:rsidRPr="00465964">
              <w:rPr>
                <w:lang w:val="pt-PT"/>
              </w:rPr>
              <w:t> 9;</w:t>
            </w:r>
          </w:p>
        </w:tc>
      </w:tr>
    </w:tbl>
    <w:p w14:paraId="2231C174"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275"/>
        <w:gridCol w:w="8751"/>
      </w:tblGrid>
      <w:tr w:rsidR="00465964" w:rsidRPr="00465964" w14:paraId="4303BFF9" w14:textId="77777777" w:rsidTr="00465964">
        <w:tc>
          <w:tcPr>
            <w:tcW w:w="0" w:type="auto"/>
            <w:shd w:val="clear" w:color="auto" w:fill="auto"/>
            <w:hideMark/>
          </w:tcPr>
          <w:p w14:paraId="69D74BF1" w14:textId="77777777" w:rsidR="00465964" w:rsidRPr="00465964" w:rsidRDefault="00465964" w:rsidP="00465964">
            <w:r w:rsidRPr="00465964">
              <w:t>c)</w:t>
            </w:r>
          </w:p>
        </w:tc>
        <w:tc>
          <w:tcPr>
            <w:tcW w:w="0" w:type="auto"/>
            <w:shd w:val="clear" w:color="auto" w:fill="auto"/>
            <w:hideMark/>
          </w:tcPr>
          <w:p w14:paraId="03893D5D" w14:textId="77777777" w:rsidR="00465964" w:rsidRPr="00465964" w:rsidRDefault="00465964" w:rsidP="00465964">
            <w:pPr>
              <w:rPr>
                <w:lang w:val="pt-PT"/>
              </w:rPr>
            </w:pPr>
            <w:r w:rsidRPr="00465964">
              <w:rPr>
                <w:lang w:val="pt-PT"/>
              </w:rPr>
              <w:t xml:space="preserve">Aos mecanismos de controlo interno a que se refere o </w:t>
            </w:r>
            <w:proofErr w:type="spellStart"/>
            <w:r w:rsidRPr="00465964">
              <w:rPr>
                <w:lang w:val="pt-PT"/>
              </w:rPr>
              <w:t>n.</w:t>
            </w:r>
            <w:r w:rsidRPr="00465964">
              <w:rPr>
                <w:vertAlign w:val="superscript"/>
                <w:lang w:val="pt-PT"/>
              </w:rPr>
              <w:t>o</w:t>
            </w:r>
            <w:proofErr w:type="spellEnd"/>
            <w:r w:rsidRPr="00465964">
              <w:rPr>
                <w:lang w:val="pt-PT"/>
              </w:rPr>
              <w:t> 10;</w:t>
            </w:r>
          </w:p>
        </w:tc>
      </w:tr>
    </w:tbl>
    <w:p w14:paraId="01E88D3A"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8"/>
        <w:gridCol w:w="8838"/>
      </w:tblGrid>
      <w:tr w:rsidR="00465964" w:rsidRPr="00465964" w14:paraId="107324E3" w14:textId="77777777" w:rsidTr="00465964">
        <w:tc>
          <w:tcPr>
            <w:tcW w:w="0" w:type="auto"/>
            <w:shd w:val="clear" w:color="auto" w:fill="auto"/>
            <w:hideMark/>
          </w:tcPr>
          <w:p w14:paraId="517E8E69" w14:textId="77777777" w:rsidR="00465964" w:rsidRPr="00465964" w:rsidRDefault="00465964" w:rsidP="00465964">
            <w:r w:rsidRPr="00465964">
              <w:t>d)</w:t>
            </w:r>
          </w:p>
        </w:tc>
        <w:tc>
          <w:tcPr>
            <w:tcW w:w="0" w:type="auto"/>
            <w:shd w:val="clear" w:color="auto" w:fill="auto"/>
            <w:hideMark/>
          </w:tcPr>
          <w:p w14:paraId="7F2A2FA7" w14:textId="77777777" w:rsidR="00465964" w:rsidRPr="00465964" w:rsidRDefault="00465964" w:rsidP="00465964">
            <w:pPr>
              <w:rPr>
                <w:lang w:val="pt-PT"/>
              </w:rPr>
            </w:pPr>
            <w:r w:rsidRPr="00465964">
              <w:rPr>
                <w:lang w:val="pt-PT"/>
              </w:rPr>
              <w:t xml:space="preserve">Às auditorias a que se refere o </w:t>
            </w:r>
            <w:proofErr w:type="spellStart"/>
            <w:r w:rsidRPr="00465964">
              <w:rPr>
                <w:lang w:val="pt-PT"/>
              </w:rPr>
              <w:t>n.</w:t>
            </w:r>
            <w:r w:rsidRPr="00465964">
              <w:rPr>
                <w:vertAlign w:val="superscript"/>
                <w:lang w:val="pt-PT"/>
              </w:rPr>
              <w:t>o</w:t>
            </w:r>
            <w:proofErr w:type="spellEnd"/>
            <w:r w:rsidRPr="00465964">
              <w:rPr>
                <w:lang w:val="pt-PT"/>
              </w:rPr>
              <w:t> 12, incluindo a documentação mínima que deve ser utilizada aquando da auditoria.</w:t>
            </w:r>
          </w:p>
        </w:tc>
      </w:tr>
    </w:tbl>
    <w:p w14:paraId="2C5ADED3" w14:textId="77777777" w:rsidR="00465964" w:rsidRPr="00465964" w:rsidRDefault="00465964" w:rsidP="00465964">
      <w:pPr>
        <w:rPr>
          <w:lang w:val="pt-PT"/>
        </w:rPr>
      </w:pPr>
      <w:r w:rsidRPr="00465964">
        <w:rPr>
          <w:lang w:val="pt-PT"/>
        </w:rPr>
        <w:t>Ao emitir as orientações a que se refere o primeiro parágrafo, a EBA tem em conta as disposições relativas aos requisitos de governação previstos noutros atos legislativos da União em matéria de serviços financeiros, incluindo a Diretiva 2014/65/UE.</w:t>
      </w:r>
    </w:p>
    <w:p w14:paraId="35230DA2" w14:textId="77777777" w:rsidR="00465964" w:rsidRPr="00465964" w:rsidRDefault="00465964" w:rsidP="00465964">
      <w:pPr>
        <w:rPr>
          <w:i/>
          <w:iCs/>
          <w:lang w:val="pt-PT"/>
        </w:rPr>
      </w:pPr>
      <w:r w:rsidRPr="00465964">
        <w:rPr>
          <w:i/>
          <w:iCs/>
          <w:lang w:val="pt-PT"/>
        </w:rPr>
        <w:t>Artigo 35.</w:t>
      </w:r>
      <w:r w:rsidRPr="00465964">
        <w:rPr>
          <w:i/>
          <w:iCs/>
          <w:vertAlign w:val="superscript"/>
          <w:lang w:val="pt-PT"/>
        </w:rPr>
        <w:t>o</w:t>
      </w:r>
    </w:p>
    <w:p w14:paraId="1CCED68C" w14:textId="77777777" w:rsidR="00465964" w:rsidRPr="00465964" w:rsidRDefault="00465964" w:rsidP="00465964">
      <w:pPr>
        <w:rPr>
          <w:b/>
          <w:bCs/>
          <w:lang w:val="pt-PT"/>
        </w:rPr>
      </w:pPr>
      <w:r w:rsidRPr="00465964">
        <w:rPr>
          <w:b/>
          <w:bCs/>
          <w:lang w:val="pt-PT"/>
        </w:rPr>
        <w:lastRenderedPageBreak/>
        <w:t>Requisitos de fundos próprios</w:t>
      </w:r>
    </w:p>
    <w:p w14:paraId="46097267" w14:textId="340BD798" w:rsidR="00465964" w:rsidRPr="00465964" w:rsidRDefault="00465964" w:rsidP="00465964">
      <w:pPr>
        <w:rPr>
          <w:lang w:val="pt-PT"/>
        </w:rPr>
      </w:pPr>
      <w:r w:rsidRPr="00465964">
        <w:rPr>
          <w:lang w:val="pt-PT"/>
        </w:rPr>
        <w:t xml:space="preserve">1.   Os emitentes de </w:t>
      </w:r>
      <w:r>
        <w:rPr>
          <w:lang w:val="pt-PT"/>
        </w:rPr>
        <w:t>criptomoedas</w:t>
      </w:r>
      <w:r w:rsidRPr="00465964">
        <w:rPr>
          <w:lang w:val="pt-PT"/>
        </w:rPr>
        <w:t xml:space="preserve"> referenciadas a ativos devem, a todo o tempo, dispor de fundos próprios equivalentes a um montante pelo menos igual ao mais elevado dos seguintes montantes:</w:t>
      </w:r>
    </w:p>
    <w:tbl>
      <w:tblPr>
        <w:tblW w:w="5000" w:type="pct"/>
        <w:tblCellMar>
          <w:left w:w="0" w:type="dxa"/>
          <w:right w:w="0" w:type="dxa"/>
        </w:tblCellMar>
        <w:tblLook w:val="04A0" w:firstRow="1" w:lastRow="0" w:firstColumn="1" w:lastColumn="0" w:noHBand="0" w:noVBand="1"/>
      </w:tblPr>
      <w:tblGrid>
        <w:gridCol w:w="1138"/>
        <w:gridCol w:w="7888"/>
      </w:tblGrid>
      <w:tr w:rsidR="00465964" w:rsidRPr="00465964" w14:paraId="6F06E9DA" w14:textId="77777777" w:rsidTr="00465964">
        <w:tc>
          <w:tcPr>
            <w:tcW w:w="0" w:type="auto"/>
            <w:shd w:val="clear" w:color="auto" w:fill="auto"/>
            <w:hideMark/>
          </w:tcPr>
          <w:p w14:paraId="7376C670" w14:textId="77777777" w:rsidR="00465964" w:rsidRPr="00465964" w:rsidRDefault="00465964" w:rsidP="00465964">
            <w:r w:rsidRPr="00465964">
              <w:t>a)</w:t>
            </w:r>
          </w:p>
        </w:tc>
        <w:tc>
          <w:tcPr>
            <w:tcW w:w="0" w:type="auto"/>
            <w:shd w:val="clear" w:color="auto" w:fill="auto"/>
            <w:hideMark/>
          </w:tcPr>
          <w:p w14:paraId="2EA79B8B" w14:textId="77777777" w:rsidR="00465964" w:rsidRPr="00465964" w:rsidRDefault="00465964" w:rsidP="00465964">
            <w:r w:rsidRPr="00465964">
              <w:t>350 000 EUR;</w:t>
            </w:r>
          </w:p>
        </w:tc>
      </w:tr>
    </w:tbl>
    <w:p w14:paraId="77463F89"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242"/>
        <w:gridCol w:w="8784"/>
      </w:tblGrid>
      <w:tr w:rsidR="00465964" w:rsidRPr="00465964" w14:paraId="1BEBB3A0" w14:textId="77777777" w:rsidTr="00465964">
        <w:tc>
          <w:tcPr>
            <w:tcW w:w="0" w:type="auto"/>
            <w:shd w:val="clear" w:color="auto" w:fill="auto"/>
            <w:hideMark/>
          </w:tcPr>
          <w:p w14:paraId="5D0067F9" w14:textId="77777777" w:rsidR="00465964" w:rsidRPr="00465964" w:rsidRDefault="00465964" w:rsidP="00465964">
            <w:r w:rsidRPr="00465964">
              <w:t>b)</w:t>
            </w:r>
          </w:p>
        </w:tc>
        <w:tc>
          <w:tcPr>
            <w:tcW w:w="0" w:type="auto"/>
            <w:shd w:val="clear" w:color="auto" w:fill="auto"/>
            <w:hideMark/>
          </w:tcPr>
          <w:p w14:paraId="73A1A960" w14:textId="77777777" w:rsidR="00465964" w:rsidRPr="00465964" w:rsidRDefault="00465964" w:rsidP="00465964">
            <w:pPr>
              <w:rPr>
                <w:lang w:val="pt-PT"/>
              </w:rPr>
            </w:pPr>
            <w:r w:rsidRPr="00465964">
              <w:rPr>
                <w:lang w:val="pt-PT"/>
              </w:rPr>
              <w:t>2 % do montante médio da reserva de ativos a que se refere o artigo 36.</w:t>
            </w:r>
            <w:r w:rsidRPr="00465964">
              <w:rPr>
                <w:vertAlign w:val="superscript"/>
                <w:lang w:val="pt-PT"/>
              </w:rPr>
              <w:t>o</w:t>
            </w:r>
            <w:r w:rsidRPr="00465964">
              <w:rPr>
                <w:lang w:val="pt-PT"/>
              </w:rPr>
              <w:t>;</w:t>
            </w:r>
          </w:p>
        </w:tc>
      </w:tr>
    </w:tbl>
    <w:p w14:paraId="3C56BC65"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315"/>
        <w:gridCol w:w="8711"/>
      </w:tblGrid>
      <w:tr w:rsidR="00465964" w:rsidRPr="00465964" w14:paraId="2AE5A7B3" w14:textId="77777777" w:rsidTr="00465964">
        <w:tc>
          <w:tcPr>
            <w:tcW w:w="0" w:type="auto"/>
            <w:shd w:val="clear" w:color="auto" w:fill="auto"/>
            <w:hideMark/>
          </w:tcPr>
          <w:p w14:paraId="66863C2A" w14:textId="77777777" w:rsidR="00465964" w:rsidRPr="00465964" w:rsidRDefault="00465964" w:rsidP="00465964">
            <w:r w:rsidRPr="00465964">
              <w:t>c)</w:t>
            </w:r>
          </w:p>
        </w:tc>
        <w:tc>
          <w:tcPr>
            <w:tcW w:w="0" w:type="auto"/>
            <w:shd w:val="clear" w:color="auto" w:fill="auto"/>
            <w:hideMark/>
          </w:tcPr>
          <w:p w14:paraId="46BF106B" w14:textId="77777777" w:rsidR="00465964" w:rsidRPr="00465964" w:rsidRDefault="00465964" w:rsidP="00465964">
            <w:pPr>
              <w:rPr>
                <w:lang w:val="pt-PT"/>
              </w:rPr>
            </w:pPr>
            <w:r w:rsidRPr="00465964">
              <w:rPr>
                <w:lang w:val="pt-PT"/>
              </w:rPr>
              <w:t>Um quarto das despesas gerais fixas do ano anterior.</w:t>
            </w:r>
          </w:p>
        </w:tc>
      </w:tr>
    </w:tbl>
    <w:p w14:paraId="475F34CD" w14:textId="77777777" w:rsidR="00465964" w:rsidRPr="00465964" w:rsidRDefault="00465964" w:rsidP="00465964">
      <w:pPr>
        <w:rPr>
          <w:lang w:val="pt-PT"/>
        </w:rPr>
      </w:pPr>
      <w:r w:rsidRPr="00465964">
        <w:rPr>
          <w:lang w:val="pt-PT"/>
        </w:rPr>
        <w:t>Para efeitos da alínea b) do primeiro parágrafo, entende-se por «montante médio da reserva de ativos» o montante médio dos ativos de reserva no final de cada dia de calendário, calculado ao longo dos últimos seis meses.</w:t>
      </w:r>
    </w:p>
    <w:p w14:paraId="2A796DD9" w14:textId="77777777" w:rsidR="00465964" w:rsidRPr="00465964" w:rsidRDefault="00465964" w:rsidP="00465964">
      <w:pPr>
        <w:rPr>
          <w:lang w:val="pt-PT"/>
        </w:rPr>
      </w:pPr>
      <w:r w:rsidRPr="00465964">
        <w:rPr>
          <w:lang w:val="pt-PT"/>
        </w:rPr>
        <w:t xml:space="preserve">Caso um emitente ofereça mais do que uma </w:t>
      </w:r>
      <w:proofErr w:type="spellStart"/>
      <w:r w:rsidRPr="00465964">
        <w:rPr>
          <w:lang w:val="pt-PT"/>
        </w:rPr>
        <w:t>criptoficha</w:t>
      </w:r>
      <w:proofErr w:type="spellEnd"/>
      <w:r w:rsidRPr="00465964">
        <w:rPr>
          <w:lang w:val="pt-PT"/>
        </w:rPr>
        <w:t xml:space="preserve"> referenciada a ativos, o montante referido na alínea b) do primeiro parágrafo é a soma do montante médio dos ativos de reserva subjacentes a cada </w:t>
      </w:r>
      <w:proofErr w:type="spellStart"/>
      <w:r w:rsidRPr="00465964">
        <w:rPr>
          <w:lang w:val="pt-PT"/>
        </w:rPr>
        <w:t>criptoficha</w:t>
      </w:r>
      <w:proofErr w:type="spellEnd"/>
      <w:r w:rsidRPr="00465964">
        <w:rPr>
          <w:lang w:val="pt-PT"/>
        </w:rPr>
        <w:t xml:space="preserve"> referenciada a ativos.</w:t>
      </w:r>
    </w:p>
    <w:p w14:paraId="0F77DB5A" w14:textId="77777777" w:rsidR="00465964" w:rsidRPr="00465964" w:rsidRDefault="00465964" w:rsidP="00465964">
      <w:pPr>
        <w:rPr>
          <w:lang w:val="pt-PT"/>
        </w:rPr>
      </w:pPr>
      <w:r w:rsidRPr="00465964">
        <w:rPr>
          <w:lang w:val="pt-PT"/>
        </w:rPr>
        <w:t>O montante a que se refere a alínea c) do primeiro parágrafo é revisto anualmente e calculado em conformidade com o artigo 67.</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3.</w:t>
      </w:r>
    </w:p>
    <w:p w14:paraId="0426C40C" w14:textId="77777777" w:rsidR="00465964" w:rsidRPr="00465964" w:rsidRDefault="00465964" w:rsidP="00465964">
      <w:pPr>
        <w:rPr>
          <w:lang w:val="pt-PT"/>
        </w:rPr>
      </w:pPr>
      <w:r w:rsidRPr="00465964">
        <w:rPr>
          <w:lang w:val="pt-PT"/>
        </w:rPr>
        <w:t xml:space="preserve">2.   Os fundos próprios referidos no </w:t>
      </w:r>
      <w:proofErr w:type="spellStart"/>
      <w:r w:rsidRPr="00465964">
        <w:rPr>
          <w:lang w:val="pt-PT"/>
        </w:rPr>
        <w:t>n.</w:t>
      </w:r>
      <w:proofErr w:type="gramStart"/>
      <w:r w:rsidRPr="00465964">
        <w:rPr>
          <w:vertAlign w:val="superscript"/>
          <w:lang w:val="pt-PT"/>
        </w:rPr>
        <w:t>o</w:t>
      </w:r>
      <w:proofErr w:type="spellEnd"/>
      <w:r w:rsidRPr="00465964">
        <w:rPr>
          <w:lang w:val="pt-PT"/>
        </w:rPr>
        <w:t> 1 do presente artigo consistem</w:t>
      </w:r>
      <w:proofErr w:type="gramEnd"/>
      <w:r w:rsidRPr="00465964">
        <w:rPr>
          <w:lang w:val="pt-PT"/>
        </w:rPr>
        <w:t xml:space="preserve"> nos elementos e instrumentos de fundos próprios principais de nível 1 mencionados nos artigos 26.</w:t>
      </w:r>
      <w:r w:rsidRPr="00465964">
        <w:rPr>
          <w:vertAlign w:val="superscript"/>
          <w:lang w:val="pt-PT"/>
        </w:rPr>
        <w:t>o</w:t>
      </w:r>
      <w:r w:rsidRPr="00465964">
        <w:rPr>
          <w:lang w:val="pt-PT"/>
        </w:rPr>
        <w:t> a 30.</w:t>
      </w:r>
      <w:r w:rsidRPr="00465964">
        <w:rPr>
          <w:vertAlign w:val="superscript"/>
          <w:lang w:val="pt-PT"/>
        </w:rPr>
        <w:t>o</w:t>
      </w:r>
      <w:r w:rsidRPr="00465964">
        <w:rPr>
          <w:lang w:val="pt-PT"/>
        </w:rPr>
        <w:t xml:space="preserve"> do Regulamento (UE) </w:t>
      </w:r>
      <w:proofErr w:type="spellStart"/>
      <w:r w:rsidRPr="00465964">
        <w:rPr>
          <w:lang w:val="pt-PT"/>
        </w:rPr>
        <w:t>n.</w:t>
      </w:r>
      <w:r w:rsidRPr="00465964">
        <w:rPr>
          <w:vertAlign w:val="superscript"/>
          <w:lang w:val="pt-PT"/>
        </w:rPr>
        <w:t>o</w:t>
      </w:r>
      <w:proofErr w:type="spellEnd"/>
      <w:r w:rsidRPr="00465964">
        <w:rPr>
          <w:lang w:val="pt-PT"/>
        </w:rPr>
        <w:t> 575/2013 após as deduções na íntegra, nos termos do artigo 36.</w:t>
      </w:r>
      <w:r w:rsidRPr="00465964">
        <w:rPr>
          <w:vertAlign w:val="superscript"/>
          <w:lang w:val="pt-PT"/>
        </w:rPr>
        <w:t>o</w:t>
      </w:r>
      <w:r w:rsidRPr="00465964">
        <w:rPr>
          <w:lang w:val="pt-PT"/>
        </w:rPr>
        <w:t> do referido regulamento, sem a aplicação dos limiares de isenção referidos no artigo 46.</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4, e no artigo 48.</w:t>
      </w:r>
      <w:r w:rsidRPr="00465964">
        <w:rPr>
          <w:vertAlign w:val="superscript"/>
          <w:lang w:val="pt-PT"/>
        </w:rPr>
        <w:t>o</w:t>
      </w:r>
      <w:r w:rsidRPr="00465964">
        <w:rPr>
          <w:lang w:val="pt-PT"/>
        </w:rPr>
        <w:t> desse regulamento.</w:t>
      </w:r>
    </w:p>
    <w:p w14:paraId="5E3BA440" w14:textId="77777777" w:rsidR="00465964" w:rsidRPr="00465964" w:rsidRDefault="00465964" w:rsidP="00465964">
      <w:pPr>
        <w:rPr>
          <w:lang w:val="pt-PT"/>
        </w:rPr>
      </w:pPr>
      <w:r w:rsidRPr="00465964">
        <w:rPr>
          <w:lang w:val="pt-PT"/>
        </w:rPr>
        <w:t xml:space="preserve">3.   A autoridade competente do Estado-Membro de origem pode exigir que um emitente de uma </w:t>
      </w:r>
      <w:proofErr w:type="spellStart"/>
      <w:r w:rsidRPr="00465964">
        <w:rPr>
          <w:lang w:val="pt-PT"/>
        </w:rPr>
        <w:t>criptoficha</w:t>
      </w:r>
      <w:proofErr w:type="spellEnd"/>
      <w:r w:rsidRPr="00465964">
        <w:rPr>
          <w:lang w:val="pt-PT"/>
        </w:rPr>
        <w:t xml:space="preserve"> referenciada a ativos detenha um montante de fundos próprios até 20 % superior ao montante resultante da aplicação do </w:t>
      </w:r>
      <w:proofErr w:type="spellStart"/>
      <w:r w:rsidRPr="00465964">
        <w:rPr>
          <w:lang w:val="pt-PT"/>
        </w:rPr>
        <w:t>n.</w:t>
      </w:r>
      <w:r w:rsidRPr="00465964">
        <w:rPr>
          <w:vertAlign w:val="superscript"/>
          <w:lang w:val="pt-PT"/>
        </w:rPr>
        <w:t>o</w:t>
      </w:r>
      <w:proofErr w:type="spellEnd"/>
      <w:r w:rsidRPr="00465964">
        <w:rPr>
          <w:lang w:val="pt-PT"/>
        </w:rPr>
        <w:t> 1, primeiro parágrafo, alínea b), sempre que uma avaliação de qualquer um dos seguintes elementos indique um grau de risco superior:</w:t>
      </w:r>
    </w:p>
    <w:tbl>
      <w:tblPr>
        <w:tblW w:w="5000" w:type="pct"/>
        <w:tblCellMar>
          <w:left w:w="0" w:type="dxa"/>
          <w:right w:w="0" w:type="dxa"/>
        </w:tblCellMar>
        <w:tblLook w:val="04A0" w:firstRow="1" w:lastRow="0" w:firstColumn="1" w:lastColumn="0" w:noHBand="0" w:noVBand="1"/>
      </w:tblPr>
      <w:tblGrid>
        <w:gridCol w:w="182"/>
        <w:gridCol w:w="8844"/>
      </w:tblGrid>
      <w:tr w:rsidR="00465964" w:rsidRPr="00465964" w14:paraId="6537C49A" w14:textId="77777777" w:rsidTr="00465964">
        <w:tc>
          <w:tcPr>
            <w:tcW w:w="0" w:type="auto"/>
            <w:shd w:val="clear" w:color="auto" w:fill="auto"/>
            <w:hideMark/>
          </w:tcPr>
          <w:p w14:paraId="31190551" w14:textId="77777777" w:rsidR="00465964" w:rsidRPr="00465964" w:rsidRDefault="00465964" w:rsidP="00465964">
            <w:r w:rsidRPr="00465964">
              <w:t>a)</w:t>
            </w:r>
          </w:p>
        </w:tc>
        <w:tc>
          <w:tcPr>
            <w:tcW w:w="0" w:type="auto"/>
            <w:shd w:val="clear" w:color="auto" w:fill="auto"/>
            <w:hideMark/>
          </w:tcPr>
          <w:p w14:paraId="27EDB4A4" w14:textId="77777777" w:rsidR="00465964" w:rsidRPr="00465964" w:rsidRDefault="00465964" w:rsidP="00465964">
            <w:pPr>
              <w:rPr>
                <w:lang w:val="pt-PT"/>
              </w:rPr>
            </w:pPr>
            <w:r w:rsidRPr="00465964">
              <w:rPr>
                <w:lang w:val="pt-PT"/>
              </w:rPr>
              <w:t xml:space="preserve">A avaliação dos processos de gestão de riscos e dos mecanismos de controlo interno do emitente da </w:t>
            </w:r>
            <w:proofErr w:type="spellStart"/>
            <w:r w:rsidRPr="00465964">
              <w:rPr>
                <w:lang w:val="pt-PT"/>
              </w:rPr>
              <w:t>criptoficha</w:t>
            </w:r>
            <w:proofErr w:type="spellEnd"/>
            <w:r w:rsidRPr="00465964">
              <w:rPr>
                <w:lang w:val="pt-PT"/>
              </w:rPr>
              <w:t xml:space="preserve"> referenciada a ativos, nos termos do artigo </w:t>
            </w:r>
            <w:proofErr w:type="gramStart"/>
            <w:r w:rsidRPr="00465964">
              <w:rPr>
                <w:lang w:val="pt-PT"/>
              </w:rPr>
              <w:t>34.</w:t>
            </w:r>
            <w:r w:rsidRPr="00465964">
              <w:rPr>
                <w:vertAlign w:val="superscript"/>
                <w:lang w:val="pt-PT"/>
              </w:rPr>
              <w:t>o</w:t>
            </w:r>
            <w:proofErr w:type="gramEnd"/>
            <w:r w:rsidRPr="00465964">
              <w:rPr>
                <w:lang w:val="pt-PT"/>
              </w:rPr>
              <w:t xml:space="preserve">, </w:t>
            </w:r>
            <w:proofErr w:type="spellStart"/>
            <w:r w:rsidRPr="00465964">
              <w:rPr>
                <w:lang w:val="pt-PT"/>
              </w:rPr>
              <w:t>n.</w:t>
            </w:r>
            <w:r w:rsidRPr="00465964">
              <w:rPr>
                <w:vertAlign w:val="superscript"/>
                <w:lang w:val="pt-PT"/>
              </w:rPr>
              <w:t>os</w:t>
            </w:r>
            <w:proofErr w:type="spellEnd"/>
            <w:r w:rsidRPr="00465964">
              <w:rPr>
                <w:lang w:val="pt-PT"/>
              </w:rPr>
              <w:t> 1, 8 e 10;</w:t>
            </w:r>
          </w:p>
        </w:tc>
      </w:tr>
    </w:tbl>
    <w:p w14:paraId="277E3DA9"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230"/>
        <w:gridCol w:w="8796"/>
      </w:tblGrid>
      <w:tr w:rsidR="00465964" w:rsidRPr="00465964" w14:paraId="359877F5" w14:textId="77777777" w:rsidTr="00465964">
        <w:tc>
          <w:tcPr>
            <w:tcW w:w="0" w:type="auto"/>
            <w:shd w:val="clear" w:color="auto" w:fill="auto"/>
            <w:hideMark/>
          </w:tcPr>
          <w:p w14:paraId="31103D95" w14:textId="77777777" w:rsidR="00465964" w:rsidRPr="00465964" w:rsidRDefault="00465964" w:rsidP="00465964">
            <w:r w:rsidRPr="00465964">
              <w:t>b)</w:t>
            </w:r>
          </w:p>
        </w:tc>
        <w:tc>
          <w:tcPr>
            <w:tcW w:w="0" w:type="auto"/>
            <w:shd w:val="clear" w:color="auto" w:fill="auto"/>
            <w:hideMark/>
          </w:tcPr>
          <w:p w14:paraId="57175804" w14:textId="77777777" w:rsidR="00465964" w:rsidRPr="00465964" w:rsidRDefault="00465964" w:rsidP="00465964">
            <w:pPr>
              <w:rPr>
                <w:lang w:val="pt-PT"/>
              </w:rPr>
            </w:pPr>
            <w:r w:rsidRPr="00465964">
              <w:rPr>
                <w:lang w:val="pt-PT"/>
              </w:rPr>
              <w:t>A qualidade e a volatilidade da reserva de ativos a que se refere o artigo 36.</w:t>
            </w:r>
            <w:r w:rsidRPr="00465964">
              <w:rPr>
                <w:vertAlign w:val="superscript"/>
                <w:lang w:val="pt-PT"/>
              </w:rPr>
              <w:t>o</w:t>
            </w:r>
            <w:r w:rsidRPr="00465964">
              <w:rPr>
                <w:lang w:val="pt-PT"/>
              </w:rPr>
              <w:t>;</w:t>
            </w:r>
          </w:p>
        </w:tc>
      </w:tr>
    </w:tbl>
    <w:p w14:paraId="353EB810"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0"/>
        <w:gridCol w:w="8846"/>
      </w:tblGrid>
      <w:tr w:rsidR="00465964" w:rsidRPr="00465964" w14:paraId="2BFD414A" w14:textId="77777777" w:rsidTr="00465964">
        <w:tc>
          <w:tcPr>
            <w:tcW w:w="0" w:type="auto"/>
            <w:shd w:val="clear" w:color="auto" w:fill="auto"/>
            <w:hideMark/>
          </w:tcPr>
          <w:p w14:paraId="42281148" w14:textId="77777777" w:rsidR="00465964" w:rsidRPr="00465964" w:rsidRDefault="00465964" w:rsidP="00465964">
            <w:r w:rsidRPr="00465964">
              <w:t>c)</w:t>
            </w:r>
          </w:p>
        </w:tc>
        <w:tc>
          <w:tcPr>
            <w:tcW w:w="0" w:type="auto"/>
            <w:shd w:val="clear" w:color="auto" w:fill="auto"/>
            <w:hideMark/>
          </w:tcPr>
          <w:p w14:paraId="162BDE56" w14:textId="77777777" w:rsidR="00465964" w:rsidRPr="00465964" w:rsidRDefault="00465964" w:rsidP="00465964">
            <w:pPr>
              <w:rPr>
                <w:lang w:val="pt-PT"/>
              </w:rPr>
            </w:pPr>
            <w:r w:rsidRPr="00465964">
              <w:rPr>
                <w:lang w:val="pt-PT"/>
              </w:rPr>
              <w:t xml:space="preserve">Os tipos de direitos concedidos pelo emitente da </w:t>
            </w:r>
            <w:proofErr w:type="spellStart"/>
            <w:r w:rsidRPr="00465964">
              <w:rPr>
                <w:lang w:val="pt-PT"/>
              </w:rPr>
              <w:t>criptoficha</w:t>
            </w:r>
            <w:proofErr w:type="spellEnd"/>
            <w:r w:rsidRPr="00465964">
              <w:rPr>
                <w:lang w:val="pt-PT"/>
              </w:rPr>
              <w:t xml:space="preserve"> referenciada a ativos aos detentores da mesma, em conformidade com o artigo 39.</w:t>
            </w:r>
            <w:r w:rsidRPr="00465964">
              <w:rPr>
                <w:vertAlign w:val="superscript"/>
                <w:lang w:val="pt-PT"/>
              </w:rPr>
              <w:t>o</w:t>
            </w:r>
            <w:r w:rsidRPr="00465964">
              <w:rPr>
                <w:lang w:val="pt-PT"/>
              </w:rPr>
              <w:t>;</w:t>
            </w:r>
          </w:p>
        </w:tc>
      </w:tr>
    </w:tbl>
    <w:p w14:paraId="2DBE88A1"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8"/>
        <w:gridCol w:w="8838"/>
      </w:tblGrid>
      <w:tr w:rsidR="00465964" w:rsidRPr="00465964" w14:paraId="34D43A6D" w14:textId="77777777" w:rsidTr="00465964">
        <w:tc>
          <w:tcPr>
            <w:tcW w:w="0" w:type="auto"/>
            <w:shd w:val="clear" w:color="auto" w:fill="auto"/>
            <w:hideMark/>
          </w:tcPr>
          <w:p w14:paraId="018C4CAD" w14:textId="77777777" w:rsidR="00465964" w:rsidRPr="00465964" w:rsidRDefault="00465964" w:rsidP="00465964">
            <w:r w:rsidRPr="00465964">
              <w:t>d)</w:t>
            </w:r>
          </w:p>
        </w:tc>
        <w:tc>
          <w:tcPr>
            <w:tcW w:w="0" w:type="auto"/>
            <w:shd w:val="clear" w:color="auto" w:fill="auto"/>
            <w:hideMark/>
          </w:tcPr>
          <w:p w14:paraId="7E66478F" w14:textId="77777777" w:rsidR="00465964" w:rsidRPr="00465964" w:rsidRDefault="00465964" w:rsidP="00465964">
            <w:pPr>
              <w:rPr>
                <w:lang w:val="pt-PT"/>
              </w:rPr>
            </w:pPr>
            <w:r w:rsidRPr="00465964">
              <w:rPr>
                <w:lang w:val="pt-PT"/>
              </w:rPr>
              <w:t>Quando a reserva de ativos inclui investimentos, os riscos que a política de investimento representa para a reserva de ativos;</w:t>
            </w:r>
          </w:p>
        </w:tc>
      </w:tr>
    </w:tbl>
    <w:p w14:paraId="4CD2482E"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1"/>
        <w:gridCol w:w="8845"/>
      </w:tblGrid>
      <w:tr w:rsidR="00465964" w:rsidRPr="00465964" w14:paraId="718C3509" w14:textId="77777777" w:rsidTr="00465964">
        <w:tc>
          <w:tcPr>
            <w:tcW w:w="0" w:type="auto"/>
            <w:shd w:val="clear" w:color="auto" w:fill="auto"/>
            <w:hideMark/>
          </w:tcPr>
          <w:p w14:paraId="3A27EBB8" w14:textId="77777777" w:rsidR="00465964" w:rsidRPr="00465964" w:rsidRDefault="00465964" w:rsidP="00465964">
            <w:r w:rsidRPr="00465964">
              <w:t>e)</w:t>
            </w:r>
          </w:p>
        </w:tc>
        <w:tc>
          <w:tcPr>
            <w:tcW w:w="0" w:type="auto"/>
            <w:shd w:val="clear" w:color="auto" w:fill="auto"/>
            <w:hideMark/>
          </w:tcPr>
          <w:p w14:paraId="288AD7F9" w14:textId="77777777" w:rsidR="00465964" w:rsidRPr="00465964" w:rsidRDefault="00465964" w:rsidP="00465964">
            <w:pPr>
              <w:rPr>
                <w:lang w:val="pt-PT"/>
              </w:rPr>
            </w:pPr>
            <w:r w:rsidRPr="00465964">
              <w:rPr>
                <w:lang w:val="pt-PT"/>
              </w:rPr>
              <w:t xml:space="preserve">O valor agregado e o número de transações liquidadas com a </w:t>
            </w:r>
            <w:proofErr w:type="spellStart"/>
            <w:r w:rsidRPr="00465964">
              <w:rPr>
                <w:lang w:val="pt-PT"/>
              </w:rPr>
              <w:t>criptoficha</w:t>
            </w:r>
            <w:proofErr w:type="spellEnd"/>
            <w:r w:rsidRPr="00465964">
              <w:rPr>
                <w:lang w:val="pt-PT"/>
              </w:rPr>
              <w:t xml:space="preserve"> referenciada a ativos;</w:t>
            </w:r>
          </w:p>
        </w:tc>
      </w:tr>
    </w:tbl>
    <w:p w14:paraId="2ADB8259"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36"/>
        <w:gridCol w:w="8890"/>
      </w:tblGrid>
      <w:tr w:rsidR="00465964" w:rsidRPr="00465964" w14:paraId="032A5091" w14:textId="77777777" w:rsidTr="00465964">
        <w:tc>
          <w:tcPr>
            <w:tcW w:w="0" w:type="auto"/>
            <w:shd w:val="clear" w:color="auto" w:fill="auto"/>
            <w:hideMark/>
          </w:tcPr>
          <w:p w14:paraId="42244F59" w14:textId="77777777" w:rsidR="00465964" w:rsidRPr="00465964" w:rsidRDefault="00465964" w:rsidP="00465964">
            <w:r w:rsidRPr="00465964">
              <w:t>f)</w:t>
            </w:r>
          </w:p>
        </w:tc>
        <w:tc>
          <w:tcPr>
            <w:tcW w:w="0" w:type="auto"/>
            <w:shd w:val="clear" w:color="auto" w:fill="auto"/>
            <w:hideMark/>
          </w:tcPr>
          <w:p w14:paraId="0604D9F5" w14:textId="77777777" w:rsidR="00465964" w:rsidRPr="00465964" w:rsidRDefault="00465964" w:rsidP="00465964">
            <w:pPr>
              <w:rPr>
                <w:lang w:val="pt-PT"/>
              </w:rPr>
            </w:pPr>
            <w:r w:rsidRPr="00465964">
              <w:rPr>
                <w:lang w:val="pt-PT"/>
              </w:rPr>
              <w:t xml:space="preserve">A importância dos mercados em que a </w:t>
            </w:r>
            <w:proofErr w:type="spellStart"/>
            <w:r w:rsidRPr="00465964">
              <w:rPr>
                <w:lang w:val="pt-PT"/>
              </w:rPr>
              <w:t>criptoficha</w:t>
            </w:r>
            <w:proofErr w:type="spellEnd"/>
            <w:r w:rsidRPr="00465964">
              <w:rPr>
                <w:lang w:val="pt-PT"/>
              </w:rPr>
              <w:t xml:space="preserve"> referenciada a ativos é oferecida e comercializada;</w:t>
            </w:r>
          </w:p>
        </w:tc>
      </w:tr>
    </w:tbl>
    <w:p w14:paraId="096185DF"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208"/>
        <w:gridCol w:w="8818"/>
      </w:tblGrid>
      <w:tr w:rsidR="00465964" w:rsidRPr="00465964" w14:paraId="54EE8B9B" w14:textId="77777777" w:rsidTr="00465964">
        <w:tc>
          <w:tcPr>
            <w:tcW w:w="0" w:type="auto"/>
            <w:shd w:val="clear" w:color="auto" w:fill="auto"/>
            <w:hideMark/>
          </w:tcPr>
          <w:p w14:paraId="7D598285" w14:textId="77777777" w:rsidR="00465964" w:rsidRPr="00465964" w:rsidRDefault="00465964" w:rsidP="00465964">
            <w:r w:rsidRPr="00465964">
              <w:t>g)</w:t>
            </w:r>
          </w:p>
        </w:tc>
        <w:tc>
          <w:tcPr>
            <w:tcW w:w="0" w:type="auto"/>
            <w:shd w:val="clear" w:color="auto" w:fill="auto"/>
            <w:hideMark/>
          </w:tcPr>
          <w:p w14:paraId="6DF11639" w14:textId="77777777" w:rsidR="00465964" w:rsidRPr="00465964" w:rsidRDefault="00465964" w:rsidP="00465964">
            <w:pPr>
              <w:rPr>
                <w:lang w:val="pt-PT"/>
              </w:rPr>
            </w:pPr>
            <w:r w:rsidRPr="00465964">
              <w:rPr>
                <w:lang w:val="pt-PT"/>
              </w:rPr>
              <w:t xml:space="preserve">Se for caso disso, a capitalização bolsista da </w:t>
            </w:r>
            <w:proofErr w:type="spellStart"/>
            <w:r w:rsidRPr="00465964">
              <w:rPr>
                <w:lang w:val="pt-PT"/>
              </w:rPr>
              <w:t>criptoficha</w:t>
            </w:r>
            <w:proofErr w:type="spellEnd"/>
            <w:r w:rsidRPr="00465964">
              <w:rPr>
                <w:lang w:val="pt-PT"/>
              </w:rPr>
              <w:t xml:space="preserve"> referenciada a ativos.</w:t>
            </w:r>
          </w:p>
        </w:tc>
      </w:tr>
    </w:tbl>
    <w:p w14:paraId="5E6E9FBC" w14:textId="77777777" w:rsidR="00465964" w:rsidRPr="00465964" w:rsidRDefault="00465964" w:rsidP="00465964">
      <w:pPr>
        <w:rPr>
          <w:lang w:val="pt-PT"/>
        </w:rPr>
      </w:pPr>
      <w:r w:rsidRPr="00465964">
        <w:rPr>
          <w:lang w:val="pt-PT"/>
        </w:rPr>
        <w:t xml:space="preserve">4.   A autoridade competente do Estado-Membro de origem pode exigir que um emitente de uma </w:t>
      </w:r>
      <w:proofErr w:type="spellStart"/>
      <w:r w:rsidRPr="00465964">
        <w:rPr>
          <w:lang w:val="pt-PT"/>
        </w:rPr>
        <w:t>criptoficha</w:t>
      </w:r>
      <w:proofErr w:type="spellEnd"/>
      <w:r w:rsidRPr="00465964">
        <w:rPr>
          <w:lang w:val="pt-PT"/>
        </w:rPr>
        <w:t xml:space="preserve"> referenciada a ativos que não seja significativa cumpra os requisitos </w:t>
      </w:r>
      <w:r w:rsidRPr="00465964">
        <w:rPr>
          <w:lang w:val="pt-PT"/>
        </w:rPr>
        <w:lastRenderedPageBreak/>
        <w:t>estabelecidos no artigo 45.</w:t>
      </w:r>
      <w:r w:rsidRPr="00465964">
        <w:rPr>
          <w:vertAlign w:val="superscript"/>
          <w:lang w:val="pt-PT"/>
        </w:rPr>
        <w:t>o</w:t>
      </w:r>
      <w:r w:rsidRPr="00465964">
        <w:rPr>
          <w:lang w:val="pt-PT"/>
        </w:rPr>
        <w:t xml:space="preserve">, sempre que necessário para fazer face a um grau de risco mais elevado, identificado nos termos do </w:t>
      </w:r>
      <w:proofErr w:type="spellStart"/>
      <w:r w:rsidRPr="00465964">
        <w:rPr>
          <w:lang w:val="pt-PT"/>
        </w:rPr>
        <w:t>n.</w:t>
      </w:r>
      <w:r w:rsidRPr="00465964">
        <w:rPr>
          <w:vertAlign w:val="superscript"/>
          <w:lang w:val="pt-PT"/>
        </w:rPr>
        <w:t>o</w:t>
      </w:r>
      <w:proofErr w:type="spellEnd"/>
      <w:r w:rsidRPr="00465964">
        <w:rPr>
          <w:lang w:val="pt-PT"/>
        </w:rPr>
        <w:t> 3 do presente artigo, ou a qualquer outro risco ao qual o artigo 45.</w:t>
      </w:r>
      <w:r w:rsidRPr="00465964">
        <w:rPr>
          <w:vertAlign w:val="superscript"/>
          <w:lang w:val="pt-PT"/>
        </w:rPr>
        <w:t>o</w:t>
      </w:r>
      <w:r w:rsidRPr="00465964">
        <w:rPr>
          <w:lang w:val="pt-PT"/>
        </w:rPr>
        <w:t> visa dar resposta, nomeadamente riscos de liquidez.</w:t>
      </w:r>
    </w:p>
    <w:p w14:paraId="54F2D4C0" w14:textId="45C7D34B" w:rsidR="00465964" w:rsidRPr="00465964" w:rsidRDefault="00465964" w:rsidP="00465964">
      <w:pPr>
        <w:rPr>
          <w:lang w:val="pt-PT"/>
        </w:rPr>
      </w:pPr>
      <w:r w:rsidRPr="00465964">
        <w:rPr>
          <w:lang w:val="pt-PT"/>
        </w:rPr>
        <w:t xml:space="preserve">5.   Sem prejuízo do disposto no </w:t>
      </w:r>
      <w:proofErr w:type="spellStart"/>
      <w:r w:rsidRPr="00465964">
        <w:rPr>
          <w:lang w:val="pt-PT"/>
        </w:rPr>
        <w:t>n.</w:t>
      </w:r>
      <w:r w:rsidRPr="00465964">
        <w:rPr>
          <w:vertAlign w:val="superscript"/>
          <w:lang w:val="pt-PT"/>
        </w:rPr>
        <w:t>o</w:t>
      </w:r>
      <w:proofErr w:type="spellEnd"/>
      <w:r w:rsidRPr="00465964">
        <w:rPr>
          <w:lang w:val="pt-PT"/>
        </w:rPr>
        <w:t xml:space="preserve"> 3, os emitentes de </w:t>
      </w:r>
      <w:r>
        <w:rPr>
          <w:lang w:val="pt-PT"/>
        </w:rPr>
        <w:t>criptomoedas</w:t>
      </w:r>
      <w:r w:rsidRPr="00465964">
        <w:rPr>
          <w:lang w:val="pt-PT"/>
        </w:rPr>
        <w:t xml:space="preserve"> referenciadas a ativos realizam regularmente testes de esforço que tenham em conta cenários de esforço financeiro graves, mas plausíveis, tais como choques das taxas de juro, bem como cenários de esforço não financeiro, tais como o risco operacional. Com base nos resultados destes testes de esforço, a autoridade competente do Estado-Membro de origem deve exigir ao emitente da </w:t>
      </w:r>
      <w:proofErr w:type="spellStart"/>
      <w:r w:rsidRPr="00465964">
        <w:rPr>
          <w:lang w:val="pt-PT"/>
        </w:rPr>
        <w:t>criptoficha</w:t>
      </w:r>
      <w:proofErr w:type="spellEnd"/>
      <w:r w:rsidRPr="00465964">
        <w:rPr>
          <w:lang w:val="pt-PT"/>
        </w:rPr>
        <w:t xml:space="preserve"> referenciada a ativos que detenha fundos próprios num montante 20 % a 40 % superior ao montante resultante da aplicação do </w:t>
      </w:r>
      <w:proofErr w:type="spellStart"/>
      <w:r w:rsidRPr="00465964">
        <w:rPr>
          <w:lang w:val="pt-PT"/>
        </w:rPr>
        <w:t>n.</w:t>
      </w:r>
      <w:r w:rsidRPr="00465964">
        <w:rPr>
          <w:vertAlign w:val="superscript"/>
          <w:lang w:val="pt-PT"/>
        </w:rPr>
        <w:t>o</w:t>
      </w:r>
      <w:proofErr w:type="spellEnd"/>
      <w:r w:rsidRPr="00465964">
        <w:rPr>
          <w:lang w:val="pt-PT"/>
        </w:rPr>
        <w:t> 1, primeiro parágrafo, alínea b), em determinadas circunstâncias, tendo em conta as perspetivas de risco e os resultados dos testes de esforço.</w:t>
      </w:r>
    </w:p>
    <w:p w14:paraId="02D8A158" w14:textId="77777777" w:rsidR="00465964" w:rsidRPr="00465964" w:rsidRDefault="00465964" w:rsidP="00465964">
      <w:pPr>
        <w:rPr>
          <w:lang w:val="pt-PT"/>
        </w:rPr>
      </w:pPr>
      <w:r w:rsidRPr="00465964">
        <w:rPr>
          <w:lang w:val="pt-PT"/>
        </w:rPr>
        <w:t>6.   A EBA, em estreita cooperação com a ESMA e o BCE, elabora projetos de normas técnicas de regulamentação que especifiquem com maior pormenor:</w:t>
      </w:r>
    </w:p>
    <w:tbl>
      <w:tblPr>
        <w:tblW w:w="5000" w:type="pct"/>
        <w:tblCellMar>
          <w:left w:w="0" w:type="dxa"/>
          <w:right w:w="0" w:type="dxa"/>
        </w:tblCellMar>
        <w:tblLook w:val="04A0" w:firstRow="1" w:lastRow="0" w:firstColumn="1" w:lastColumn="0" w:noHBand="0" w:noVBand="1"/>
      </w:tblPr>
      <w:tblGrid>
        <w:gridCol w:w="182"/>
        <w:gridCol w:w="8844"/>
      </w:tblGrid>
      <w:tr w:rsidR="00465964" w:rsidRPr="00465964" w14:paraId="2ABA1679" w14:textId="77777777" w:rsidTr="00465964">
        <w:tc>
          <w:tcPr>
            <w:tcW w:w="0" w:type="auto"/>
            <w:shd w:val="clear" w:color="auto" w:fill="auto"/>
            <w:hideMark/>
          </w:tcPr>
          <w:p w14:paraId="4BB26D68" w14:textId="77777777" w:rsidR="00465964" w:rsidRPr="00465964" w:rsidRDefault="00465964" w:rsidP="00465964">
            <w:r w:rsidRPr="00465964">
              <w:t>a)</w:t>
            </w:r>
          </w:p>
        </w:tc>
        <w:tc>
          <w:tcPr>
            <w:tcW w:w="0" w:type="auto"/>
            <w:shd w:val="clear" w:color="auto" w:fill="auto"/>
            <w:hideMark/>
          </w:tcPr>
          <w:p w14:paraId="171C10B8" w14:textId="77777777" w:rsidR="00465964" w:rsidRPr="00465964" w:rsidRDefault="00465964" w:rsidP="00465964">
            <w:pPr>
              <w:rPr>
                <w:lang w:val="pt-PT"/>
              </w:rPr>
            </w:pPr>
            <w:r w:rsidRPr="00465964">
              <w:rPr>
                <w:lang w:val="pt-PT"/>
              </w:rPr>
              <w:t xml:space="preserve">O procedimento e o calendário para que um emitente de uma </w:t>
            </w:r>
            <w:proofErr w:type="spellStart"/>
            <w:r w:rsidRPr="00465964">
              <w:rPr>
                <w:lang w:val="pt-PT"/>
              </w:rPr>
              <w:t>criptoficha</w:t>
            </w:r>
            <w:proofErr w:type="spellEnd"/>
            <w:r w:rsidRPr="00465964">
              <w:rPr>
                <w:lang w:val="pt-PT"/>
              </w:rPr>
              <w:t xml:space="preserve"> referenciada a ativos significativa se adapte aos requisitos de fundos próprios mais elevados constantes do </w:t>
            </w:r>
            <w:proofErr w:type="spellStart"/>
            <w:r w:rsidRPr="00465964">
              <w:rPr>
                <w:lang w:val="pt-PT"/>
              </w:rPr>
              <w:t>n.</w:t>
            </w:r>
            <w:r w:rsidRPr="00465964">
              <w:rPr>
                <w:vertAlign w:val="superscript"/>
                <w:lang w:val="pt-PT"/>
              </w:rPr>
              <w:t>o</w:t>
            </w:r>
            <w:proofErr w:type="spellEnd"/>
            <w:r w:rsidRPr="00465964">
              <w:rPr>
                <w:lang w:val="pt-PT"/>
              </w:rPr>
              <w:t> 3;</w:t>
            </w:r>
          </w:p>
        </w:tc>
      </w:tr>
    </w:tbl>
    <w:p w14:paraId="3FFCD934"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8"/>
        <w:gridCol w:w="8838"/>
      </w:tblGrid>
      <w:tr w:rsidR="00465964" w:rsidRPr="00465964" w14:paraId="11BD3462" w14:textId="77777777" w:rsidTr="00465964">
        <w:tc>
          <w:tcPr>
            <w:tcW w:w="0" w:type="auto"/>
            <w:shd w:val="clear" w:color="auto" w:fill="auto"/>
            <w:hideMark/>
          </w:tcPr>
          <w:p w14:paraId="62257109" w14:textId="77777777" w:rsidR="00465964" w:rsidRPr="00465964" w:rsidRDefault="00465964" w:rsidP="00465964">
            <w:r w:rsidRPr="00465964">
              <w:t>b)</w:t>
            </w:r>
          </w:p>
        </w:tc>
        <w:tc>
          <w:tcPr>
            <w:tcW w:w="0" w:type="auto"/>
            <w:shd w:val="clear" w:color="auto" w:fill="auto"/>
            <w:hideMark/>
          </w:tcPr>
          <w:p w14:paraId="516E5B9B" w14:textId="77777777" w:rsidR="00465964" w:rsidRPr="00465964" w:rsidRDefault="00465964" w:rsidP="00465964">
            <w:pPr>
              <w:rPr>
                <w:lang w:val="pt-PT"/>
              </w:rPr>
            </w:pPr>
            <w:r w:rsidRPr="00465964">
              <w:rPr>
                <w:lang w:val="pt-PT"/>
              </w:rPr>
              <w:t xml:space="preserve">Os critérios para exigir fundos próprios num montante mais elevado, conforme estabelecido no </w:t>
            </w:r>
            <w:proofErr w:type="spellStart"/>
            <w:r w:rsidRPr="00465964">
              <w:rPr>
                <w:lang w:val="pt-PT"/>
              </w:rPr>
              <w:t>n.</w:t>
            </w:r>
            <w:r w:rsidRPr="00465964">
              <w:rPr>
                <w:vertAlign w:val="superscript"/>
                <w:lang w:val="pt-PT"/>
              </w:rPr>
              <w:t>o</w:t>
            </w:r>
            <w:proofErr w:type="spellEnd"/>
            <w:r w:rsidRPr="00465964">
              <w:rPr>
                <w:lang w:val="pt-PT"/>
              </w:rPr>
              <w:t> 3;</w:t>
            </w:r>
          </w:p>
        </w:tc>
      </w:tr>
    </w:tbl>
    <w:p w14:paraId="228F5CBC"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0"/>
        <w:gridCol w:w="8846"/>
      </w:tblGrid>
      <w:tr w:rsidR="00465964" w:rsidRPr="00465964" w14:paraId="09DB561E" w14:textId="77777777" w:rsidTr="00465964">
        <w:tc>
          <w:tcPr>
            <w:tcW w:w="0" w:type="auto"/>
            <w:shd w:val="clear" w:color="auto" w:fill="auto"/>
            <w:hideMark/>
          </w:tcPr>
          <w:p w14:paraId="70E5568F" w14:textId="77777777" w:rsidR="00465964" w:rsidRPr="00465964" w:rsidRDefault="00465964" w:rsidP="00465964">
            <w:r w:rsidRPr="00465964">
              <w:t>c)</w:t>
            </w:r>
          </w:p>
        </w:tc>
        <w:tc>
          <w:tcPr>
            <w:tcW w:w="0" w:type="auto"/>
            <w:shd w:val="clear" w:color="auto" w:fill="auto"/>
            <w:hideMark/>
          </w:tcPr>
          <w:p w14:paraId="2936A9FB" w14:textId="77777777" w:rsidR="00465964" w:rsidRPr="00465964" w:rsidRDefault="00465964" w:rsidP="00465964">
            <w:pPr>
              <w:rPr>
                <w:lang w:val="pt-PT"/>
              </w:rPr>
            </w:pPr>
            <w:r w:rsidRPr="00465964">
              <w:rPr>
                <w:lang w:val="pt-PT"/>
              </w:rPr>
              <w:t xml:space="preserve">Os requisitos mínimos para a elaboração dos programas relativos aos testes de esforço, tendo em conta a dimensão, a complexidade e a natureza da </w:t>
            </w:r>
            <w:proofErr w:type="spellStart"/>
            <w:r w:rsidRPr="00465964">
              <w:rPr>
                <w:lang w:val="pt-PT"/>
              </w:rPr>
              <w:t>criptoficha</w:t>
            </w:r>
            <w:proofErr w:type="spellEnd"/>
            <w:r w:rsidRPr="00465964">
              <w:rPr>
                <w:lang w:val="pt-PT"/>
              </w:rPr>
              <w:t xml:space="preserve"> referenciada a ativos, incluindo, entre outros:</w:t>
            </w:r>
          </w:p>
          <w:tbl>
            <w:tblPr>
              <w:tblW w:w="5000" w:type="pct"/>
              <w:tblCellMar>
                <w:left w:w="0" w:type="dxa"/>
                <w:right w:w="0" w:type="dxa"/>
              </w:tblCellMar>
              <w:tblLook w:val="04A0" w:firstRow="1" w:lastRow="0" w:firstColumn="1" w:lastColumn="0" w:noHBand="0" w:noVBand="1"/>
            </w:tblPr>
            <w:tblGrid>
              <w:gridCol w:w="149"/>
              <w:gridCol w:w="8697"/>
            </w:tblGrid>
            <w:tr w:rsidR="00465964" w:rsidRPr="00465964" w14:paraId="0FC9CE44" w14:textId="77777777">
              <w:tc>
                <w:tcPr>
                  <w:tcW w:w="0" w:type="auto"/>
                  <w:shd w:val="clear" w:color="auto" w:fill="auto"/>
                  <w:hideMark/>
                </w:tcPr>
                <w:p w14:paraId="3123C9BE" w14:textId="77777777" w:rsidR="00465964" w:rsidRPr="00465964" w:rsidRDefault="00465964" w:rsidP="00465964">
                  <w:proofErr w:type="spellStart"/>
                  <w:r w:rsidRPr="00465964">
                    <w:t>i</w:t>
                  </w:r>
                  <w:proofErr w:type="spellEnd"/>
                  <w:r w:rsidRPr="00465964">
                    <w:t>)</w:t>
                  </w:r>
                </w:p>
              </w:tc>
              <w:tc>
                <w:tcPr>
                  <w:tcW w:w="0" w:type="auto"/>
                  <w:shd w:val="clear" w:color="auto" w:fill="auto"/>
                  <w:hideMark/>
                </w:tcPr>
                <w:p w14:paraId="44FF4368" w14:textId="77777777" w:rsidR="00465964" w:rsidRPr="00465964" w:rsidRDefault="00465964" w:rsidP="00465964">
                  <w:pPr>
                    <w:rPr>
                      <w:lang w:val="pt-PT"/>
                    </w:rPr>
                  </w:pPr>
                  <w:r w:rsidRPr="00465964">
                    <w:rPr>
                      <w:lang w:val="pt-PT"/>
                    </w:rPr>
                    <w:t>os tipos de testes de esforço e os seus principais objetivos e aplicações,</w:t>
                  </w:r>
                </w:p>
              </w:tc>
            </w:tr>
          </w:tbl>
          <w:p w14:paraId="4BFAC63E"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261"/>
              <w:gridCol w:w="8585"/>
            </w:tblGrid>
            <w:tr w:rsidR="00465964" w:rsidRPr="00465964" w14:paraId="626F3F4B" w14:textId="77777777">
              <w:tc>
                <w:tcPr>
                  <w:tcW w:w="0" w:type="auto"/>
                  <w:shd w:val="clear" w:color="auto" w:fill="auto"/>
                  <w:hideMark/>
                </w:tcPr>
                <w:p w14:paraId="6E94138F" w14:textId="77777777" w:rsidR="00465964" w:rsidRPr="00465964" w:rsidRDefault="00465964" w:rsidP="00465964">
                  <w:r w:rsidRPr="00465964">
                    <w:t>ii)</w:t>
                  </w:r>
                </w:p>
              </w:tc>
              <w:tc>
                <w:tcPr>
                  <w:tcW w:w="0" w:type="auto"/>
                  <w:shd w:val="clear" w:color="auto" w:fill="auto"/>
                  <w:hideMark/>
                </w:tcPr>
                <w:p w14:paraId="41BF4963" w14:textId="77777777" w:rsidR="00465964" w:rsidRPr="00465964" w:rsidRDefault="00465964" w:rsidP="00465964">
                  <w:pPr>
                    <w:rPr>
                      <w:lang w:val="pt-PT"/>
                    </w:rPr>
                  </w:pPr>
                  <w:r w:rsidRPr="00465964">
                    <w:rPr>
                      <w:lang w:val="pt-PT"/>
                    </w:rPr>
                    <w:t>a frequência dos diferentes exercícios de testes de esforço,</w:t>
                  </w:r>
                </w:p>
              </w:tc>
            </w:tr>
          </w:tbl>
          <w:p w14:paraId="60DC0267"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501"/>
              <w:gridCol w:w="8345"/>
            </w:tblGrid>
            <w:tr w:rsidR="00465964" w:rsidRPr="00465964" w14:paraId="2C13148A" w14:textId="77777777">
              <w:tc>
                <w:tcPr>
                  <w:tcW w:w="0" w:type="auto"/>
                  <w:shd w:val="clear" w:color="auto" w:fill="auto"/>
                  <w:hideMark/>
                </w:tcPr>
                <w:p w14:paraId="7355014E" w14:textId="77777777" w:rsidR="00465964" w:rsidRPr="00465964" w:rsidRDefault="00465964" w:rsidP="00465964">
                  <w:r w:rsidRPr="00465964">
                    <w:t>iii)</w:t>
                  </w:r>
                </w:p>
              </w:tc>
              <w:tc>
                <w:tcPr>
                  <w:tcW w:w="0" w:type="auto"/>
                  <w:shd w:val="clear" w:color="auto" w:fill="auto"/>
                  <w:hideMark/>
                </w:tcPr>
                <w:p w14:paraId="1F201003" w14:textId="77777777" w:rsidR="00465964" w:rsidRPr="00465964" w:rsidRDefault="00465964" w:rsidP="00465964">
                  <w:pPr>
                    <w:rPr>
                      <w:lang w:val="pt-PT"/>
                    </w:rPr>
                  </w:pPr>
                  <w:r w:rsidRPr="00465964">
                    <w:rPr>
                      <w:lang w:val="pt-PT"/>
                    </w:rPr>
                    <w:t>os mecanismos de governação interna,</w:t>
                  </w:r>
                </w:p>
              </w:tc>
            </w:tr>
          </w:tbl>
          <w:p w14:paraId="7307B69D"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523"/>
              <w:gridCol w:w="8323"/>
            </w:tblGrid>
            <w:tr w:rsidR="00465964" w:rsidRPr="00465964" w14:paraId="4AF7558C" w14:textId="77777777">
              <w:tc>
                <w:tcPr>
                  <w:tcW w:w="0" w:type="auto"/>
                  <w:shd w:val="clear" w:color="auto" w:fill="auto"/>
                  <w:hideMark/>
                </w:tcPr>
                <w:p w14:paraId="09F5A5FE" w14:textId="77777777" w:rsidR="00465964" w:rsidRPr="00465964" w:rsidRDefault="00465964" w:rsidP="00465964">
                  <w:r w:rsidRPr="00465964">
                    <w:t>iv)</w:t>
                  </w:r>
                </w:p>
              </w:tc>
              <w:tc>
                <w:tcPr>
                  <w:tcW w:w="0" w:type="auto"/>
                  <w:shd w:val="clear" w:color="auto" w:fill="auto"/>
                  <w:hideMark/>
                </w:tcPr>
                <w:p w14:paraId="2FEDA59D" w14:textId="77777777" w:rsidR="00465964" w:rsidRPr="00465964" w:rsidRDefault="00465964" w:rsidP="00465964">
                  <w:pPr>
                    <w:rPr>
                      <w:lang w:val="pt-PT"/>
                    </w:rPr>
                  </w:pPr>
                  <w:r w:rsidRPr="00465964">
                    <w:rPr>
                      <w:lang w:val="pt-PT"/>
                    </w:rPr>
                    <w:t>a infraestrutura de dados pertinente,</w:t>
                  </w:r>
                </w:p>
              </w:tc>
            </w:tr>
          </w:tbl>
          <w:p w14:paraId="0D99A9B7"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289"/>
              <w:gridCol w:w="8557"/>
            </w:tblGrid>
            <w:tr w:rsidR="00465964" w:rsidRPr="00465964" w14:paraId="46F87FA7" w14:textId="77777777">
              <w:tc>
                <w:tcPr>
                  <w:tcW w:w="0" w:type="auto"/>
                  <w:shd w:val="clear" w:color="auto" w:fill="auto"/>
                  <w:hideMark/>
                </w:tcPr>
                <w:p w14:paraId="5B107A64" w14:textId="77777777" w:rsidR="00465964" w:rsidRPr="00465964" w:rsidRDefault="00465964" w:rsidP="00465964">
                  <w:r w:rsidRPr="00465964">
                    <w:t>v)</w:t>
                  </w:r>
                </w:p>
              </w:tc>
              <w:tc>
                <w:tcPr>
                  <w:tcW w:w="0" w:type="auto"/>
                  <w:shd w:val="clear" w:color="auto" w:fill="auto"/>
                  <w:hideMark/>
                </w:tcPr>
                <w:p w14:paraId="22342EEA" w14:textId="77777777" w:rsidR="00465964" w:rsidRPr="00465964" w:rsidRDefault="00465964" w:rsidP="00465964">
                  <w:pPr>
                    <w:rPr>
                      <w:lang w:val="pt-PT"/>
                    </w:rPr>
                  </w:pPr>
                  <w:r w:rsidRPr="00465964">
                    <w:rPr>
                      <w:lang w:val="pt-PT"/>
                    </w:rPr>
                    <w:t>a metodologia e a plausibilidade dos pressupostos,</w:t>
                  </w:r>
                </w:p>
              </w:tc>
            </w:tr>
          </w:tbl>
          <w:p w14:paraId="46460FCC"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217"/>
              <w:gridCol w:w="8629"/>
            </w:tblGrid>
            <w:tr w:rsidR="00465964" w:rsidRPr="00465964" w14:paraId="01523E66" w14:textId="77777777">
              <w:tc>
                <w:tcPr>
                  <w:tcW w:w="0" w:type="auto"/>
                  <w:shd w:val="clear" w:color="auto" w:fill="auto"/>
                  <w:hideMark/>
                </w:tcPr>
                <w:p w14:paraId="08D8CEB1" w14:textId="77777777" w:rsidR="00465964" w:rsidRPr="00465964" w:rsidRDefault="00465964" w:rsidP="00465964">
                  <w:r w:rsidRPr="00465964">
                    <w:t>vi)</w:t>
                  </w:r>
                </w:p>
              </w:tc>
              <w:tc>
                <w:tcPr>
                  <w:tcW w:w="0" w:type="auto"/>
                  <w:shd w:val="clear" w:color="auto" w:fill="auto"/>
                  <w:hideMark/>
                </w:tcPr>
                <w:p w14:paraId="007E1E04" w14:textId="77777777" w:rsidR="00465964" w:rsidRPr="00465964" w:rsidRDefault="00465964" w:rsidP="00465964">
                  <w:pPr>
                    <w:rPr>
                      <w:lang w:val="pt-PT"/>
                    </w:rPr>
                  </w:pPr>
                  <w:r w:rsidRPr="00465964">
                    <w:rPr>
                      <w:lang w:val="pt-PT"/>
                    </w:rPr>
                    <w:t>a aplicação do princípio da proporcionalidade a todos os requisitos mínimos, sejam eles quantitativos ou qualitativos, e</w:t>
                  </w:r>
                </w:p>
              </w:tc>
            </w:tr>
          </w:tbl>
          <w:p w14:paraId="4B307259"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269"/>
              <w:gridCol w:w="8577"/>
            </w:tblGrid>
            <w:tr w:rsidR="00465964" w:rsidRPr="00465964" w14:paraId="7D95D250" w14:textId="77777777">
              <w:tc>
                <w:tcPr>
                  <w:tcW w:w="0" w:type="auto"/>
                  <w:shd w:val="clear" w:color="auto" w:fill="auto"/>
                  <w:hideMark/>
                </w:tcPr>
                <w:p w14:paraId="1C9F9484" w14:textId="77777777" w:rsidR="00465964" w:rsidRPr="00465964" w:rsidRDefault="00465964" w:rsidP="00465964">
                  <w:r w:rsidRPr="00465964">
                    <w:t>vii)</w:t>
                  </w:r>
                </w:p>
              </w:tc>
              <w:tc>
                <w:tcPr>
                  <w:tcW w:w="0" w:type="auto"/>
                  <w:shd w:val="clear" w:color="auto" w:fill="auto"/>
                  <w:hideMark/>
                </w:tcPr>
                <w:p w14:paraId="31113E75" w14:textId="77777777" w:rsidR="00465964" w:rsidRPr="00465964" w:rsidRDefault="00465964" w:rsidP="00465964">
                  <w:pPr>
                    <w:rPr>
                      <w:lang w:val="pt-PT"/>
                    </w:rPr>
                  </w:pPr>
                  <w:r w:rsidRPr="00465964">
                    <w:rPr>
                      <w:lang w:val="pt-PT"/>
                    </w:rPr>
                    <w:t>a periodicidade mínima dos testes de esforço e os parâmetros de referência comuns dos cenários dos testes de esforço.</w:t>
                  </w:r>
                </w:p>
              </w:tc>
            </w:tr>
          </w:tbl>
          <w:p w14:paraId="77B22FA9" w14:textId="77777777" w:rsidR="00465964" w:rsidRPr="00465964" w:rsidRDefault="00465964" w:rsidP="00465964">
            <w:pPr>
              <w:rPr>
                <w:lang w:val="pt-PT"/>
              </w:rPr>
            </w:pPr>
          </w:p>
        </w:tc>
      </w:tr>
    </w:tbl>
    <w:p w14:paraId="3E8369C8" w14:textId="77777777" w:rsidR="00465964" w:rsidRPr="00465964" w:rsidRDefault="00465964" w:rsidP="00465964">
      <w:pPr>
        <w:rPr>
          <w:lang w:val="pt-PT"/>
        </w:rPr>
      </w:pPr>
      <w:r w:rsidRPr="00465964">
        <w:rPr>
          <w:lang w:val="pt-PT"/>
        </w:rPr>
        <w:t>A EBA apresenta à Comissão os projetos de normas técnicas de regulamentação referidos no primeiro parágrafo até 30 de junho de 2024.</w:t>
      </w:r>
    </w:p>
    <w:p w14:paraId="527DEFED" w14:textId="77777777" w:rsidR="00465964" w:rsidRPr="00465964" w:rsidRDefault="00465964" w:rsidP="00465964">
      <w:pPr>
        <w:rPr>
          <w:lang w:val="pt-PT"/>
        </w:rPr>
      </w:pPr>
      <w:r w:rsidRPr="00465964">
        <w:rPr>
          <w:lang w:val="pt-PT"/>
        </w:rPr>
        <w:t>É delegado na Comissão o poder de completar o presente regulamento através da adoção das normas técnicas de regulamentação a que se refere o primeiro parágrafo do presente número em conformidade com os artigos 10.</w:t>
      </w:r>
      <w:r w:rsidRPr="00465964">
        <w:rPr>
          <w:vertAlign w:val="superscript"/>
          <w:lang w:val="pt-PT"/>
        </w:rPr>
        <w:t>o</w:t>
      </w:r>
      <w:r w:rsidRPr="00465964">
        <w:rPr>
          <w:lang w:val="pt-PT"/>
        </w:rPr>
        <w:t> a 14.</w:t>
      </w:r>
      <w:r w:rsidRPr="00465964">
        <w:rPr>
          <w:vertAlign w:val="superscript"/>
          <w:lang w:val="pt-PT"/>
        </w:rPr>
        <w:t>o</w:t>
      </w:r>
      <w:r w:rsidRPr="00465964">
        <w:rPr>
          <w:lang w:val="pt-PT"/>
        </w:rPr>
        <w:t xml:space="preserve"> do Regulamento (UE) </w:t>
      </w:r>
      <w:proofErr w:type="spellStart"/>
      <w:r w:rsidRPr="00465964">
        <w:rPr>
          <w:lang w:val="pt-PT"/>
        </w:rPr>
        <w:t>n.</w:t>
      </w:r>
      <w:r w:rsidRPr="00465964">
        <w:rPr>
          <w:vertAlign w:val="superscript"/>
          <w:lang w:val="pt-PT"/>
        </w:rPr>
        <w:t>o</w:t>
      </w:r>
      <w:proofErr w:type="spellEnd"/>
      <w:r w:rsidRPr="00465964">
        <w:rPr>
          <w:lang w:val="pt-PT"/>
        </w:rPr>
        <w:t> 1093/2010.</w:t>
      </w:r>
    </w:p>
    <w:p w14:paraId="446A41DF" w14:textId="77777777" w:rsidR="00465964" w:rsidRPr="00465964" w:rsidRDefault="00465964" w:rsidP="00465964">
      <w:pPr>
        <w:rPr>
          <w:b/>
          <w:bCs/>
          <w:lang w:val="pt-PT"/>
        </w:rPr>
      </w:pPr>
      <w:r w:rsidRPr="00465964">
        <w:rPr>
          <w:b/>
          <w:bCs/>
          <w:i/>
          <w:iCs/>
          <w:lang w:val="pt-PT"/>
        </w:rPr>
        <w:t>CAPÍTULO 3</w:t>
      </w:r>
    </w:p>
    <w:p w14:paraId="3B6DDBA2" w14:textId="77777777" w:rsidR="00465964" w:rsidRPr="00465964" w:rsidRDefault="00465964" w:rsidP="00465964">
      <w:pPr>
        <w:rPr>
          <w:b/>
          <w:bCs/>
          <w:lang w:val="pt-PT"/>
        </w:rPr>
      </w:pPr>
      <w:r w:rsidRPr="00465964">
        <w:rPr>
          <w:b/>
          <w:bCs/>
          <w:i/>
          <w:iCs/>
          <w:lang w:val="pt-PT"/>
        </w:rPr>
        <w:t>Reserva de ativos</w:t>
      </w:r>
    </w:p>
    <w:p w14:paraId="008FA49B" w14:textId="77777777" w:rsidR="00465964" w:rsidRPr="00465964" w:rsidRDefault="00465964" w:rsidP="00465964">
      <w:pPr>
        <w:rPr>
          <w:i/>
          <w:iCs/>
          <w:lang w:val="pt-PT"/>
        </w:rPr>
      </w:pPr>
      <w:r w:rsidRPr="00465964">
        <w:rPr>
          <w:i/>
          <w:iCs/>
          <w:lang w:val="pt-PT"/>
        </w:rPr>
        <w:lastRenderedPageBreak/>
        <w:t>Artigo 36.</w:t>
      </w:r>
      <w:r w:rsidRPr="00465964">
        <w:rPr>
          <w:i/>
          <w:iCs/>
          <w:vertAlign w:val="superscript"/>
          <w:lang w:val="pt-PT"/>
        </w:rPr>
        <w:t>o</w:t>
      </w:r>
    </w:p>
    <w:p w14:paraId="21AA7E1D" w14:textId="77777777" w:rsidR="00465964" w:rsidRPr="00465964" w:rsidRDefault="00465964" w:rsidP="00465964">
      <w:pPr>
        <w:rPr>
          <w:b/>
          <w:bCs/>
          <w:lang w:val="pt-PT"/>
        </w:rPr>
      </w:pPr>
      <w:r w:rsidRPr="00465964">
        <w:rPr>
          <w:b/>
          <w:bCs/>
          <w:lang w:val="pt-PT"/>
        </w:rPr>
        <w:t>Obrigação de possuir uma reserva de ativos e composição e gestão dessa reserva de ativos</w:t>
      </w:r>
    </w:p>
    <w:p w14:paraId="24B4F408" w14:textId="42E36F4E" w:rsidR="00465964" w:rsidRPr="00465964" w:rsidRDefault="00465964" w:rsidP="00465964">
      <w:pPr>
        <w:rPr>
          <w:lang w:val="pt-PT"/>
        </w:rPr>
      </w:pPr>
      <w:r w:rsidRPr="00465964">
        <w:rPr>
          <w:lang w:val="pt-PT"/>
        </w:rPr>
        <w:t xml:space="preserve">1.   Os emitentes de </w:t>
      </w:r>
      <w:r>
        <w:rPr>
          <w:lang w:val="pt-PT"/>
        </w:rPr>
        <w:t>criptomoedas</w:t>
      </w:r>
      <w:r w:rsidRPr="00465964">
        <w:rPr>
          <w:lang w:val="pt-PT"/>
        </w:rPr>
        <w:t xml:space="preserve"> referenciadas a ativos devem constituir e manter a todo o tempo uma reserva de ativos.</w:t>
      </w:r>
    </w:p>
    <w:p w14:paraId="4D029F8C" w14:textId="77777777" w:rsidR="00465964" w:rsidRPr="00465964" w:rsidRDefault="00465964" w:rsidP="00465964">
      <w:pPr>
        <w:rPr>
          <w:lang w:val="pt-PT"/>
        </w:rPr>
      </w:pPr>
      <w:r w:rsidRPr="00465964">
        <w:rPr>
          <w:lang w:val="pt-PT"/>
        </w:rPr>
        <w:t xml:space="preserve">A reserva de ativos é composta e gerida </w:t>
      </w:r>
      <w:proofErr w:type="gramStart"/>
      <w:r w:rsidRPr="00465964">
        <w:rPr>
          <w:lang w:val="pt-PT"/>
        </w:rPr>
        <w:t>de modo a que</w:t>
      </w:r>
      <w:proofErr w:type="gramEnd"/>
      <w:r w:rsidRPr="00465964">
        <w:rPr>
          <w:lang w:val="pt-PT"/>
        </w:rPr>
        <w:t>:</w:t>
      </w:r>
    </w:p>
    <w:tbl>
      <w:tblPr>
        <w:tblW w:w="5000" w:type="pct"/>
        <w:tblCellMar>
          <w:left w:w="0" w:type="dxa"/>
          <w:right w:w="0" w:type="dxa"/>
        </w:tblCellMar>
        <w:tblLook w:val="04A0" w:firstRow="1" w:lastRow="0" w:firstColumn="1" w:lastColumn="0" w:noHBand="0" w:noVBand="1"/>
      </w:tblPr>
      <w:tblGrid>
        <w:gridCol w:w="182"/>
        <w:gridCol w:w="8844"/>
      </w:tblGrid>
      <w:tr w:rsidR="00465964" w:rsidRPr="00465964" w14:paraId="5DD470BB" w14:textId="77777777" w:rsidTr="00465964">
        <w:tc>
          <w:tcPr>
            <w:tcW w:w="0" w:type="auto"/>
            <w:shd w:val="clear" w:color="auto" w:fill="auto"/>
            <w:hideMark/>
          </w:tcPr>
          <w:p w14:paraId="78AFAEBC" w14:textId="77777777" w:rsidR="00465964" w:rsidRPr="00465964" w:rsidRDefault="00465964" w:rsidP="00465964">
            <w:r w:rsidRPr="00465964">
              <w:t>a)</w:t>
            </w:r>
          </w:p>
        </w:tc>
        <w:tc>
          <w:tcPr>
            <w:tcW w:w="0" w:type="auto"/>
            <w:shd w:val="clear" w:color="auto" w:fill="auto"/>
            <w:hideMark/>
          </w:tcPr>
          <w:p w14:paraId="06CF67F9" w14:textId="5404EFC8" w:rsidR="00465964" w:rsidRPr="00465964" w:rsidRDefault="00465964" w:rsidP="00465964">
            <w:pPr>
              <w:rPr>
                <w:lang w:val="pt-PT"/>
              </w:rPr>
            </w:pPr>
            <w:r w:rsidRPr="00465964">
              <w:rPr>
                <w:lang w:val="pt-PT"/>
              </w:rPr>
              <w:t xml:space="preserve">Os riscos associados aos ativos referenciados pelas </w:t>
            </w:r>
            <w:r>
              <w:rPr>
                <w:lang w:val="pt-PT"/>
              </w:rPr>
              <w:t>criptomoedas</w:t>
            </w:r>
            <w:r w:rsidRPr="00465964">
              <w:rPr>
                <w:lang w:val="pt-PT"/>
              </w:rPr>
              <w:t xml:space="preserve"> referenciadas a ativos estejam cobertos; e</w:t>
            </w:r>
          </w:p>
        </w:tc>
      </w:tr>
    </w:tbl>
    <w:p w14:paraId="39F59565"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8"/>
        <w:gridCol w:w="8838"/>
      </w:tblGrid>
      <w:tr w:rsidR="00465964" w:rsidRPr="00465964" w14:paraId="0FD939AE" w14:textId="77777777" w:rsidTr="00465964">
        <w:tc>
          <w:tcPr>
            <w:tcW w:w="0" w:type="auto"/>
            <w:shd w:val="clear" w:color="auto" w:fill="auto"/>
            <w:hideMark/>
          </w:tcPr>
          <w:p w14:paraId="1D7106E8" w14:textId="77777777" w:rsidR="00465964" w:rsidRPr="00465964" w:rsidRDefault="00465964" w:rsidP="00465964">
            <w:r w:rsidRPr="00465964">
              <w:t>b)</w:t>
            </w:r>
          </w:p>
        </w:tc>
        <w:tc>
          <w:tcPr>
            <w:tcW w:w="0" w:type="auto"/>
            <w:shd w:val="clear" w:color="auto" w:fill="auto"/>
            <w:hideMark/>
          </w:tcPr>
          <w:p w14:paraId="1422A323" w14:textId="77777777" w:rsidR="00465964" w:rsidRPr="00465964" w:rsidRDefault="00465964" w:rsidP="00465964">
            <w:pPr>
              <w:rPr>
                <w:lang w:val="pt-PT"/>
              </w:rPr>
            </w:pPr>
            <w:r w:rsidRPr="00465964">
              <w:rPr>
                <w:lang w:val="pt-PT"/>
              </w:rPr>
              <w:t>Os riscos de liquidez associados aos direitos de reembolso permanentes dos detentores sejam tidos em conta.</w:t>
            </w:r>
          </w:p>
        </w:tc>
      </w:tr>
    </w:tbl>
    <w:p w14:paraId="1B867206" w14:textId="073AC423" w:rsidR="00465964" w:rsidRPr="00465964" w:rsidRDefault="00465964" w:rsidP="00465964">
      <w:pPr>
        <w:rPr>
          <w:lang w:val="pt-PT"/>
        </w:rPr>
      </w:pPr>
      <w:r w:rsidRPr="00465964">
        <w:rPr>
          <w:lang w:val="pt-PT"/>
        </w:rPr>
        <w:t xml:space="preserve">2.   A reserva de ativos deve estar juridicamente separada do património do emitente, bem como da reserva de ativos de outras </w:t>
      </w:r>
      <w:r>
        <w:rPr>
          <w:lang w:val="pt-PT"/>
        </w:rPr>
        <w:t>criptomoedas</w:t>
      </w:r>
      <w:r w:rsidRPr="00465964">
        <w:rPr>
          <w:lang w:val="pt-PT"/>
        </w:rPr>
        <w:t xml:space="preserve"> referenciadas a ativos, no interesse dos detentores de </w:t>
      </w:r>
      <w:r>
        <w:rPr>
          <w:lang w:val="pt-PT"/>
        </w:rPr>
        <w:t>criptomoedas</w:t>
      </w:r>
      <w:r w:rsidRPr="00465964">
        <w:rPr>
          <w:lang w:val="pt-PT"/>
        </w:rPr>
        <w:t xml:space="preserve"> referenciadas a ativos, nos termos do direito aplicável, </w:t>
      </w:r>
      <w:proofErr w:type="gramStart"/>
      <w:r w:rsidRPr="00465964">
        <w:rPr>
          <w:lang w:val="pt-PT"/>
        </w:rPr>
        <w:t>de modo a que</w:t>
      </w:r>
      <w:proofErr w:type="gramEnd"/>
      <w:r w:rsidRPr="00465964">
        <w:rPr>
          <w:lang w:val="pt-PT"/>
        </w:rPr>
        <w:t xml:space="preserve"> os credores dos emitentes não possam recorrer à reserva de ativos, em especial em caso de insolvência.</w:t>
      </w:r>
    </w:p>
    <w:p w14:paraId="0FD1114C" w14:textId="245C77FA" w:rsidR="00465964" w:rsidRPr="00465964" w:rsidRDefault="00465964" w:rsidP="00465964">
      <w:pPr>
        <w:rPr>
          <w:lang w:val="pt-PT"/>
        </w:rPr>
      </w:pPr>
      <w:r w:rsidRPr="00465964">
        <w:rPr>
          <w:lang w:val="pt-PT"/>
        </w:rPr>
        <w:t xml:space="preserve">3.   Os emitentes de </w:t>
      </w:r>
      <w:r>
        <w:rPr>
          <w:lang w:val="pt-PT"/>
        </w:rPr>
        <w:t>criptomoedas</w:t>
      </w:r>
      <w:r w:rsidRPr="00465964">
        <w:rPr>
          <w:lang w:val="pt-PT"/>
        </w:rPr>
        <w:t xml:space="preserve"> referenciadas a ativos devem assegurar que a reserva de ativos esteja, em termos operacionais, separada do seu património, bem como da reserva de ativos de outras </w:t>
      </w:r>
      <w:r>
        <w:rPr>
          <w:lang w:val="pt-PT"/>
        </w:rPr>
        <w:t>criptomoedas</w:t>
      </w:r>
      <w:r w:rsidRPr="00465964">
        <w:rPr>
          <w:lang w:val="pt-PT"/>
        </w:rPr>
        <w:t>.</w:t>
      </w:r>
    </w:p>
    <w:p w14:paraId="62913E2A" w14:textId="77777777" w:rsidR="00465964" w:rsidRPr="00465964" w:rsidRDefault="00465964" w:rsidP="00465964">
      <w:pPr>
        <w:rPr>
          <w:lang w:val="pt-PT"/>
        </w:rPr>
      </w:pPr>
      <w:r w:rsidRPr="00465964">
        <w:rPr>
          <w:lang w:val="pt-PT"/>
        </w:rPr>
        <w:t xml:space="preserve">4.   A EBA, em estreita cooperação com a ESMA e o BCE, elabora projetos de normas técnicas de regulamentação que especifiquem em maior detalhe os requisitos de liquidez, tendo em conta a dimensão, a complexidade e a natureza da reserva de ativos e da própria </w:t>
      </w:r>
      <w:proofErr w:type="spellStart"/>
      <w:r w:rsidRPr="00465964">
        <w:rPr>
          <w:lang w:val="pt-PT"/>
        </w:rPr>
        <w:t>criptoficha</w:t>
      </w:r>
      <w:proofErr w:type="spellEnd"/>
      <w:r w:rsidRPr="00465964">
        <w:rPr>
          <w:lang w:val="pt-PT"/>
        </w:rPr>
        <w:t xml:space="preserve"> referenciada a ativos.</w:t>
      </w:r>
    </w:p>
    <w:p w14:paraId="790ABBE1" w14:textId="77777777" w:rsidR="00465964" w:rsidRPr="00465964" w:rsidRDefault="00465964" w:rsidP="00465964">
      <w:pPr>
        <w:rPr>
          <w:lang w:val="pt-PT"/>
        </w:rPr>
      </w:pPr>
      <w:r w:rsidRPr="00465964">
        <w:rPr>
          <w:lang w:val="pt-PT"/>
        </w:rPr>
        <w:t>As normas técnicas de regulamentação estabelecem, em especial:</w:t>
      </w:r>
    </w:p>
    <w:tbl>
      <w:tblPr>
        <w:tblW w:w="5000" w:type="pct"/>
        <w:tblCellMar>
          <w:left w:w="0" w:type="dxa"/>
          <w:right w:w="0" w:type="dxa"/>
        </w:tblCellMar>
        <w:tblLook w:val="04A0" w:firstRow="1" w:lastRow="0" w:firstColumn="1" w:lastColumn="0" w:noHBand="0" w:noVBand="1"/>
      </w:tblPr>
      <w:tblGrid>
        <w:gridCol w:w="182"/>
        <w:gridCol w:w="8844"/>
      </w:tblGrid>
      <w:tr w:rsidR="00465964" w:rsidRPr="00465964" w14:paraId="1D750840" w14:textId="77777777" w:rsidTr="00465964">
        <w:tc>
          <w:tcPr>
            <w:tcW w:w="0" w:type="auto"/>
            <w:shd w:val="clear" w:color="auto" w:fill="auto"/>
            <w:hideMark/>
          </w:tcPr>
          <w:p w14:paraId="2BD692C9" w14:textId="77777777" w:rsidR="00465964" w:rsidRPr="00465964" w:rsidRDefault="00465964" w:rsidP="00465964">
            <w:r w:rsidRPr="00465964">
              <w:t>a)</w:t>
            </w:r>
          </w:p>
        </w:tc>
        <w:tc>
          <w:tcPr>
            <w:tcW w:w="0" w:type="auto"/>
            <w:shd w:val="clear" w:color="auto" w:fill="auto"/>
            <w:hideMark/>
          </w:tcPr>
          <w:p w14:paraId="61CA0029" w14:textId="77777777" w:rsidR="00465964" w:rsidRPr="00465964" w:rsidRDefault="00465964" w:rsidP="00465964">
            <w:pPr>
              <w:rPr>
                <w:lang w:val="pt-PT"/>
              </w:rPr>
            </w:pPr>
            <w:r w:rsidRPr="00465964">
              <w:rPr>
                <w:lang w:val="pt-PT"/>
              </w:rPr>
              <w:t>A percentagem pertinente da reserva de ativos em função dos prazos de vencimento diários, incluindo a percentagem de acordos de revenda da reserva que podem ser denunciados mediante pré-aviso de um dia útil ou a percentagem de numerário que pode ser levantado mediante pré-aviso de um dia útil;</w:t>
            </w:r>
          </w:p>
        </w:tc>
      </w:tr>
    </w:tbl>
    <w:p w14:paraId="2DCA538C"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8"/>
        <w:gridCol w:w="8838"/>
      </w:tblGrid>
      <w:tr w:rsidR="00465964" w:rsidRPr="00465964" w14:paraId="5EA0C20B" w14:textId="77777777" w:rsidTr="00465964">
        <w:tc>
          <w:tcPr>
            <w:tcW w:w="0" w:type="auto"/>
            <w:shd w:val="clear" w:color="auto" w:fill="auto"/>
            <w:hideMark/>
          </w:tcPr>
          <w:p w14:paraId="45F3E299" w14:textId="77777777" w:rsidR="00465964" w:rsidRPr="00465964" w:rsidRDefault="00465964" w:rsidP="00465964">
            <w:r w:rsidRPr="00465964">
              <w:t>b)</w:t>
            </w:r>
          </w:p>
        </w:tc>
        <w:tc>
          <w:tcPr>
            <w:tcW w:w="0" w:type="auto"/>
            <w:shd w:val="clear" w:color="auto" w:fill="auto"/>
            <w:hideMark/>
          </w:tcPr>
          <w:p w14:paraId="3848DF06" w14:textId="77777777" w:rsidR="00465964" w:rsidRPr="00465964" w:rsidRDefault="00465964" w:rsidP="00465964">
            <w:pPr>
              <w:rPr>
                <w:lang w:val="pt-PT"/>
              </w:rPr>
            </w:pPr>
            <w:r w:rsidRPr="00465964">
              <w:rPr>
                <w:lang w:val="pt-PT"/>
              </w:rPr>
              <w:t>A percentagem pertinente da reserva de ativos em função dos prazos de vencimento semanais, incluindo a percentagem de acordos de revenda da reserva que podem ser denunciados mediante pré-aviso de cinco dias úteis ou a percentagem de numerário que pode ser levantado mediante pré-aviso de cinco dias úteis;</w:t>
            </w:r>
          </w:p>
        </w:tc>
      </w:tr>
    </w:tbl>
    <w:p w14:paraId="58410A2B"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0"/>
        <w:gridCol w:w="8846"/>
      </w:tblGrid>
      <w:tr w:rsidR="00465964" w:rsidRPr="00465964" w14:paraId="14FF98FC" w14:textId="77777777" w:rsidTr="00465964">
        <w:tc>
          <w:tcPr>
            <w:tcW w:w="0" w:type="auto"/>
            <w:shd w:val="clear" w:color="auto" w:fill="auto"/>
            <w:hideMark/>
          </w:tcPr>
          <w:p w14:paraId="522FFC38" w14:textId="77777777" w:rsidR="00465964" w:rsidRPr="00465964" w:rsidRDefault="00465964" w:rsidP="00465964">
            <w:r w:rsidRPr="00465964">
              <w:t>c)</w:t>
            </w:r>
          </w:p>
        </w:tc>
        <w:tc>
          <w:tcPr>
            <w:tcW w:w="0" w:type="auto"/>
            <w:shd w:val="clear" w:color="auto" w:fill="auto"/>
            <w:hideMark/>
          </w:tcPr>
          <w:p w14:paraId="15EBE011" w14:textId="77777777" w:rsidR="00465964" w:rsidRPr="00465964" w:rsidRDefault="00465964" w:rsidP="00465964">
            <w:pPr>
              <w:rPr>
                <w:lang w:val="pt-PT"/>
              </w:rPr>
            </w:pPr>
            <w:r w:rsidRPr="00465964">
              <w:rPr>
                <w:lang w:val="pt-PT"/>
              </w:rPr>
              <w:t>Outros prazos de vencimento relevantes, bem como técnicas globais para a gestão da liquidez;</w:t>
            </w:r>
          </w:p>
        </w:tc>
      </w:tr>
    </w:tbl>
    <w:p w14:paraId="2C9CC6DA"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8"/>
        <w:gridCol w:w="8838"/>
      </w:tblGrid>
      <w:tr w:rsidR="00465964" w:rsidRPr="00465964" w14:paraId="40B6F733" w14:textId="77777777" w:rsidTr="00465964">
        <w:tc>
          <w:tcPr>
            <w:tcW w:w="0" w:type="auto"/>
            <w:shd w:val="clear" w:color="auto" w:fill="auto"/>
            <w:hideMark/>
          </w:tcPr>
          <w:p w14:paraId="158561BB" w14:textId="77777777" w:rsidR="00465964" w:rsidRPr="00465964" w:rsidRDefault="00465964" w:rsidP="00465964">
            <w:r w:rsidRPr="00465964">
              <w:t>d)</w:t>
            </w:r>
          </w:p>
        </w:tc>
        <w:tc>
          <w:tcPr>
            <w:tcW w:w="0" w:type="auto"/>
            <w:shd w:val="clear" w:color="auto" w:fill="auto"/>
            <w:hideMark/>
          </w:tcPr>
          <w:p w14:paraId="3902EFD1" w14:textId="77777777" w:rsidR="00465964" w:rsidRPr="00465964" w:rsidRDefault="00465964" w:rsidP="00465964">
            <w:pPr>
              <w:rPr>
                <w:lang w:val="pt-PT"/>
              </w:rPr>
            </w:pPr>
            <w:r w:rsidRPr="00465964">
              <w:rPr>
                <w:lang w:val="pt-PT"/>
              </w:rPr>
              <w:t>Os montantes mínimos dos depósitos a deter, em cada moeda oficial referenciada, nas instituições de crédito, que não podem ser inferiores a 30 % do montante referenciado em cada moeda oficial.</w:t>
            </w:r>
          </w:p>
        </w:tc>
      </w:tr>
    </w:tbl>
    <w:p w14:paraId="463623F0" w14:textId="77777777" w:rsidR="00465964" w:rsidRPr="00465964" w:rsidRDefault="00465964" w:rsidP="00465964">
      <w:pPr>
        <w:rPr>
          <w:lang w:val="pt-PT"/>
        </w:rPr>
      </w:pPr>
      <w:r w:rsidRPr="00465964">
        <w:rPr>
          <w:lang w:val="pt-PT"/>
        </w:rPr>
        <w:t>Para efeitos das alíneas a), b) e c) do segundo parágrafo, a EBA tem em conta, entre outros, os limiares pertinentes estabelecidos no artigo 52.</w:t>
      </w:r>
      <w:r w:rsidRPr="00465964">
        <w:rPr>
          <w:vertAlign w:val="superscript"/>
          <w:lang w:val="pt-PT"/>
        </w:rPr>
        <w:t>o</w:t>
      </w:r>
      <w:r w:rsidRPr="00465964">
        <w:rPr>
          <w:lang w:val="pt-PT"/>
        </w:rPr>
        <w:t> da Diretiva 2009/65/CE.</w:t>
      </w:r>
    </w:p>
    <w:p w14:paraId="260D81CF" w14:textId="77777777" w:rsidR="00465964" w:rsidRPr="00465964" w:rsidRDefault="00465964" w:rsidP="00465964">
      <w:pPr>
        <w:rPr>
          <w:lang w:val="pt-PT"/>
        </w:rPr>
      </w:pPr>
      <w:r w:rsidRPr="00465964">
        <w:rPr>
          <w:lang w:val="pt-PT"/>
        </w:rPr>
        <w:lastRenderedPageBreak/>
        <w:t>A EBA apresenta à Comissão os projetos de normas técnicas de regulamentação referidos no primeiro parágrafo até 30 de junho de 2024.</w:t>
      </w:r>
    </w:p>
    <w:p w14:paraId="6F39B0F2" w14:textId="77777777" w:rsidR="00465964" w:rsidRPr="00465964" w:rsidRDefault="00465964" w:rsidP="00465964">
      <w:pPr>
        <w:rPr>
          <w:lang w:val="pt-PT"/>
        </w:rPr>
      </w:pPr>
      <w:r w:rsidRPr="00465964">
        <w:rPr>
          <w:lang w:val="pt-PT"/>
        </w:rPr>
        <w:t>É delegado na Comissão o poder de completar o presente regulamento através da adoção das normas técnicas de regulamentação a que se refere o primeiro parágrafo do presente número em conformidade com os artigos 10.</w:t>
      </w:r>
      <w:r w:rsidRPr="00465964">
        <w:rPr>
          <w:vertAlign w:val="superscript"/>
          <w:lang w:val="pt-PT"/>
        </w:rPr>
        <w:t>o</w:t>
      </w:r>
      <w:r w:rsidRPr="00465964">
        <w:rPr>
          <w:lang w:val="pt-PT"/>
        </w:rPr>
        <w:t> a 14.</w:t>
      </w:r>
      <w:r w:rsidRPr="00465964">
        <w:rPr>
          <w:vertAlign w:val="superscript"/>
          <w:lang w:val="pt-PT"/>
        </w:rPr>
        <w:t>o</w:t>
      </w:r>
      <w:r w:rsidRPr="00465964">
        <w:rPr>
          <w:lang w:val="pt-PT"/>
        </w:rPr>
        <w:t xml:space="preserve"> do Regulamento (UE) </w:t>
      </w:r>
      <w:proofErr w:type="spellStart"/>
      <w:r w:rsidRPr="00465964">
        <w:rPr>
          <w:lang w:val="pt-PT"/>
        </w:rPr>
        <w:t>n.</w:t>
      </w:r>
      <w:r w:rsidRPr="00465964">
        <w:rPr>
          <w:vertAlign w:val="superscript"/>
          <w:lang w:val="pt-PT"/>
        </w:rPr>
        <w:t>o</w:t>
      </w:r>
      <w:proofErr w:type="spellEnd"/>
      <w:r w:rsidRPr="00465964">
        <w:rPr>
          <w:lang w:val="pt-PT"/>
        </w:rPr>
        <w:t> 1093/2010.</w:t>
      </w:r>
    </w:p>
    <w:p w14:paraId="13463073" w14:textId="0D3D6A05" w:rsidR="00465964" w:rsidRPr="00465964" w:rsidRDefault="00465964" w:rsidP="00465964">
      <w:pPr>
        <w:rPr>
          <w:lang w:val="pt-PT"/>
        </w:rPr>
      </w:pPr>
      <w:r w:rsidRPr="00465964">
        <w:rPr>
          <w:lang w:val="pt-PT"/>
        </w:rPr>
        <w:t xml:space="preserve">5.   Os emitentes que ofereçam ao público duas ou mais </w:t>
      </w:r>
      <w:r>
        <w:rPr>
          <w:lang w:val="pt-PT"/>
        </w:rPr>
        <w:t>criptomoedas</w:t>
      </w:r>
      <w:r w:rsidRPr="00465964">
        <w:rPr>
          <w:lang w:val="pt-PT"/>
        </w:rPr>
        <w:t xml:space="preserve"> referenciadas a ativos devem gerir e manter conjuntos separados de reservas de ativos para cada </w:t>
      </w:r>
      <w:proofErr w:type="spellStart"/>
      <w:r w:rsidRPr="00465964">
        <w:rPr>
          <w:lang w:val="pt-PT"/>
        </w:rPr>
        <w:t>criptoficha</w:t>
      </w:r>
      <w:proofErr w:type="spellEnd"/>
      <w:r w:rsidRPr="00465964">
        <w:rPr>
          <w:lang w:val="pt-PT"/>
        </w:rPr>
        <w:t xml:space="preserve"> referenciada a ativos. Cada um desses conjuntos de reservas de ativos é gerido separadamente.</w:t>
      </w:r>
    </w:p>
    <w:p w14:paraId="06BD5B10" w14:textId="401F9493" w:rsidR="00465964" w:rsidRPr="00465964" w:rsidRDefault="00465964" w:rsidP="00465964">
      <w:pPr>
        <w:rPr>
          <w:lang w:val="pt-PT"/>
        </w:rPr>
      </w:pPr>
      <w:r w:rsidRPr="00465964">
        <w:rPr>
          <w:lang w:val="pt-PT"/>
        </w:rPr>
        <w:t xml:space="preserve">Caso diferentes emitentes de </w:t>
      </w:r>
      <w:r>
        <w:rPr>
          <w:lang w:val="pt-PT"/>
        </w:rPr>
        <w:t>criptomoedas</w:t>
      </w:r>
      <w:r w:rsidRPr="00465964">
        <w:rPr>
          <w:lang w:val="pt-PT"/>
        </w:rPr>
        <w:t xml:space="preserve"> referenciadas a ativos submetam a mesma </w:t>
      </w:r>
      <w:proofErr w:type="spellStart"/>
      <w:r w:rsidRPr="00465964">
        <w:rPr>
          <w:lang w:val="pt-PT"/>
        </w:rPr>
        <w:t>criptoficha</w:t>
      </w:r>
      <w:proofErr w:type="spellEnd"/>
      <w:r w:rsidRPr="00465964">
        <w:rPr>
          <w:lang w:val="pt-PT"/>
        </w:rPr>
        <w:t xml:space="preserve"> referenciada a ativos a uma oferta pública, esses emitentes devem explorar e manter apenas uma reserva de ativos para essa </w:t>
      </w:r>
      <w:proofErr w:type="spellStart"/>
      <w:r w:rsidRPr="00465964">
        <w:rPr>
          <w:lang w:val="pt-PT"/>
        </w:rPr>
        <w:t>criptoficha</w:t>
      </w:r>
      <w:proofErr w:type="spellEnd"/>
      <w:r w:rsidRPr="00465964">
        <w:rPr>
          <w:lang w:val="pt-PT"/>
        </w:rPr>
        <w:t xml:space="preserve"> referenciada a ativos.</w:t>
      </w:r>
    </w:p>
    <w:p w14:paraId="295B1987" w14:textId="4632B6CE" w:rsidR="00465964" w:rsidRPr="00465964" w:rsidRDefault="00465964" w:rsidP="00465964">
      <w:pPr>
        <w:rPr>
          <w:lang w:val="pt-PT"/>
        </w:rPr>
      </w:pPr>
      <w:r w:rsidRPr="00465964">
        <w:rPr>
          <w:lang w:val="pt-PT"/>
        </w:rPr>
        <w:t xml:space="preserve">6.   Os órgãos de administração dos emitentes de </w:t>
      </w:r>
      <w:r>
        <w:rPr>
          <w:lang w:val="pt-PT"/>
        </w:rPr>
        <w:t>criptomoedas</w:t>
      </w:r>
      <w:r w:rsidRPr="00465964">
        <w:rPr>
          <w:lang w:val="pt-PT"/>
        </w:rPr>
        <w:t xml:space="preserve"> referenciadas a ativos asseguram uma gestão eficaz e prudente da reserva de ativos. Os emitentes asseguram que a emissão e o reembolso de </w:t>
      </w:r>
      <w:r>
        <w:rPr>
          <w:lang w:val="pt-PT"/>
        </w:rPr>
        <w:t>criptomoedas</w:t>
      </w:r>
      <w:r w:rsidRPr="00465964">
        <w:rPr>
          <w:lang w:val="pt-PT"/>
        </w:rPr>
        <w:t xml:space="preserve"> referenciadas a ativos sejam sempre acompanhados por um aumento ou uma diminuição correspondente da reserva de ativos.</w:t>
      </w:r>
    </w:p>
    <w:p w14:paraId="26EF2A09" w14:textId="77777777" w:rsidR="00465964" w:rsidRPr="00465964" w:rsidRDefault="00465964" w:rsidP="00465964">
      <w:pPr>
        <w:rPr>
          <w:lang w:val="pt-PT"/>
        </w:rPr>
      </w:pPr>
      <w:r w:rsidRPr="00465964">
        <w:rPr>
          <w:lang w:val="pt-PT"/>
        </w:rPr>
        <w:t xml:space="preserve">7.   O emitente de uma </w:t>
      </w:r>
      <w:proofErr w:type="spellStart"/>
      <w:r w:rsidRPr="00465964">
        <w:rPr>
          <w:lang w:val="pt-PT"/>
        </w:rPr>
        <w:t>criptoficha</w:t>
      </w:r>
      <w:proofErr w:type="spellEnd"/>
      <w:r w:rsidRPr="00465964">
        <w:rPr>
          <w:lang w:val="pt-PT"/>
        </w:rPr>
        <w:t xml:space="preserve"> referenciada a ativos deve determinar o valor agregado da reserva de ativos recorrendo aos preços de mercado. O seu valor agregado deve ser pelo menos igual ao valor agregado dos créditos sobre o emitente detidos pelos detentores da </w:t>
      </w:r>
      <w:proofErr w:type="spellStart"/>
      <w:r w:rsidRPr="00465964">
        <w:rPr>
          <w:lang w:val="pt-PT"/>
        </w:rPr>
        <w:t>criptoficha</w:t>
      </w:r>
      <w:proofErr w:type="spellEnd"/>
      <w:r w:rsidRPr="00465964">
        <w:rPr>
          <w:lang w:val="pt-PT"/>
        </w:rPr>
        <w:t xml:space="preserve"> referenciada a ativos em circulação.</w:t>
      </w:r>
    </w:p>
    <w:p w14:paraId="402C5484" w14:textId="1E82E12F" w:rsidR="00465964" w:rsidRPr="00465964" w:rsidRDefault="00465964" w:rsidP="00465964">
      <w:pPr>
        <w:rPr>
          <w:lang w:val="pt-PT"/>
        </w:rPr>
      </w:pPr>
      <w:r w:rsidRPr="00465964">
        <w:rPr>
          <w:lang w:val="pt-PT"/>
        </w:rPr>
        <w:t xml:space="preserve">8.   Os emitentes de </w:t>
      </w:r>
      <w:r>
        <w:rPr>
          <w:lang w:val="pt-PT"/>
        </w:rPr>
        <w:t>criptomoedas</w:t>
      </w:r>
      <w:r w:rsidRPr="00465964">
        <w:rPr>
          <w:lang w:val="pt-PT"/>
        </w:rPr>
        <w:t xml:space="preserve"> referenciadas a ativos devem dispor de uma política clara e pormenorizada que descreva o mecanismo de estabilização das </w:t>
      </w:r>
      <w:r>
        <w:rPr>
          <w:lang w:val="pt-PT"/>
        </w:rPr>
        <w:t>criptomoedas</w:t>
      </w:r>
      <w:r w:rsidRPr="00465964">
        <w:rPr>
          <w:lang w:val="pt-PT"/>
        </w:rPr>
        <w:t xml:space="preserve"> em causa. Essa política deve, nomeadamente:</w:t>
      </w:r>
    </w:p>
    <w:tbl>
      <w:tblPr>
        <w:tblW w:w="5000" w:type="pct"/>
        <w:tblCellMar>
          <w:left w:w="0" w:type="dxa"/>
          <w:right w:w="0" w:type="dxa"/>
        </w:tblCellMar>
        <w:tblLook w:val="04A0" w:firstRow="1" w:lastRow="0" w:firstColumn="1" w:lastColumn="0" w:noHBand="0" w:noVBand="1"/>
      </w:tblPr>
      <w:tblGrid>
        <w:gridCol w:w="182"/>
        <w:gridCol w:w="8844"/>
      </w:tblGrid>
      <w:tr w:rsidR="00465964" w:rsidRPr="00465964" w14:paraId="0DF11D19" w14:textId="77777777" w:rsidTr="00465964">
        <w:tc>
          <w:tcPr>
            <w:tcW w:w="0" w:type="auto"/>
            <w:shd w:val="clear" w:color="auto" w:fill="auto"/>
            <w:hideMark/>
          </w:tcPr>
          <w:p w14:paraId="7FB31D19" w14:textId="77777777" w:rsidR="00465964" w:rsidRPr="00465964" w:rsidRDefault="00465964" w:rsidP="00465964">
            <w:r w:rsidRPr="00465964">
              <w:t>a)</w:t>
            </w:r>
          </w:p>
        </w:tc>
        <w:tc>
          <w:tcPr>
            <w:tcW w:w="0" w:type="auto"/>
            <w:shd w:val="clear" w:color="auto" w:fill="auto"/>
            <w:hideMark/>
          </w:tcPr>
          <w:p w14:paraId="15703D6C" w14:textId="56F3B8C5" w:rsidR="00465964" w:rsidRPr="00465964" w:rsidRDefault="00465964" w:rsidP="00465964">
            <w:pPr>
              <w:rPr>
                <w:lang w:val="pt-PT"/>
              </w:rPr>
            </w:pPr>
            <w:r w:rsidRPr="00465964">
              <w:rPr>
                <w:lang w:val="pt-PT"/>
              </w:rPr>
              <w:t xml:space="preserve">Enumerar os ativos referenciados pelas </w:t>
            </w:r>
            <w:r>
              <w:rPr>
                <w:lang w:val="pt-PT"/>
              </w:rPr>
              <w:t>criptomoedas</w:t>
            </w:r>
            <w:r w:rsidRPr="00465964">
              <w:rPr>
                <w:lang w:val="pt-PT"/>
              </w:rPr>
              <w:t xml:space="preserve"> referenciadas a ativos e a composição desses ativos;</w:t>
            </w:r>
          </w:p>
        </w:tc>
      </w:tr>
    </w:tbl>
    <w:p w14:paraId="75F5F8C8"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8"/>
        <w:gridCol w:w="8838"/>
      </w:tblGrid>
      <w:tr w:rsidR="00465964" w:rsidRPr="00465964" w14:paraId="615B25D6" w14:textId="77777777" w:rsidTr="00465964">
        <w:tc>
          <w:tcPr>
            <w:tcW w:w="0" w:type="auto"/>
            <w:shd w:val="clear" w:color="auto" w:fill="auto"/>
            <w:hideMark/>
          </w:tcPr>
          <w:p w14:paraId="78561367" w14:textId="77777777" w:rsidR="00465964" w:rsidRPr="00465964" w:rsidRDefault="00465964" w:rsidP="00465964">
            <w:r w:rsidRPr="00465964">
              <w:t>b)</w:t>
            </w:r>
          </w:p>
        </w:tc>
        <w:tc>
          <w:tcPr>
            <w:tcW w:w="0" w:type="auto"/>
            <w:shd w:val="clear" w:color="auto" w:fill="auto"/>
            <w:hideMark/>
          </w:tcPr>
          <w:p w14:paraId="19335546" w14:textId="77777777" w:rsidR="00465964" w:rsidRPr="00465964" w:rsidRDefault="00465964" w:rsidP="00465964">
            <w:pPr>
              <w:rPr>
                <w:lang w:val="pt-PT"/>
              </w:rPr>
            </w:pPr>
            <w:r w:rsidRPr="00465964">
              <w:rPr>
                <w:lang w:val="pt-PT"/>
              </w:rPr>
              <w:t>Descrever o tipo de ativos e a afetação precisa dos ativos que estão incluídos na reserva de ativos;</w:t>
            </w:r>
          </w:p>
        </w:tc>
      </w:tr>
    </w:tbl>
    <w:p w14:paraId="00C7608E"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0"/>
        <w:gridCol w:w="8846"/>
      </w:tblGrid>
      <w:tr w:rsidR="00465964" w:rsidRPr="00465964" w14:paraId="140218CD" w14:textId="77777777" w:rsidTr="00465964">
        <w:tc>
          <w:tcPr>
            <w:tcW w:w="0" w:type="auto"/>
            <w:shd w:val="clear" w:color="auto" w:fill="auto"/>
            <w:hideMark/>
          </w:tcPr>
          <w:p w14:paraId="7BCFEAF1" w14:textId="77777777" w:rsidR="00465964" w:rsidRPr="00465964" w:rsidRDefault="00465964" w:rsidP="00465964">
            <w:r w:rsidRPr="00465964">
              <w:t>c)</w:t>
            </w:r>
          </w:p>
        </w:tc>
        <w:tc>
          <w:tcPr>
            <w:tcW w:w="0" w:type="auto"/>
            <w:shd w:val="clear" w:color="auto" w:fill="auto"/>
            <w:hideMark/>
          </w:tcPr>
          <w:p w14:paraId="72752B11" w14:textId="77777777" w:rsidR="00465964" w:rsidRPr="00465964" w:rsidRDefault="00465964" w:rsidP="00465964">
            <w:pPr>
              <w:rPr>
                <w:lang w:val="pt-PT"/>
              </w:rPr>
            </w:pPr>
            <w:r w:rsidRPr="00465964">
              <w:rPr>
                <w:lang w:val="pt-PT"/>
              </w:rPr>
              <w:t>Incluir uma avaliação aprofundada dos riscos, incluindo o risco de crédito, o risco de mercado, o risco de concentração e o risco de liquidez resultantes da reserva de ativos;</w:t>
            </w:r>
          </w:p>
        </w:tc>
      </w:tr>
    </w:tbl>
    <w:p w14:paraId="2F7E1A0F"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8"/>
        <w:gridCol w:w="8838"/>
      </w:tblGrid>
      <w:tr w:rsidR="00465964" w:rsidRPr="00465964" w14:paraId="21A96C95" w14:textId="77777777" w:rsidTr="00465964">
        <w:tc>
          <w:tcPr>
            <w:tcW w:w="0" w:type="auto"/>
            <w:shd w:val="clear" w:color="auto" w:fill="auto"/>
            <w:hideMark/>
          </w:tcPr>
          <w:p w14:paraId="13BA8406" w14:textId="77777777" w:rsidR="00465964" w:rsidRPr="00465964" w:rsidRDefault="00465964" w:rsidP="00465964">
            <w:r w:rsidRPr="00465964">
              <w:t>d)</w:t>
            </w:r>
          </w:p>
        </w:tc>
        <w:tc>
          <w:tcPr>
            <w:tcW w:w="0" w:type="auto"/>
            <w:shd w:val="clear" w:color="auto" w:fill="auto"/>
            <w:hideMark/>
          </w:tcPr>
          <w:p w14:paraId="75679419" w14:textId="3ED16DD6" w:rsidR="00465964" w:rsidRPr="00465964" w:rsidRDefault="00465964" w:rsidP="00465964">
            <w:pPr>
              <w:rPr>
                <w:lang w:val="pt-PT"/>
              </w:rPr>
            </w:pPr>
            <w:r w:rsidRPr="00465964">
              <w:rPr>
                <w:lang w:val="pt-PT"/>
              </w:rPr>
              <w:t xml:space="preserve">Descrever o procedimento através do qual as </w:t>
            </w:r>
            <w:r>
              <w:rPr>
                <w:lang w:val="pt-PT"/>
              </w:rPr>
              <w:t>criptomoedas</w:t>
            </w:r>
            <w:r w:rsidRPr="00465964">
              <w:rPr>
                <w:lang w:val="pt-PT"/>
              </w:rPr>
              <w:t xml:space="preserve"> referenciadas a ativos são emitidas e reembolsadas, e o procedimento através do qual essa emissão e esse reembolso resultarão num aumento ou numa diminuição correspondente da reserva de ativos;</w:t>
            </w:r>
          </w:p>
        </w:tc>
      </w:tr>
    </w:tbl>
    <w:p w14:paraId="7BB76060"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4"/>
        <w:gridCol w:w="8842"/>
      </w:tblGrid>
      <w:tr w:rsidR="00465964" w:rsidRPr="00465964" w14:paraId="5CD1B33B" w14:textId="77777777" w:rsidTr="00465964">
        <w:tc>
          <w:tcPr>
            <w:tcW w:w="0" w:type="auto"/>
            <w:shd w:val="clear" w:color="auto" w:fill="auto"/>
            <w:hideMark/>
          </w:tcPr>
          <w:p w14:paraId="44F93152" w14:textId="77777777" w:rsidR="00465964" w:rsidRPr="00465964" w:rsidRDefault="00465964" w:rsidP="00465964">
            <w:r w:rsidRPr="00465964">
              <w:t>e)</w:t>
            </w:r>
          </w:p>
        </w:tc>
        <w:tc>
          <w:tcPr>
            <w:tcW w:w="0" w:type="auto"/>
            <w:shd w:val="clear" w:color="auto" w:fill="auto"/>
            <w:hideMark/>
          </w:tcPr>
          <w:p w14:paraId="26E5E6BD" w14:textId="77777777" w:rsidR="00465964" w:rsidRPr="00465964" w:rsidRDefault="00465964" w:rsidP="00465964">
            <w:pPr>
              <w:rPr>
                <w:lang w:val="pt-PT"/>
              </w:rPr>
            </w:pPr>
            <w:r w:rsidRPr="00465964">
              <w:rPr>
                <w:lang w:val="pt-PT"/>
              </w:rPr>
              <w:t>Indicar se uma parte da reserva de ativos é investida conforme estabelecido pelo artigo 38.</w:t>
            </w:r>
            <w:r w:rsidRPr="00465964">
              <w:rPr>
                <w:vertAlign w:val="superscript"/>
                <w:lang w:val="pt-PT"/>
              </w:rPr>
              <w:t>o</w:t>
            </w:r>
            <w:r w:rsidRPr="00465964">
              <w:rPr>
                <w:lang w:val="pt-PT"/>
              </w:rPr>
              <w:t>;</w:t>
            </w:r>
          </w:p>
        </w:tc>
      </w:tr>
    </w:tbl>
    <w:p w14:paraId="73D5BEB7"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36"/>
        <w:gridCol w:w="8890"/>
      </w:tblGrid>
      <w:tr w:rsidR="00465964" w:rsidRPr="00465964" w14:paraId="56A57667" w14:textId="77777777" w:rsidTr="00465964">
        <w:tc>
          <w:tcPr>
            <w:tcW w:w="0" w:type="auto"/>
            <w:shd w:val="clear" w:color="auto" w:fill="auto"/>
            <w:hideMark/>
          </w:tcPr>
          <w:p w14:paraId="6A025BFA" w14:textId="77777777" w:rsidR="00465964" w:rsidRPr="00465964" w:rsidRDefault="00465964" w:rsidP="00465964">
            <w:r w:rsidRPr="00465964">
              <w:t>f)</w:t>
            </w:r>
          </w:p>
        </w:tc>
        <w:tc>
          <w:tcPr>
            <w:tcW w:w="0" w:type="auto"/>
            <w:shd w:val="clear" w:color="auto" w:fill="auto"/>
            <w:hideMark/>
          </w:tcPr>
          <w:p w14:paraId="778F7C6E" w14:textId="6507FEC9" w:rsidR="00465964" w:rsidRPr="00465964" w:rsidRDefault="00465964" w:rsidP="00465964">
            <w:pPr>
              <w:rPr>
                <w:lang w:val="pt-PT"/>
              </w:rPr>
            </w:pPr>
            <w:r w:rsidRPr="00465964">
              <w:rPr>
                <w:lang w:val="pt-PT"/>
              </w:rPr>
              <w:t xml:space="preserve">Caso os emitentes de </w:t>
            </w:r>
            <w:r>
              <w:rPr>
                <w:lang w:val="pt-PT"/>
              </w:rPr>
              <w:t>criptomoedas</w:t>
            </w:r>
            <w:r w:rsidRPr="00465964">
              <w:rPr>
                <w:lang w:val="pt-PT"/>
              </w:rPr>
              <w:t xml:space="preserve"> referenciadas a ativos invistam uma parte da reserva de ativos nos termos do artigo 38.</w:t>
            </w:r>
            <w:r w:rsidRPr="00465964">
              <w:rPr>
                <w:vertAlign w:val="superscript"/>
                <w:lang w:val="pt-PT"/>
              </w:rPr>
              <w:t>o</w:t>
            </w:r>
            <w:r w:rsidRPr="00465964">
              <w:rPr>
                <w:lang w:val="pt-PT"/>
              </w:rPr>
              <w:t>, descrever em pormenor a política de investimento e incluir uma avaliação do modo como essa política de investimento pode afetar o valor da reserva de ativos;</w:t>
            </w:r>
          </w:p>
        </w:tc>
      </w:tr>
    </w:tbl>
    <w:p w14:paraId="24BC43BB"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74"/>
        <w:gridCol w:w="8852"/>
      </w:tblGrid>
      <w:tr w:rsidR="00465964" w:rsidRPr="00465964" w14:paraId="65329CF0" w14:textId="77777777" w:rsidTr="00465964">
        <w:tc>
          <w:tcPr>
            <w:tcW w:w="0" w:type="auto"/>
            <w:shd w:val="clear" w:color="auto" w:fill="auto"/>
            <w:hideMark/>
          </w:tcPr>
          <w:p w14:paraId="657F2F81" w14:textId="77777777" w:rsidR="00465964" w:rsidRPr="00465964" w:rsidRDefault="00465964" w:rsidP="00465964">
            <w:r w:rsidRPr="00465964">
              <w:t>g)</w:t>
            </w:r>
          </w:p>
        </w:tc>
        <w:tc>
          <w:tcPr>
            <w:tcW w:w="0" w:type="auto"/>
            <w:shd w:val="clear" w:color="auto" w:fill="auto"/>
            <w:hideMark/>
          </w:tcPr>
          <w:p w14:paraId="5B4E4825" w14:textId="01041F73" w:rsidR="00465964" w:rsidRPr="00465964" w:rsidRDefault="00465964" w:rsidP="00465964">
            <w:pPr>
              <w:rPr>
                <w:lang w:val="pt-PT"/>
              </w:rPr>
            </w:pPr>
            <w:r w:rsidRPr="00465964">
              <w:rPr>
                <w:lang w:val="pt-PT"/>
              </w:rPr>
              <w:t xml:space="preserve">Descrever o procedimento de aquisição de </w:t>
            </w:r>
            <w:r>
              <w:rPr>
                <w:lang w:val="pt-PT"/>
              </w:rPr>
              <w:t>criptomoedas</w:t>
            </w:r>
            <w:r w:rsidRPr="00465964">
              <w:rPr>
                <w:lang w:val="pt-PT"/>
              </w:rPr>
              <w:t xml:space="preserve"> referenciadas a ativos e de reembolso dessas </w:t>
            </w:r>
            <w:r>
              <w:rPr>
                <w:lang w:val="pt-PT"/>
              </w:rPr>
              <w:t>criptomoedas</w:t>
            </w:r>
            <w:r w:rsidRPr="00465964">
              <w:rPr>
                <w:lang w:val="pt-PT"/>
              </w:rPr>
              <w:t xml:space="preserve"> contra a reserva de ativos, e enumerar as pessoas ou categorias de pessoas com direito a fazê-lo.</w:t>
            </w:r>
          </w:p>
        </w:tc>
      </w:tr>
    </w:tbl>
    <w:p w14:paraId="61BB99CC" w14:textId="5E957907" w:rsidR="00465964" w:rsidRPr="00465964" w:rsidRDefault="00465964" w:rsidP="00465964">
      <w:pPr>
        <w:rPr>
          <w:lang w:val="pt-PT"/>
        </w:rPr>
      </w:pPr>
      <w:r w:rsidRPr="00465964">
        <w:rPr>
          <w:lang w:val="pt-PT"/>
        </w:rPr>
        <w:lastRenderedPageBreak/>
        <w:t>9.   Sem prejuízo do artigo 34.</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xml:space="preserve"> 12, os emitentes de </w:t>
      </w:r>
      <w:r>
        <w:rPr>
          <w:lang w:val="pt-PT"/>
        </w:rPr>
        <w:t>criptomoedas</w:t>
      </w:r>
      <w:r w:rsidRPr="00465964">
        <w:rPr>
          <w:lang w:val="pt-PT"/>
        </w:rPr>
        <w:t xml:space="preserve"> referenciadas a ativos devem assegurar, para efeitos de avaliação da conformidade com as normas estabelecidas pelo presente capítulo, a realização de uma auditoria independente da reserva de ativos de seis em seis meses, a partir da data da sua autorização nos termos do artigo 21.</w:t>
      </w:r>
      <w:r w:rsidRPr="00465964">
        <w:rPr>
          <w:vertAlign w:val="superscript"/>
          <w:lang w:val="pt-PT"/>
        </w:rPr>
        <w:t>o</w:t>
      </w:r>
      <w:r w:rsidRPr="00465964">
        <w:rPr>
          <w:lang w:val="pt-PT"/>
        </w:rPr>
        <w:t> ou a partir da data de aprovação do livrete do criptoativo nos termos do artigo 17.</w:t>
      </w:r>
      <w:r w:rsidRPr="00465964">
        <w:rPr>
          <w:vertAlign w:val="superscript"/>
          <w:lang w:val="pt-PT"/>
        </w:rPr>
        <w:t>o</w:t>
      </w:r>
      <w:r w:rsidRPr="00465964">
        <w:rPr>
          <w:lang w:val="pt-PT"/>
        </w:rPr>
        <w:t>.</w:t>
      </w:r>
    </w:p>
    <w:p w14:paraId="7508158D" w14:textId="77777777" w:rsidR="00465964" w:rsidRPr="00465964" w:rsidRDefault="00465964" w:rsidP="00465964">
      <w:pPr>
        <w:rPr>
          <w:lang w:val="pt-PT"/>
        </w:rPr>
      </w:pPr>
      <w:r w:rsidRPr="00465964">
        <w:rPr>
          <w:lang w:val="pt-PT"/>
        </w:rPr>
        <w:t xml:space="preserve">10.   O emitente deve notificar os resultados da auditoria a que se refere o </w:t>
      </w:r>
      <w:proofErr w:type="spellStart"/>
      <w:r w:rsidRPr="00465964">
        <w:rPr>
          <w:lang w:val="pt-PT"/>
        </w:rPr>
        <w:t>n.</w:t>
      </w:r>
      <w:r w:rsidRPr="00465964">
        <w:rPr>
          <w:vertAlign w:val="superscript"/>
          <w:lang w:val="pt-PT"/>
        </w:rPr>
        <w:t>o</w:t>
      </w:r>
      <w:proofErr w:type="spellEnd"/>
      <w:r w:rsidRPr="00465964">
        <w:rPr>
          <w:lang w:val="pt-PT"/>
        </w:rPr>
        <w:t> 9 à autoridade competente sem demora, e o mais tardar seis semanas após a data de referência da avaliação. O emitente deve publicar o resultado da auditoria no prazo de duas semanas a contar da data de notificação à autoridade competente. A autoridade competente pode dar instruções a um emitente para adiar a publicação dos resultados da auditoria se:</w:t>
      </w:r>
    </w:p>
    <w:tbl>
      <w:tblPr>
        <w:tblW w:w="5000" w:type="pct"/>
        <w:tblCellMar>
          <w:left w:w="0" w:type="dxa"/>
          <w:right w:w="0" w:type="dxa"/>
        </w:tblCellMar>
        <w:tblLook w:val="04A0" w:firstRow="1" w:lastRow="0" w:firstColumn="1" w:lastColumn="0" w:noHBand="0" w:noVBand="1"/>
      </w:tblPr>
      <w:tblGrid>
        <w:gridCol w:w="182"/>
        <w:gridCol w:w="8844"/>
      </w:tblGrid>
      <w:tr w:rsidR="00465964" w:rsidRPr="00465964" w14:paraId="17591FFB" w14:textId="77777777" w:rsidTr="00465964">
        <w:tc>
          <w:tcPr>
            <w:tcW w:w="0" w:type="auto"/>
            <w:shd w:val="clear" w:color="auto" w:fill="auto"/>
            <w:hideMark/>
          </w:tcPr>
          <w:p w14:paraId="522FB862" w14:textId="77777777" w:rsidR="00465964" w:rsidRPr="00465964" w:rsidRDefault="00465964" w:rsidP="00465964">
            <w:r w:rsidRPr="00465964">
              <w:t>a)</w:t>
            </w:r>
          </w:p>
        </w:tc>
        <w:tc>
          <w:tcPr>
            <w:tcW w:w="0" w:type="auto"/>
            <w:shd w:val="clear" w:color="auto" w:fill="auto"/>
            <w:hideMark/>
          </w:tcPr>
          <w:p w14:paraId="0BC172AD" w14:textId="77777777" w:rsidR="00465964" w:rsidRPr="00465964" w:rsidRDefault="00465964" w:rsidP="00465964">
            <w:pPr>
              <w:rPr>
                <w:lang w:val="pt-PT"/>
              </w:rPr>
            </w:pPr>
            <w:r w:rsidRPr="00465964">
              <w:rPr>
                <w:lang w:val="pt-PT"/>
              </w:rPr>
              <w:t>O emitente tiver sido obrigado a aplicar um mecanismo ou medidas de recuperação, em conformidade com o artigo 46.</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3;</w:t>
            </w:r>
          </w:p>
        </w:tc>
      </w:tr>
    </w:tbl>
    <w:p w14:paraId="512C9E73"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8"/>
        <w:gridCol w:w="8838"/>
      </w:tblGrid>
      <w:tr w:rsidR="00465964" w:rsidRPr="00465964" w14:paraId="3AA0431A" w14:textId="77777777" w:rsidTr="00465964">
        <w:tc>
          <w:tcPr>
            <w:tcW w:w="0" w:type="auto"/>
            <w:shd w:val="clear" w:color="auto" w:fill="auto"/>
            <w:hideMark/>
          </w:tcPr>
          <w:p w14:paraId="37C77972" w14:textId="77777777" w:rsidR="00465964" w:rsidRPr="00465964" w:rsidRDefault="00465964" w:rsidP="00465964">
            <w:r w:rsidRPr="00465964">
              <w:t>b)</w:t>
            </w:r>
          </w:p>
        </w:tc>
        <w:tc>
          <w:tcPr>
            <w:tcW w:w="0" w:type="auto"/>
            <w:shd w:val="clear" w:color="auto" w:fill="auto"/>
            <w:hideMark/>
          </w:tcPr>
          <w:p w14:paraId="7A8AD1D1" w14:textId="77777777" w:rsidR="00465964" w:rsidRPr="00465964" w:rsidRDefault="00465964" w:rsidP="00465964">
            <w:pPr>
              <w:rPr>
                <w:lang w:val="pt-PT"/>
              </w:rPr>
            </w:pPr>
            <w:r w:rsidRPr="00465964">
              <w:rPr>
                <w:lang w:val="pt-PT"/>
              </w:rPr>
              <w:t>O emitente tiver sido obrigado a aplicar um plano de reembolso, em conformidade com o artigo 47.</w:t>
            </w:r>
            <w:r w:rsidRPr="00465964">
              <w:rPr>
                <w:vertAlign w:val="superscript"/>
                <w:lang w:val="pt-PT"/>
              </w:rPr>
              <w:t>o</w:t>
            </w:r>
            <w:r w:rsidRPr="00465964">
              <w:rPr>
                <w:lang w:val="pt-PT"/>
              </w:rPr>
              <w:t>;</w:t>
            </w:r>
          </w:p>
        </w:tc>
      </w:tr>
    </w:tbl>
    <w:p w14:paraId="313AFFCF"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0"/>
        <w:gridCol w:w="8846"/>
      </w:tblGrid>
      <w:tr w:rsidR="00465964" w:rsidRPr="00465964" w14:paraId="627AB632" w14:textId="77777777" w:rsidTr="00465964">
        <w:tc>
          <w:tcPr>
            <w:tcW w:w="0" w:type="auto"/>
            <w:shd w:val="clear" w:color="auto" w:fill="auto"/>
            <w:hideMark/>
          </w:tcPr>
          <w:p w14:paraId="3F7466FD" w14:textId="77777777" w:rsidR="00465964" w:rsidRPr="00465964" w:rsidRDefault="00465964" w:rsidP="00465964">
            <w:r w:rsidRPr="00465964">
              <w:t>c)</w:t>
            </w:r>
          </w:p>
        </w:tc>
        <w:tc>
          <w:tcPr>
            <w:tcW w:w="0" w:type="auto"/>
            <w:shd w:val="clear" w:color="auto" w:fill="auto"/>
            <w:hideMark/>
          </w:tcPr>
          <w:p w14:paraId="6F9FD9FD" w14:textId="77777777" w:rsidR="00465964" w:rsidRPr="00465964" w:rsidRDefault="00465964" w:rsidP="00465964">
            <w:pPr>
              <w:rPr>
                <w:lang w:val="pt-PT"/>
              </w:rPr>
            </w:pPr>
            <w:r w:rsidRPr="00465964">
              <w:rPr>
                <w:lang w:val="pt-PT"/>
              </w:rPr>
              <w:t xml:space="preserve">Tal for considerado necessário para proteger os interesses económicos dos detentores da </w:t>
            </w:r>
            <w:proofErr w:type="spellStart"/>
            <w:r w:rsidRPr="00465964">
              <w:rPr>
                <w:lang w:val="pt-PT"/>
              </w:rPr>
              <w:t>criptoficha</w:t>
            </w:r>
            <w:proofErr w:type="spellEnd"/>
            <w:r w:rsidRPr="00465964">
              <w:rPr>
                <w:lang w:val="pt-PT"/>
              </w:rPr>
              <w:t xml:space="preserve"> referenciada a ativos;</w:t>
            </w:r>
          </w:p>
        </w:tc>
      </w:tr>
    </w:tbl>
    <w:p w14:paraId="18AC7C99"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8"/>
        <w:gridCol w:w="8838"/>
      </w:tblGrid>
      <w:tr w:rsidR="00465964" w:rsidRPr="00465964" w14:paraId="7ECAE376" w14:textId="77777777" w:rsidTr="00465964">
        <w:tc>
          <w:tcPr>
            <w:tcW w:w="0" w:type="auto"/>
            <w:shd w:val="clear" w:color="auto" w:fill="auto"/>
            <w:hideMark/>
          </w:tcPr>
          <w:p w14:paraId="2C34CAA8" w14:textId="77777777" w:rsidR="00465964" w:rsidRPr="00465964" w:rsidRDefault="00465964" w:rsidP="00465964">
            <w:r w:rsidRPr="00465964">
              <w:t>d)</w:t>
            </w:r>
          </w:p>
        </w:tc>
        <w:tc>
          <w:tcPr>
            <w:tcW w:w="0" w:type="auto"/>
            <w:shd w:val="clear" w:color="auto" w:fill="auto"/>
            <w:hideMark/>
          </w:tcPr>
          <w:p w14:paraId="004F570B" w14:textId="77777777" w:rsidR="00465964" w:rsidRPr="00465964" w:rsidRDefault="00465964" w:rsidP="00465964">
            <w:pPr>
              <w:rPr>
                <w:lang w:val="pt-PT"/>
              </w:rPr>
            </w:pPr>
            <w:r w:rsidRPr="00465964">
              <w:rPr>
                <w:lang w:val="pt-PT"/>
              </w:rPr>
              <w:t>Tal for considerado necessário para evitar um efeito prejudicial significativo no sistema financeiro do Estado-Membro de origem ou de outro Estado-Membro.</w:t>
            </w:r>
          </w:p>
        </w:tc>
      </w:tr>
    </w:tbl>
    <w:p w14:paraId="488514FD" w14:textId="77777777" w:rsidR="00465964" w:rsidRPr="00465964" w:rsidRDefault="00465964" w:rsidP="00465964">
      <w:pPr>
        <w:rPr>
          <w:lang w:val="pt-PT"/>
        </w:rPr>
      </w:pPr>
      <w:r w:rsidRPr="00465964">
        <w:rPr>
          <w:lang w:val="pt-PT"/>
        </w:rPr>
        <w:t xml:space="preserve">11.   A avaliação a preços de mercado a que se refere o </w:t>
      </w:r>
      <w:proofErr w:type="spellStart"/>
      <w:r w:rsidRPr="00465964">
        <w:rPr>
          <w:lang w:val="pt-PT"/>
        </w:rPr>
        <w:t>n.</w:t>
      </w:r>
      <w:r w:rsidRPr="00465964">
        <w:rPr>
          <w:vertAlign w:val="superscript"/>
          <w:lang w:val="pt-PT"/>
        </w:rPr>
        <w:t>o</w:t>
      </w:r>
      <w:proofErr w:type="spellEnd"/>
      <w:r w:rsidRPr="00465964">
        <w:rPr>
          <w:lang w:val="pt-PT"/>
        </w:rPr>
        <w:t> 7 do presente artigo é efetuada utilizando, sempre que possível, a avaliação ao preço do mercado, na aceção do artigo 2.</w:t>
      </w:r>
      <w:r w:rsidRPr="00465964">
        <w:rPr>
          <w:vertAlign w:val="superscript"/>
          <w:lang w:val="pt-PT"/>
        </w:rPr>
        <w:t>o</w:t>
      </w:r>
      <w:r w:rsidRPr="00465964">
        <w:rPr>
          <w:lang w:val="pt-PT"/>
        </w:rPr>
        <w:t>, ponto 8, do Regulamento (UE) 2017/1131 do Parlamento Europeu e do Conselho </w:t>
      </w:r>
      <w:hyperlink r:id="rId45" w:anchor="ntr38-L_2023150PT.01004001-E0038" w:history="1">
        <w:r w:rsidRPr="00465964">
          <w:rPr>
            <w:rStyle w:val="Hyperlink"/>
            <w:lang w:val="pt-PT"/>
          </w:rPr>
          <w:t>(</w:t>
        </w:r>
        <w:r w:rsidRPr="00465964">
          <w:rPr>
            <w:rStyle w:val="Hyperlink"/>
            <w:vertAlign w:val="superscript"/>
            <w:lang w:val="pt-PT"/>
          </w:rPr>
          <w:t>38</w:t>
        </w:r>
        <w:r w:rsidRPr="00465964">
          <w:rPr>
            <w:rStyle w:val="Hyperlink"/>
            <w:lang w:val="pt-PT"/>
          </w:rPr>
          <w:t>)</w:t>
        </w:r>
      </w:hyperlink>
      <w:r w:rsidRPr="00465964">
        <w:rPr>
          <w:lang w:val="pt-PT"/>
        </w:rPr>
        <w:t>.</w:t>
      </w:r>
    </w:p>
    <w:p w14:paraId="3482FE29" w14:textId="77777777" w:rsidR="00465964" w:rsidRPr="00465964" w:rsidRDefault="00465964" w:rsidP="00465964">
      <w:pPr>
        <w:rPr>
          <w:lang w:val="pt-PT"/>
        </w:rPr>
      </w:pPr>
      <w:r w:rsidRPr="00465964">
        <w:rPr>
          <w:lang w:val="pt-PT"/>
        </w:rPr>
        <w:t>Aquando do recurso à avaliação a preços de mercado, o ativo de reserva é avaliado à cotação de compra ou de venda mais prudente, a não ser que seja possível encerrar a posição no ativo ao preço médio de mercado. Apenas podem ser utilizados dados de boa qualidade, os quais são avaliados com base nos seguintes elementos cumulativos:</w:t>
      </w:r>
    </w:p>
    <w:tbl>
      <w:tblPr>
        <w:tblW w:w="5000" w:type="pct"/>
        <w:tblCellMar>
          <w:left w:w="0" w:type="dxa"/>
          <w:right w:w="0" w:type="dxa"/>
        </w:tblCellMar>
        <w:tblLook w:val="04A0" w:firstRow="1" w:lastRow="0" w:firstColumn="1" w:lastColumn="0" w:noHBand="0" w:noVBand="1"/>
      </w:tblPr>
      <w:tblGrid>
        <w:gridCol w:w="395"/>
        <w:gridCol w:w="8631"/>
      </w:tblGrid>
      <w:tr w:rsidR="00465964" w:rsidRPr="00465964" w14:paraId="77E24865" w14:textId="77777777" w:rsidTr="00465964">
        <w:tc>
          <w:tcPr>
            <w:tcW w:w="0" w:type="auto"/>
            <w:shd w:val="clear" w:color="auto" w:fill="auto"/>
            <w:hideMark/>
          </w:tcPr>
          <w:p w14:paraId="205D32FA" w14:textId="77777777" w:rsidR="00465964" w:rsidRPr="00465964" w:rsidRDefault="00465964" w:rsidP="00465964">
            <w:r w:rsidRPr="00465964">
              <w:t>a)</w:t>
            </w:r>
          </w:p>
        </w:tc>
        <w:tc>
          <w:tcPr>
            <w:tcW w:w="0" w:type="auto"/>
            <w:shd w:val="clear" w:color="auto" w:fill="auto"/>
            <w:hideMark/>
          </w:tcPr>
          <w:p w14:paraId="3279709F" w14:textId="77777777" w:rsidR="00465964" w:rsidRPr="00465964" w:rsidRDefault="00465964" w:rsidP="00465964">
            <w:pPr>
              <w:rPr>
                <w:lang w:val="pt-PT"/>
              </w:rPr>
            </w:pPr>
            <w:r w:rsidRPr="00465964">
              <w:rPr>
                <w:lang w:val="pt-PT"/>
              </w:rPr>
              <w:t>O número e a qualidade das contrapartes;</w:t>
            </w:r>
          </w:p>
        </w:tc>
      </w:tr>
    </w:tbl>
    <w:p w14:paraId="3F003337"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228"/>
        <w:gridCol w:w="8798"/>
      </w:tblGrid>
      <w:tr w:rsidR="00465964" w:rsidRPr="00465964" w14:paraId="1E8403E4" w14:textId="77777777" w:rsidTr="00465964">
        <w:tc>
          <w:tcPr>
            <w:tcW w:w="0" w:type="auto"/>
            <w:shd w:val="clear" w:color="auto" w:fill="auto"/>
            <w:hideMark/>
          </w:tcPr>
          <w:p w14:paraId="05B9ADCF" w14:textId="77777777" w:rsidR="00465964" w:rsidRPr="00465964" w:rsidRDefault="00465964" w:rsidP="00465964">
            <w:r w:rsidRPr="00465964">
              <w:t>b)</w:t>
            </w:r>
          </w:p>
        </w:tc>
        <w:tc>
          <w:tcPr>
            <w:tcW w:w="0" w:type="auto"/>
            <w:shd w:val="clear" w:color="auto" w:fill="auto"/>
            <w:hideMark/>
          </w:tcPr>
          <w:p w14:paraId="3F4D9619" w14:textId="77777777" w:rsidR="00465964" w:rsidRPr="00465964" w:rsidRDefault="00465964" w:rsidP="00465964">
            <w:pPr>
              <w:rPr>
                <w:lang w:val="pt-PT"/>
              </w:rPr>
            </w:pPr>
            <w:r w:rsidRPr="00465964">
              <w:rPr>
                <w:lang w:val="pt-PT"/>
              </w:rPr>
              <w:t>O volume de vendas e o volume de negócios do ativo de reserva no mercado;</w:t>
            </w:r>
          </w:p>
        </w:tc>
      </w:tr>
    </w:tbl>
    <w:p w14:paraId="49960E41"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495"/>
        <w:gridCol w:w="8531"/>
      </w:tblGrid>
      <w:tr w:rsidR="00465964" w:rsidRPr="00465964" w14:paraId="0F4E49A6" w14:textId="77777777" w:rsidTr="00465964">
        <w:tc>
          <w:tcPr>
            <w:tcW w:w="0" w:type="auto"/>
            <w:shd w:val="clear" w:color="auto" w:fill="auto"/>
            <w:hideMark/>
          </w:tcPr>
          <w:p w14:paraId="1CADB7F2" w14:textId="77777777" w:rsidR="00465964" w:rsidRPr="00465964" w:rsidRDefault="00465964" w:rsidP="00465964">
            <w:r w:rsidRPr="00465964">
              <w:t>c)</w:t>
            </w:r>
          </w:p>
        </w:tc>
        <w:tc>
          <w:tcPr>
            <w:tcW w:w="0" w:type="auto"/>
            <w:shd w:val="clear" w:color="auto" w:fill="auto"/>
            <w:hideMark/>
          </w:tcPr>
          <w:p w14:paraId="4F767AB5" w14:textId="77777777" w:rsidR="00465964" w:rsidRPr="00465964" w:rsidRDefault="00465964" w:rsidP="00465964">
            <w:pPr>
              <w:rPr>
                <w:lang w:val="pt-PT"/>
              </w:rPr>
            </w:pPr>
            <w:r w:rsidRPr="00465964">
              <w:rPr>
                <w:lang w:val="pt-PT"/>
              </w:rPr>
              <w:t>A dimensão da reserva de ativos.</w:t>
            </w:r>
          </w:p>
        </w:tc>
      </w:tr>
    </w:tbl>
    <w:p w14:paraId="496C1B41" w14:textId="77777777" w:rsidR="00465964" w:rsidRPr="00465964" w:rsidRDefault="00465964" w:rsidP="00465964">
      <w:pPr>
        <w:rPr>
          <w:lang w:val="pt-PT"/>
        </w:rPr>
      </w:pPr>
      <w:r w:rsidRPr="00465964">
        <w:rPr>
          <w:lang w:val="pt-PT"/>
        </w:rPr>
        <w:t xml:space="preserve">12.   Caso não seja possível utilizar a avaliação ao preço do mercado referida no </w:t>
      </w:r>
      <w:proofErr w:type="spellStart"/>
      <w:r w:rsidRPr="00465964">
        <w:rPr>
          <w:lang w:val="pt-PT"/>
        </w:rPr>
        <w:t>n.</w:t>
      </w:r>
      <w:r w:rsidRPr="00465964">
        <w:rPr>
          <w:vertAlign w:val="superscript"/>
          <w:lang w:val="pt-PT"/>
        </w:rPr>
        <w:t>o</w:t>
      </w:r>
      <w:proofErr w:type="spellEnd"/>
      <w:r w:rsidRPr="00465964">
        <w:rPr>
          <w:lang w:val="pt-PT"/>
        </w:rPr>
        <w:t> 11 do presente artigo ou caso os dados de mercado não sejam de qualidade suficiente, o ativo de reserva é avaliado de forma prudente, utilizando-se a avaliação com recurso a um modelo, na aceção do artigo 2.</w:t>
      </w:r>
      <w:r w:rsidRPr="00465964">
        <w:rPr>
          <w:vertAlign w:val="superscript"/>
          <w:lang w:val="pt-PT"/>
        </w:rPr>
        <w:t>o</w:t>
      </w:r>
      <w:r w:rsidRPr="00465964">
        <w:rPr>
          <w:lang w:val="pt-PT"/>
        </w:rPr>
        <w:t>, ponto 9, do Regulamento (UE) 2017/1131.</w:t>
      </w:r>
    </w:p>
    <w:p w14:paraId="535E5E0F" w14:textId="77777777" w:rsidR="00465964" w:rsidRPr="00465964" w:rsidRDefault="00465964" w:rsidP="00465964">
      <w:pPr>
        <w:rPr>
          <w:lang w:val="pt-PT"/>
        </w:rPr>
      </w:pPr>
      <w:r w:rsidRPr="00465964">
        <w:rPr>
          <w:lang w:val="pt-PT"/>
        </w:rPr>
        <w:t>O modelo deve estimar corretamente o valor intrínseco do ativo de reserva, com base em todos os seguintes fatores fundamentais atualizados:</w:t>
      </w:r>
    </w:p>
    <w:tbl>
      <w:tblPr>
        <w:tblW w:w="5000" w:type="pct"/>
        <w:tblCellMar>
          <w:left w:w="0" w:type="dxa"/>
          <w:right w:w="0" w:type="dxa"/>
        </w:tblCellMar>
        <w:tblLook w:val="04A0" w:firstRow="1" w:lastRow="0" w:firstColumn="1" w:lastColumn="0" w:noHBand="0" w:noVBand="1"/>
      </w:tblPr>
      <w:tblGrid>
        <w:gridCol w:w="212"/>
        <w:gridCol w:w="8814"/>
      </w:tblGrid>
      <w:tr w:rsidR="00465964" w:rsidRPr="00465964" w14:paraId="2748C528" w14:textId="77777777" w:rsidTr="00465964">
        <w:tc>
          <w:tcPr>
            <w:tcW w:w="0" w:type="auto"/>
            <w:shd w:val="clear" w:color="auto" w:fill="auto"/>
            <w:hideMark/>
          </w:tcPr>
          <w:p w14:paraId="664B504C" w14:textId="77777777" w:rsidR="00465964" w:rsidRPr="00465964" w:rsidRDefault="00465964" w:rsidP="00465964">
            <w:r w:rsidRPr="00465964">
              <w:t>a)</w:t>
            </w:r>
          </w:p>
        </w:tc>
        <w:tc>
          <w:tcPr>
            <w:tcW w:w="0" w:type="auto"/>
            <w:shd w:val="clear" w:color="auto" w:fill="auto"/>
            <w:hideMark/>
          </w:tcPr>
          <w:p w14:paraId="72544E32" w14:textId="77777777" w:rsidR="00465964" w:rsidRPr="00465964" w:rsidRDefault="00465964" w:rsidP="00465964">
            <w:pPr>
              <w:rPr>
                <w:lang w:val="pt-PT"/>
              </w:rPr>
            </w:pPr>
            <w:r w:rsidRPr="00465964">
              <w:rPr>
                <w:lang w:val="pt-PT"/>
              </w:rPr>
              <w:t>O volume de vendas e o volume de negócios desse ativo de reserva no mercado;</w:t>
            </w:r>
          </w:p>
        </w:tc>
      </w:tr>
    </w:tbl>
    <w:p w14:paraId="2DC06613"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516"/>
        <w:gridCol w:w="8510"/>
      </w:tblGrid>
      <w:tr w:rsidR="00465964" w:rsidRPr="00465964" w14:paraId="4970B989" w14:textId="77777777" w:rsidTr="00465964">
        <w:tc>
          <w:tcPr>
            <w:tcW w:w="0" w:type="auto"/>
            <w:shd w:val="clear" w:color="auto" w:fill="auto"/>
            <w:hideMark/>
          </w:tcPr>
          <w:p w14:paraId="4918B8E0" w14:textId="77777777" w:rsidR="00465964" w:rsidRPr="00465964" w:rsidRDefault="00465964" w:rsidP="00465964">
            <w:r w:rsidRPr="00465964">
              <w:t>b)</w:t>
            </w:r>
          </w:p>
        </w:tc>
        <w:tc>
          <w:tcPr>
            <w:tcW w:w="0" w:type="auto"/>
            <w:shd w:val="clear" w:color="auto" w:fill="auto"/>
            <w:hideMark/>
          </w:tcPr>
          <w:p w14:paraId="54793846" w14:textId="77777777" w:rsidR="00465964" w:rsidRPr="00465964" w:rsidRDefault="00465964" w:rsidP="00465964">
            <w:pPr>
              <w:rPr>
                <w:lang w:val="pt-PT"/>
              </w:rPr>
            </w:pPr>
            <w:r w:rsidRPr="00465964">
              <w:rPr>
                <w:lang w:val="pt-PT"/>
              </w:rPr>
              <w:t>A dimensão da reserva de ativos;</w:t>
            </w:r>
          </w:p>
        </w:tc>
      </w:tr>
    </w:tbl>
    <w:p w14:paraId="048A8A06"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0"/>
        <w:gridCol w:w="8846"/>
      </w:tblGrid>
      <w:tr w:rsidR="00465964" w:rsidRPr="00465964" w14:paraId="7B0B6A94" w14:textId="77777777" w:rsidTr="00465964">
        <w:tc>
          <w:tcPr>
            <w:tcW w:w="0" w:type="auto"/>
            <w:shd w:val="clear" w:color="auto" w:fill="auto"/>
            <w:hideMark/>
          </w:tcPr>
          <w:p w14:paraId="51DDC612" w14:textId="77777777" w:rsidR="00465964" w:rsidRPr="00465964" w:rsidRDefault="00465964" w:rsidP="00465964">
            <w:r w:rsidRPr="00465964">
              <w:t>c)</w:t>
            </w:r>
          </w:p>
        </w:tc>
        <w:tc>
          <w:tcPr>
            <w:tcW w:w="0" w:type="auto"/>
            <w:shd w:val="clear" w:color="auto" w:fill="auto"/>
            <w:hideMark/>
          </w:tcPr>
          <w:p w14:paraId="44047BBA" w14:textId="77777777" w:rsidR="00465964" w:rsidRPr="00465964" w:rsidRDefault="00465964" w:rsidP="00465964">
            <w:pPr>
              <w:rPr>
                <w:lang w:val="pt-PT"/>
              </w:rPr>
            </w:pPr>
            <w:r w:rsidRPr="00465964">
              <w:rPr>
                <w:lang w:val="pt-PT"/>
              </w:rPr>
              <w:t>O risco de mercado, o risco de taxa de juro e o risco de crédito associados ao ativo de reserva.</w:t>
            </w:r>
          </w:p>
        </w:tc>
      </w:tr>
    </w:tbl>
    <w:p w14:paraId="0004B212" w14:textId="77777777" w:rsidR="00465964" w:rsidRPr="00465964" w:rsidRDefault="00465964" w:rsidP="00465964">
      <w:pPr>
        <w:rPr>
          <w:lang w:val="pt-PT"/>
        </w:rPr>
      </w:pPr>
      <w:r w:rsidRPr="00465964">
        <w:rPr>
          <w:lang w:val="pt-PT"/>
        </w:rPr>
        <w:lastRenderedPageBreak/>
        <w:t>Quando é utilizada a avaliação com recurso a um modelo, não pode ser utilizado o método do custo amortizado, tal como definido no artigo 2.</w:t>
      </w:r>
      <w:r w:rsidRPr="00465964">
        <w:rPr>
          <w:vertAlign w:val="superscript"/>
          <w:lang w:val="pt-PT"/>
        </w:rPr>
        <w:t>o</w:t>
      </w:r>
      <w:r w:rsidRPr="00465964">
        <w:rPr>
          <w:lang w:val="pt-PT"/>
        </w:rPr>
        <w:t>, ponto 10, do Regulamento (UE) 2017/1131.</w:t>
      </w:r>
    </w:p>
    <w:p w14:paraId="4F300B38" w14:textId="77777777" w:rsidR="00465964" w:rsidRPr="00465964" w:rsidRDefault="00465964" w:rsidP="00465964">
      <w:pPr>
        <w:rPr>
          <w:i/>
          <w:iCs/>
          <w:lang w:val="pt-PT"/>
        </w:rPr>
      </w:pPr>
      <w:r w:rsidRPr="00465964">
        <w:rPr>
          <w:i/>
          <w:iCs/>
          <w:lang w:val="pt-PT"/>
        </w:rPr>
        <w:t>Artigo 37.</w:t>
      </w:r>
      <w:r w:rsidRPr="00465964">
        <w:rPr>
          <w:i/>
          <w:iCs/>
          <w:vertAlign w:val="superscript"/>
          <w:lang w:val="pt-PT"/>
        </w:rPr>
        <w:t>o</w:t>
      </w:r>
    </w:p>
    <w:p w14:paraId="012B4368" w14:textId="77777777" w:rsidR="00465964" w:rsidRPr="00465964" w:rsidRDefault="00465964" w:rsidP="00465964">
      <w:pPr>
        <w:rPr>
          <w:b/>
          <w:bCs/>
          <w:lang w:val="pt-PT"/>
        </w:rPr>
      </w:pPr>
      <w:r w:rsidRPr="00465964">
        <w:rPr>
          <w:b/>
          <w:bCs/>
          <w:lang w:val="pt-PT"/>
        </w:rPr>
        <w:t>Custódia dos ativos de reserva</w:t>
      </w:r>
    </w:p>
    <w:p w14:paraId="73C5A8DF" w14:textId="6468DB76" w:rsidR="00465964" w:rsidRPr="00465964" w:rsidRDefault="00465964" w:rsidP="00465964">
      <w:pPr>
        <w:rPr>
          <w:lang w:val="pt-PT"/>
        </w:rPr>
      </w:pPr>
      <w:r w:rsidRPr="00465964">
        <w:rPr>
          <w:lang w:val="pt-PT"/>
        </w:rPr>
        <w:t xml:space="preserve">1.   Os emitentes de </w:t>
      </w:r>
      <w:r>
        <w:rPr>
          <w:lang w:val="pt-PT"/>
        </w:rPr>
        <w:t>criptomoedas</w:t>
      </w:r>
      <w:r w:rsidRPr="00465964">
        <w:rPr>
          <w:lang w:val="pt-PT"/>
        </w:rPr>
        <w:t xml:space="preserve"> referenciadas a ativos devem estabelecer, manter e aplicar políticas, procedimentos e disposições contratuais de custódia que assegurem a todo o tempo que:</w:t>
      </w:r>
    </w:p>
    <w:tbl>
      <w:tblPr>
        <w:tblW w:w="5000" w:type="pct"/>
        <w:tblCellMar>
          <w:left w:w="0" w:type="dxa"/>
          <w:right w:w="0" w:type="dxa"/>
        </w:tblCellMar>
        <w:tblLook w:val="04A0" w:firstRow="1" w:lastRow="0" w:firstColumn="1" w:lastColumn="0" w:noHBand="0" w:noVBand="1"/>
      </w:tblPr>
      <w:tblGrid>
        <w:gridCol w:w="182"/>
        <w:gridCol w:w="8844"/>
      </w:tblGrid>
      <w:tr w:rsidR="00465964" w:rsidRPr="00465964" w14:paraId="29A8802A" w14:textId="77777777" w:rsidTr="00465964">
        <w:tc>
          <w:tcPr>
            <w:tcW w:w="0" w:type="auto"/>
            <w:shd w:val="clear" w:color="auto" w:fill="auto"/>
            <w:hideMark/>
          </w:tcPr>
          <w:p w14:paraId="00EC66C8" w14:textId="77777777" w:rsidR="00465964" w:rsidRPr="00465964" w:rsidRDefault="00465964" w:rsidP="00465964">
            <w:r w:rsidRPr="00465964">
              <w:t>a)</w:t>
            </w:r>
          </w:p>
        </w:tc>
        <w:tc>
          <w:tcPr>
            <w:tcW w:w="0" w:type="auto"/>
            <w:shd w:val="clear" w:color="auto" w:fill="auto"/>
            <w:hideMark/>
          </w:tcPr>
          <w:p w14:paraId="082FB7BD" w14:textId="77777777" w:rsidR="00465964" w:rsidRPr="00465964" w:rsidRDefault="00465964" w:rsidP="00465964">
            <w:pPr>
              <w:rPr>
                <w:lang w:val="pt-PT"/>
              </w:rPr>
            </w:pPr>
            <w:r w:rsidRPr="00465964">
              <w:rPr>
                <w:lang w:val="pt-PT"/>
              </w:rPr>
              <w:t>Os ativos de reserva não sejam onerados nem penhorados no quadro de um «acordo de garantia financeira» conforme definido pelo artigo 2.</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1, alínea a), da Diretiva 2002/47/CE do Parlamento Europeu e do Conselho </w:t>
            </w:r>
            <w:hyperlink r:id="rId46" w:anchor="ntr39-L_2023150PT.01004001-E0039" w:history="1">
              <w:r w:rsidRPr="00465964">
                <w:rPr>
                  <w:rStyle w:val="Hyperlink"/>
                  <w:lang w:val="pt-PT"/>
                </w:rPr>
                <w:t>(</w:t>
              </w:r>
              <w:r w:rsidRPr="00465964">
                <w:rPr>
                  <w:rStyle w:val="Hyperlink"/>
                  <w:vertAlign w:val="superscript"/>
                  <w:lang w:val="pt-PT"/>
                </w:rPr>
                <w:t>39</w:t>
              </w:r>
              <w:r w:rsidRPr="00465964">
                <w:rPr>
                  <w:rStyle w:val="Hyperlink"/>
                  <w:lang w:val="pt-PT"/>
                </w:rPr>
                <w:t>)</w:t>
              </w:r>
            </w:hyperlink>
            <w:r w:rsidRPr="00465964">
              <w:rPr>
                <w:lang w:val="pt-PT"/>
              </w:rPr>
              <w:t>;</w:t>
            </w:r>
          </w:p>
        </w:tc>
      </w:tr>
    </w:tbl>
    <w:p w14:paraId="40499A92"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8"/>
        <w:gridCol w:w="8838"/>
      </w:tblGrid>
      <w:tr w:rsidR="00465964" w:rsidRPr="00465964" w14:paraId="50D088AA" w14:textId="77777777" w:rsidTr="00465964">
        <w:tc>
          <w:tcPr>
            <w:tcW w:w="0" w:type="auto"/>
            <w:shd w:val="clear" w:color="auto" w:fill="auto"/>
            <w:hideMark/>
          </w:tcPr>
          <w:p w14:paraId="62BBA3EC" w14:textId="77777777" w:rsidR="00465964" w:rsidRPr="00465964" w:rsidRDefault="00465964" w:rsidP="00465964">
            <w:r w:rsidRPr="00465964">
              <w:t>b)</w:t>
            </w:r>
          </w:p>
        </w:tc>
        <w:tc>
          <w:tcPr>
            <w:tcW w:w="0" w:type="auto"/>
            <w:shd w:val="clear" w:color="auto" w:fill="auto"/>
            <w:hideMark/>
          </w:tcPr>
          <w:p w14:paraId="538C84D4" w14:textId="77777777" w:rsidR="00465964" w:rsidRPr="00465964" w:rsidRDefault="00465964" w:rsidP="00465964">
            <w:pPr>
              <w:rPr>
                <w:lang w:val="pt-PT"/>
              </w:rPr>
            </w:pPr>
            <w:r w:rsidRPr="00465964">
              <w:rPr>
                <w:lang w:val="pt-PT"/>
              </w:rPr>
              <w:t xml:space="preserve">Os ativos de reserva sejam detidos em custódia em conformidade com o </w:t>
            </w:r>
            <w:proofErr w:type="spellStart"/>
            <w:r w:rsidRPr="00465964">
              <w:rPr>
                <w:lang w:val="pt-PT"/>
              </w:rPr>
              <w:t>n.</w:t>
            </w:r>
            <w:r w:rsidRPr="00465964">
              <w:rPr>
                <w:vertAlign w:val="superscript"/>
                <w:lang w:val="pt-PT"/>
              </w:rPr>
              <w:t>o</w:t>
            </w:r>
            <w:proofErr w:type="spellEnd"/>
            <w:r w:rsidRPr="00465964">
              <w:rPr>
                <w:lang w:val="pt-PT"/>
              </w:rPr>
              <w:t> 6 do presente artigo;</w:t>
            </w:r>
          </w:p>
        </w:tc>
      </w:tr>
    </w:tbl>
    <w:p w14:paraId="6B17BED1"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0"/>
        <w:gridCol w:w="8846"/>
      </w:tblGrid>
      <w:tr w:rsidR="00465964" w:rsidRPr="00465964" w14:paraId="5122C62D" w14:textId="77777777" w:rsidTr="00465964">
        <w:tc>
          <w:tcPr>
            <w:tcW w:w="0" w:type="auto"/>
            <w:shd w:val="clear" w:color="auto" w:fill="auto"/>
            <w:hideMark/>
          </w:tcPr>
          <w:p w14:paraId="090048B2" w14:textId="77777777" w:rsidR="00465964" w:rsidRPr="00465964" w:rsidRDefault="00465964" w:rsidP="00465964">
            <w:r w:rsidRPr="00465964">
              <w:t>c)</w:t>
            </w:r>
          </w:p>
        </w:tc>
        <w:tc>
          <w:tcPr>
            <w:tcW w:w="0" w:type="auto"/>
            <w:shd w:val="clear" w:color="auto" w:fill="auto"/>
            <w:hideMark/>
          </w:tcPr>
          <w:p w14:paraId="6AF19660" w14:textId="413A3F68" w:rsidR="00465964" w:rsidRPr="00465964" w:rsidRDefault="00465964" w:rsidP="00465964">
            <w:pPr>
              <w:rPr>
                <w:lang w:val="pt-PT"/>
              </w:rPr>
            </w:pPr>
            <w:r w:rsidRPr="00465964">
              <w:rPr>
                <w:lang w:val="pt-PT"/>
              </w:rPr>
              <w:t xml:space="preserve">Os emitentes de </w:t>
            </w:r>
            <w:r>
              <w:rPr>
                <w:lang w:val="pt-PT"/>
              </w:rPr>
              <w:t>criptomoedas</w:t>
            </w:r>
            <w:r w:rsidRPr="00465964">
              <w:rPr>
                <w:lang w:val="pt-PT"/>
              </w:rPr>
              <w:t xml:space="preserve"> referenciadas a ativos tenham acesso imediato aos ativos de reserva para satisfazer todos os pedidos de reembolso dos detentores de </w:t>
            </w:r>
            <w:r>
              <w:rPr>
                <w:lang w:val="pt-PT"/>
              </w:rPr>
              <w:t>criptomoedas</w:t>
            </w:r>
            <w:r w:rsidRPr="00465964">
              <w:rPr>
                <w:lang w:val="pt-PT"/>
              </w:rPr>
              <w:t xml:space="preserve"> referenciadas a ativos;</w:t>
            </w:r>
          </w:p>
        </w:tc>
      </w:tr>
    </w:tbl>
    <w:p w14:paraId="3E199C5E"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215"/>
        <w:gridCol w:w="8811"/>
      </w:tblGrid>
      <w:tr w:rsidR="00465964" w:rsidRPr="00465964" w14:paraId="274F16A2" w14:textId="77777777" w:rsidTr="00465964">
        <w:tc>
          <w:tcPr>
            <w:tcW w:w="0" w:type="auto"/>
            <w:shd w:val="clear" w:color="auto" w:fill="auto"/>
            <w:hideMark/>
          </w:tcPr>
          <w:p w14:paraId="77908AD3" w14:textId="77777777" w:rsidR="00465964" w:rsidRPr="00465964" w:rsidRDefault="00465964" w:rsidP="00465964">
            <w:r w:rsidRPr="00465964">
              <w:t>d)</w:t>
            </w:r>
          </w:p>
        </w:tc>
        <w:tc>
          <w:tcPr>
            <w:tcW w:w="0" w:type="auto"/>
            <w:shd w:val="clear" w:color="auto" w:fill="auto"/>
            <w:hideMark/>
          </w:tcPr>
          <w:p w14:paraId="7F2AC832" w14:textId="77777777" w:rsidR="00465964" w:rsidRPr="00465964" w:rsidRDefault="00465964" w:rsidP="00465964">
            <w:pPr>
              <w:rPr>
                <w:lang w:val="pt-PT"/>
              </w:rPr>
            </w:pPr>
            <w:r w:rsidRPr="00465964">
              <w:rPr>
                <w:lang w:val="pt-PT"/>
              </w:rPr>
              <w:t>As concentrações de entidades de custódia dos ativos de reserva sejam evitadas;</w:t>
            </w:r>
          </w:p>
        </w:tc>
      </w:tr>
    </w:tbl>
    <w:p w14:paraId="2024110E"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289"/>
        <w:gridCol w:w="8737"/>
      </w:tblGrid>
      <w:tr w:rsidR="00465964" w:rsidRPr="00465964" w14:paraId="6E7E1827" w14:textId="77777777" w:rsidTr="00465964">
        <w:tc>
          <w:tcPr>
            <w:tcW w:w="0" w:type="auto"/>
            <w:shd w:val="clear" w:color="auto" w:fill="auto"/>
            <w:hideMark/>
          </w:tcPr>
          <w:p w14:paraId="22AF1583" w14:textId="77777777" w:rsidR="00465964" w:rsidRPr="00465964" w:rsidRDefault="00465964" w:rsidP="00465964">
            <w:r w:rsidRPr="00465964">
              <w:t>e)</w:t>
            </w:r>
          </w:p>
        </w:tc>
        <w:tc>
          <w:tcPr>
            <w:tcW w:w="0" w:type="auto"/>
            <w:shd w:val="clear" w:color="auto" w:fill="auto"/>
            <w:hideMark/>
          </w:tcPr>
          <w:p w14:paraId="31D90ABF" w14:textId="77777777" w:rsidR="00465964" w:rsidRPr="00465964" w:rsidRDefault="00465964" w:rsidP="00465964">
            <w:pPr>
              <w:rPr>
                <w:lang w:val="pt-PT"/>
              </w:rPr>
            </w:pPr>
            <w:r w:rsidRPr="00465964">
              <w:rPr>
                <w:lang w:val="pt-PT"/>
              </w:rPr>
              <w:t>O risco de concentração de ativos de reserva seja evitado.</w:t>
            </w:r>
          </w:p>
        </w:tc>
      </w:tr>
    </w:tbl>
    <w:p w14:paraId="7671770B" w14:textId="24F4E429" w:rsidR="00465964" w:rsidRPr="00465964" w:rsidRDefault="00465964" w:rsidP="00465964">
      <w:pPr>
        <w:rPr>
          <w:lang w:val="pt-PT"/>
        </w:rPr>
      </w:pPr>
      <w:r w:rsidRPr="00465964">
        <w:rPr>
          <w:lang w:val="pt-PT"/>
        </w:rPr>
        <w:t xml:space="preserve">2.   Os emitentes de </w:t>
      </w:r>
      <w:r>
        <w:rPr>
          <w:lang w:val="pt-PT"/>
        </w:rPr>
        <w:t>criptomoedas</w:t>
      </w:r>
      <w:r w:rsidRPr="00465964">
        <w:rPr>
          <w:lang w:val="pt-PT"/>
        </w:rPr>
        <w:t xml:space="preserve"> referenciadas a ativos que emitam duas ou mais </w:t>
      </w:r>
      <w:r>
        <w:rPr>
          <w:lang w:val="pt-PT"/>
        </w:rPr>
        <w:t>criptomoedas</w:t>
      </w:r>
      <w:r w:rsidRPr="00465964">
        <w:rPr>
          <w:lang w:val="pt-PT"/>
        </w:rPr>
        <w:t xml:space="preserve"> referenciadas a ativos na União devem dispor de uma política de custódia para cada conjunto de reserva de ativos. Os diferentes emitentes de </w:t>
      </w:r>
      <w:r>
        <w:rPr>
          <w:lang w:val="pt-PT"/>
        </w:rPr>
        <w:t>criptomoedas</w:t>
      </w:r>
      <w:r w:rsidRPr="00465964">
        <w:rPr>
          <w:lang w:val="pt-PT"/>
        </w:rPr>
        <w:t xml:space="preserve"> referenciadas a ativos que tenham emitido a mesma </w:t>
      </w:r>
      <w:proofErr w:type="spellStart"/>
      <w:r w:rsidRPr="00465964">
        <w:rPr>
          <w:lang w:val="pt-PT"/>
        </w:rPr>
        <w:t>criptoficha</w:t>
      </w:r>
      <w:proofErr w:type="spellEnd"/>
      <w:r w:rsidRPr="00465964">
        <w:rPr>
          <w:lang w:val="pt-PT"/>
        </w:rPr>
        <w:t xml:space="preserve"> referenciada a ativos devem operar e manter uma política única de custódia.</w:t>
      </w:r>
    </w:p>
    <w:p w14:paraId="79F0C9F8" w14:textId="77777777" w:rsidR="00465964" w:rsidRPr="00465964" w:rsidRDefault="00465964" w:rsidP="00465964">
      <w:pPr>
        <w:rPr>
          <w:lang w:val="pt-PT"/>
        </w:rPr>
      </w:pPr>
      <w:r w:rsidRPr="00465964">
        <w:rPr>
          <w:lang w:val="pt-PT"/>
        </w:rPr>
        <w:t xml:space="preserve">3.   Os ativos de reserva devem ser detidos em custódia o mais tardar cinco dias úteis após a data de emissão da </w:t>
      </w:r>
      <w:proofErr w:type="spellStart"/>
      <w:r w:rsidRPr="00465964">
        <w:rPr>
          <w:lang w:val="pt-PT"/>
        </w:rPr>
        <w:t>criptoficha</w:t>
      </w:r>
      <w:proofErr w:type="spellEnd"/>
      <w:r w:rsidRPr="00465964">
        <w:rPr>
          <w:lang w:val="pt-PT"/>
        </w:rPr>
        <w:t xml:space="preserve"> referenciadas a ativos por uma ou mais das seguintes entidades:</w:t>
      </w:r>
    </w:p>
    <w:tbl>
      <w:tblPr>
        <w:tblW w:w="5000" w:type="pct"/>
        <w:tblCellMar>
          <w:left w:w="0" w:type="dxa"/>
          <w:right w:w="0" w:type="dxa"/>
        </w:tblCellMar>
        <w:tblLook w:val="04A0" w:firstRow="1" w:lastRow="0" w:firstColumn="1" w:lastColumn="0" w:noHBand="0" w:noVBand="1"/>
      </w:tblPr>
      <w:tblGrid>
        <w:gridCol w:w="182"/>
        <w:gridCol w:w="8844"/>
      </w:tblGrid>
      <w:tr w:rsidR="00465964" w:rsidRPr="00465964" w14:paraId="58BAA480" w14:textId="77777777" w:rsidTr="00465964">
        <w:tc>
          <w:tcPr>
            <w:tcW w:w="0" w:type="auto"/>
            <w:shd w:val="clear" w:color="auto" w:fill="auto"/>
            <w:hideMark/>
          </w:tcPr>
          <w:p w14:paraId="25811B5E" w14:textId="77777777" w:rsidR="00465964" w:rsidRPr="00465964" w:rsidRDefault="00465964" w:rsidP="00465964">
            <w:r w:rsidRPr="00465964">
              <w:t>a)</w:t>
            </w:r>
          </w:p>
        </w:tc>
        <w:tc>
          <w:tcPr>
            <w:tcW w:w="0" w:type="auto"/>
            <w:shd w:val="clear" w:color="auto" w:fill="auto"/>
            <w:hideMark/>
          </w:tcPr>
          <w:p w14:paraId="6503AAC1" w14:textId="77777777" w:rsidR="00465964" w:rsidRPr="00465964" w:rsidRDefault="00465964" w:rsidP="00465964">
            <w:pPr>
              <w:rPr>
                <w:lang w:val="pt-PT"/>
              </w:rPr>
            </w:pPr>
            <w:r w:rsidRPr="00465964">
              <w:rPr>
                <w:lang w:val="pt-PT"/>
              </w:rPr>
              <w:t>Um prestador de serviços de criptoativos que preste serviços de custódia e administração de criptoativos em nome de clientes, caso os ativos de reserva assumam a forma de criptoativos;</w:t>
            </w:r>
          </w:p>
        </w:tc>
      </w:tr>
    </w:tbl>
    <w:p w14:paraId="0B459C0B"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237"/>
        <w:gridCol w:w="8789"/>
      </w:tblGrid>
      <w:tr w:rsidR="00465964" w:rsidRPr="00465964" w14:paraId="5331007D" w14:textId="77777777" w:rsidTr="00465964">
        <w:tc>
          <w:tcPr>
            <w:tcW w:w="0" w:type="auto"/>
            <w:shd w:val="clear" w:color="auto" w:fill="auto"/>
            <w:hideMark/>
          </w:tcPr>
          <w:p w14:paraId="088007CC" w14:textId="77777777" w:rsidR="00465964" w:rsidRPr="00465964" w:rsidRDefault="00465964" w:rsidP="00465964">
            <w:r w:rsidRPr="00465964">
              <w:t>b)</w:t>
            </w:r>
          </w:p>
        </w:tc>
        <w:tc>
          <w:tcPr>
            <w:tcW w:w="0" w:type="auto"/>
            <w:shd w:val="clear" w:color="auto" w:fill="auto"/>
            <w:hideMark/>
          </w:tcPr>
          <w:p w14:paraId="32B7E09F" w14:textId="77777777" w:rsidR="00465964" w:rsidRPr="00465964" w:rsidRDefault="00465964" w:rsidP="00465964">
            <w:pPr>
              <w:rPr>
                <w:lang w:val="pt-PT"/>
              </w:rPr>
            </w:pPr>
            <w:r w:rsidRPr="00465964">
              <w:rPr>
                <w:lang w:val="pt-PT"/>
              </w:rPr>
              <w:t>Uma instituição de crédito para todos os outros tipos de ativos de reserva;</w:t>
            </w:r>
          </w:p>
        </w:tc>
      </w:tr>
    </w:tbl>
    <w:p w14:paraId="19EC9540"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0"/>
        <w:gridCol w:w="8846"/>
      </w:tblGrid>
      <w:tr w:rsidR="00465964" w:rsidRPr="00465964" w14:paraId="302625DA" w14:textId="77777777" w:rsidTr="00465964">
        <w:tc>
          <w:tcPr>
            <w:tcW w:w="0" w:type="auto"/>
            <w:shd w:val="clear" w:color="auto" w:fill="auto"/>
            <w:hideMark/>
          </w:tcPr>
          <w:p w14:paraId="242689ED" w14:textId="77777777" w:rsidR="00465964" w:rsidRPr="00465964" w:rsidRDefault="00465964" w:rsidP="00465964">
            <w:r w:rsidRPr="00465964">
              <w:t>c)</w:t>
            </w:r>
          </w:p>
        </w:tc>
        <w:tc>
          <w:tcPr>
            <w:tcW w:w="0" w:type="auto"/>
            <w:shd w:val="clear" w:color="auto" w:fill="auto"/>
            <w:hideMark/>
          </w:tcPr>
          <w:p w14:paraId="7585FC1F" w14:textId="77777777" w:rsidR="00465964" w:rsidRPr="00465964" w:rsidRDefault="00465964" w:rsidP="00465964">
            <w:pPr>
              <w:rPr>
                <w:lang w:val="pt-PT"/>
              </w:rPr>
            </w:pPr>
            <w:r w:rsidRPr="00465964">
              <w:rPr>
                <w:lang w:val="pt-PT"/>
              </w:rPr>
              <w:t>Uma empresa de investimento que preste serviços auxiliares de custódia e administração de instrumentos financeiros por conta de clientes a que se refere o a secção B, ponto 1, do anexo I da Diretiva 2014/65/UE, sempre que os ativos de reserva assumam a forma de instrumentos financeiros.</w:t>
            </w:r>
          </w:p>
        </w:tc>
      </w:tr>
    </w:tbl>
    <w:p w14:paraId="4286E7F3" w14:textId="2A50C22B" w:rsidR="00465964" w:rsidRPr="00465964" w:rsidRDefault="00465964" w:rsidP="00465964">
      <w:pPr>
        <w:rPr>
          <w:lang w:val="pt-PT"/>
        </w:rPr>
      </w:pPr>
      <w:r w:rsidRPr="00465964">
        <w:rPr>
          <w:lang w:val="pt-PT"/>
        </w:rPr>
        <w:t xml:space="preserve">4.   Os emitentes de </w:t>
      </w:r>
      <w:r>
        <w:rPr>
          <w:lang w:val="pt-PT"/>
        </w:rPr>
        <w:t>criptomoedas</w:t>
      </w:r>
      <w:r w:rsidRPr="00465964">
        <w:rPr>
          <w:lang w:val="pt-PT"/>
        </w:rPr>
        <w:t xml:space="preserve"> referenciadas a ativos devem atuar com a devida competência, zelo e diligência na seleção, nomeação e análise dos prestadores de serviços de criptoativos, das instituições de crédito e das empresas de investimento nomeados como entidades de custódia dos ativos de reserva nos termos do </w:t>
      </w:r>
      <w:proofErr w:type="spellStart"/>
      <w:r w:rsidRPr="00465964">
        <w:rPr>
          <w:lang w:val="pt-PT"/>
        </w:rPr>
        <w:t>n.</w:t>
      </w:r>
      <w:r w:rsidRPr="00465964">
        <w:rPr>
          <w:vertAlign w:val="superscript"/>
          <w:lang w:val="pt-PT"/>
        </w:rPr>
        <w:t>o</w:t>
      </w:r>
      <w:proofErr w:type="spellEnd"/>
      <w:r w:rsidRPr="00465964">
        <w:rPr>
          <w:lang w:val="pt-PT"/>
        </w:rPr>
        <w:t> 3. A entidade de custódia é uma pessoa coletiva diferente do emitente.</w:t>
      </w:r>
    </w:p>
    <w:p w14:paraId="4C7D2141" w14:textId="063A40E6" w:rsidR="00465964" w:rsidRPr="00465964" w:rsidRDefault="00465964" w:rsidP="00465964">
      <w:pPr>
        <w:rPr>
          <w:lang w:val="pt-PT"/>
        </w:rPr>
      </w:pPr>
      <w:r w:rsidRPr="00465964">
        <w:rPr>
          <w:lang w:val="pt-PT"/>
        </w:rPr>
        <w:lastRenderedPageBreak/>
        <w:t xml:space="preserve">Os emitentes de </w:t>
      </w:r>
      <w:r>
        <w:rPr>
          <w:lang w:val="pt-PT"/>
        </w:rPr>
        <w:t>criptomoedas</w:t>
      </w:r>
      <w:r w:rsidRPr="00465964">
        <w:rPr>
          <w:lang w:val="pt-PT"/>
        </w:rPr>
        <w:t xml:space="preserve"> referenciadas a ativos devem assegurar que os prestadores de serviços de criptoativos, as instituições de crédito e as empresas de investimento nomeados como entidades de custódia dos ativos de reserva a que se refere o </w:t>
      </w:r>
      <w:proofErr w:type="spellStart"/>
      <w:r w:rsidRPr="00465964">
        <w:rPr>
          <w:lang w:val="pt-PT"/>
        </w:rPr>
        <w:t>n.</w:t>
      </w:r>
      <w:r w:rsidRPr="00465964">
        <w:rPr>
          <w:vertAlign w:val="superscript"/>
          <w:lang w:val="pt-PT"/>
        </w:rPr>
        <w:t>o</w:t>
      </w:r>
      <w:proofErr w:type="spellEnd"/>
      <w:r w:rsidRPr="00465964">
        <w:rPr>
          <w:lang w:val="pt-PT"/>
        </w:rPr>
        <w:t xml:space="preserve"> 3 disponham dos conhecimentos especializados e da reputação no mercado necessários para atuarem como entidades de custódia desses ativos de reserva, tendo em conta as práticas contabilísticas, os procedimentos de conservação e os mecanismos de controlo interno desses prestadores de serviços de criptoativos, dessas instituições de crédito e dessas empresas de investimento. As disposições contratuais acordadas entre os emitentes de </w:t>
      </w:r>
      <w:r>
        <w:rPr>
          <w:lang w:val="pt-PT"/>
        </w:rPr>
        <w:t>criptomoedas</w:t>
      </w:r>
      <w:r w:rsidRPr="00465964">
        <w:rPr>
          <w:lang w:val="pt-PT"/>
        </w:rPr>
        <w:t xml:space="preserve"> referenciadas a ativos e as entidades de custódia devem assegurar que os ativos de reserva detidos em custódia estejam protegidos contra os créditos dos credores dessas entidades.</w:t>
      </w:r>
    </w:p>
    <w:p w14:paraId="77719B7E" w14:textId="77777777" w:rsidR="00465964" w:rsidRPr="00465964" w:rsidRDefault="00465964" w:rsidP="00465964">
      <w:pPr>
        <w:rPr>
          <w:lang w:val="pt-PT"/>
        </w:rPr>
      </w:pPr>
      <w:r w:rsidRPr="00465964">
        <w:rPr>
          <w:lang w:val="pt-PT"/>
        </w:rPr>
        <w:t xml:space="preserve">5.   As políticas e os procedimentos de custódia referidos no </w:t>
      </w:r>
      <w:proofErr w:type="spellStart"/>
      <w:r w:rsidRPr="00465964">
        <w:rPr>
          <w:lang w:val="pt-PT"/>
        </w:rPr>
        <w:t>n.</w:t>
      </w:r>
      <w:r w:rsidRPr="00465964">
        <w:rPr>
          <w:vertAlign w:val="superscript"/>
          <w:lang w:val="pt-PT"/>
        </w:rPr>
        <w:t>o</w:t>
      </w:r>
      <w:proofErr w:type="spellEnd"/>
      <w:r w:rsidRPr="00465964">
        <w:rPr>
          <w:lang w:val="pt-PT"/>
        </w:rPr>
        <w:t> 1 devem estabelecer os critérios de seleção para a nomeação de prestadores de serviços de criptoativos, de instituições de crédito ou de empresas de investimento enquanto entidades de custódia dos ativos de reserva e o procedimento de revisão dessa nomeação.</w:t>
      </w:r>
    </w:p>
    <w:p w14:paraId="5C672BA8" w14:textId="0E04F25B" w:rsidR="00465964" w:rsidRPr="00465964" w:rsidRDefault="00465964" w:rsidP="00465964">
      <w:pPr>
        <w:rPr>
          <w:lang w:val="pt-PT"/>
        </w:rPr>
      </w:pPr>
      <w:r w:rsidRPr="00465964">
        <w:rPr>
          <w:lang w:val="pt-PT"/>
        </w:rPr>
        <w:t xml:space="preserve">Os emitentes de </w:t>
      </w:r>
      <w:r>
        <w:rPr>
          <w:lang w:val="pt-PT"/>
        </w:rPr>
        <w:t>criptomoedas</w:t>
      </w:r>
      <w:r w:rsidRPr="00465964">
        <w:rPr>
          <w:lang w:val="pt-PT"/>
        </w:rPr>
        <w:t xml:space="preserve"> referenciadas a ativos devem rever regularmente a nomeação dos prestadores de serviços de criptoativos, das instituições de crédito ou das empresas de investimento enquanto entidades de custódia dos ativos de reserva. Para efeitos dessa revisão, os emitentes de </w:t>
      </w:r>
      <w:r>
        <w:rPr>
          <w:lang w:val="pt-PT"/>
        </w:rPr>
        <w:t>criptomoedas</w:t>
      </w:r>
      <w:r w:rsidRPr="00465964">
        <w:rPr>
          <w:lang w:val="pt-PT"/>
        </w:rPr>
        <w:t xml:space="preserve"> referenciadas a ativos devem avaliar as suas exposições a essas entidades de custódia, tendo em conta todo o âmbito da sua relação com as mesmas, e acompanhar permanentemente a situação financeira das entidades de custódia em causa.</w:t>
      </w:r>
    </w:p>
    <w:p w14:paraId="7D02A1AC" w14:textId="77777777" w:rsidR="00465964" w:rsidRPr="00465964" w:rsidRDefault="00465964" w:rsidP="00465964">
      <w:pPr>
        <w:rPr>
          <w:lang w:val="pt-PT"/>
        </w:rPr>
      </w:pPr>
      <w:r w:rsidRPr="00465964">
        <w:rPr>
          <w:lang w:val="pt-PT"/>
        </w:rPr>
        <w:t xml:space="preserve">6.   As entidades de custódia dos ativos de reserva nos termos do </w:t>
      </w:r>
      <w:proofErr w:type="spellStart"/>
      <w:r w:rsidRPr="00465964">
        <w:rPr>
          <w:lang w:val="pt-PT"/>
        </w:rPr>
        <w:t>n.</w:t>
      </w:r>
      <w:r w:rsidRPr="00465964">
        <w:rPr>
          <w:vertAlign w:val="superscript"/>
          <w:lang w:val="pt-PT"/>
        </w:rPr>
        <w:t>o</w:t>
      </w:r>
      <w:proofErr w:type="spellEnd"/>
      <w:r w:rsidRPr="00465964">
        <w:rPr>
          <w:lang w:val="pt-PT"/>
        </w:rPr>
        <w:t> 4 devem assegurar que a custódia desses ativos de reserva é efetuada do seguinte modo:</w:t>
      </w:r>
    </w:p>
    <w:tbl>
      <w:tblPr>
        <w:tblW w:w="5000" w:type="pct"/>
        <w:tblCellMar>
          <w:left w:w="0" w:type="dxa"/>
          <w:right w:w="0" w:type="dxa"/>
        </w:tblCellMar>
        <w:tblLook w:val="04A0" w:firstRow="1" w:lastRow="0" w:firstColumn="1" w:lastColumn="0" w:noHBand="0" w:noVBand="1"/>
      </w:tblPr>
      <w:tblGrid>
        <w:gridCol w:w="182"/>
        <w:gridCol w:w="8844"/>
      </w:tblGrid>
      <w:tr w:rsidR="00465964" w:rsidRPr="00465964" w14:paraId="4AF1E557" w14:textId="77777777" w:rsidTr="00465964">
        <w:tc>
          <w:tcPr>
            <w:tcW w:w="0" w:type="auto"/>
            <w:shd w:val="clear" w:color="auto" w:fill="auto"/>
            <w:hideMark/>
          </w:tcPr>
          <w:p w14:paraId="690134EC" w14:textId="77777777" w:rsidR="00465964" w:rsidRPr="00465964" w:rsidRDefault="00465964" w:rsidP="00465964">
            <w:r w:rsidRPr="00465964">
              <w:t>a)</w:t>
            </w:r>
          </w:p>
        </w:tc>
        <w:tc>
          <w:tcPr>
            <w:tcW w:w="0" w:type="auto"/>
            <w:shd w:val="clear" w:color="auto" w:fill="auto"/>
            <w:hideMark/>
          </w:tcPr>
          <w:p w14:paraId="6E58423C" w14:textId="77777777" w:rsidR="00465964" w:rsidRPr="00465964" w:rsidRDefault="00465964" w:rsidP="00465964">
            <w:pPr>
              <w:rPr>
                <w:lang w:val="pt-PT"/>
              </w:rPr>
            </w:pPr>
            <w:r w:rsidRPr="00465964">
              <w:rPr>
                <w:lang w:val="pt-PT"/>
              </w:rPr>
              <w:t>As instituições de crédito detêm fundos em custódia numa conta aberta na sua contabilidade;</w:t>
            </w:r>
          </w:p>
        </w:tc>
      </w:tr>
    </w:tbl>
    <w:p w14:paraId="3CF82A06"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8"/>
        <w:gridCol w:w="8838"/>
      </w:tblGrid>
      <w:tr w:rsidR="00465964" w:rsidRPr="00465964" w14:paraId="3ECEEC39" w14:textId="77777777" w:rsidTr="00465964">
        <w:tc>
          <w:tcPr>
            <w:tcW w:w="0" w:type="auto"/>
            <w:shd w:val="clear" w:color="auto" w:fill="auto"/>
            <w:hideMark/>
          </w:tcPr>
          <w:p w14:paraId="177105D8" w14:textId="77777777" w:rsidR="00465964" w:rsidRPr="00465964" w:rsidRDefault="00465964" w:rsidP="00465964">
            <w:r w:rsidRPr="00465964">
              <w:t>b)</w:t>
            </w:r>
          </w:p>
        </w:tc>
        <w:tc>
          <w:tcPr>
            <w:tcW w:w="0" w:type="auto"/>
            <w:shd w:val="clear" w:color="auto" w:fill="auto"/>
            <w:hideMark/>
          </w:tcPr>
          <w:p w14:paraId="65F9E4E4" w14:textId="77777777" w:rsidR="00465964" w:rsidRPr="00465964" w:rsidRDefault="00465964" w:rsidP="00465964">
            <w:pPr>
              <w:rPr>
                <w:lang w:val="pt-PT"/>
              </w:rPr>
            </w:pPr>
            <w:r w:rsidRPr="00465964">
              <w:rPr>
                <w:lang w:val="pt-PT"/>
              </w:rPr>
              <w:t>Relativamente aos instrumentos financeiros que podem ser detidos em custódia, as instituições de crédito ou as empresas de investimento detêm em custódia todos os instrumentos financeiros que possam ser registados numa conta de instrumentos financeiros aberta na contabilidade das instituições de créditos ou das empresas de investimento e todos os instrumentos financeiros que lhes possam ser fisicamente entregues;</w:t>
            </w:r>
          </w:p>
        </w:tc>
      </w:tr>
    </w:tbl>
    <w:p w14:paraId="2349280A"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0"/>
        <w:gridCol w:w="8846"/>
      </w:tblGrid>
      <w:tr w:rsidR="00465964" w:rsidRPr="00465964" w14:paraId="553B929C" w14:textId="77777777" w:rsidTr="00465964">
        <w:tc>
          <w:tcPr>
            <w:tcW w:w="0" w:type="auto"/>
            <w:shd w:val="clear" w:color="auto" w:fill="auto"/>
            <w:hideMark/>
          </w:tcPr>
          <w:p w14:paraId="4891DF99" w14:textId="77777777" w:rsidR="00465964" w:rsidRPr="00465964" w:rsidRDefault="00465964" w:rsidP="00465964">
            <w:r w:rsidRPr="00465964">
              <w:t>c)</w:t>
            </w:r>
          </w:p>
        </w:tc>
        <w:tc>
          <w:tcPr>
            <w:tcW w:w="0" w:type="auto"/>
            <w:shd w:val="clear" w:color="auto" w:fill="auto"/>
            <w:hideMark/>
          </w:tcPr>
          <w:p w14:paraId="1F3BD3DD" w14:textId="77777777" w:rsidR="00465964" w:rsidRPr="00465964" w:rsidRDefault="00465964" w:rsidP="00465964">
            <w:pPr>
              <w:rPr>
                <w:lang w:val="pt-PT"/>
              </w:rPr>
            </w:pPr>
            <w:r w:rsidRPr="00465964">
              <w:rPr>
                <w:lang w:val="pt-PT"/>
              </w:rPr>
              <w:t>Relativamente aos criptoativos que podem ser detidos em custódia, os prestadores de serviços de criptoativos detêm em custódia os criptoativos incluídos nos ativos de reserva ou os meios de acesso a esses criptoativos, se aplicável, sob a forma de chaves criptográficas privadas;</w:t>
            </w:r>
          </w:p>
        </w:tc>
      </w:tr>
    </w:tbl>
    <w:p w14:paraId="697455E4"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8"/>
        <w:gridCol w:w="8838"/>
      </w:tblGrid>
      <w:tr w:rsidR="00465964" w:rsidRPr="00465964" w14:paraId="541A9933" w14:textId="77777777" w:rsidTr="00465964">
        <w:tc>
          <w:tcPr>
            <w:tcW w:w="0" w:type="auto"/>
            <w:shd w:val="clear" w:color="auto" w:fill="auto"/>
            <w:hideMark/>
          </w:tcPr>
          <w:p w14:paraId="2F100942" w14:textId="77777777" w:rsidR="00465964" w:rsidRPr="00465964" w:rsidRDefault="00465964" w:rsidP="00465964">
            <w:r w:rsidRPr="00465964">
              <w:t>d)</w:t>
            </w:r>
          </w:p>
        </w:tc>
        <w:tc>
          <w:tcPr>
            <w:tcW w:w="0" w:type="auto"/>
            <w:shd w:val="clear" w:color="auto" w:fill="auto"/>
            <w:hideMark/>
          </w:tcPr>
          <w:p w14:paraId="1540055E" w14:textId="29991338" w:rsidR="00465964" w:rsidRPr="00465964" w:rsidRDefault="00465964" w:rsidP="00465964">
            <w:pPr>
              <w:rPr>
                <w:lang w:val="pt-PT"/>
              </w:rPr>
            </w:pPr>
            <w:r w:rsidRPr="00465964">
              <w:rPr>
                <w:lang w:val="pt-PT"/>
              </w:rPr>
              <w:t xml:space="preserve">Relativamente aos outros ativos, as instituições de crédito verificam a propriedade dos emitentes das </w:t>
            </w:r>
            <w:r>
              <w:rPr>
                <w:lang w:val="pt-PT"/>
              </w:rPr>
              <w:t>criptomoedas</w:t>
            </w:r>
            <w:r w:rsidRPr="00465964">
              <w:rPr>
                <w:lang w:val="pt-PT"/>
              </w:rPr>
              <w:t xml:space="preserve"> referenciadas a ativos e mantêm um registo dos ativos de reserva que considerem pertencer aos emitentes das </w:t>
            </w:r>
            <w:r>
              <w:rPr>
                <w:lang w:val="pt-PT"/>
              </w:rPr>
              <w:t>criptomoedas</w:t>
            </w:r>
            <w:r w:rsidRPr="00465964">
              <w:rPr>
                <w:lang w:val="pt-PT"/>
              </w:rPr>
              <w:t xml:space="preserve"> referenciadas a ativos.</w:t>
            </w:r>
          </w:p>
        </w:tc>
      </w:tr>
    </w:tbl>
    <w:p w14:paraId="1B742042" w14:textId="77777777" w:rsidR="00465964" w:rsidRPr="00465964" w:rsidRDefault="00465964" w:rsidP="00465964">
      <w:pPr>
        <w:rPr>
          <w:lang w:val="pt-PT"/>
        </w:rPr>
      </w:pPr>
      <w:r w:rsidRPr="00465964">
        <w:rPr>
          <w:lang w:val="pt-PT"/>
        </w:rPr>
        <w:t>Para efeitos da alínea a) do primeiro parágrafo, as instituições de crédito devem assegurar que os fundos são registados na sua contabilidade numa conta separada, nos termos das disposições do direito nacional que transpõem o artigo 16.</w:t>
      </w:r>
      <w:r w:rsidRPr="00465964">
        <w:rPr>
          <w:vertAlign w:val="superscript"/>
          <w:lang w:val="pt-PT"/>
        </w:rPr>
        <w:t>o</w:t>
      </w:r>
      <w:r w:rsidRPr="00465964">
        <w:rPr>
          <w:lang w:val="pt-PT"/>
        </w:rPr>
        <w:t> da Diretiva 2006/73/CE da Comissão </w:t>
      </w:r>
      <w:hyperlink r:id="rId47" w:anchor="ntr40-L_2023150PT.01004001-E0040" w:history="1">
        <w:r w:rsidRPr="00465964">
          <w:rPr>
            <w:rStyle w:val="Hyperlink"/>
            <w:lang w:val="pt-PT"/>
          </w:rPr>
          <w:t>(</w:t>
        </w:r>
        <w:r w:rsidRPr="00465964">
          <w:rPr>
            <w:rStyle w:val="Hyperlink"/>
            <w:vertAlign w:val="superscript"/>
            <w:lang w:val="pt-PT"/>
          </w:rPr>
          <w:t>40</w:t>
        </w:r>
        <w:r w:rsidRPr="00465964">
          <w:rPr>
            <w:rStyle w:val="Hyperlink"/>
            <w:lang w:val="pt-PT"/>
          </w:rPr>
          <w:t>)</w:t>
        </w:r>
      </w:hyperlink>
      <w:r w:rsidRPr="00465964">
        <w:rPr>
          <w:lang w:val="pt-PT"/>
        </w:rPr>
        <w:t xml:space="preserve"> para o direito nacional. Essa conta deve ser aberta em nome do emitente da </w:t>
      </w:r>
      <w:proofErr w:type="spellStart"/>
      <w:r w:rsidRPr="00465964">
        <w:rPr>
          <w:lang w:val="pt-PT"/>
        </w:rPr>
        <w:t>criptoficha</w:t>
      </w:r>
      <w:proofErr w:type="spellEnd"/>
      <w:r w:rsidRPr="00465964">
        <w:rPr>
          <w:lang w:val="pt-PT"/>
        </w:rPr>
        <w:t xml:space="preserve"> referenciada a ativos para fins de gestão dos ativos de reserva de cada </w:t>
      </w:r>
      <w:proofErr w:type="spellStart"/>
      <w:r w:rsidRPr="00465964">
        <w:rPr>
          <w:lang w:val="pt-PT"/>
        </w:rPr>
        <w:t>criptoficha</w:t>
      </w:r>
      <w:proofErr w:type="spellEnd"/>
      <w:r w:rsidRPr="00465964">
        <w:rPr>
          <w:lang w:val="pt-PT"/>
        </w:rPr>
        <w:t xml:space="preserve"> referenciada a ativos, </w:t>
      </w:r>
      <w:proofErr w:type="gramStart"/>
      <w:r w:rsidRPr="00465964">
        <w:rPr>
          <w:lang w:val="pt-PT"/>
        </w:rPr>
        <w:t>de modo a que</w:t>
      </w:r>
      <w:proofErr w:type="gramEnd"/>
      <w:r w:rsidRPr="00465964">
        <w:rPr>
          <w:lang w:val="pt-PT"/>
        </w:rPr>
        <w:t xml:space="preserve"> os fundos detidos em custódia possam ser claramente identificados como pertencendo a cada reserva de ativos.</w:t>
      </w:r>
    </w:p>
    <w:p w14:paraId="51063893" w14:textId="6DF7BEA1" w:rsidR="00465964" w:rsidRPr="00465964" w:rsidRDefault="00465964" w:rsidP="00465964">
      <w:pPr>
        <w:rPr>
          <w:lang w:val="pt-PT"/>
        </w:rPr>
      </w:pPr>
      <w:r w:rsidRPr="00465964">
        <w:rPr>
          <w:lang w:val="pt-PT"/>
        </w:rPr>
        <w:lastRenderedPageBreak/>
        <w:t>Para efeitos da alínea b) do primeiro parágrafo, as instituições de crédito e as empresas de investimento devem assegurar que todos os instrumentos financeiros que podem ser registados numa conta de instrumentos financeiros aberta na contabilidade das instituições de crédito e na contabilidade das empresas de investimento sejam registados nas contabilidades das instituições de crédito e das empresas de investimento em contas separadas, nos termos das disposições do direito nacional que transpõem o artigo 16.</w:t>
      </w:r>
      <w:r w:rsidRPr="00465964">
        <w:rPr>
          <w:vertAlign w:val="superscript"/>
          <w:lang w:val="pt-PT"/>
        </w:rPr>
        <w:t>o</w:t>
      </w:r>
      <w:r w:rsidRPr="00465964">
        <w:rPr>
          <w:lang w:val="pt-PT"/>
        </w:rPr>
        <w:t xml:space="preserve"> da Diretiva 2006/73/CE para o direito nacional. A conta de instrumentos financeiros deve ser aberta em nome dos emitentes das </w:t>
      </w:r>
      <w:r>
        <w:rPr>
          <w:lang w:val="pt-PT"/>
        </w:rPr>
        <w:t>criptomoedas</w:t>
      </w:r>
      <w:r w:rsidRPr="00465964">
        <w:rPr>
          <w:lang w:val="pt-PT"/>
        </w:rPr>
        <w:t xml:space="preserve"> referenciadas a ativos para fins de gestão dos ativos de reserva de cada </w:t>
      </w:r>
      <w:proofErr w:type="spellStart"/>
      <w:r w:rsidRPr="00465964">
        <w:rPr>
          <w:lang w:val="pt-PT"/>
        </w:rPr>
        <w:t>criptoficha</w:t>
      </w:r>
      <w:proofErr w:type="spellEnd"/>
      <w:r w:rsidRPr="00465964">
        <w:rPr>
          <w:lang w:val="pt-PT"/>
        </w:rPr>
        <w:t xml:space="preserve"> referenciada a ativos, </w:t>
      </w:r>
      <w:proofErr w:type="gramStart"/>
      <w:r w:rsidRPr="00465964">
        <w:rPr>
          <w:lang w:val="pt-PT"/>
        </w:rPr>
        <w:t>de modo a que</w:t>
      </w:r>
      <w:proofErr w:type="gramEnd"/>
      <w:r w:rsidRPr="00465964">
        <w:rPr>
          <w:lang w:val="pt-PT"/>
        </w:rPr>
        <w:t xml:space="preserve"> os instrumentos financeiros detidos em custódia possam ser claramente identificados como pertencendo a cada reserva de ativos.</w:t>
      </w:r>
    </w:p>
    <w:p w14:paraId="76B54CDF" w14:textId="78D840F2" w:rsidR="00465964" w:rsidRPr="00465964" w:rsidRDefault="00465964" w:rsidP="00465964">
      <w:pPr>
        <w:rPr>
          <w:lang w:val="pt-PT"/>
        </w:rPr>
      </w:pPr>
      <w:r w:rsidRPr="00465964">
        <w:rPr>
          <w:lang w:val="pt-PT"/>
        </w:rPr>
        <w:t xml:space="preserve">Para efeitos da alínea c) do primeiro parágrafo, os prestadores de serviços de criptoativos devem abrir um registo de posições em nome dos emitentes das </w:t>
      </w:r>
      <w:r>
        <w:rPr>
          <w:lang w:val="pt-PT"/>
        </w:rPr>
        <w:t>criptomoedas</w:t>
      </w:r>
      <w:r w:rsidRPr="00465964">
        <w:rPr>
          <w:lang w:val="pt-PT"/>
        </w:rPr>
        <w:t xml:space="preserve"> referenciadas a ativos para fins de gestão dos ativos de reserva de cada </w:t>
      </w:r>
      <w:proofErr w:type="spellStart"/>
      <w:r w:rsidRPr="00465964">
        <w:rPr>
          <w:lang w:val="pt-PT"/>
        </w:rPr>
        <w:t>criptoficha</w:t>
      </w:r>
      <w:proofErr w:type="spellEnd"/>
      <w:r w:rsidRPr="00465964">
        <w:rPr>
          <w:lang w:val="pt-PT"/>
        </w:rPr>
        <w:t xml:space="preserve"> referenciada a ativos, </w:t>
      </w:r>
      <w:proofErr w:type="gramStart"/>
      <w:r w:rsidRPr="00465964">
        <w:rPr>
          <w:lang w:val="pt-PT"/>
        </w:rPr>
        <w:t>de modo a que</w:t>
      </w:r>
      <w:proofErr w:type="gramEnd"/>
      <w:r w:rsidRPr="00465964">
        <w:rPr>
          <w:lang w:val="pt-PT"/>
        </w:rPr>
        <w:t xml:space="preserve"> os criptoativos detidos em custódia possam ser claramente identificados como pertencendo a cada reserva de ativos.</w:t>
      </w:r>
    </w:p>
    <w:p w14:paraId="2452EF50" w14:textId="39B4117B" w:rsidR="00465964" w:rsidRPr="00465964" w:rsidRDefault="00465964" w:rsidP="00465964">
      <w:pPr>
        <w:rPr>
          <w:lang w:val="pt-PT"/>
        </w:rPr>
      </w:pPr>
      <w:r w:rsidRPr="00465964">
        <w:rPr>
          <w:lang w:val="pt-PT"/>
        </w:rPr>
        <w:t xml:space="preserve">Para efeitos da alínea d) do primeiro parágrafo, a avaliação da questão de saber se os emitentes das </w:t>
      </w:r>
      <w:r>
        <w:rPr>
          <w:lang w:val="pt-PT"/>
        </w:rPr>
        <w:t>criptomoedas</w:t>
      </w:r>
      <w:r w:rsidRPr="00465964">
        <w:rPr>
          <w:lang w:val="pt-PT"/>
        </w:rPr>
        <w:t xml:space="preserve"> referenciadas a ativos são proprietários dos ativos de reserva baseia-se em informações ou documentos disponibilizados pelos emitentes das </w:t>
      </w:r>
      <w:r>
        <w:rPr>
          <w:lang w:val="pt-PT"/>
        </w:rPr>
        <w:t>criptomoedas</w:t>
      </w:r>
      <w:r w:rsidRPr="00465964">
        <w:rPr>
          <w:lang w:val="pt-PT"/>
        </w:rPr>
        <w:t xml:space="preserve"> referenciadas a ativos e, quando possível, em elementos de prova externos.</w:t>
      </w:r>
    </w:p>
    <w:p w14:paraId="1CB3A3E9" w14:textId="054AE7D1" w:rsidR="00465964" w:rsidRPr="00465964" w:rsidRDefault="00465964" w:rsidP="00465964">
      <w:pPr>
        <w:rPr>
          <w:lang w:val="pt-PT"/>
        </w:rPr>
      </w:pPr>
      <w:r w:rsidRPr="00465964">
        <w:rPr>
          <w:lang w:val="pt-PT"/>
        </w:rPr>
        <w:t xml:space="preserve">7.   A nomeação de prestadores de serviços de criptoativos, de instituições de crédito ou de empresas de investimento como entidades de custódia dos ativos de reserva nos termos do </w:t>
      </w:r>
      <w:proofErr w:type="spellStart"/>
      <w:r w:rsidRPr="00465964">
        <w:rPr>
          <w:lang w:val="pt-PT"/>
        </w:rPr>
        <w:t>n.</w:t>
      </w:r>
      <w:r w:rsidRPr="00465964">
        <w:rPr>
          <w:vertAlign w:val="superscript"/>
          <w:lang w:val="pt-PT"/>
        </w:rPr>
        <w:t>o</w:t>
      </w:r>
      <w:proofErr w:type="spellEnd"/>
      <w:r w:rsidRPr="00465964">
        <w:rPr>
          <w:lang w:val="pt-PT"/>
        </w:rPr>
        <w:t xml:space="preserve"> 4 do presente artigo deve ser </w:t>
      </w:r>
      <w:proofErr w:type="gramStart"/>
      <w:r w:rsidRPr="00465964">
        <w:rPr>
          <w:lang w:val="pt-PT"/>
        </w:rPr>
        <w:t>comprovada</w:t>
      </w:r>
      <w:proofErr w:type="gramEnd"/>
      <w:r w:rsidRPr="00465964">
        <w:rPr>
          <w:lang w:val="pt-PT"/>
        </w:rPr>
        <w:t xml:space="preserve"> por disposições contratuais escritas, conforme referido no artigo 34.</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xml:space="preserve"> 5, segundo parágrafo. As disposições contratuais em causa regulam, nomeadamente, o fluxo das informações consideradas necessárias para permitir que os emitentes de </w:t>
      </w:r>
      <w:r>
        <w:rPr>
          <w:lang w:val="pt-PT"/>
        </w:rPr>
        <w:t>criptomoedas</w:t>
      </w:r>
      <w:r w:rsidRPr="00465964">
        <w:rPr>
          <w:lang w:val="pt-PT"/>
        </w:rPr>
        <w:t xml:space="preserve"> referenciadas a ativos e os prestadores de serviços de criptoativos, as instituições de crédito e as empresas de investimento desempenhem as suas funções enquanto entidades de custódia.</w:t>
      </w:r>
    </w:p>
    <w:p w14:paraId="32A3DEF0" w14:textId="4FEA9453" w:rsidR="00465964" w:rsidRPr="00465964" w:rsidRDefault="00465964" w:rsidP="00465964">
      <w:pPr>
        <w:rPr>
          <w:lang w:val="pt-PT"/>
        </w:rPr>
      </w:pPr>
      <w:r w:rsidRPr="00465964">
        <w:rPr>
          <w:lang w:val="pt-PT"/>
        </w:rPr>
        <w:t xml:space="preserve">8.   Os prestadores de serviços de criptoativos, as instituições de crédito e as empresas de investimento nomeados como entidades de custódia nos termos do </w:t>
      </w:r>
      <w:proofErr w:type="spellStart"/>
      <w:r w:rsidRPr="00465964">
        <w:rPr>
          <w:lang w:val="pt-PT"/>
        </w:rPr>
        <w:t>n.</w:t>
      </w:r>
      <w:r w:rsidRPr="00465964">
        <w:rPr>
          <w:vertAlign w:val="superscript"/>
          <w:lang w:val="pt-PT"/>
        </w:rPr>
        <w:t>o</w:t>
      </w:r>
      <w:proofErr w:type="spellEnd"/>
      <w:r w:rsidRPr="00465964">
        <w:rPr>
          <w:lang w:val="pt-PT"/>
        </w:rPr>
        <w:t xml:space="preserve"> 4 devem agir com honestidade, lealdade, profissionalismo e independência, e no interesse do emitente das </w:t>
      </w:r>
      <w:r>
        <w:rPr>
          <w:lang w:val="pt-PT"/>
        </w:rPr>
        <w:t>criptomoedas</w:t>
      </w:r>
      <w:r w:rsidRPr="00465964">
        <w:rPr>
          <w:lang w:val="pt-PT"/>
        </w:rPr>
        <w:t xml:space="preserve"> referenciadas a ativos e dos detentores das mesmas.</w:t>
      </w:r>
    </w:p>
    <w:p w14:paraId="53AC66FE" w14:textId="7D1D7F91" w:rsidR="00465964" w:rsidRPr="00465964" w:rsidRDefault="00465964" w:rsidP="00465964">
      <w:pPr>
        <w:rPr>
          <w:lang w:val="pt-PT"/>
        </w:rPr>
      </w:pPr>
      <w:r w:rsidRPr="00465964">
        <w:rPr>
          <w:lang w:val="pt-PT"/>
        </w:rPr>
        <w:t xml:space="preserve">9.   Os prestadores de serviços de criptoativos, as instituições de crédito e as empresas de investimento nomeados como entidades de custódia nos termos do </w:t>
      </w:r>
      <w:proofErr w:type="spellStart"/>
      <w:r w:rsidRPr="00465964">
        <w:rPr>
          <w:lang w:val="pt-PT"/>
        </w:rPr>
        <w:t>n.</w:t>
      </w:r>
      <w:r w:rsidRPr="00465964">
        <w:rPr>
          <w:vertAlign w:val="superscript"/>
          <w:lang w:val="pt-PT"/>
        </w:rPr>
        <w:t>o</w:t>
      </w:r>
      <w:proofErr w:type="spellEnd"/>
      <w:r w:rsidRPr="00465964">
        <w:rPr>
          <w:lang w:val="pt-PT"/>
        </w:rPr>
        <w:t xml:space="preserve"> 4 não podem, relativamente aos emitentes de </w:t>
      </w:r>
      <w:r>
        <w:rPr>
          <w:lang w:val="pt-PT"/>
        </w:rPr>
        <w:t>criptomoedas</w:t>
      </w:r>
      <w:r w:rsidRPr="00465964">
        <w:rPr>
          <w:lang w:val="pt-PT"/>
        </w:rPr>
        <w:t xml:space="preserve"> referenciadas a ativos, exercer atividades suscetíveis de criar conflitos de interesses entre esses emitentes, os detentores das </w:t>
      </w:r>
      <w:r>
        <w:rPr>
          <w:lang w:val="pt-PT"/>
        </w:rPr>
        <w:t>criptomoedas</w:t>
      </w:r>
      <w:r w:rsidRPr="00465964">
        <w:rPr>
          <w:lang w:val="pt-PT"/>
        </w:rPr>
        <w:t xml:space="preserve"> referenciadas a ativos e eles próprios, a menos que todas as seguintes condições estejam preenchidas:</w:t>
      </w:r>
    </w:p>
    <w:tbl>
      <w:tblPr>
        <w:tblW w:w="5000" w:type="pct"/>
        <w:tblCellMar>
          <w:left w:w="0" w:type="dxa"/>
          <w:right w:w="0" w:type="dxa"/>
        </w:tblCellMar>
        <w:tblLook w:val="04A0" w:firstRow="1" w:lastRow="0" w:firstColumn="1" w:lastColumn="0" w:noHBand="0" w:noVBand="1"/>
      </w:tblPr>
      <w:tblGrid>
        <w:gridCol w:w="182"/>
        <w:gridCol w:w="8844"/>
      </w:tblGrid>
      <w:tr w:rsidR="00465964" w:rsidRPr="00465964" w14:paraId="6282FB58" w14:textId="77777777" w:rsidTr="00465964">
        <w:tc>
          <w:tcPr>
            <w:tcW w:w="0" w:type="auto"/>
            <w:shd w:val="clear" w:color="auto" w:fill="auto"/>
            <w:hideMark/>
          </w:tcPr>
          <w:p w14:paraId="17F7F4E5" w14:textId="77777777" w:rsidR="00465964" w:rsidRPr="00465964" w:rsidRDefault="00465964" w:rsidP="00465964">
            <w:r w:rsidRPr="00465964">
              <w:t>a)</w:t>
            </w:r>
          </w:p>
        </w:tc>
        <w:tc>
          <w:tcPr>
            <w:tcW w:w="0" w:type="auto"/>
            <w:shd w:val="clear" w:color="auto" w:fill="auto"/>
            <w:hideMark/>
          </w:tcPr>
          <w:p w14:paraId="1E7AA7C5" w14:textId="77777777" w:rsidR="00465964" w:rsidRPr="00465964" w:rsidRDefault="00465964" w:rsidP="00465964">
            <w:pPr>
              <w:rPr>
                <w:lang w:val="pt-PT"/>
              </w:rPr>
            </w:pPr>
            <w:r w:rsidRPr="00465964">
              <w:rPr>
                <w:lang w:val="pt-PT"/>
              </w:rPr>
              <w:t>Os prestadores de serviços de criptoativos, as instituições de crédito ou as empresas de investimento separaram funcional e hierarquicamente o desempenho das suas funções de custódia de outras funções que possam entrar em conflito com as mesmas;</w:t>
            </w:r>
          </w:p>
        </w:tc>
      </w:tr>
    </w:tbl>
    <w:p w14:paraId="55F14372"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8"/>
        <w:gridCol w:w="8838"/>
      </w:tblGrid>
      <w:tr w:rsidR="00465964" w:rsidRPr="00465964" w14:paraId="53368C6F" w14:textId="77777777" w:rsidTr="00465964">
        <w:tc>
          <w:tcPr>
            <w:tcW w:w="0" w:type="auto"/>
            <w:shd w:val="clear" w:color="auto" w:fill="auto"/>
            <w:hideMark/>
          </w:tcPr>
          <w:p w14:paraId="23B55C82" w14:textId="77777777" w:rsidR="00465964" w:rsidRPr="00465964" w:rsidRDefault="00465964" w:rsidP="00465964">
            <w:r w:rsidRPr="00465964">
              <w:t>b)</w:t>
            </w:r>
          </w:p>
        </w:tc>
        <w:tc>
          <w:tcPr>
            <w:tcW w:w="0" w:type="auto"/>
            <w:shd w:val="clear" w:color="auto" w:fill="auto"/>
            <w:hideMark/>
          </w:tcPr>
          <w:p w14:paraId="7FAAB6DF" w14:textId="70B573C0" w:rsidR="00465964" w:rsidRPr="00465964" w:rsidRDefault="00465964" w:rsidP="00465964">
            <w:pPr>
              <w:rPr>
                <w:lang w:val="pt-PT"/>
              </w:rPr>
            </w:pPr>
            <w:r w:rsidRPr="00465964">
              <w:rPr>
                <w:lang w:val="pt-PT"/>
              </w:rPr>
              <w:t xml:space="preserve">Os potenciais conflitos de interesses foram devidamente identificados, acompanhados, geridos e comunicados pelo emitente das </w:t>
            </w:r>
            <w:r>
              <w:rPr>
                <w:lang w:val="pt-PT"/>
              </w:rPr>
              <w:t>criptomoedas</w:t>
            </w:r>
            <w:r w:rsidRPr="00465964">
              <w:rPr>
                <w:lang w:val="pt-PT"/>
              </w:rPr>
              <w:t xml:space="preserve"> referenciadas a ativos aos detentores das </w:t>
            </w:r>
            <w:r>
              <w:rPr>
                <w:lang w:val="pt-PT"/>
              </w:rPr>
              <w:t>criptomoedas</w:t>
            </w:r>
            <w:r w:rsidRPr="00465964">
              <w:rPr>
                <w:lang w:val="pt-PT"/>
              </w:rPr>
              <w:t xml:space="preserve"> referenciadas a ativos, em conformidade com o artigo </w:t>
            </w:r>
            <w:proofErr w:type="gramStart"/>
            <w:r w:rsidRPr="00465964">
              <w:rPr>
                <w:lang w:val="pt-PT"/>
              </w:rPr>
              <w:t>32.</w:t>
            </w:r>
            <w:r w:rsidRPr="00465964">
              <w:rPr>
                <w:vertAlign w:val="superscript"/>
                <w:lang w:val="pt-PT"/>
              </w:rPr>
              <w:t>o</w:t>
            </w:r>
            <w:r w:rsidRPr="00465964">
              <w:rPr>
                <w:lang w:val="pt-PT"/>
              </w:rPr>
              <w:t>.</w:t>
            </w:r>
            <w:proofErr w:type="gramEnd"/>
          </w:p>
        </w:tc>
      </w:tr>
    </w:tbl>
    <w:p w14:paraId="6EB66F3D" w14:textId="77777777" w:rsidR="00465964" w:rsidRPr="00465964" w:rsidRDefault="00465964" w:rsidP="00465964">
      <w:pPr>
        <w:rPr>
          <w:lang w:val="pt-PT"/>
        </w:rPr>
      </w:pPr>
      <w:r w:rsidRPr="00465964">
        <w:rPr>
          <w:lang w:val="pt-PT"/>
        </w:rPr>
        <w:lastRenderedPageBreak/>
        <w:t xml:space="preserve">10.   Em caso de perda de um instrumento financeiro ou de um criptoativo detido em custódia nos termos do </w:t>
      </w:r>
      <w:proofErr w:type="spellStart"/>
      <w:r w:rsidRPr="00465964">
        <w:rPr>
          <w:lang w:val="pt-PT"/>
        </w:rPr>
        <w:t>n.</w:t>
      </w:r>
      <w:r w:rsidRPr="00465964">
        <w:rPr>
          <w:vertAlign w:val="superscript"/>
          <w:lang w:val="pt-PT"/>
        </w:rPr>
        <w:t>o</w:t>
      </w:r>
      <w:proofErr w:type="spellEnd"/>
      <w:r w:rsidRPr="00465964">
        <w:rPr>
          <w:lang w:val="pt-PT"/>
        </w:rPr>
        <w:t xml:space="preserve"> 6, o prestador de serviços de criptoativos, a instituição de crédito ou a empresa de investimento que tenha perdido esse instrumento financeiro ou criptoativo deve, sem demora injustificada, indemnizar o emitente da </w:t>
      </w:r>
      <w:proofErr w:type="spellStart"/>
      <w:r w:rsidRPr="00465964">
        <w:rPr>
          <w:lang w:val="pt-PT"/>
        </w:rPr>
        <w:t>criptoficha</w:t>
      </w:r>
      <w:proofErr w:type="spellEnd"/>
      <w:r w:rsidRPr="00465964">
        <w:rPr>
          <w:lang w:val="pt-PT"/>
        </w:rPr>
        <w:t xml:space="preserve"> referenciada a ativos ou restituir-lhe um instrumento financeiro ou um criptoativo de tipo idêntico ou de valor correspondente. O prestador de serviços de criptoativos, a instituição de crédito ou a empresa de investimento em causa não pode ser obrigado a indemnização ou restituição se puder provar que a perda ocorreu devido a um acontecimento externo que escapa ao seu controlo razoável e com consequências inevitáveis apesar de todos os esforços razoáveis em contrário.</w:t>
      </w:r>
    </w:p>
    <w:p w14:paraId="67D66D18" w14:textId="77777777" w:rsidR="00465964" w:rsidRPr="00465964" w:rsidRDefault="00465964" w:rsidP="00465964">
      <w:pPr>
        <w:rPr>
          <w:i/>
          <w:iCs/>
          <w:lang w:val="pt-PT"/>
        </w:rPr>
      </w:pPr>
      <w:r w:rsidRPr="00465964">
        <w:rPr>
          <w:i/>
          <w:iCs/>
          <w:lang w:val="pt-PT"/>
        </w:rPr>
        <w:t>Artigo 38.</w:t>
      </w:r>
      <w:r w:rsidRPr="00465964">
        <w:rPr>
          <w:i/>
          <w:iCs/>
          <w:vertAlign w:val="superscript"/>
          <w:lang w:val="pt-PT"/>
        </w:rPr>
        <w:t>o</w:t>
      </w:r>
    </w:p>
    <w:p w14:paraId="28242E54" w14:textId="77777777" w:rsidR="00465964" w:rsidRPr="00465964" w:rsidRDefault="00465964" w:rsidP="00465964">
      <w:pPr>
        <w:rPr>
          <w:b/>
          <w:bCs/>
          <w:lang w:val="pt-PT"/>
        </w:rPr>
      </w:pPr>
      <w:r w:rsidRPr="00465964">
        <w:rPr>
          <w:b/>
          <w:bCs/>
          <w:lang w:val="pt-PT"/>
        </w:rPr>
        <w:t>Investimento da reserva de ativos</w:t>
      </w:r>
    </w:p>
    <w:p w14:paraId="0F12029E" w14:textId="6A1D6AE0" w:rsidR="00465964" w:rsidRPr="00465964" w:rsidRDefault="00465964" w:rsidP="00465964">
      <w:pPr>
        <w:rPr>
          <w:lang w:val="pt-PT"/>
        </w:rPr>
      </w:pPr>
      <w:r w:rsidRPr="00465964">
        <w:rPr>
          <w:lang w:val="pt-PT"/>
        </w:rPr>
        <w:t xml:space="preserve">1.   Os emitentes de </w:t>
      </w:r>
      <w:r>
        <w:rPr>
          <w:lang w:val="pt-PT"/>
        </w:rPr>
        <w:t>criptomoedas</w:t>
      </w:r>
      <w:r w:rsidRPr="00465964">
        <w:rPr>
          <w:lang w:val="pt-PT"/>
        </w:rPr>
        <w:t xml:space="preserve"> referenciadas a ativos que invistam uma parte da reserva de ativos só podem investir esses ativos em instrumentos financeiros de elevada liquidez com um risco de mercado, um risco de crédito e um risco de concentração mínimos. Os investimentos devem poder ser rapidamente liquidados com consequências adversas mínimas sobre os preços.</w:t>
      </w:r>
    </w:p>
    <w:p w14:paraId="40FB206B" w14:textId="77777777" w:rsidR="00465964" w:rsidRPr="00465964" w:rsidRDefault="00465964" w:rsidP="00465964">
      <w:pPr>
        <w:rPr>
          <w:lang w:val="pt-PT"/>
        </w:rPr>
      </w:pPr>
      <w:r w:rsidRPr="00465964">
        <w:rPr>
          <w:lang w:val="pt-PT"/>
        </w:rPr>
        <w:t xml:space="preserve">2.   As unidades de participação num organismo de investimento coletivo em valores mobiliários (OICVM) são consideradas ativos com um risco mínimo de mercado, de crédito e de concentração para efeitos do </w:t>
      </w:r>
      <w:proofErr w:type="spellStart"/>
      <w:r w:rsidRPr="00465964">
        <w:rPr>
          <w:lang w:val="pt-PT"/>
        </w:rPr>
        <w:t>n.</w:t>
      </w:r>
      <w:r w:rsidRPr="00465964">
        <w:rPr>
          <w:vertAlign w:val="superscript"/>
          <w:lang w:val="pt-PT"/>
        </w:rPr>
        <w:t>o</w:t>
      </w:r>
      <w:proofErr w:type="spellEnd"/>
      <w:r w:rsidRPr="00465964">
        <w:rPr>
          <w:lang w:val="pt-PT"/>
        </w:rPr>
        <w:t xml:space="preserve"> 1, quando esse OICVM invista exclusivamente em ativos especificados pela EBA nos termos do </w:t>
      </w:r>
      <w:proofErr w:type="spellStart"/>
      <w:r w:rsidRPr="00465964">
        <w:rPr>
          <w:lang w:val="pt-PT"/>
        </w:rPr>
        <w:t>n.</w:t>
      </w:r>
      <w:r w:rsidRPr="00465964">
        <w:rPr>
          <w:vertAlign w:val="superscript"/>
          <w:lang w:val="pt-PT"/>
        </w:rPr>
        <w:t>o</w:t>
      </w:r>
      <w:proofErr w:type="spellEnd"/>
      <w:r w:rsidRPr="00465964">
        <w:rPr>
          <w:lang w:val="pt-PT"/>
        </w:rPr>
        <w:t xml:space="preserve"> 5 e caso o emitente da </w:t>
      </w:r>
      <w:proofErr w:type="spellStart"/>
      <w:r w:rsidRPr="00465964">
        <w:rPr>
          <w:lang w:val="pt-PT"/>
        </w:rPr>
        <w:t>criptoficha</w:t>
      </w:r>
      <w:proofErr w:type="spellEnd"/>
      <w:r w:rsidRPr="00465964">
        <w:rPr>
          <w:lang w:val="pt-PT"/>
        </w:rPr>
        <w:t xml:space="preserve"> referenciada a ativos assegure que a reserva de ativos é investida de uma forma que minimiza o risco de concentração.</w:t>
      </w:r>
    </w:p>
    <w:p w14:paraId="7D178B79" w14:textId="77777777" w:rsidR="00465964" w:rsidRPr="00465964" w:rsidRDefault="00465964" w:rsidP="00465964">
      <w:pPr>
        <w:rPr>
          <w:lang w:val="pt-PT"/>
        </w:rPr>
      </w:pPr>
      <w:r w:rsidRPr="00465964">
        <w:rPr>
          <w:lang w:val="pt-PT"/>
        </w:rPr>
        <w:t>3.   Os instrumentos financeiros em que a reserva de ativos é investida são detidos em custódia em conformidade com o artigo 37.</w:t>
      </w:r>
      <w:r w:rsidRPr="00465964">
        <w:rPr>
          <w:vertAlign w:val="superscript"/>
          <w:lang w:val="pt-PT"/>
        </w:rPr>
        <w:t>o</w:t>
      </w:r>
      <w:r w:rsidRPr="00465964">
        <w:rPr>
          <w:lang w:val="pt-PT"/>
        </w:rPr>
        <w:t>.</w:t>
      </w:r>
    </w:p>
    <w:p w14:paraId="0B4EA2A9" w14:textId="77777777" w:rsidR="00465964" w:rsidRPr="00465964" w:rsidRDefault="00465964" w:rsidP="00465964">
      <w:pPr>
        <w:rPr>
          <w:lang w:val="pt-PT"/>
        </w:rPr>
      </w:pPr>
      <w:r w:rsidRPr="00465964">
        <w:rPr>
          <w:lang w:val="pt-PT"/>
        </w:rPr>
        <w:t xml:space="preserve">4.   Todos os lucros ou perdas, incluindo flutuações no valor dos instrumentos financeiros referidos no </w:t>
      </w:r>
      <w:proofErr w:type="spellStart"/>
      <w:r w:rsidRPr="00465964">
        <w:rPr>
          <w:lang w:val="pt-PT"/>
        </w:rPr>
        <w:t>n.</w:t>
      </w:r>
      <w:r w:rsidRPr="00465964">
        <w:rPr>
          <w:vertAlign w:val="superscript"/>
          <w:lang w:val="pt-PT"/>
        </w:rPr>
        <w:t>o</w:t>
      </w:r>
      <w:proofErr w:type="spellEnd"/>
      <w:r w:rsidRPr="00465964">
        <w:rPr>
          <w:lang w:val="pt-PT"/>
        </w:rPr>
        <w:t xml:space="preserve"> 1, e quaisquer riscos operacionais ou de contraparte resultantes do investimento da reserva de ativos são assumidos pelo emitente da </w:t>
      </w:r>
      <w:proofErr w:type="spellStart"/>
      <w:r w:rsidRPr="00465964">
        <w:rPr>
          <w:lang w:val="pt-PT"/>
        </w:rPr>
        <w:t>criptoficha</w:t>
      </w:r>
      <w:proofErr w:type="spellEnd"/>
      <w:r w:rsidRPr="00465964">
        <w:rPr>
          <w:lang w:val="pt-PT"/>
        </w:rPr>
        <w:t xml:space="preserve"> referenciada a ativos.</w:t>
      </w:r>
    </w:p>
    <w:p w14:paraId="62C2F10E" w14:textId="77777777" w:rsidR="00465964" w:rsidRPr="00465964" w:rsidRDefault="00465964" w:rsidP="00465964">
      <w:pPr>
        <w:rPr>
          <w:lang w:val="pt-PT"/>
        </w:rPr>
      </w:pPr>
      <w:r w:rsidRPr="00465964">
        <w:rPr>
          <w:lang w:val="pt-PT"/>
        </w:rPr>
        <w:t xml:space="preserve">5.   A EBA, em cooperação com a ESMA e o BCE, elabora projetos de normas técnicas de regulamentação que especifiquem os instrumentos financeiros que podem ser considerados de elevada liquidez e com um risco de mercado, um risco de crédito e um risco de concentração mínimos, conforme referido no </w:t>
      </w:r>
      <w:proofErr w:type="spellStart"/>
      <w:r w:rsidRPr="00465964">
        <w:rPr>
          <w:lang w:val="pt-PT"/>
        </w:rPr>
        <w:t>n.</w:t>
      </w:r>
      <w:r w:rsidRPr="00465964">
        <w:rPr>
          <w:vertAlign w:val="superscript"/>
          <w:lang w:val="pt-PT"/>
        </w:rPr>
        <w:t>o</w:t>
      </w:r>
      <w:proofErr w:type="spellEnd"/>
      <w:r w:rsidRPr="00465964">
        <w:rPr>
          <w:lang w:val="pt-PT"/>
        </w:rPr>
        <w:t> 1. Ao especificar esses instrumentos financeiros, a EBA tem em conta:</w:t>
      </w:r>
    </w:p>
    <w:tbl>
      <w:tblPr>
        <w:tblW w:w="5000" w:type="pct"/>
        <w:tblCellMar>
          <w:left w:w="0" w:type="dxa"/>
          <w:right w:w="0" w:type="dxa"/>
        </w:tblCellMar>
        <w:tblLook w:val="04A0" w:firstRow="1" w:lastRow="0" w:firstColumn="1" w:lastColumn="0" w:noHBand="0" w:noVBand="1"/>
      </w:tblPr>
      <w:tblGrid>
        <w:gridCol w:w="187"/>
        <w:gridCol w:w="8839"/>
      </w:tblGrid>
      <w:tr w:rsidR="00465964" w:rsidRPr="00465964" w14:paraId="17DA83D5" w14:textId="77777777" w:rsidTr="00465964">
        <w:tc>
          <w:tcPr>
            <w:tcW w:w="0" w:type="auto"/>
            <w:shd w:val="clear" w:color="auto" w:fill="auto"/>
            <w:hideMark/>
          </w:tcPr>
          <w:p w14:paraId="6BA680BF" w14:textId="77777777" w:rsidR="00465964" w:rsidRPr="00465964" w:rsidRDefault="00465964" w:rsidP="00465964">
            <w:r w:rsidRPr="00465964">
              <w:t>a)</w:t>
            </w:r>
          </w:p>
        </w:tc>
        <w:tc>
          <w:tcPr>
            <w:tcW w:w="0" w:type="auto"/>
            <w:shd w:val="clear" w:color="auto" w:fill="auto"/>
            <w:hideMark/>
          </w:tcPr>
          <w:p w14:paraId="6DA61758" w14:textId="77777777" w:rsidR="00465964" w:rsidRPr="00465964" w:rsidRDefault="00465964" w:rsidP="00465964">
            <w:pPr>
              <w:rPr>
                <w:lang w:val="pt-PT"/>
              </w:rPr>
            </w:pPr>
            <w:r w:rsidRPr="00465964">
              <w:rPr>
                <w:lang w:val="pt-PT"/>
              </w:rPr>
              <w:t xml:space="preserve">Os vários tipos de ativos a que uma </w:t>
            </w:r>
            <w:proofErr w:type="spellStart"/>
            <w:r w:rsidRPr="00465964">
              <w:rPr>
                <w:lang w:val="pt-PT"/>
              </w:rPr>
              <w:t>criptoficha</w:t>
            </w:r>
            <w:proofErr w:type="spellEnd"/>
            <w:r w:rsidRPr="00465964">
              <w:rPr>
                <w:lang w:val="pt-PT"/>
              </w:rPr>
              <w:t xml:space="preserve"> referenciada a ativos pode ser referenciada;</w:t>
            </w:r>
          </w:p>
        </w:tc>
      </w:tr>
    </w:tbl>
    <w:p w14:paraId="35003568"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8"/>
        <w:gridCol w:w="8838"/>
      </w:tblGrid>
      <w:tr w:rsidR="00465964" w:rsidRPr="00465964" w14:paraId="1CF87FAA" w14:textId="77777777" w:rsidTr="00465964">
        <w:tc>
          <w:tcPr>
            <w:tcW w:w="0" w:type="auto"/>
            <w:shd w:val="clear" w:color="auto" w:fill="auto"/>
            <w:hideMark/>
          </w:tcPr>
          <w:p w14:paraId="640DA501" w14:textId="77777777" w:rsidR="00465964" w:rsidRPr="00465964" w:rsidRDefault="00465964" w:rsidP="00465964">
            <w:r w:rsidRPr="00465964">
              <w:t>b)</w:t>
            </w:r>
          </w:p>
        </w:tc>
        <w:tc>
          <w:tcPr>
            <w:tcW w:w="0" w:type="auto"/>
            <w:shd w:val="clear" w:color="auto" w:fill="auto"/>
            <w:hideMark/>
          </w:tcPr>
          <w:p w14:paraId="7A80097A" w14:textId="77777777" w:rsidR="00465964" w:rsidRPr="00465964" w:rsidRDefault="00465964" w:rsidP="00465964">
            <w:pPr>
              <w:rPr>
                <w:lang w:val="pt-PT"/>
              </w:rPr>
            </w:pPr>
            <w:r w:rsidRPr="00465964">
              <w:rPr>
                <w:lang w:val="pt-PT"/>
              </w:rPr>
              <w:t xml:space="preserve">A correlação entre os ativos referenciados pela </w:t>
            </w:r>
            <w:proofErr w:type="spellStart"/>
            <w:r w:rsidRPr="00465964">
              <w:rPr>
                <w:lang w:val="pt-PT"/>
              </w:rPr>
              <w:t>criptoficha</w:t>
            </w:r>
            <w:proofErr w:type="spellEnd"/>
            <w:r w:rsidRPr="00465964">
              <w:rPr>
                <w:lang w:val="pt-PT"/>
              </w:rPr>
              <w:t xml:space="preserve"> referenciada a ativos e os instrumentos financeiros de elevada liquidez em que o emitente possa investir;</w:t>
            </w:r>
          </w:p>
        </w:tc>
      </w:tr>
    </w:tbl>
    <w:p w14:paraId="0446576E"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0"/>
        <w:gridCol w:w="8846"/>
      </w:tblGrid>
      <w:tr w:rsidR="00465964" w:rsidRPr="00465964" w14:paraId="084DC03E" w14:textId="77777777" w:rsidTr="00465964">
        <w:tc>
          <w:tcPr>
            <w:tcW w:w="0" w:type="auto"/>
            <w:shd w:val="clear" w:color="auto" w:fill="auto"/>
            <w:hideMark/>
          </w:tcPr>
          <w:p w14:paraId="1994D30E" w14:textId="77777777" w:rsidR="00465964" w:rsidRPr="00465964" w:rsidRDefault="00465964" w:rsidP="00465964">
            <w:r w:rsidRPr="00465964">
              <w:t>c)</w:t>
            </w:r>
          </w:p>
        </w:tc>
        <w:tc>
          <w:tcPr>
            <w:tcW w:w="0" w:type="auto"/>
            <w:shd w:val="clear" w:color="auto" w:fill="auto"/>
            <w:hideMark/>
          </w:tcPr>
          <w:p w14:paraId="7D718D7C" w14:textId="77777777" w:rsidR="00465964" w:rsidRPr="00465964" w:rsidRDefault="00465964" w:rsidP="00465964">
            <w:pPr>
              <w:rPr>
                <w:lang w:val="pt-PT"/>
              </w:rPr>
            </w:pPr>
            <w:r w:rsidRPr="00465964">
              <w:rPr>
                <w:lang w:val="pt-PT"/>
              </w:rPr>
              <w:t>O requisito de cobertura de liquidez a que se refere o artigo 412.</w:t>
            </w:r>
            <w:r w:rsidRPr="00465964">
              <w:rPr>
                <w:vertAlign w:val="superscript"/>
                <w:lang w:val="pt-PT"/>
              </w:rPr>
              <w:t>o</w:t>
            </w:r>
            <w:r w:rsidRPr="00465964">
              <w:rPr>
                <w:lang w:val="pt-PT"/>
              </w:rPr>
              <w:t xml:space="preserve"> do Regulamento (UE) </w:t>
            </w:r>
            <w:proofErr w:type="spellStart"/>
            <w:r w:rsidRPr="00465964">
              <w:rPr>
                <w:lang w:val="pt-PT"/>
              </w:rPr>
              <w:t>n.</w:t>
            </w:r>
            <w:r w:rsidRPr="00465964">
              <w:rPr>
                <w:vertAlign w:val="superscript"/>
                <w:lang w:val="pt-PT"/>
              </w:rPr>
              <w:t>o</w:t>
            </w:r>
            <w:proofErr w:type="spellEnd"/>
            <w:r w:rsidRPr="00465964">
              <w:rPr>
                <w:lang w:val="pt-PT"/>
              </w:rPr>
              <w:t> 575/2013 e conforme especificado com maior pormenor no Regulamento Delegado (UE) 2015/61 da Comissão </w:t>
            </w:r>
            <w:hyperlink r:id="rId48" w:anchor="ntr41-L_2023150PT.01004001-E0041" w:history="1">
              <w:r w:rsidRPr="00465964">
                <w:rPr>
                  <w:rStyle w:val="Hyperlink"/>
                  <w:lang w:val="pt-PT"/>
                </w:rPr>
                <w:t>(</w:t>
              </w:r>
              <w:r w:rsidRPr="00465964">
                <w:rPr>
                  <w:rStyle w:val="Hyperlink"/>
                  <w:vertAlign w:val="superscript"/>
                  <w:lang w:val="pt-PT"/>
                </w:rPr>
                <w:t>41</w:t>
              </w:r>
              <w:r w:rsidRPr="00465964">
                <w:rPr>
                  <w:rStyle w:val="Hyperlink"/>
                  <w:lang w:val="pt-PT"/>
                </w:rPr>
                <w:t>)</w:t>
              </w:r>
            </w:hyperlink>
            <w:r w:rsidRPr="00465964">
              <w:rPr>
                <w:lang w:val="pt-PT"/>
              </w:rPr>
              <w:t>;</w:t>
            </w:r>
          </w:p>
        </w:tc>
      </w:tr>
    </w:tbl>
    <w:p w14:paraId="29D4B71C"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8"/>
        <w:gridCol w:w="8838"/>
      </w:tblGrid>
      <w:tr w:rsidR="00465964" w:rsidRPr="00465964" w14:paraId="4C74E788" w14:textId="77777777" w:rsidTr="00465964">
        <w:tc>
          <w:tcPr>
            <w:tcW w:w="0" w:type="auto"/>
            <w:shd w:val="clear" w:color="auto" w:fill="auto"/>
            <w:hideMark/>
          </w:tcPr>
          <w:p w14:paraId="60816391" w14:textId="77777777" w:rsidR="00465964" w:rsidRPr="00465964" w:rsidRDefault="00465964" w:rsidP="00465964">
            <w:r w:rsidRPr="00465964">
              <w:t>d)</w:t>
            </w:r>
          </w:p>
        </w:tc>
        <w:tc>
          <w:tcPr>
            <w:tcW w:w="0" w:type="auto"/>
            <w:shd w:val="clear" w:color="auto" w:fill="auto"/>
            <w:hideMark/>
          </w:tcPr>
          <w:p w14:paraId="5ED5ACEE" w14:textId="77777777" w:rsidR="00465964" w:rsidRPr="00465964" w:rsidRDefault="00465964" w:rsidP="00465964">
            <w:pPr>
              <w:rPr>
                <w:lang w:val="pt-PT"/>
              </w:rPr>
            </w:pPr>
            <w:r w:rsidRPr="00465964">
              <w:rPr>
                <w:lang w:val="pt-PT"/>
              </w:rPr>
              <w:t>Restrições à concentração que impeçam o emitente de:</w:t>
            </w:r>
          </w:p>
          <w:tbl>
            <w:tblPr>
              <w:tblW w:w="5000" w:type="pct"/>
              <w:tblCellMar>
                <w:left w:w="0" w:type="dxa"/>
                <w:right w:w="0" w:type="dxa"/>
              </w:tblCellMar>
              <w:tblLook w:val="04A0" w:firstRow="1" w:lastRow="0" w:firstColumn="1" w:lastColumn="0" w:noHBand="0" w:noVBand="1"/>
            </w:tblPr>
            <w:tblGrid>
              <w:gridCol w:w="117"/>
              <w:gridCol w:w="8721"/>
            </w:tblGrid>
            <w:tr w:rsidR="00465964" w:rsidRPr="00465964" w14:paraId="7217CF9C" w14:textId="77777777">
              <w:tc>
                <w:tcPr>
                  <w:tcW w:w="0" w:type="auto"/>
                  <w:shd w:val="clear" w:color="auto" w:fill="auto"/>
                  <w:hideMark/>
                </w:tcPr>
                <w:p w14:paraId="46581EF2" w14:textId="77777777" w:rsidR="00465964" w:rsidRPr="00465964" w:rsidRDefault="00465964" w:rsidP="00465964">
                  <w:proofErr w:type="spellStart"/>
                  <w:r w:rsidRPr="00465964">
                    <w:lastRenderedPageBreak/>
                    <w:t>i</w:t>
                  </w:r>
                  <w:proofErr w:type="spellEnd"/>
                  <w:r w:rsidRPr="00465964">
                    <w:t>)</w:t>
                  </w:r>
                </w:p>
              </w:tc>
              <w:tc>
                <w:tcPr>
                  <w:tcW w:w="0" w:type="auto"/>
                  <w:shd w:val="clear" w:color="auto" w:fill="auto"/>
                  <w:hideMark/>
                </w:tcPr>
                <w:p w14:paraId="3DA806C0" w14:textId="77777777" w:rsidR="00465964" w:rsidRPr="00465964" w:rsidRDefault="00465964" w:rsidP="00465964">
                  <w:pPr>
                    <w:rPr>
                      <w:lang w:val="pt-PT"/>
                    </w:rPr>
                  </w:pPr>
                  <w:r w:rsidRPr="00465964">
                    <w:rPr>
                      <w:lang w:val="pt-PT"/>
                    </w:rPr>
                    <w:t>investir mais do que uma determinada percentagem de ativos de reserva em instrumentos de elevada liquidez com risco de mercado, risco de crédito e risco de concentração mínimos emitidos por uma única entidade,</w:t>
                  </w:r>
                </w:p>
              </w:tc>
            </w:tr>
          </w:tbl>
          <w:p w14:paraId="1684880A"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70"/>
              <w:gridCol w:w="8668"/>
            </w:tblGrid>
            <w:tr w:rsidR="00465964" w:rsidRPr="00465964" w14:paraId="211808D5" w14:textId="77777777">
              <w:tc>
                <w:tcPr>
                  <w:tcW w:w="0" w:type="auto"/>
                  <w:shd w:val="clear" w:color="auto" w:fill="auto"/>
                  <w:hideMark/>
                </w:tcPr>
                <w:p w14:paraId="75639E8D" w14:textId="77777777" w:rsidR="00465964" w:rsidRPr="00465964" w:rsidRDefault="00465964" w:rsidP="00465964">
                  <w:r w:rsidRPr="00465964">
                    <w:t>ii)</w:t>
                  </w:r>
                </w:p>
              </w:tc>
              <w:tc>
                <w:tcPr>
                  <w:tcW w:w="0" w:type="auto"/>
                  <w:shd w:val="clear" w:color="auto" w:fill="auto"/>
                  <w:hideMark/>
                </w:tcPr>
                <w:p w14:paraId="09C68CE6" w14:textId="77777777" w:rsidR="00465964" w:rsidRPr="00465964" w:rsidRDefault="00465964" w:rsidP="00465964">
                  <w:pPr>
                    <w:rPr>
                      <w:lang w:val="pt-PT"/>
                    </w:rPr>
                  </w:pPr>
                  <w:r w:rsidRPr="00465964">
                    <w:rPr>
                      <w:lang w:val="pt-PT"/>
                    </w:rPr>
                    <w:t>deter em custódia mais do que uma determinada percentagem dos criptoativos ou ativos junto de prestadores de serviços de criptoativos ou instituições de crédito que pertençam ao mesmo grupo, na aceção do artigo 2.</w:t>
                  </w:r>
                  <w:r w:rsidRPr="00465964">
                    <w:rPr>
                      <w:vertAlign w:val="superscript"/>
                      <w:lang w:val="pt-PT"/>
                    </w:rPr>
                    <w:t>o</w:t>
                  </w:r>
                  <w:r w:rsidRPr="00465964">
                    <w:rPr>
                      <w:lang w:val="pt-PT"/>
                    </w:rPr>
                    <w:t>, ponto 11, da Diretiva 2013/34/UE do Parlamento Europeu e do Conselho </w:t>
                  </w:r>
                  <w:hyperlink r:id="rId49" w:anchor="ntr42-L_2023150PT.01004001-E0042" w:history="1">
                    <w:r w:rsidRPr="00465964">
                      <w:rPr>
                        <w:rStyle w:val="Hyperlink"/>
                        <w:lang w:val="pt-PT"/>
                      </w:rPr>
                      <w:t>(</w:t>
                    </w:r>
                    <w:r w:rsidRPr="00465964">
                      <w:rPr>
                        <w:rStyle w:val="Hyperlink"/>
                        <w:vertAlign w:val="superscript"/>
                        <w:lang w:val="pt-PT"/>
                      </w:rPr>
                      <w:t>42</w:t>
                    </w:r>
                    <w:r w:rsidRPr="00465964">
                      <w:rPr>
                        <w:rStyle w:val="Hyperlink"/>
                        <w:lang w:val="pt-PT"/>
                      </w:rPr>
                      <w:t>)</w:t>
                    </w:r>
                  </w:hyperlink>
                  <w:r w:rsidRPr="00465964">
                    <w:rPr>
                      <w:lang w:val="pt-PT"/>
                    </w:rPr>
                    <w:t>, ou empresas de investimento.</w:t>
                  </w:r>
                </w:p>
              </w:tc>
            </w:tr>
          </w:tbl>
          <w:p w14:paraId="32178C7A" w14:textId="77777777" w:rsidR="00465964" w:rsidRPr="00465964" w:rsidRDefault="00465964" w:rsidP="00465964">
            <w:pPr>
              <w:rPr>
                <w:lang w:val="pt-PT"/>
              </w:rPr>
            </w:pPr>
          </w:p>
        </w:tc>
      </w:tr>
    </w:tbl>
    <w:p w14:paraId="3BE323A0" w14:textId="77777777" w:rsidR="00465964" w:rsidRPr="00465964" w:rsidRDefault="00465964" w:rsidP="00465964">
      <w:pPr>
        <w:rPr>
          <w:lang w:val="pt-PT"/>
        </w:rPr>
      </w:pPr>
      <w:r w:rsidRPr="00465964">
        <w:rPr>
          <w:lang w:val="pt-PT"/>
        </w:rPr>
        <w:lastRenderedPageBreak/>
        <w:t>Para efeitos da alínea d), subalínea i) do primeiro parágrafo, a EBA estabelece limites adequados para definir os requisitos em matéria de concentração. Os limites em causa devem, nomeadamente, ter em conta os limiares pertinentes estabelecidos no artigo 52.</w:t>
      </w:r>
      <w:r w:rsidRPr="00465964">
        <w:rPr>
          <w:vertAlign w:val="superscript"/>
          <w:lang w:val="pt-PT"/>
        </w:rPr>
        <w:t>o</w:t>
      </w:r>
      <w:r w:rsidRPr="00465964">
        <w:rPr>
          <w:lang w:val="pt-PT"/>
        </w:rPr>
        <w:t> da Diretiva 2009/65/CE.</w:t>
      </w:r>
    </w:p>
    <w:p w14:paraId="13DA7517" w14:textId="77777777" w:rsidR="00465964" w:rsidRPr="00465964" w:rsidRDefault="00465964" w:rsidP="00465964">
      <w:pPr>
        <w:rPr>
          <w:lang w:val="pt-PT"/>
        </w:rPr>
      </w:pPr>
      <w:r w:rsidRPr="00465964">
        <w:rPr>
          <w:lang w:val="pt-PT"/>
        </w:rPr>
        <w:t>A EBA apresenta à Comissão os projetos de normas técnicas de regulamentação a que se refere o primeiro parágrafo até 30 de junho de 2024.</w:t>
      </w:r>
    </w:p>
    <w:p w14:paraId="3ECA9D2A" w14:textId="77777777" w:rsidR="00465964" w:rsidRPr="00465964" w:rsidRDefault="00465964" w:rsidP="00465964">
      <w:pPr>
        <w:rPr>
          <w:lang w:val="pt-PT"/>
        </w:rPr>
      </w:pPr>
      <w:r w:rsidRPr="00465964">
        <w:rPr>
          <w:lang w:val="pt-PT"/>
        </w:rPr>
        <w:t>É delegado na Comissão o poder de completar o presente regulamento através da adoção das normas técnicas de regulamentação a que se refere o primeiro parágrafo do presente número em conformidade com os artigos 10.</w:t>
      </w:r>
      <w:r w:rsidRPr="00465964">
        <w:rPr>
          <w:vertAlign w:val="superscript"/>
          <w:lang w:val="pt-PT"/>
        </w:rPr>
        <w:t>o</w:t>
      </w:r>
      <w:r w:rsidRPr="00465964">
        <w:rPr>
          <w:lang w:val="pt-PT"/>
        </w:rPr>
        <w:t> a 14.</w:t>
      </w:r>
      <w:r w:rsidRPr="00465964">
        <w:rPr>
          <w:vertAlign w:val="superscript"/>
          <w:lang w:val="pt-PT"/>
        </w:rPr>
        <w:t>o</w:t>
      </w:r>
      <w:r w:rsidRPr="00465964">
        <w:rPr>
          <w:lang w:val="pt-PT"/>
        </w:rPr>
        <w:t xml:space="preserve"> do Regulamento (UE) </w:t>
      </w:r>
      <w:proofErr w:type="spellStart"/>
      <w:r w:rsidRPr="00465964">
        <w:rPr>
          <w:lang w:val="pt-PT"/>
        </w:rPr>
        <w:t>n.</w:t>
      </w:r>
      <w:r w:rsidRPr="00465964">
        <w:rPr>
          <w:vertAlign w:val="superscript"/>
          <w:lang w:val="pt-PT"/>
        </w:rPr>
        <w:t>o</w:t>
      </w:r>
      <w:proofErr w:type="spellEnd"/>
      <w:r w:rsidRPr="00465964">
        <w:rPr>
          <w:lang w:val="pt-PT"/>
        </w:rPr>
        <w:t> 1093/2010.</w:t>
      </w:r>
    </w:p>
    <w:p w14:paraId="7DFC3BBB" w14:textId="77777777" w:rsidR="00465964" w:rsidRPr="00465964" w:rsidRDefault="00465964" w:rsidP="00465964">
      <w:pPr>
        <w:rPr>
          <w:i/>
          <w:iCs/>
          <w:lang w:val="pt-PT"/>
        </w:rPr>
      </w:pPr>
      <w:r w:rsidRPr="00465964">
        <w:rPr>
          <w:i/>
          <w:iCs/>
          <w:lang w:val="pt-PT"/>
        </w:rPr>
        <w:t>Artigo 39.</w:t>
      </w:r>
      <w:r w:rsidRPr="00465964">
        <w:rPr>
          <w:i/>
          <w:iCs/>
          <w:vertAlign w:val="superscript"/>
          <w:lang w:val="pt-PT"/>
        </w:rPr>
        <w:t>o</w:t>
      </w:r>
    </w:p>
    <w:p w14:paraId="508C6F37" w14:textId="77777777" w:rsidR="00465964" w:rsidRPr="00465964" w:rsidRDefault="00465964" w:rsidP="00465964">
      <w:pPr>
        <w:rPr>
          <w:b/>
          <w:bCs/>
          <w:lang w:val="pt-PT"/>
        </w:rPr>
      </w:pPr>
      <w:r w:rsidRPr="00465964">
        <w:rPr>
          <w:b/>
          <w:bCs/>
          <w:lang w:val="pt-PT"/>
        </w:rPr>
        <w:t>Direito de reembolso</w:t>
      </w:r>
    </w:p>
    <w:p w14:paraId="36937B9B" w14:textId="1EEAE2BB" w:rsidR="00465964" w:rsidRPr="00465964" w:rsidRDefault="00465964" w:rsidP="00465964">
      <w:pPr>
        <w:rPr>
          <w:lang w:val="pt-PT"/>
        </w:rPr>
      </w:pPr>
      <w:r w:rsidRPr="00465964">
        <w:rPr>
          <w:lang w:val="pt-PT"/>
        </w:rPr>
        <w:t xml:space="preserve">1.   Os detentores de </w:t>
      </w:r>
      <w:r>
        <w:rPr>
          <w:lang w:val="pt-PT"/>
        </w:rPr>
        <w:t>criptomoedas</w:t>
      </w:r>
      <w:r w:rsidRPr="00465964">
        <w:rPr>
          <w:lang w:val="pt-PT"/>
        </w:rPr>
        <w:t xml:space="preserve"> referenciadas a ativos têm, a todo o tempo, um direito de reembolso sobre os emitentes das </w:t>
      </w:r>
      <w:r>
        <w:rPr>
          <w:lang w:val="pt-PT"/>
        </w:rPr>
        <w:t>criptomoedas</w:t>
      </w:r>
      <w:r w:rsidRPr="00465964">
        <w:rPr>
          <w:lang w:val="pt-PT"/>
        </w:rPr>
        <w:t xml:space="preserve"> referenciadas a ativos e no que respeita aos ativos de reserva, caso os emitentes não estejam em condições de cumprir as suas obrigações referidas no capítulo 6 do presente título. Os emitentes devem estabelecer, manter e aplicar políticas e procedimentos claros e pormenorizados relativamente a esse direito de reembolso permanente.</w:t>
      </w:r>
    </w:p>
    <w:p w14:paraId="52F9AEFE" w14:textId="24092C8C" w:rsidR="00465964" w:rsidRPr="00465964" w:rsidRDefault="00465964" w:rsidP="00465964">
      <w:pPr>
        <w:rPr>
          <w:lang w:val="pt-PT"/>
        </w:rPr>
      </w:pPr>
      <w:r w:rsidRPr="00465964">
        <w:rPr>
          <w:lang w:val="pt-PT"/>
        </w:rPr>
        <w:t xml:space="preserve">2.   A pedido de um detentor de uma </w:t>
      </w:r>
      <w:proofErr w:type="spellStart"/>
      <w:r w:rsidRPr="00465964">
        <w:rPr>
          <w:lang w:val="pt-PT"/>
        </w:rPr>
        <w:t>criptoficha</w:t>
      </w:r>
      <w:proofErr w:type="spellEnd"/>
      <w:r w:rsidRPr="00465964">
        <w:rPr>
          <w:lang w:val="pt-PT"/>
        </w:rPr>
        <w:t xml:space="preserve"> referenciada a ativos, um emitente dessa </w:t>
      </w:r>
      <w:proofErr w:type="spellStart"/>
      <w:r w:rsidRPr="00465964">
        <w:rPr>
          <w:lang w:val="pt-PT"/>
        </w:rPr>
        <w:t>criptoficha</w:t>
      </w:r>
      <w:proofErr w:type="spellEnd"/>
      <w:r w:rsidRPr="00465964">
        <w:rPr>
          <w:lang w:val="pt-PT"/>
        </w:rPr>
        <w:t xml:space="preserve"> deve proceder ao reembolso ou mediante o pagamento, em fundos que não sejam moeda eletrónica, de um montante equivalente ao valor de mercado dos ativos referenciados pelas </w:t>
      </w:r>
      <w:r>
        <w:rPr>
          <w:lang w:val="pt-PT"/>
        </w:rPr>
        <w:t>criptomoedas</w:t>
      </w:r>
      <w:r w:rsidRPr="00465964">
        <w:rPr>
          <w:lang w:val="pt-PT"/>
        </w:rPr>
        <w:t xml:space="preserve"> referenciadas a ativos detidas, ou mediante a entrega dos ativos referenciados pelas </w:t>
      </w:r>
      <w:r>
        <w:rPr>
          <w:lang w:val="pt-PT"/>
        </w:rPr>
        <w:t>criptomoedas</w:t>
      </w:r>
      <w:r w:rsidRPr="00465964">
        <w:rPr>
          <w:lang w:val="pt-PT"/>
        </w:rPr>
        <w:t>. Os emitentes definem uma política relativa a esse direito de reembolso permanente estabelecendo:</w:t>
      </w:r>
    </w:p>
    <w:tbl>
      <w:tblPr>
        <w:tblW w:w="5000" w:type="pct"/>
        <w:tblCellMar>
          <w:left w:w="0" w:type="dxa"/>
          <w:right w:w="0" w:type="dxa"/>
        </w:tblCellMar>
        <w:tblLook w:val="04A0" w:firstRow="1" w:lastRow="0" w:firstColumn="1" w:lastColumn="0" w:noHBand="0" w:noVBand="1"/>
      </w:tblPr>
      <w:tblGrid>
        <w:gridCol w:w="182"/>
        <w:gridCol w:w="8844"/>
      </w:tblGrid>
      <w:tr w:rsidR="00465964" w:rsidRPr="00465964" w14:paraId="3EA574CC" w14:textId="77777777" w:rsidTr="00465964">
        <w:tc>
          <w:tcPr>
            <w:tcW w:w="0" w:type="auto"/>
            <w:shd w:val="clear" w:color="auto" w:fill="auto"/>
            <w:hideMark/>
          </w:tcPr>
          <w:p w14:paraId="4FBB1D44" w14:textId="77777777" w:rsidR="00465964" w:rsidRPr="00465964" w:rsidRDefault="00465964" w:rsidP="00465964">
            <w:r w:rsidRPr="00465964">
              <w:t>a)</w:t>
            </w:r>
          </w:p>
        </w:tc>
        <w:tc>
          <w:tcPr>
            <w:tcW w:w="0" w:type="auto"/>
            <w:shd w:val="clear" w:color="auto" w:fill="auto"/>
            <w:hideMark/>
          </w:tcPr>
          <w:p w14:paraId="585E8F1F" w14:textId="5D129D4E" w:rsidR="00465964" w:rsidRPr="00465964" w:rsidRDefault="00465964" w:rsidP="00465964">
            <w:pPr>
              <w:rPr>
                <w:lang w:val="pt-PT"/>
              </w:rPr>
            </w:pPr>
            <w:r w:rsidRPr="00465964">
              <w:rPr>
                <w:lang w:val="pt-PT"/>
              </w:rPr>
              <w:t xml:space="preserve">As condições, incluindo limiares, períodos e prazos, para que os detentores das </w:t>
            </w:r>
            <w:r>
              <w:rPr>
                <w:lang w:val="pt-PT"/>
              </w:rPr>
              <w:t>criptomoedas</w:t>
            </w:r>
            <w:r w:rsidRPr="00465964">
              <w:rPr>
                <w:lang w:val="pt-PT"/>
              </w:rPr>
              <w:t xml:space="preserve"> referenciadas a ativos exerçam esse direito de reembolso;</w:t>
            </w:r>
          </w:p>
        </w:tc>
      </w:tr>
    </w:tbl>
    <w:p w14:paraId="6C7E9C76"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8"/>
        <w:gridCol w:w="8838"/>
      </w:tblGrid>
      <w:tr w:rsidR="00465964" w:rsidRPr="00465964" w14:paraId="05301515" w14:textId="77777777" w:rsidTr="00465964">
        <w:tc>
          <w:tcPr>
            <w:tcW w:w="0" w:type="auto"/>
            <w:shd w:val="clear" w:color="auto" w:fill="auto"/>
            <w:hideMark/>
          </w:tcPr>
          <w:p w14:paraId="5045395A" w14:textId="77777777" w:rsidR="00465964" w:rsidRPr="00465964" w:rsidRDefault="00465964" w:rsidP="00465964">
            <w:r w:rsidRPr="00465964">
              <w:t>b)</w:t>
            </w:r>
          </w:p>
        </w:tc>
        <w:tc>
          <w:tcPr>
            <w:tcW w:w="0" w:type="auto"/>
            <w:shd w:val="clear" w:color="auto" w:fill="auto"/>
            <w:hideMark/>
          </w:tcPr>
          <w:p w14:paraId="0AB60D7C" w14:textId="5FC28E18" w:rsidR="00465964" w:rsidRPr="00465964" w:rsidRDefault="00465964" w:rsidP="00465964">
            <w:pPr>
              <w:rPr>
                <w:lang w:val="pt-PT"/>
              </w:rPr>
            </w:pPr>
            <w:r w:rsidRPr="00465964">
              <w:rPr>
                <w:lang w:val="pt-PT"/>
              </w:rPr>
              <w:t xml:space="preserve">Os mecanismos e procedimentos destinados a assegurar o reembolso das </w:t>
            </w:r>
            <w:r>
              <w:rPr>
                <w:lang w:val="pt-PT"/>
              </w:rPr>
              <w:t>criptomoedas</w:t>
            </w:r>
            <w:r w:rsidRPr="00465964">
              <w:rPr>
                <w:lang w:val="pt-PT"/>
              </w:rPr>
              <w:t xml:space="preserve"> referenciadas a ativos, incluindo em circunstâncias de tensão do mercado, bem como no contexto da execução do plano de recuperação estabelecido no artigo 46.</w:t>
            </w:r>
            <w:r w:rsidRPr="00465964">
              <w:rPr>
                <w:vertAlign w:val="superscript"/>
                <w:lang w:val="pt-PT"/>
              </w:rPr>
              <w:t>o</w:t>
            </w:r>
            <w:r w:rsidRPr="00465964">
              <w:rPr>
                <w:lang w:val="pt-PT"/>
              </w:rPr>
              <w:t xml:space="preserve"> ou em caso de reembolso ordenado de </w:t>
            </w:r>
            <w:r>
              <w:rPr>
                <w:lang w:val="pt-PT"/>
              </w:rPr>
              <w:t>criptomoedas</w:t>
            </w:r>
            <w:r w:rsidRPr="00465964">
              <w:rPr>
                <w:lang w:val="pt-PT"/>
              </w:rPr>
              <w:t xml:space="preserve"> referenciadas a ativos nos termos do artigo 47.</w:t>
            </w:r>
            <w:r w:rsidRPr="00465964">
              <w:rPr>
                <w:vertAlign w:val="superscript"/>
                <w:lang w:val="pt-PT"/>
              </w:rPr>
              <w:t>o</w:t>
            </w:r>
            <w:r w:rsidRPr="00465964">
              <w:rPr>
                <w:lang w:val="pt-PT"/>
              </w:rPr>
              <w:t>;</w:t>
            </w:r>
          </w:p>
        </w:tc>
      </w:tr>
    </w:tbl>
    <w:p w14:paraId="20A5819A"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0"/>
        <w:gridCol w:w="8846"/>
      </w:tblGrid>
      <w:tr w:rsidR="00465964" w:rsidRPr="00465964" w14:paraId="72DE0A67" w14:textId="77777777" w:rsidTr="00465964">
        <w:tc>
          <w:tcPr>
            <w:tcW w:w="0" w:type="auto"/>
            <w:shd w:val="clear" w:color="auto" w:fill="auto"/>
            <w:hideMark/>
          </w:tcPr>
          <w:p w14:paraId="0869A28D" w14:textId="77777777" w:rsidR="00465964" w:rsidRPr="00465964" w:rsidRDefault="00465964" w:rsidP="00465964">
            <w:r w:rsidRPr="00465964">
              <w:t>c)</w:t>
            </w:r>
          </w:p>
        </w:tc>
        <w:tc>
          <w:tcPr>
            <w:tcW w:w="0" w:type="auto"/>
            <w:shd w:val="clear" w:color="auto" w:fill="auto"/>
            <w:hideMark/>
          </w:tcPr>
          <w:p w14:paraId="578DB823" w14:textId="29CCB6CD" w:rsidR="00465964" w:rsidRPr="00465964" w:rsidRDefault="00465964" w:rsidP="00465964">
            <w:pPr>
              <w:rPr>
                <w:lang w:val="pt-PT"/>
              </w:rPr>
            </w:pPr>
            <w:r w:rsidRPr="00465964">
              <w:rPr>
                <w:lang w:val="pt-PT"/>
              </w:rPr>
              <w:t xml:space="preserve">A avaliação, ou os princípios da avaliação, das </w:t>
            </w:r>
            <w:r>
              <w:rPr>
                <w:lang w:val="pt-PT"/>
              </w:rPr>
              <w:t>criptomoedas</w:t>
            </w:r>
            <w:r w:rsidRPr="00465964">
              <w:rPr>
                <w:lang w:val="pt-PT"/>
              </w:rPr>
              <w:t xml:space="preserve"> referenciadas a ativos e dos ativos de reserva quando o direito de reembolso for exercido pelo detentor das </w:t>
            </w:r>
            <w:r>
              <w:rPr>
                <w:lang w:val="pt-PT"/>
              </w:rPr>
              <w:t>criptomoedas</w:t>
            </w:r>
            <w:r w:rsidRPr="00465964">
              <w:rPr>
                <w:lang w:val="pt-PT"/>
              </w:rPr>
              <w:t xml:space="preserve"> referenciadas a ativos, nomeadamente com recurso ao método de avaliação estabelecido no artigo 36.</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11;</w:t>
            </w:r>
          </w:p>
        </w:tc>
      </w:tr>
    </w:tbl>
    <w:p w14:paraId="4B41FCA4"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367"/>
        <w:gridCol w:w="8659"/>
      </w:tblGrid>
      <w:tr w:rsidR="00465964" w:rsidRPr="00465964" w14:paraId="39177CD3" w14:textId="77777777" w:rsidTr="00465964">
        <w:tc>
          <w:tcPr>
            <w:tcW w:w="0" w:type="auto"/>
            <w:shd w:val="clear" w:color="auto" w:fill="auto"/>
            <w:hideMark/>
          </w:tcPr>
          <w:p w14:paraId="3D85F6B8" w14:textId="77777777" w:rsidR="00465964" w:rsidRPr="00465964" w:rsidRDefault="00465964" w:rsidP="00465964">
            <w:r w:rsidRPr="00465964">
              <w:lastRenderedPageBreak/>
              <w:t>d)</w:t>
            </w:r>
          </w:p>
        </w:tc>
        <w:tc>
          <w:tcPr>
            <w:tcW w:w="0" w:type="auto"/>
            <w:shd w:val="clear" w:color="auto" w:fill="auto"/>
            <w:hideMark/>
          </w:tcPr>
          <w:p w14:paraId="5756D433" w14:textId="77777777" w:rsidR="00465964" w:rsidRPr="00465964" w:rsidRDefault="00465964" w:rsidP="00465964">
            <w:pPr>
              <w:rPr>
                <w:lang w:val="pt-PT"/>
              </w:rPr>
            </w:pPr>
            <w:r w:rsidRPr="00465964">
              <w:rPr>
                <w:lang w:val="pt-PT"/>
              </w:rPr>
              <w:t>As modalidades da liquidação do reembolso; e</w:t>
            </w:r>
          </w:p>
        </w:tc>
      </w:tr>
    </w:tbl>
    <w:p w14:paraId="551C6B64"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1"/>
        <w:gridCol w:w="8845"/>
      </w:tblGrid>
      <w:tr w:rsidR="00465964" w:rsidRPr="00465964" w14:paraId="123B4E23" w14:textId="77777777" w:rsidTr="00465964">
        <w:tc>
          <w:tcPr>
            <w:tcW w:w="0" w:type="auto"/>
            <w:shd w:val="clear" w:color="auto" w:fill="auto"/>
            <w:hideMark/>
          </w:tcPr>
          <w:p w14:paraId="3E50B2C5" w14:textId="77777777" w:rsidR="00465964" w:rsidRPr="00465964" w:rsidRDefault="00465964" w:rsidP="00465964">
            <w:r w:rsidRPr="00465964">
              <w:t>e)</w:t>
            </w:r>
          </w:p>
        </w:tc>
        <w:tc>
          <w:tcPr>
            <w:tcW w:w="0" w:type="auto"/>
            <w:shd w:val="clear" w:color="auto" w:fill="auto"/>
            <w:hideMark/>
          </w:tcPr>
          <w:p w14:paraId="38E7086F" w14:textId="77777777" w:rsidR="00465964" w:rsidRPr="00465964" w:rsidRDefault="00465964" w:rsidP="00465964">
            <w:pPr>
              <w:rPr>
                <w:lang w:val="pt-PT"/>
              </w:rPr>
            </w:pPr>
            <w:r w:rsidRPr="00465964">
              <w:rPr>
                <w:lang w:val="pt-PT"/>
              </w:rPr>
              <w:t>As medidas que os emitentes tomam para gerir de forma adequada os aumentos ou diminuições da reserva de ativos, a fim de evitar quaisquer impactos adversos no mercado dos ativos de reserva.</w:t>
            </w:r>
          </w:p>
        </w:tc>
      </w:tr>
    </w:tbl>
    <w:p w14:paraId="083156F5" w14:textId="77777777" w:rsidR="00465964" w:rsidRPr="00465964" w:rsidRDefault="00465964" w:rsidP="00465964">
      <w:pPr>
        <w:rPr>
          <w:lang w:val="pt-PT"/>
        </w:rPr>
      </w:pPr>
      <w:r w:rsidRPr="00465964">
        <w:rPr>
          <w:lang w:val="pt-PT"/>
        </w:rPr>
        <w:t xml:space="preserve">Caso o emitente, ao vender uma </w:t>
      </w:r>
      <w:proofErr w:type="spellStart"/>
      <w:r w:rsidRPr="00465964">
        <w:rPr>
          <w:lang w:val="pt-PT"/>
        </w:rPr>
        <w:t>criptoficha</w:t>
      </w:r>
      <w:proofErr w:type="spellEnd"/>
      <w:r w:rsidRPr="00465964">
        <w:rPr>
          <w:lang w:val="pt-PT"/>
        </w:rPr>
        <w:t xml:space="preserve"> referenciada a ativos, aceite um pagamento em fundos que não seja em moeda eletrónica, denominado numa moeda oficial, deve sempre prever a possibilidade de reembolso da </w:t>
      </w:r>
      <w:proofErr w:type="spellStart"/>
      <w:r w:rsidRPr="00465964">
        <w:rPr>
          <w:lang w:val="pt-PT"/>
        </w:rPr>
        <w:t>criptoficha</w:t>
      </w:r>
      <w:proofErr w:type="spellEnd"/>
      <w:r w:rsidRPr="00465964">
        <w:rPr>
          <w:lang w:val="pt-PT"/>
        </w:rPr>
        <w:t xml:space="preserve"> em fundos denominados na mesma moeda oficial.</w:t>
      </w:r>
    </w:p>
    <w:p w14:paraId="67E197FE" w14:textId="2D72D89A" w:rsidR="00465964" w:rsidRPr="00465964" w:rsidRDefault="00465964" w:rsidP="00465964">
      <w:pPr>
        <w:rPr>
          <w:lang w:val="pt-PT"/>
        </w:rPr>
      </w:pPr>
      <w:r w:rsidRPr="00465964">
        <w:rPr>
          <w:lang w:val="pt-PT"/>
        </w:rPr>
        <w:t>3.   Sem prejuízo do disposto no artigo 46.</w:t>
      </w:r>
      <w:r w:rsidRPr="00465964">
        <w:rPr>
          <w:vertAlign w:val="superscript"/>
          <w:lang w:val="pt-PT"/>
        </w:rPr>
        <w:t>o</w:t>
      </w:r>
      <w:r w:rsidRPr="00465964">
        <w:rPr>
          <w:lang w:val="pt-PT"/>
        </w:rPr>
        <w:t xml:space="preserve">, o reembolso de </w:t>
      </w:r>
      <w:r>
        <w:rPr>
          <w:lang w:val="pt-PT"/>
        </w:rPr>
        <w:t>criptomoedas</w:t>
      </w:r>
      <w:r w:rsidRPr="00465964">
        <w:rPr>
          <w:lang w:val="pt-PT"/>
        </w:rPr>
        <w:t xml:space="preserve"> referenciadas a ativos não está sujeito a qualquer taxa.</w:t>
      </w:r>
    </w:p>
    <w:p w14:paraId="5490E4CE" w14:textId="77777777" w:rsidR="00465964" w:rsidRPr="00465964" w:rsidRDefault="00465964" w:rsidP="00465964">
      <w:pPr>
        <w:rPr>
          <w:i/>
          <w:iCs/>
          <w:lang w:val="pt-PT"/>
        </w:rPr>
      </w:pPr>
      <w:r w:rsidRPr="00465964">
        <w:rPr>
          <w:i/>
          <w:iCs/>
          <w:lang w:val="pt-PT"/>
        </w:rPr>
        <w:t>Artigo 40.</w:t>
      </w:r>
      <w:r w:rsidRPr="00465964">
        <w:rPr>
          <w:i/>
          <w:iCs/>
          <w:vertAlign w:val="superscript"/>
          <w:lang w:val="pt-PT"/>
        </w:rPr>
        <w:t>o</w:t>
      </w:r>
    </w:p>
    <w:p w14:paraId="55A6A480" w14:textId="77777777" w:rsidR="00465964" w:rsidRPr="00465964" w:rsidRDefault="00465964" w:rsidP="00465964">
      <w:pPr>
        <w:rPr>
          <w:b/>
          <w:bCs/>
          <w:lang w:val="pt-PT"/>
        </w:rPr>
      </w:pPr>
      <w:r w:rsidRPr="00465964">
        <w:rPr>
          <w:b/>
          <w:bCs/>
          <w:lang w:val="pt-PT"/>
        </w:rPr>
        <w:t>Proibição de pagamento de juros</w:t>
      </w:r>
    </w:p>
    <w:p w14:paraId="7501B164" w14:textId="2D7EA9C8" w:rsidR="00465964" w:rsidRPr="00465964" w:rsidRDefault="00465964" w:rsidP="00465964">
      <w:pPr>
        <w:rPr>
          <w:lang w:val="pt-PT"/>
        </w:rPr>
      </w:pPr>
      <w:r w:rsidRPr="00465964">
        <w:rPr>
          <w:lang w:val="pt-PT"/>
        </w:rPr>
        <w:t xml:space="preserve">1.   Os emitentes de </w:t>
      </w:r>
      <w:r>
        <w:rPr>
          <w:lang w:val="pt-PT"/>
        </w:rPr>
        <w:t>criptomoedas</w:t>
      </w:r>
      <w:r w:rsidRPr="00465964">
        <w:rPr>
          <w:lang w:val="pt-PT"/>
        </w:rPr>
        <w:t xml:space="preserve"> referenciadas a ativos não podem pagar juros relativamente a </w:t>
      </w:r>
      <w:r>
        <w:rPr>
          <w:lang w:val="pt-PT"/>
        </w:rPr>
        <w:t>criptomoedas</w:t>
      </w:r>
      <w:r w:rsidRPr="00465964">
        <w:rPr>
          <w:lang w:val="pt-PT"/>
        </w:rPr>
        <w:t xml:space="preserve"> referenciadas a ativos.</w:t>
      </w:r>
    </w:p>
    <w:p w14:paraId="5CFF42EF" w14:textId="23B93B5A" w:rsidR="00465964" w:rsidRPr="00465964" w:rsidRDefault="00465964" w:rsidP="00465964">
      <w:pPr>
        <w:rPr>
          <w:lang w:val="pt-PT"/>
        </w:rPr>
      </w:pPr>
      <w:r w:rsidRPr="00465964">
        <w:rPr>
          <w:lang w:val="pt-PT"/>
        </w:rPr>
        <w:t xml:space="preserve">2.   Os prestadores de serviços de criptoativos não podem pagar juros quando prestem serviços de criptoativos relacionados com </w:t>
      </w:r>
      <w:r>
        <w:rPr>
          <w:lang w:val="pt-PT"/>
        </w:rPr>
        <w:t>criptomoedas</w:t>
      </w:r>
      <w:r w:rsidRPr="00465964">
        <w:rPr>
          <w:lang w:val="pt-PT"/>
        </w:rPr>
        <w:t xml:space="preserve"> referenciadas a ativos.</w:t>
      </w:r>
    </w:p>
    <w:p w14:paraId="47B7C389" w14:textId="0E39D005" w:rsidR="00465964" w:rsidRPr="00465964" w:rsidRDefault="00465964" w:rsidP="00465964">
      <w:pPr>
        <w:rPr>
          <w:lang w:val="pt-PT"/>
        </w:rPr>
      </w:pPr>
      <w:r w:rsidRPr="00465964">
        <w:rPr>
          <w:lang w:val="pt-PT"/>
        </w:rPr>
        <w:t xml:space="preserve">3.   Para efeitos dos </w:t>
      </w:r>
      <w:proofErr w:type="spellStart"/>
      <w:proofErr w:type="gramStart"/>
      <w:r w:rsidRPr="00465964">
        <w:rPr>
          <w:lang w:val="pt-PT"/>
        </w:rPr>
        <w:t>n.</w:t>
      </w:r>
      <w:r w:rsidRPr="00465964">
        <w:rPr>
          <w:vertAlign w:val="superscript"/>
          <w:lang w:val="pt-PT"/>
        </w:rPr>
        <w:t>os</w:t>
      </w:r>
      <w:proofErr w:type="spellEnd"/>
      <w:proofErr w:type="gramEnd"/>
      <w:r w:rsidRPr="00465964">
        <w:rPr>
          <w:lang w:val="pt-PT"/>
        </w:rPr>
        <w:t xml:space="preserve"> 1 e 2, toda e qualquer remuneração ou outro benefício relacionado com o período de tempo durante o qual o detentor de </w:t>
      </w:r>
      <w:r>
        <w:rPr>
          <w:lang w:val="pt-PT"/>
        </w:rPr>
        <w:t>criptomoedas</w:t>
      </w:r>
      <w:r w:rsidRPr="00465964">
        <w:rPr>
          <w:lang w:val="pt-PT"/>
        </w:rPr>
        <w:t xml:space="preserve"> referenciadas a ativos detém essas </w:t>
      </w:r>
      <w:r>
        <w:rPr>
          <w:lang w:val="pt-PT"/>
        </w:rPr>
        <w:t>criptomoedas</w:t>
      </w:r>
      <w:r w:rsidRPr="00465964">
        <w:rPr>
          <w:lang w:val="pt-PT"/>
        </w:rPr>
        <w:t xml:space="preserve"> referenciadas a ativos é considerado juro. Tal inclui a compensação ou descontos líquidos com um efeito equivalente a juros recebidos pelo detentor de </w:t>
      </w:r>
      <w:r>
        <w:rPr>
          <w:lang w:val="pt-PT"/>
        </w:rPr>
        <w:t>criptomoedas</w:t>
      </w:r>
      <w:r w:rsidRPr="00465964">
        <w:rPr>
          <w:lang w:val="pt-PT"/>
        </w:rPr>
        <w:t xml:space="preserve"> referenciadas a ativos, diretamente do emitente ou de terceiros, e diretamente associados às </w:t>
      </w:r>
      <w:r>
        <w:rPr>
          <w:lang w:val="pt-PT"/>
        </w:rPr>
        <w:t>criptomoedas</w:t>
      </w:r>
      <w:r w:rsidRPr="00465964">
        <w:rPr>
          <w:lang w:val="pt-PT"/>
        </w:rPr>
        <w:t xml:space="preserve"> referenciadas a ativos, ou através da remuneração ou da fixação de preços de outros produtos.</w:t>
      </w:r>
    </w:p>
    <w:p w14:paraId="6FD52A25" w14:textId="77777777" w:rsidR="00465964" w:rsidRPr="00465964" w:rsidRDefault="00465964" w:rsidP="00465964">
      <w:pPr>
        <w:rPr>
          <w:b/>
          <w:bCs/>
          <w:lang w:val="pt-PT"/>
        </w:rPr>
      </w:pPr>
      <w:r w:rsidRPr="00465964">
        <w:rPr>
          <w:b/>
          <w:bCs/>
          <w:i/>
          <w:iCs/>
          <w:lang w:val="pt-PT"/>
        </w:rPr>
        <w:t>CAPÍTULO 4</w:t>
      </w:r>
    </w:p>
    <w:p w14:paraId="5FBEC34D" w14:textId="77602D28" w:rsidR="00465964" w:rsidRPr="00465964" w:rsidRDefault="00465964" w:rsidP="00465964">
      <w:pPr>
        <w:rPr>
          <w:b/>
          <w:bCs/>
          <w:lang w:val="pt-PT"/>
        </w:rPr>
      </w:pPr>
      <w:r w:rsidRPr="00465964">
        <w:rPr>
          <w:b/>
          <w:bCs/>
          <w:i/>
          <w:iCs/>
          <w:lang w:val="pt-PT"/>
        </w:rPr>
        <w:t xml:space="preserve">Aquisições de emitentes de </w:t>
      </w:r>
      <w:r>
        <w:rPr>
          <w:b/>
          <w:bCs/>
          <w:i/>
          <w:iCs/>
          <w:lang w:val="pt-PT"/>
        </w:rPr>
        <w:t>criptomoedas</w:t>
      </w:r>
      <w:r w:rsidRPr="00465964">
        <w:rPr>
          <w:b/>
          <w:bCs/>
          <w:i/>
          <w:iCs/>
          <w:lang w:val="pt-PT"/>
        </w:rPr>
        <w:t xml:space="preserve"> referenciadas a ativos</w:t>
      </w:r>
    </w:p>
    <w:p w14:paraId="34575689" w14:textId="77777777" w:rsidR="00465964" w:rsidRPr="00465964" w:rsidRDefault="00465964" w:rsidP="00465964">
      <w:pPr>
        <w:rPr>
          <w:i/>
          <w:iCs/>
          <w:lang w:val="pt-PT"/>
        </w:rPr>
      </w:pPr>
      <w:r w:rsidRPr="00465964">
        <w:rPr>
          <w:i/>
          <w:iCs/>
          <w:lang w:val="pt-PT"/>
        </w:rPr>
        <w:t>Artigo 41.</w:t>
      </w:r>
      <w:r w:rsidRPr="00465964">
        <w:rPr>
          <w:i/>
          <w:iCs/>
          <w:vertAlign w:val="superscript"/>
          <w:lang w:val="pt-PT"/>
        </w:rPr>
        <w:t>o</w:t>
      </w:r>
    </w:p>
    <w:p w14:paraId="159F9F63" w14:textId="118558CA" w:rsidR="00465964" w:rsidRPr="00465964" w:rsidRDefault="00465964" w:rsidP="00465964">
      <w:pPr>
        <w:rPr>
          <w:b/>
          <w:bCs/>
          <w:lang w:val="pt-PT"/>
        </w:rPr>
      </w:pPr>
      <w:r w:rsidRPr="00465964">
        <w:rPr>
          <w:b/>
          <w:bCs/>
          <w:lang w:val="pt-PT"/>
        </w:rPr>
        <w:t xml:space="preserve">Avaliação das aquisições potenciais de emitentes de </w:t>
      </w:r>
      <w:r>
        <w:rPr>
          <w:b/>
          <w:bCs/>
          <w:lang w:val="pt-PT"/>
        </w:rPr>
        <w:t>criptomoedas</w:t>
      </w:r>
      <w:r w:rsidRPr="00465964">
        <w:rPr>
          <w:b/>
          <w:bCs/>
          <w:lang w:val="pt-PT"/>
        </w:rPr>
        <w:t xml:space="preserve"> referenciadas a ativos</w:t>
      </w:r>
    </w:p>
    <w:p w14:paraId="27B255BC" w14:textId="77777777" w:rsidR="00465964" w:rsidRPr="00465964" w:rsidRDefault="00465964" w:rsidP="00465964">
      <w:pPr>
        <w:rPr>
          <w:lang w:val="pt-PT"/>
        </w:rPr>
      </w:pPr>
      <w:r w:rsidRPr="00465964">
        <w:rPr>
          <w:lang w:val="pt-PT"/>
        </w:rPr>
        <w:t xml:space="preserve">1.   Qualquer pessoa singular ou coletiva que, individualmente ou em concertação, pretenda adquirir, direta ou indiretamente (os «potenciais adquirentes»), uma participação qualificada num emitente de uma </w:t>
      </w:r>
      <w:proofErr w:type="spellStart"/>
      <w:r w:rsidRPr="00465964">
        <w:rPr>
          <w:lang w:val="pt-PT"/>
        </w:rPr>
        <w:t>criptoficha</w:t>
      </w:r>
      <w:proofErr w:type="spellEnd"/>
      <w:r w:rsidRPr="00465964">
        <w:rPr>
          <w:lang w:val="pt-PT"/>
        </w:rPr>
        <w:t xml:space="preserve"> referenciada a ativos, ou aumentar, direta ou indiretamente, uma tal participação qualificada, de modo que a sua percentagem de direitos de voto ou de participação no capital atinja ou ultrapasse os limiares de 20 %, 30 % ou 50 % ou que o emitente da </w:t>
      </w:r>
      <w:proofErr w:type="spellStart"/>
      <w:r w:rsidRPr="00465964">
        <w:rPr>
          <w:lang w:val="pt-PT"/>
        </w:rPr>
        <w:t>criptoficha</w:t>
      </w:r>
      <w:proofErr w:type="spellEnd"/>
      <w:r w:rsidRPr="00465964">
        <w:rPr>
          <w:lang w:val="pt-PT"/>
        </w:rPr>
        <w:t xml:space="preserve"> referenciada a ativos passe a ser sua filial, devem notificar desse facto, por escrito, a autoridade competente do emitente, indicando a dimensão da participação pretendida e as informações exigidas pelas normas técnicas de regulamentação adotadas pela Comissão em conformidade com o artigo 42.</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4.</w:t>
      </w:r>
    </w:p>
    <w:p w14:paraId="7F8FCCAF" w14:textId="77777777" w:rsidR="00465964" w:rsidRPr="00465964" w:rsidRDefault="00465964" w:rsidP="00465964">
      <w:pPr>
        <w:rPr>
          <w:lang w:val="pt-PT"/>
        </w:rPr>
      </w:pPr>
      <w:r w:rsidRPr="00465964">
        <w:rPr>
          <w:lang w:val="pt-PT"/>
        </w:rPr>
        <w:t xml:space="preserve">2.   As pessoas singulares ou coletivas que tenham tomado a decisão de alienar, direta ou indiretamente, uma participação qualificada num emitente de uma </w:t>
      </w:r>
      <w:proofErr w:type="spellStart"/>
      <w:r w:rsidRPr="00465964">
        <w:rPr>
          <w:lang w:val="pt-PT"/>
        </w:rPr>
        <w:t>criptoficha</w:t>
      </w:r>
      <w:proofErr w:type="spellEnd"/>
      <w:r w:rsidRPr="00465964">
        <w:rPr>
          <w:lang w:val="pt-PT"/>
        </w:rPr>
        <w:t xml:space="preserve"> referenciada a ativos devem, antes da alienação dessa participação, notificar por escrito a autoridade competente dessa decisão e indicar a dimensão da participação em causa. Essas pessoas </w:t>
      </w:r>
      <w:r w:rsidRPr="00465964">
        <w:rPr>
          <w:lang w:val="pt-PT"/>
        </w:rPr>
        <w:lastRenderedPageBreak/>
        <w:t xml:space="preserve">devem também notificar a autoridade competente se decidirem diminuir a sua participação qualificada de tal modo que a sua percentagem dos direitos de voto ou da participação no capital passe a ser inferior aos limiares de 10 %, 20 %, 30 % ou 50 %, ou que o emitente da </w:t>
      </w:r>
      <w:proofErr w:type="spellStart"/>
      <w:r w:rsidRPr="00465964">
        <w:rPr>
          <w:lang w:val="pt-PT"/>
        </w:rPr>
        <w:t>criptoficha</w:t>
      </w:r>
      <w:proofErr w:type="spellEnd"/>
      <w:r w:rsidRPr="00465964">
        <w:rPr>
          <w:lang w:val="pt-PT"/>
        </w:rPr>
        <w:t xml:space="preserve"> referenciada a ativos deixe de ser sua filial.</w:t>
      </w:r>
    </w:p>
    <w:p w14:paraId="4AAC490A" w14:textId="77777777" w:rsidR="00465964" w:rsidRPr="00465964" w:rsidRDefault="00465964" w:rsidP="00465964">
      <w:pPr>
        <w:rPr>
          <w:lang w:val="pt-PT"/>
        </w:rPr>
      </w:pPr>
      <w:r w:rsidRPr="00465964">
        <w:rPr>
          <w:lang w:val="pt-PT"/>
        </w:rPr>
        <w:t xml:space="preserve">3.   A autoridade competente deve acusar por escrito a receção de uma notificação nos termos do </w:t>
      </w:r>
      <w:proofErr w:type="spellStart"/>
      <w:r w:rsidRPr="00465964">
        <w:rPr>
          <w:lang w:val="pt-PT"/>
        </w:rPr>
        <w:t>n.</w:t>
      </w:r>
      <w:r w:rsidRPr="00465964">
        <w:rPr>
          <w:vertAlign w:val="superscript"/>
          <w:lang w:val="pt-PT"/>
        </w:rPr>
        <w:t>o</w:t>
      </w:r>
      <w:proofErr w:type="spellEnd"/>
      <w:r w:rsidRPr="00465964">
        <w:rPr>
          <w:lang w:val="pt-PT"/>
        </w:rPr>
        <w:t> 1, com a maior brevidade e em qualquer caso no prazo de dois dias úteis a contar da data de receção.</w:t>
      </w:r>
    </w:p>
    <w:p w14:paraId="4E7ADB06" w14:textId="77777777" w:rsidR="00465964" w:rsidRPr="00465964" w:rsidRDefault="00465964" w:rsidP="00465964">
      <w:pPr>
        <w:rPr>
          <w:lang w:val="pt-PT"/>
        </w:rPr>
      </w:pPr>
      <w:r w:rsidRPr="00465964">
        <w:rPr>
          <w:lang w:val="pt-PT"/>
        </w:rPr>
        <w:t xml:space="preserve">4.   A autoridade competente avalia a aquisição potencial a que se refere o </w:t>
      </w:r>
      <w:proofErr w:type="spellStart"/>
      <w:r w:rsidRPr="00465964">
        <w:rPr>
          <w:lang w:val="pt-PT"/>
        </w:rPr>
        <w:t>n.</w:t>
      </w:r>
      <w:r w:rsidRPr="00465964">
        <w:rPr>
          <w:vertAlign w:val="superscript"/>
          <w:lang w:val="pt-PT"/>
        </w:rPr>
        <w:t>o</w:t>
      </w:r>
      <w:proofErr w:type="spellEnd"/>
      <w:r w:rsidRPr="00465964">
        <w:rPr>
          <w:lang w:val="pt-PT"/>
        </w:rPr>
        <w:t> 1 do presente artigo e as informações exigidas pelas normas técnicas de regulamentação adotadas pela Comissão nos termos do artigo 42.</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xml:space="preserve"> 4, no prazo de 60 dias úteis a contar da data do aviso de receção a que se refere o </w:t>
      </w:r>
      <w:proofErr w:type="spellStart"/>
      <w:r w:rsidRPr="00465964">
        <w:rPr>
          <w:lang w:val="pt-PT"/>
        </w:rPr>
        <w:t>n.</w:t>
      </w:r>
      <w:r w:rsidRPr="00465964">
        <w:rPr>
          <w:vertAlign w:val="superscript"/>
          <w:lang w:val="pt-PT"/>
        </w:rPr>
        <w:t>o</w:t>
      </w:r>
      <w:proofErr w:type="spellEnd"/>
      <w:r w:rsidRPr="00465964">
        <w:rPr>
          <w:lang w:val="pt-PT"/>
        </w:rPr>
        <w:t> 3 do presente artigo. Ao acusar a receção da notificação, a autoridade competente informa o potencial adquirente da data em que termina o prazo de avaliação.</w:t>
      </w:r>
    </w:p>
    <w:p w14:paraId="5A315F94" w14:textId="77777777" w:rsidR="00465964" w:rsidRPr="00465964" w:rsidRDefault="00465964" w:rsidP="00465964">
      <w:pPr>
        <w:rPr>
          <w:lang w:val="pt-PT"/>
        </w:rPr>
      </w:pPr>
      <w:r w:rsidRPr="00465964">
        <w:rPr>
          <w:lang w:val="pt-PT"/>
        </w:rPr>
        <w:t xml:space="preserve">5.   Ao efetuar a avaliação a que se refere o </w:t>
      </w:r>
      <w:proofErr w:type="spellStart"/>
      <w:r w:rsidRPr="00465964">
        <w:rPr>
          <w:lang w:val="pt-PT"/>
        </w:rPr>
        <w:t>n.</w:t>
      </w:r>
      <w:r w:rsidRPr="00465964">
        <w:rPr>
          <w:vertAlign w:val="superscript"/>
          <w:lang w:val="pt-PT"/>
        </w:rPr>
        <w:t>o</w:t>
      </w:r>
      <w:proofErr w:type="spellEnd"/>
      <w:r w:rsidRPr="00465964">
        <w:rPr>
          <w:lang w:val="pt-PT"/>
        </w:rPr>
        <w:t xml:space="preserve"> 4, a autoridade competente pode solicitar ao potencial adquirente quaisquer informações adicionais que sejam necessárias para a conclusão dessa avaliação. Esse pedido é efetuado antes da finalização da avaliação e, em qualquer caso, no prazo máximo de 50 dias úteis a contar da data do aviso de receção a que se refere o </w:t>
      </w:r>
      <w:proofErr w:type="spellStart"/>
      <w:r w:rsidRPr="00465964">
        <w:rPr>
          <w:lang w:val="pt-PT"/>
        </w:rPr>
        <w:t>n.</w:t>
      </w:r>
      <w:r w:rsidRPr="00465964">
        <w:rPr>
          <w:vertAlign w:val="superscript"/>
          <w:lang w:val="pt-PT"/>
        </w:rPr>
        <w:t>o</w:t>
      </w:r>
      <w:proofErr w:type="spellEnd"/>
      <w:r w:rsidRPr="00465964">
        <w:rPr>
          <w:lang w:val="pt-PT"/>
        </w:rPr>
        <w:t> 3. Estes pedidos devem ser apresentados por escrito e especificar as informações adicionais necessárias.</w:t>
      </w:r>
    </w:p>
    <w:p w14:paraId="332C87E9" w14:textId="77777777" w:rsidR="00465964" w:rsidRPr="00465964" w:rsidRDefault="00465964" w:rsidP="00465964">
      <w:pPr>
        <w:rPr>
          <w:lang w:val="pt-PT"/>
        </w:rPr>
      </w:pPr>
      <w:r w:rsidRPr="00465964">
        <w:rPr>
          <w:lang w:val="pt-PT"/>
        </w:rPr>
        <w:t xml:space="preserve">A autoridade competente suspende o prazo de avaliação a que se refere o </w:t>
      </w:r>
      <w:proofErr w:type="spellStart"/>
      <w:r w:rsidRPr="00465964">
        <w:rPr>
          <w:lang w:val="pt-PT"/>
        </w:rPr>
        <w:t>n.</w:t>
      </w:r>
      <w:r w:rsidRPr="00465964">
        <w:rPr>
          <w:vertAlign w:val="superscript"/>
          <w:lang w:val="pt-PT"/>
        </w:rPr>
        <w:t>o</w:t>
      </w:r>
      <w:proofErr w:type="spellEnd"/>
      <w:r w:rsidRPr="00465964">
        <w:rPr>
          <w:lang w:val="pt-PT"/>
        </w:rPr>
        <w:t> 4 até ter recebido as informações adicionais mencionadas no primeiro parágrafo do presente número. A suspensão não pode ser superior a 20 dias úteis. Quaisquer outros eventuais pedidos de informações adicionais ou de esclarecimento das informações recebidas por parte da autoridade competente não podem dar lugar a uma suspensão adicional do prazo de avaliação.</w:t>
      </w:r>
    </w:p>
    <w:p w14:paraId="4E66B2A3" w14:textId="77777777" w:rsidR="00465964" w:rsidRPr="00465964" w:rsidRDefault="00465964" w:rsidP="00465964">
      <w:pPr>
        <w:rPr>
          <w:lang w:val="pt-PT"/>
        </w:rPr>
      </w:pPr>
      <w:r w:rsidRPr="00465964">
        <w:rPr>
          <w:lang w:val="pt-PT"/>
        </w:rPr>
        <w:t>A autoridade competente pode prorrogar a suspensão a que se refere o segundo parágrafo do presente número por um máximo de 30 dias úteis se o potencial adquirente estiver estabelecido fora da União ou se for regulado pelo direito de um país terceiro.</w:t>
      </w:r>
    </w:p>
    <w:p w14:paraId="54DFEB82" w14:textId="77777777" w:rsidR="00465964" w:rsidRPr="00465964" w:rsidRDefault="00465964" w:rsidP="00465964">
      <w:pPr>
        <w:rPr>
          <w:lang w:val="pt-PT"/>
        </w:rPr>
      </w:pPr>
      <w:r w:rsidRPr="00465964">
        <w:rPr>
          <w:lang w:val="pt-PT"/>
        </w:rPr>
        <w:t xml:space="preserve">6.   A autoridade competente que, após a conclusão da avaliação a que se refere o </w:t>
      </w:r>
      <w:proofErr w:type="spellStart"/>
      <w:r w:rsidRPr="00465964">
        <w:rPr>
          <w:lang w:val="pt-PT"/>
        </w:rPr>
        <w:t>n.</w:t>
      </w:r>
      <w:r w:rsidRPr="00465964">
        <w:rPr>
          <w:vertAlign w:val="superscript"/>
          <w:lang w:val="pt-PT"/>
        </w:rPr>
        <w:t>o</w:t>
      </w:r>
      <w:proofErr w:type="spellEnd"/>
      <w:r w:rsidRPr="00465964">
        <w:rPr>
          <w:lang w:val="pt-PT"/>
        </w:rPr>
        <w:t xml:space="preserve"> 4, decida opor-se à aquisição potencial a que se refere o </w:t>
      </w:r>
      <w:proofErr w:type="spellStart"/>
      <w:r w:rsidRPr="00465964">
        <w:rPr>
          <w:lang w:val="pt-PT"/>
        </w:rPr>
        <w:t>n.</w:t>
      </w:r>
      <w:r w:rsidRPr="00465964">
        <w:rPr>
          <w:vertAlign w:val="superscript"/>
          <w:lang w:val="pt-PT"/>
        </w:rPr>
        <w:t>o</w:t>
      </w:r>
      <w:proofErr w:type="spellEnd"/>
      <w:r w:rsidRPr="00465964">
        <w:rPr>
          <w:lang w:val="pt-PT"/>
        </w:rPr>
        <w:t xml:space="preserve"> 1 notifica o potencial adquirente dessa oposição no prazo de dois dias úteis e em qualquer caso antes da data mencionada no </w:t>
      </w:r>
      <w:proofErr w:type="spellStart"/>
      <w:r w:rsidRPr="00465964">
        <w:rPr>
          <w:lang w:val="pt-PT"/>
        </w:rPr>
        <w:t>n.</w:t>
      </w:r>
      <w:r w:rsidRPr="00465964">
        <w:rPr>
          <w:vertAlign w:val="superscript"/>
          <w:lang w:val="pt-PT"/>
        </w:rPr>
        <w:t>o</w:t>
      </w:r>
      <w:proofErr w:type="spellEnd"/>
      <w:r w:rsidRPr="00465964">
        <w:rPr>
          <w:lang w:val="pt-PT"/>
        </w:rPr>
        <w:t xml:space="preserve"> 4 prorrogada, se aplicável, nos termos do </w:t>
      </w:r>
      <w:proofErr w:type="spellStart"/>
      <w:r w:rsidRPr="00465964">
        <w:rPr>
          <w:lang w:val="pt-PT"/>
        </w:rPr>
        <w:t>n.</w:t>
      </w:r>
      <w:r w:rsidRPr="00465964">
        <w:rPr>
          <w:vertAlign w:val="superscript"/>
          <w:lang w:val="pt-PT"/>
        </w:rPr>
        <w:t>o</w:t>
      </w:r>
      <w:proofErr w:type="spellEnd"/>
      <w:r w:rsidRPr="00465964">
        <w:rPr>
          <w:lang w:val="pt-PT"/>
        </w:rPr>
        <w:t> 5, segundo e terceiro parágrafos. A notificação deve apresentar os motivos de tal decisão.</w:t>
      </w:r>
    </w:p>
    <w:p w14:paraId="2D5AC154" w14:textId="77777777" w:rsidR="00465964" w:rsidRPr="00465964" w:rsidRDefault="00465964" w:rsidP="00465964">
      <w:pPr>
        <w:rPr>
          <w:lang w:val="pt-PT"/>
        </w:rPr>
      </w:pPr>
      <w:r w:rsidRPr="00465964">
        <w:rPr>
          <w:lang w:val="pt-PT"/>
        </w:rPr>
        <w:t xml:space="preserve">7.   Caso a autoridade competente não se oponha à aquisição potencial a que se refere o </w:t>
      </w:r>
      <w:proofErr w:type="spellStart"/>
      <w:r w:rsidRPr="00465964">
        <w:rPr>
          <w:lang w:val="pt-PT"/>
        </w:rPr>
        <w:t>n.</w:t>
      </w:r>
      <w:r w:rsidRPr="00465964">
        <w:rPr>
          <w:vertAlign w:val="superscript"/>
          <w:lang w:val="pt-PT"/>
        </w:rPr>
        <w:t>o</w:t>
      </w:r>
      <w:proofErr w:type="spellEnd"/>
      <w:r w:rsidRPr="00465964">
        <w:rPr>
          <w:lang w:val="pt-PT"/>
        </w:rPr>
        <w:t xml:space="preserve"> 1 antes da data mencionada no </w:t>
      </w:r>
      <w:proofErr w:type="spellStart"/>
      <w:r w:rsidRPr="00465964">
        <w:rPr>
          <w:lang w:val="pt-PT"/>
        </w:rPr>
        <w:t>n.</w:t>
      </w:r>
      <w:r w:rsidRPr="00465964">
        <w:rPr>
          <w:vertAlign w:val="superscript"/>
          <w:lang w:val="pt-PT"/>
        </w:rPr>
        <w:t>o</w:t>
      </w:r>
      <w:proofErr w:type="spellEnd"/>
      <w:r w:rsidRPr="00465964">
        <w:rPr>
          <w:lang w:val="pt-PT"/>
        </w:rPr>
        <w:t xml:space="preserve"> 4, prorrogada, se aplicável, nos termos do </w:t>
      </w:r>
      <w:proofErr w:type="spellStart"/>
      <w:r w:rsidRPr="00465964">
        <w:rPr>
          <w:lang w:val="pt-PT"/>
        </w:rPr>
        <w:t>n.</w:t>
      </w:r>
      <w:r w:rsidRPr="00465964">
        <w:rPr>
          <w:vertAlign w:val="superscript"/>
          <w:lang w:val="pt-PT"/>
        </w:rPr>
        <w:t>o</w:t>
      </w:r>
      <w:proofErr w:type="spellEnd"/>
      <w:r w:rsidRPr="00465964">
        <w:rPr>
          <w:lang w:val="pt-PT"/>
        </w:rPr>
        <w:t> 5, segundo e terceiro parágrafos, a aquisição potencial será considerada aprovada.</w:t>
      </w:r>
    </w:p>
    <w:p w14:paraId="0DB78AF6" w14:textId="77777777" w:rsidR="00465964" w:rsidRPr="00465964" w:rsidRDefault="00465964" w:rsidP="00465964">
      <w:pPr>
        <w:rPr>
          <w:lang w:val="pt-PT"/>
        </w:rPr>
      </w:pPr>
      <w:r w:rsidRPr="00465964">
        <w:rPr>
          <w:lang w:val="pt-PT"/>
        </w:rPr>
        <w:t xml:space="preserve">8.   A autoridade competente pode fixar um prazo máximo para a conclusão da aquisição potencial a que se refere o </w:t>
      </w:r>
      <w:proofErr w:type="spellStart"/>
      <w:r w:rsidRPr="00465964">
        <w:rPr>
          <w:lang w:val="pt-PT"/>
        </w:rPr>
        <w:t>n.</w:t>
      </w:r>
      <w:r w:rsidRPr="00465964">
        <w:rPr>
          <w:vertAlign w:val="superscript"/>
          <w:lang w:val="pt-PT"/>
        </w:rPr>
        <w:t>o</w:t>
      </w:r>
      <w:proofErr w:type="spellEnd"/>
      <w:r w:rsidRPr="00465964">
        <w:rPr>
          <w:lang w:val="pt-PT"/>
        </w:rPr>
        <w:t> 1 e prorrogar esse prazo máximo, se for caso disso.</w:t>
      </w:r>
    </w:p>
    <w:p w14:paraId="555AB1DE" w14:textId="77777777" w:rsidR="00465964" w:rsidRPr="00465964" w:rsidRDefault="00465964" w:rsidP="00465964">
      <w:pPr>
        <w:rPr>
          <w:i/>
          <w:iCs/>
          <w:lang w:val="pt-PT"/>
        </w:rPr>
      </w:pPr>
      <w:r w:rsidRPr="00465964">
        <w:rPr>
          <w:i/>
          <w:iCs/>
          <w:lang w:val="pt-PT"/>
        </w:rPr>
        <w:t>Artigo 42.</w:t>
      </w:r>
      <w:r w:rsidRPr="00465964">
        <w:rPr>
          <w:i/>
          <w:iCs/>
          <w:vertAlign w:val="superscript"/>
          <w:lang w:val="pt-PT"/>
        </w:rPr>
        <w:t>o</w:t>
      </w:r>
    </w:p>
    <w:p w14:paraId="13667BD3" w14:textId="3601DC92" w:rsidR="00465964" w:rsidRPr="00465964" w:rsidRDefault="00465964" w:rsidP="00465964">
      <w:pPr>
        <w:rPr>
          <w:b/>
          <w:bCs/>
          <w:lang w:val="pt-PT"/>
        </w:rPr>
      </w:pPr>
      <w:r w:rsidRPr="00465964">
        <w:rPr>
          <w:b/>
          <w:bCs/>
          <w:lang w:val="pt-PT"/>
        </w:rPr>
        <w:t xml:space="preserve">Teor da avaliação das aquisições potenciais de emitentes de </w:t>
      </w:r>
      <w:r>
        <w:rPr>
          <w:b/>
          <w:bCs/>
          <w:lang w:val="pt-PT"/>
        </w:rPr>
        <w:t>criptomoedas</w:t>
      </w:r>
      <w:r w:rsidRPr="00465964">
        <w:rPr>
          <w:b/>
          <w:bCs/>
          <w:lang w:val="pt-PT"/>
        </w:rPr>
        <w:t xml:space="preserve"> referenciadas a ativos</w:t>
      </w:r>
    </w:p>
    <w:p w14:paraId="5DA90FE3" w14:textId="77777777" w:rsidR="00465964" w:rsidRPr="00465964" w:rsidRDefault="00465964" w:rsidP="00465964">
      <w:pPr>
        <w:rPr>
          <w:lang w:val="pt-PT"/>
        </w:rPr>
      </w:pPr>
      <w:r w:rsidRPr="00465964">
        <w:rPr>
          <w:lang w:val="pt-PT"/>
        </w:rPr>
        <w:lastRenderedPageBreak/>
        <w:t>1.   Ao realizar a avaliação a que se refere o artigo 41.</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4, a autoridade competente avalia a aptidão do potencial adquirente e a solidez financeira da aquisição potencial a que se refere o artigo 41.</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1, tendo em conta todos os seguintes critérios:</w:t>
      </w:r>
    </w:p>
    <w:tbl>
      <w:tblPr>
        <w:tblW w:w="5000" w:type="pct"/>
        <w:tblCellMar>
          <w:left w:w="0" w:type="dxa"/>
          <w:right w:w="0" w:type="dxa"/>
        </w:tblCellMar>
        <w:tblLook w:val="04A0" w:firstRow="1" w:lastRow="0" w:firstColumn="1" w:lastColumn="0" w:noHBand="0" w:noVBand="1"/>
      </w:tblPr>
      <w:tblGrid>
        <w:gridCol w:w="433"/>
        <w:gridCol w:w="8593"/>
      </w:tblGrid>
      <w:tr w:rsidR="00465964" w:rsidRPr="00465964" w14:paraId="3748C131" w14:textId="77777777" w:rsidTr="00465964">
        <w:tc>
          <w:tcPr>
            <w:tcW w:w="0" w:type="auto"/>
            <w:shd w:val="clear" w:color="auto" w:fill="auto"/>
            <w:hideMark/>
          </w:tcPr>
          <w:p w14:paraId="39D3672F" w14:textId="77777777" w:rsidR="00465964" w:rsidRPr="00465964" w:rsidRDefault="00465964" w:rsidP="00465964">
            <w:r w:rsidRPr="00465964">
              <w:t>a)</w:t>
            </w:r>
          </w:p>
        </w:tc>
        <w:tc>
          <w:tcPr>
            <w:tcW w:w="0" w:type="auto"/>
            <w:shd w:val="clear" w:color="auto" w:fill="auto"/>
            <w:hideMark/>
          </w:tcPr>
          <w:p w14:paraId="7E2A493E" w14:textId="77777777" w:rsidR="00465964" w:rsidRPr="00465964" w:rsidRDefault="00465964" w:rsidP="00465964">
            <w:pPr>
              <w:rPr>
                <w:lang w:val="pt-PT"/>
              </w:rPr>
            </w:pPr>
            <w:r w:rsidRPr="00465964">
              <w:rPr>
                <w:lang w:val="pt-PT"/>
              </w:rPr>
              <w:t>A idoneidade do potencial adquirente;</w:t>
            </w:r>
          </w:p>
        </w:tc>
      </w:tr>
    </w:tbl>
    <w:p w14:paraId="7D283D67"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8"/>
        <w:gridCol w:w="8838"/>
      </w:tblGrid>
      <w:tr w:rsidR="00465964" w:rsidRPr="00465964" w14:paraId="5002D62B" w14:textId="77777777" w:rsidTr="00465964">
        <w:tc>
          <w:tcPr>
            <w:tcW w:w="0" w:type="auto"/>
            <w:shd w:val="clear" w:color="auto" w:fill="auto"/>
            <w:hideMark/>
          </w:tcPr>
          <w:p w14:paraId="0BC89900" w14:textId="77777777" w:rsidR="00465964" w:rsidRPr="00465964" w:rsidRDefault="00465964" w:rsidP="00465964">
            <w:r w:rsidRPr="00465964">
              <w:t>b)</w:t>
            </w:r>
          </w:p>
        </w:tc>
        <w:tc>
          <w:tcPr>
            <w:tcW w:w="0" w:type="auto"/>
            <w:shd w:val="clear" w:color="auto" w:fill="auto"/>
            <w:hideMark/>
          </w:tcPr>
          <w:p w14:paraId="29A23CCA" w14:textId="77777777" w:rsidR="00465964" w:rsidRPr="00465964" w:rsidRDefault="00465964" w:rsidP="00465964">
            <w:pPr>
              <w:rPr>
                <w:lang w:val="pt-PT"/>
              </w:rPr>
            </w:pPr>
            <w:r w:rsidRPr="00465964">
              <w:rPr>
                <w:lang w:val="pt-PT"/>
              </w:rPr>
              <w:t xml:space="preserve">A idoneidade, os conhecimentos, as competências e a experiência das pessoas que administrarão a atividade do emitente da </w:t>
            </w:r>
            <w:proofErr w:type="spellStart"/>
            <w:r w:rsidRPr="00465964">
              <w:rPr>
                <w:lang w:val="pt-PT"/>
              </w:rPr>
              <w:t>criptoficha</w:t>
            </w:r>
            <w:proofErr w:type="spellEnd"/>
            <w:r w:rsidRPr="00465964">
              <w:rPr>
                <w:lang w:val="pt-PT"/>
              </w:rPr>
              <w:t xml:space="preserve"> referenciada a ativos em resultado da aquisição potencial;</w:t>
            </w:r>
          </w:p>
        </w:tc>
      </w:tr>
    </w:tbl>
    <w:p w14:paraId="17DEFFB9"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0"/>
        <w:gridCol w:w="8846"/>
      </w:tblGrid>
      <w:tr w:rsidR="00465964" w:rsidRPr="00465964" w14:paraId="346DE08C" w14:textId="77777777" w:rsidTr="00465964">
        <w:tc>
          <w:tcPr>
            <w:tcW w:w="0" w:type="auto"/>
            <w:shd w:val="clear" w:color="auto" w:fill="auto"/>
            <w:hideMark/>
          </w:tcPr>
          <w:p w14:paraId="6105165A" w14:textId="77777777" w:rsidR="00465964" w:rsidRPr="00465964" w:rsidRDefault="00465964" w:rsidP="00465964">
            <w:r w:rsidRPr="00465964">
              <w:t>c)</w:t>
            </w:r>
          </w:p>
        </w:tc>
        <w:tc>
          <w:tcPr>
            <w:tcW w:w="0" w:type="auto"/>
            <w:shd w:val="clear" w:color="auto" w:fill="auto"/>
            <w:hideMark/>
          </w:tcPr>
          <w:p w14:paraId="1B3752BD" w14:textId="77777777" w:rsidR="00465964" w:rsidRPr="00465964" w:rsidRDefault="00465964" w:rsidP="00465964">
            <w:pPr>
              <w:rPr>
                <w:lang w:val="pt-PT"/>
              </w:rPr>
            </w:pPr>
            <w:r w:rsidRPr="00465964">
              <w:rPr>
                <w:lang w:val="pt-PT"/>
              </w:rPr>
              <w:t xml:space="preserve">A solidez financeira do potencial adquirente, designadamente em função do tipo de atividade a exercer e exercida no que se refere ao emitente da </w:t>
            </w:r>
            <w:proofErr w:type="spellStart"/>
            <w:r w:rsidRPr="00465964">
              <w:rPr>
                <w:lang w:val="pt-PT"/>
              </w:rPr>
              <w:t>criptoficha</w:t>
            </w:r>
            <w:proofErr w:type="spellEnd"/>
            <w:r w:rsidRPr="00465964">
              <w:rPr>
                <w:lang w:val="pt-PT"/>
              </w:rPr>
              <w:t xml:space="preserve"> referenciada a ativos que é objeto da aquisição potencial;</w:t>
            </w:r>
          </w:p>
        </w:tc>
      </w:tr>
    </w:tbl>
    <w:p w14:paraId="764C2410"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8"/>
        <w:gridCol w:w="8838"/>
      </w:tblGrid>
      <w:tr w:rsidR="00465964" w:rsidRPr="00465964" w14:paraId="26318E16" w14:textId="77777777" w:rsidTr="00465964">
        <w:tc>
          <w:tcPr>
            <w:tcW w:w="0" w:type="auto"/>
            <w:shd w:val="clear" w:color="auto" w:fill="auto"/>
            <w:hideMark/>
          </w:tcPr>
          <w:p w14:paraId="62106568" w14:textId="77777777" w:rsidR="00465964" w:rsidRPr="00465964" w:rsidRDefault="00465964" w:rsidP="00465964">
            <w:r w:rsidRPr="00465964">
              <w:t>d)</w:t>
            </w:r>
          </w:p>
        </w:tc>
        <w:tc>
          <w:tcPr>
            <w:tcW w:w="0" w:type="auto"/>
            <w:shd w:val="clear" w:color="auto" w:fill="auto"/>
            <w:hideMark/>
          </w:tcPr>
          <w:p w14:paraId="2A0F40B1" w14:textId="77777777" w:rsidR="00465964" w:rsidRPr="00465964" w:rsidRDefault="00465964" w:rsidP="00465964">
            <w:pPr>
              <w:rPr>
                <w:lang w:val="pt-PT"/>
              </w:rPr>
            </w:pPr>
            <w:r w:rsidRPr="00465964">
              <w:rPr>
                <w:lang w:val="pt-PT"/>
              </w:rPr>
              <w:t xml:space="preserve">A capacidade do emitente da </w:t>
            </w:r>
            <w:proofErr w:type="spellStart"/>
            <w:r w:rsidRPr="00465964">
              <w:rPr>
                <w:lang w:val="pt-PT"/>
              </w:rPr>
              <w:t>criptoficha</w:t>
            </w:r>
            <w:proofErr w:type="spellEnd"/>
            <w:r w:rsidRPr="00465964">
              <w:rPr>
                <w:lang w:val="pt-PT"/>
              </w:rPr>
              <w:t xml:space="preserve"> referenciada a ativos para cumprir de forma continuada as disposições do presente título;</w:t>
            </w:r>
          </w:p>
        </w:tc>
      </w:tr>
    </w:tbl>
    <w:p w14:paraId="562495EB"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1"/>
        <w:gridCol w:w="8845"/>
      </w:tblGrid>
      <w:tr w:rsidR="00465964" w:rsidRPr="00465964" w14:paraId="7F5BC828" w14:textId="77777777" w:rsidTr="00465964">
        <w:tc>
          <w:tcPr>
            <w:tcW w:w="0" w:type="auto"/>
            <w:shd w:val="clear" w:color="auto" w:fill="auto"/>
            <w:hideMark/>
          </w:tcPr>
          <w:p w14:paraId="54982D7D" w14:textId="77777777" w:rsidR="00465964" w:rsidRPr="00465964" w:rsidRDefault="00465964" w:rsidP="00465964">
            <w:r w:rsidRPr="00465964">
              <w:t>e)</w:t>
            </w:r>
          </w:p>
        </w:tc>
        <w:tc>
          <w:tcPr>
            <w:tcW w:w="0" w:type="auto"/>
            <w:shd w:val="clear" w:color="auto" w:fill="auto"/>
            <w:hideMark/>
          </w:tcPr>
          <w:p w14:paraId="6D15FB6F" w14:textId="77777777" w:rsidR="00465964" w:rsidRPr="00465964" w:rsidRDefault="00465964" w:rsidP="00465964">
            <w:pPr>
              <w:rPr>
                <w:lang w:val="pt-PT"/>
              </w:rPr>
            </w:pPr>
            <w:r w:rsidRPr="00465964">
              <w:rPr>
                <w:lang w:val="pt-PT"/>
              </w:rPr>
              <w:t xml:space="preserve">A existência de motivos razoáveis para suspeitar que, em ligação com a aquisição potencial, estão a ser ou foram cometidos ou tentados atos de branqueamento de capitais ou de financiamento do terrorismo na aceção, respetivamente, do artigo </w:t>
            </w:r>
            <w:proofErr w:type="gramStart"/>
            <w:r w:rsidRPr="00465964">
              <w:rPr>
                <w:lang w:val="pt-PT"/>
              </w:rPr>
              <w:t>1.</w:t>
            </w:r>
            <w:r w:rsidRPr="00465964">
              <w:rPr>
                <w:vertAlign w:val="superscript"/>
                <w:lang w:val="pt-PT"/>
              </w:rPr>
              <w:t>o</w:t>
            </w:r>
            <w:proofErr w:type="gramEnd"/>
            <w:r w:rsidRPr="00465964">
              <w:rPr>
                <w:lang w:val="pt-PT"/>
              </w:rPr>
              <w:t xml:space="preserve">, </w:t>
            </w:r>
            <w:proofErr w:type="spellStart"/>
            <w:r w:rsidRPr="00465964">
              <w:rPr>
                <w:lang w:val="pt-PT"/>
              </w:rPr>
              <w:t>n.</w:t>
            </w:r>
            <w:r w:rsidRPr="00465964">
              <w:rPr>
                <w:vertAlign w:val="superscript"/>
                <w:lang w:val="pt-PT"/>
              </w:rPr>
              <w:t>os</w:t>
            </w:r>
            <w:proofErr w:type="spellEnd"/>
            <w:r w:rsidRPr="00465964">
              <w:rPr>
                <w:lang w:val="pt-PT"/>
              </w:rPr>
              <w:t> 3 e 5, da Diretiva (UE) 2015/849 ou que a aquisição potencial poderá aumentar esse risco.</w:t>
            </w:r>
          </w:p>
        </w:tc>
      </w:tr>
    </w:tbl>
    <w:p w14:paraId="7F1AAA07" w14:textId="77777777" w:rsidR="00465964" w:rsidRPr="00465964" w:rsidRDefault="00465964" w:rsidP="00465964">
      <w:pPr>
        <w:rPr>
          <w:lang w:val="pt-PT"/>
        </w:rPr>
      </w:pPr>
      <w:r w:rsidRPr="00465964">
        <w:rPr>
          <w:lang w:val="pt-PT"/>
        </w:rPr>
        <w:t xml:space="preserve">2.   A autoridade competente só pode opor-se à aquisição potencial se para tanto existirem motivos razoáveis, com base nos critérios enunciados no </w:t>
      </w:r>
      <w:proofErr w:type="spellStart"/>
      <w:r w:rsidRPr="00465964">
        <w:rPr>
          <w:lang w:val="pt-PT"/>
        </w:rPr>
        <w:t>n.</w:t>
      </w:r>
      <w:r w:rsidRPr="00465964">
        <w:rPr>
          <w:vertAlign w:val="superscript"/>
          <w:lang w:val="pt-PT"/>
        </w:rPr>
        <w:t>o</w:t>
      </w:r>
      <w:proofErr w:type="spellEnd"/>
      <w:r w:rsidRPr="00465964">
        <w:rPr>
          <w:lang w:val="pt-PT"/>
        </w:rPr>
        <w:t> 1 do presente artigo, ou se as informações prestadas nos termos do artigo 41.</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4, forem incompletas ou falsas.</w:t>
      </w:r>
    </w:p>
    <w:p w14:paraId="3CF9C65B" w14:textId="77777777" w:rsidR="00465964" w:rsidRPr="00465964" w:rsidRDefault="00465964" w:rsidP="00465964">
      <w:pPr>
        <w:rPr>
          <w:lang w:val="pt-PT"/>
        </w:rPr>
      </w:pPr>
      <w:r w:rsidRPr="00465964">
        <w:rPr>
          <w:lang w:val="pt-PT"/>
        </w:rPr>
        <w:t>3.   Os Estados-Membros não podem impor quaisquer condições prévias quanto ao nível da participação qualificada que é necessário adquirir nos termos do presente regulamento, nem permitir que as suas autoridades competentes apreciem a aquisição proposta em termos das necessidades económicas do mercado.</w:t>
      </w:r>
    </w:p>
    <w:p w14:paraId="553B559E" w14:textId="77777777" w:rsidR="00465964" w:rsidRPr="00465964" w:rsidRDefault="00465964" w:rsidP="00465964">
      <w:pPr>
        <w:rPr>
          <w:lang w:val="pt-PT"/>
        </w:rPr>
      </w:pPr>
      <w:r w:rsidRPr="00465964">
        <w:rPr>
          <w:lang w:val="pt-PT"/>
        </w:rPr>
        <w:t>4.   A EBA, em estreita colaboração com a ESMA, elabora projetos de normas técnicas de regulamentação que especifiquem o conteúdo pormenorizado das informações necessárias para a realização da avaliação a que se refere o artigo 41.</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4, primeiro parágrafo. As informações exigidas devem ser relevantes para uma avaliação prudencial, bem como proporcionais e adaptadas à natureza do potencial adquirente e da aquisição potencial a que se refere o artigo 41.</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1.</w:t>
      </w:r>
    </w:p>
    <w:p w14:paraId="60506FF4" w14:textId="77777777" w:rsidR="00465964" w:rsidRPr="00465964" w:rsidRDefault="00465964" w:rsidP="00465964">
      <w:pPr>
        <w:rPr>
          <w:lang w:val="pt-PT"/>
        </w:rPr>
      </w:pPr>
      <w:r w:rsidRPr="00465964">
        <w:rPr>
          <w:lang w:val="pt-PT"/>
        </w:rPr>
        <w:t>A EBA apresenta à Comissão os projetos de normas técnicas de regulamentação referidos no primeiro parágrafo até 30 de junho de 2024.</w:t>
      </w:r>
    </w:p>
    <w:p w14:paraId="08E3D084" w14:textId="77777777" w:rsidR="00465964" w:rsidRPr="00465964" w:rsidRDefault="00465964" w:rsidP="00465964">
      <w:pPr>
        <w:rPr>
          <w:lang w:val="pt-PT"/>
        </w:rPr>
      </w:pPr>
      <w:r w:rsidRPr="00465964">
        <w:rPr>
          <w:lang w:val="pt-PT"/>
        </w:rPr>
        <w:t>É delegado na Comissão o poder de completar o presente regulamento através da adoção das normas técnicas de regulamentação a que se refere o primeiro parágrafo do presente número em conformidade com os artigos 10.</w:t>
      </w:r>
      <w:r w:rsidRPr="00465964">
        <w:rPr>
          <w:vertAlign w:val="superscript"/>
          <w:lang w:val="pt-PT"/>
        </w:rPr>
        <w:t>o</w:t>
      </w:r>
      <w:r w:rsidRPr="00465964">
        <w:rPr>
          <w:lang w:val="pt-PT"/>
        </w:rPr>
        <w:t> a 14.</w:t>
      </w:r>
      <w:r w:rsidRPr="00465964">
        <w:rPr>
          <w:vertAlign w:val="superscript"/>
          <w:lang w:val="pt-PT"/>
        </w:rPr>
        <w:t>o</w:t>
      </w:r>
      <w:r w:rsidRPr="00465964">
        <w:rPr>
          <w:lang w:val="pt-PT"/>
        </w:rPr>
        <w:t xml:space="preserve"> do Regulamento (UE) </w:t>
      </w:r>
      <w:proofErr w:type="spellStart"/>
      <w:r w:rsidRPr="00465964">
        <w:rPr>
          <w:lang w:val="pt-PT"/>
        </w:rPr>
        <w:t>n.</w:t>
      </w:r>
      <w:r w:rsidRPr="00465964">
        <w:rPr>
          <w:vertAlign w:val="superscript"/>
          <w:lang w:val="pt-PT"/>
        </w:rPr>
        <w:t>o</w:t>
      </w:r>
      <w:proofErr w:type="spellEnd"/>
      <w:r w:rsidRPr="00465964">
        <w:rPr>
          <w:lang w:val="pt-PT"/>
        </w:rPr>
        <w:t> 1093/2010.</w:t>
      </w:r>
    </w:p>
    <w:p w14:paraId="26C30882" w14:textId="77777777" w:rsidR="00465964" w:rsidRPr="00465964" w:rsidRDefault="00465964" w:rsidP="00465964">
      <w:pPr>
        <w:rPr>
          <w:b/>
          <w:bCs/>
          <w:lang w:val="pt-PT"/>
        </w:rPr>
      </w:pPr>
      <w:r w:rsidRPr="00465964">
        <w:rPr>
          <w:b/>
          <w:bCs/>
          <w:i/>
          <w:iCs/>
          <w:lang w:val="pt-PT"/>
        </w:rPr>
        <w:t>CAPÍTULO 5</w:t>
      </w:r>
    </w:p>
    <w:p w14:paraId="232A31AE" w14:textId="062D9B3D" w:rsidR="00465964" w:rsidRPr="00465964" w:rsidRDefault="00465964" w:rsidP="00465964">
      <w:pPr>
        <w:rPr>
          <w:b/>
          <w:bCs/>
          <w:lang w:val="pt-PT"/>
        </w:rPr>
      </w:pPr>
      <w:r>
        <w:rPr>
          <w:b/>
          <w:bCs/>
          <w:i/>
          <w:iCs/>
          <w:lang w:val="pt-PT"/>
        </w:rPr>
        <w:t>Criptomoedas</w:t>
      </w:r>
      <w:r w:rsidRPr="00465964">
        <w:rPr>
          <w:b/>
          <w:bCs/>
          <w:i/>
          <w:iCs/>
          <w:lang w:val="pt-PT"/>
        </w:rPr>
        <w:t xml:space="preserve"> referenciadas a ativos significativas</w:t>
      </w:r>
    </w:p>
    <w:p w14:paraId="24C09A82" w14:textId="77777777" w:rsidR="00465964" w:rsidRPr="00465964" w:rsidRDefault="00465964" w:rsidP="00465964">
      <w:pPr>
        <w:rPr>
          <w:i/>
          <w:iCs/>
          <w:lang w:val="pt-PT"/>
        </w:rPr>
      </w:pPr>
      <w:r w:rsidRPr="00465964">
        <w:rPr>
          <w:i/>
          <w:iCs/>
          <w:lang w:val="pt-PT"/>
        </w:rPr>
        <w:t>Artigo 43.</w:t>
      </w:r>
      <w:r w:rsidRPr="00465964">
        <w:rPr>
          <w:i/>
          <w:iCs/>
          <w:vertAlign w:val="superscript"/>
          <w:lang w:val="pt-PT"/>
        </w:rPr>
        <w:t>o</w:t>
      </w:r>
    </w:p>
    <w:p w14:paraId="0BF42CD8" w14:textId="58C38953" w:rsidR="00465964" w:rsidRPr="00465964" w:rsidRDefault="00465964" w:rsidP="00465964">
      <w:pPr>
        <w:rPr>
          <w:b/>
          <w:bCs/>
          <w:lang w:val="pt-PT"/>
        </w:rPr>
      </w:pPr>
      <w:r w:rsidRPr="00465964">
        <w:rPr>
          <w:b/>
          <w:bCs/>
          <w:lang w:val="pt-PT"/>
        </w:rPr>
        <w:t xml:space="preserve">Classificação de </w:t>
      </w:r>
      <w:r>
        <w:rPr>
          <w:b/>
          <w:bCs/>
          <w:lang w:val="pt-PT"/>
        </w:rPr>
        <w:t>criptomoedas</w:t>
      </w:r>
      <w:r w:rsidRPr="00465964">
        <w:rPr>
          <w:b/>
          <w:bCs/>
          <w:lang w:val="pt-PT"/>
        </w:rPr>
        <w:t xml:space="preserve"> referenciadas a ativos como significativas</w:t>
      </w:r>
    </w:p>
    <w:p w14:paraId="3169161D" w14:textId="77777777" w:rsidR="00465964" w:rsidRPr="00465964" w:rsidRDefault="00465964" w:rsidP="00465964">
      <w:pPr>
        <w:rPr>
          <w:lang w:val="pt-PT"/>
        </w:rPr>
      </w:pPr>
      <w:r w:rsidRPr="00465964">
        <w:rPr>
          <w:lang w:val="pt-PT"/>
        </w:rPr>
        <w:lastRenderedPageBreak/>
        <w:t xml:space="preserve">1.   Os critérios para classificar uma </w:t>
      </w:r>
      <w:proofErr w:type="spellStart"/>
      <w:r w:rsidRPr="00465964">
        <w:rPr>
          <w:lang w:val="pt-PT"/>
        </w:rPr>
        <w:t>criptoficha</w:t>
      </w:r>
      <w:proofErr w:type="spellEnd"/>
      <w:r w:rsidRPr="00465964">
        <w:rPr>
          <w:lang w:val="pt-PT"/>
        </w:rPr>
        <w:t xml:space="preserve"> referenciada a ativos como </w:t>
      </w:r>
      <w:proofErr w:type="spellStart"/>
      <w:r w:rsidRPr="00465964">
        <w:rPr>
          <w:lang w:val="pt-PT"/>
        </w:rPr>
        <w:t>criptoficha</w:t>
      </w:r>
      <w:proofErr w:type="spellEnd"/>
      <w:r w:rsidRPr="00465964">
        <w:rPr>
          <w:lang w:val="pt-PT"/>
        </w:rPr>
        <w:t xml:space="preserve"> referenciada a ativos significativa são, conforme especificado mais pormenorizadamente nos atos delegados adotados nos termos do </w:t>
      </w:r>
      <w:proofErr w:type="spellStart"/>
      <w:r w:rsidRPr="00465964">
        <w:rPr>
          <w:lang w:val="pt-PT"/>
        </w:rPr>
        <w:t>n.</w:t>
      </w:r>
      <w:r w:rsidRPr="00465964">
        <w:rPr>
          <w:vertAlign w:val="superscript"/>
          <w:lang w:val="pt-PT"/>
        </w:rPr>
        <w:t>o</w:t>
      </w:r>
      <w:proofErr w:type="spellEnd"/>
      <w:r w:rsidRPr="00465964">
        <w:rPr>
          <w:lang w:val="pt-PT"/>
        </w:rPr>
        <w:t> 11, os seguintes:</w:t>
      </w:r>
    </w:p>
    <w:tbl>
      <w:tblPr>
        <w:tblW w:w="5000" w:type="pct"/>
        <w:tblCellMar>
          <w:left w:w="0" w:type="dxa"/>
          <w:right w:w="0" w:type="dxa"/>
        </w:tblCellMar>
        <w:tblLook w:val="04A0" w:firstRow="1" w:lastRow="0" w:firstColumn="1" w:lastColumn="0" w:noHBand="0" w:noVBand="1"/>
      </w:tblPr>
      <w:tblGrid>
        <w:gridCol w:w="197"/>
        <w:gridCol w:w="8829"/>
      </w:tblGrid>
      <w:tr w:rsidR="00465964" w:rsidRPr="00465964" w14:paraId="1E13B76E" w14:textId="77777777" w:rsidTr="00465964">
        <w:tc>
          <w:tcPr>
            <w:tcW w:w="0" w:type="auto"/>
            <w:shd w:val="clear" w:color="auto" w:fill="auto"/>
            <w:hideMark/>
          </w:tcPr>
          <w:p w14:paraId="2782207E" w14:textId="77777777" w:rsidR="00465964" w:rsidRPr="00465964" w:rsidRDefault="00465964" w:rsidP="00465964">
            <w:r w:rsidRPr="00465964">
              <w:t>a)</w:t>
            </w:r>
          </w:p>
        </w:tc>
        <w:tc>
          <w:tcPr>
            <w:tcW w:w="0" w:type="auto"/>
            <w:shd w:val="clear" w:color="auto" w:fill="auto"/>
            <w:hideMark/>
          </w:tcPr>
          <w:p w14:paraId="46253FF7" w14:textId="77777777" w:rsidR="00465964" w:rsidRPr="00465964" w:rsidRDefault="00465964" w:rsidP="00465964">
            <w:pPr>
              <w:rPr>
                <w:lang w:val="pt-PT"/>
              </w:rPr>
            </w:pPr>
            <w:r w:rsidRPr="00465964">
              <w:rPr>
                <w:lang w:val="pt-PT"/>
              </w:rPr>
              <w:t xml:space="preserve">O número de detentores da </w:t>
            </w:r>
            <w:proofErr w:type="spellStart"/>
            <w:r w:rsidRPr="00465964">
              <w:rPr>
                <w:lang w:val="pt-PT"/>
              </w:rPr>
              <w:t>criptoficha</w:t>
            </w:r>
            <w:proofErr w:type="spellEnd"/>
            <w:r w:rsidRPr="00465964">
              <w:rPr>
                <w:lang w:val="pt-PT"/>
              </w:rPr>
              <w:t xml:space="preserve"> referenciada a ativos ser superior a 10 milhões;</w:t>
            </w:r>
          </w:p>
        </w:tc>
      </w:tr>
    </w:tbl>
    <w:p w14:paraId="7570C27C"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8"/>
        <w:gridCol w:w="8838"/>
      </w:tblGrid>
      <w:tr w:rsidR="00465964" w:rsidRPr="00465964" w14:paraId="038B80C1" w14:textId="77777777" w:rsidTr="00465964">
        <w:tc>
          <w:tcPr>
            <w:tcW w:w="0" w:type="auto"/>
            <w:shd w:val="clear" w:color="auto" w:fill="auto"/>
            <w:hideMark/>
          </w:tcPr>
          <w:p w14:paraId="01E212DA" w14:textId="77777777" w:rsidR="00465964" w:rsidRPr="00465964" w:rsidRDefault="00465964" w:rsidP="00465964">
            <w:r w:rsidRPr="00465964">
              <w:t>b)</w:t>
            </w:r>
          </w:p>
        </w:tc>
        <w:tc>
          <w:tcPr>
            <w:tcW w:w="0" w:type="auto"/>
            <w:shd w:val="clear" w:color="auto" w:fill="auto"/>
            <w:hideMark/>
          </w:tcPr>
          <w:p w14:paraId="58F9D5CA" w14:textId="77777777" w:rsidR="00465964" w:rsidRPr="00465964" w:rsidRDefault="00465964" w:rsidP="00465964">
            <w:pPr>
              <w:rPr>
                <w:lang w:val="pt-PT"/>
              </w:rPr>
            </w:pPr>
            <w:r w:rsidRPr="00465964">
              <w:rPr>
                <w:lang w:val="pt-PT"/>
              </w:rPr>
              <w:t xml:space="preserve">O valor da </w:t>
            </w:r>
            <w:proofErr w:type="spellStart"/>
            <w:r w:rsidRPr="00465964">
              <w:rPr>
                <w:lang w:val="pt-PT"/>
              </w:rPr>
              <w:t>criptoficha</w:t>
            </w:r>
            <w:proofErr w:type="spellEnd"/>
            <w:r w:rsidRPr="00465964">
              <w:rPr>
                <w:lang w:val="pt-PT"/>
              </w:rPr>
              <w:t xml:space="preserve"> referenciada a ativos emitidas, a sua capitalização bolsista ou a dimensão da reserva de ativos do emitente da </w:t>
            </w:r>
            <w:proofErr w:type="spellStart"/>
            <w:r w:rsidRPr="00465964">
              <w:rPr>
                <w:lang w:val="pt-PT"/>
              </w:rPr>
              <w:t>criptoficha</w:t>
            </w:r>
            <w:proofErr w:type="spellEnd"/>
            <w:r w:rsidRPr="00465964">
              <w:rPr>
                <w:lang w:val="pt-PT"/>
              </w:rPr>
              <w:t xml:space="preserve"> referenciada a ativos ser superior a 5 000 000 000 EUR;</w:t>
            </w:r>
          </w:p>
        </w:tc>
      </w:tr>
    </w:tbl>
    <w:p w14:paraId="19D7127B"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0"/>
        <w:gridCol w:w="8846"/>
      </w:tblGrid>
      <w:tr w:rsidR="00465964" w:rsidRPr="00465964" w14:paraId="4458FE37" w14:textId="77777777" w:rsidTr="00465964">
        <w:tc>
          <w:tcPr>
            <w:tcW w:w="0" w:type="auto"/>
            <w:shd w:val="clear" w:color="auto" w:fill="auto"/>
            <w:hideMark/>
          </w:tcPr>
          <w:p w14:paraId="6AECAC28" w14:textId="77777777" w:rsidR="00465964" w:rsidRPr="00465964" w:rsidRDefault="00465964" w:rsidP="00465964">
            <w:r w:rsidRPr="00465964">
              <w:t>c)</w:t>
            </w:r>
          </w:p>
        </w:tc>
        <w:tc>
          <w:tcPr>
            <w:tcW w:w="0" w:type="auto"/>
            <w:shd w:val="clear" w:color="auto" w:fill="auto"/>
            <w:hideMark/>
          </w:tcPr>
          <w:p w14:paraId="14957292" w14:textId="77777777" w:rsidR="00465964" w:rsidRPr="00465964" w:rsidRDefault="00465964" w:rsidP="00465964">
            <w:pPr>
              <w:rPr>
                <w:lang w:val="pt-PT"/>
              </w:rPr>
            </w:pPr>
            <w:r w:rsidRPr="00465964">
              <w:rPr>
                <w:lang w:val="pt-PT"/>
              </w:rPr>
              <w:t xml:space="preserve">A média do número e do valor agregado das transações diárias dessa </w:t>
            </w:r>
            <w:proofErr w:type="spellStart"/>
            <w:r w:rsidRPr="00465964">
              <w:rPr>
                <w:lang w:val="pt-PT"/>
              </w:rPr>
              <w:t>criptoficha</w:t>
            </w:r>
            <w:proofErr w:type="spellEnd"/>
            <w:r w:rsidRPr="00465964">
              <w:rPr>
                <w:lang w:val="pt-PT"/>
              </w:rPr>
              <w:t xml:space="preserve"> referenciadas a ativos durante o período relevantes ser superior a 2,5 milhões de transações e 500 000 000 EUR, respetivamente;</w:t>
            </w:r>
          </w:p>
        </w:tc>
      </w:tr>
    </w:tbl>
    <w:p w14:paraId="251D6025"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8"/>
        <w:gridCol w:w="8838"/>
      </w:tblGrid>
      <w:tr w:rsidR="00465964" w:rsidRPr="00465964" w14:paraId="135FD6FE" w14:textId="77777777" w:rsidTr="00465964">
        <w:tc>
          <w:tcPr>
            <w:tcW w:w="0" w:type="auto"/>
            <w:shd w:val="clear" w:color="auto" w:fill="auto"/>
            <w:hideMark/>
          </w:tcPr>
          <w:p w14:paraId="72FE2EF3" w14:textId="77777777" w:rsidR="00465964" w:rsidRPr="00465964" w:rsidRDefault="00465964" w:rsidP="00465964">
            <w:r w:rsidRPr="00465964">
              <w:t>d)</w:t>
            </w:r>
          </w:p>
        </w:tc>
        <w:tc>
          <w:tcPr>
            <w:tcW w:w="0" w:type="auto"/>
            <w:shd w:val="clear" w:color="auto" w:fill="auto"/>
            <w:hideMark/>
          </w:tcPr>
          <w:p w14:paraId="1C5C135F" w14:textId="77777777" w:rsidR="00465964" w:rsidRPr="00465964" w:rsidRDefault="00465964" w:rsidP="00465964">
            <w:pPr>
              <w:rPr>
                <w:lang w:val="pt-PT"/>
              </w:rPr>
            </w:pPr>
            <w:r w:rsidRPr="00465964">
              <w:rPr>
                <w:lang w:val="pt-PT"/>
              </w:rPr>
              <w:t xml:space="preserve">O emitente da </w:t>
            </w:r>
            <w:proofErr w:type="spellStart"/>
            <w:r w:rsidRPr="00465964">
              <w:rPr>
                <w:lang w:val="pt-PT"/>
              </w:rPr>
              <w:t>criptoficha</w:t>
            </w:r>
            <w:proofErr w:type="spellEnd"/>
            <w:r w:rsidRPr="00465964">
              <w:rPr>
                <w:lang w:val="pt-PT"/>
              </w:rPr>
              <w:t xml:space="preserve"> referenciada a ativos ser um prestador de serviços essenciais de plataforma designado como um controlador de acesso nos termos do Regulamento (UE) 2022/1925 do Parlamento Europeu e do Conselho </w:t>
            </w:r>
            <w:hyperlink r:id="rId50" w:anchor="ntr43-L_2023150PT.01004001-E0043" w:history="1">
              <w:r w:rsidRPr="00465964">
                <w:rPr>
                  <w:rStyle w:val="Hyperlink"/>
                  <w:lang w:val="pt-PT"/>
                </w:rPr>
                <w:t>(</w:t>
              </w:r>
              <w:r w:rsidRPr="00465964">
                <w:rPr>
                  <w:rStyle w:val="Hyperlink"/>
                  <w:vertAlign w:val="superscript"/>
                  <w:lang w:val="pt-PT"/>
                </w:rPr>
                <w:t>43</w:t>
              </w:r>
              <w:r w:rsidRPr="00465964">
                <w:rPr>
                  <w:rStyle w:val="Hyperlink"/>
                  <w:lang w:val="pt-PT"/>
                </w:rPr>
                <w:t>)</w:t>
              </w:r>
            </w:hyperlink>
            <w:r w:rsidRPr="00465964">
              <w:rPr>
                <w:lang w:val="pt-PT"/>
              </w:rPr>
              <w:t>;</w:t>
            </w:r>
          </w:p>
        </w:tc>
      </w:tr>
    </w:tbl>
    <w:p w14:paraId="5EC77995"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1"/>
        <w:gridCol w:w="8845"/>
      </w:tblGrid>
      <w:tr w:rsidR="00465964" w:rsidRPr="00465964" w14:paraId="17329E40" w14:textId="77777777" w:rsidTr="00465964">
        <w:tc>
          <w:tcPr>
            <w:tcW w:w="0" w:type="auto"/>
            <w:shd w:val="clear" w:color="auto" w:fill="auto"/>
            <w:hideMark/>
          </w:tcPr>
          <w:p w14:paraId="25902285" w14:textId="77777777" w:rsidR="00465964" w:rsidRPr="00465964" w:rsidRDefault="00465964" w:rsidP="00465964">
            <w:r w:rsidRPr="00465964">
              <w:t>e)</w:t>
            </w:r>
          </w:p>
        </w:tc>
        <w:tc>
          <w:tcPr>
            <w:tcW w:w="0" w:type="auto"/>
            <w:shd w:val="clear" w:color="auto" w:fill="auto"/>
            <w:hideMark/>
          </w:tcPr>
          <w:p w14:paraId="2589168B" w14:textId="77777777" w:rsidR="00465964" w:rsidRPr="00465964" w:rsidRDefault="00465964" w:rsidP="00465964">
            <w:pPr>
              <w:rPr>
                <w:lang w:val="pt-PT"/>
              </w:rPr>
            </w:pPr>
            <w:r w:rsidRPr="00465964">
              <w:rPr>
                <w:lang w:val="pt-PT"/>
              </w:rPr>
              <w:t xml:space="preserve">A importância das atividades do emitente da </w:t>
            </w:r>
            <w:proofErr w:type="spellStart"/>
            <w:r w:rsidRPr="00465964">
              <w:rPr>
                <w:lang w:val="pt-PT"/>
              </w:rPr>
              <w:t>criptoficha</w:t>
            </w:r>
            <w:proofErr w:type="spellEnd"/>
            <w:r w:rsidRPr="00465964">
              <w:rPr>
                <w:lang w:val="pt-PT"/>
              </w:rPr>
              <w:t xml:space="preserve"> referenciada a ativos à escala internacional, incluindo a utilização da </w:t>
            </w:r>
            <w:proofErr w:type="spellStart"/>
            <w:r w:rsidRPr="00465964">
              <w:rPr>
                <w:lang w:val="pt-PT"/>
              </w:rPr>
              <w:t>criptoficha</w:t>
            </w:r>
            <w:proofErr w:type="spellEnd"/>
            <w:r w:rsidRPr="00465964">
              <w:rPr>
                <w:lang w:val="pt-PT"/>
              </w:rPr>
              <w:t xml:space="preserve"> referenciada a ativos para pagamentos e remessas;</w:t>
            </w:r>
          </w:p>
        </w:tc>
      </w:tr>
    </w:tbl>
    <w:p w14:paraId="0BEDC93B"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36"/>
        <w:gridCol w:w="8890"/>
      </w:tblGrid>
      <w:tr w:rsidR="00465964" w:rsidRPr="00465964" w14:paraId="5BAB7189" w14:textId="77777777" w:rsidTr="00465964">
        <w:tc>
          <w:tcPr>
            <w:tcW w:w="0" w:type="auto"/>
            <w:shd w:val="clear" w:color="auto" w:fill="auto"/>
            <w:hideMark/>
          </w:tcPr>
          <w:p w14:paraId="3C4D96F4" w14:textId="77777777" w:rsidR="00465964" w:rsidRPr="00465964" w:rsidRDefault="00465964" w:rsidP="00465964">
            <w:r w:rsidRPr="00465964">
              <w:t>f)</w:t>
            </w:r>
          </w:p>
        </w:tc>
        <w:tc>
          <w:tcPr>
            <w:tcW w:w="0" w:type="auto"/>
            <w:shd w:val="clear" w:color="auto" w:fill="auto"/>
            <w:hideMark/>
          </w:tcPr>
          <w:p w14:paraId="07A4E32A" w14:textId="77777777" w:rsidR="00465964" w:rsidRPr="00465964" w:rsidRDefault="00465964" w:rsidP="00465964">
            <w:pPr>
              <w:rPr>
                <w:lang w:val="pt-PT"/>
              </w:rPr>
            </w:pPr>
            <w:r w:rsidRPr="00465964">
              <w:rPr>
                <w:lang w:val="pt-PT"/>
              </w:rPr>
              <w:t xml:space="preserve">A </w:t>
            </w:r>
            <w:proofErr w:type="spellStart"/>
            <w:r w:rsidRPr="00465964">
              <w:rPr>
                <w:lang w:val="pt-PT"/>
              </w:rPr>
              <w:t>interconectividade</w:t>
            </w:r>
            <w:proofErr w:type="spellEnd"/>
            <w:r w:rsidRPr="00465964">
              <w:rPr>
                <w:lang w:val="pt-PT"/>
              </w:rPr>
              <w:t xml:space="preserve"> da </w:t>
            </w:r>
            <w:proofErr w:type="spellStart"/>
            <w:r w:rsidRPr="00465964">
              <w:rPr>
                <w:lang w:val="pt-PT"/>
              </w:rPr>
              <w:t>criptoficha</w:t>
            </w:r>
            <w:proofErr w:type="spellEnd"/>
            <w:r w:rsidRPr="00465964">
              <w:rPr>
                <w:lang w:val="pt-PT"/>
              </w:rPr>
              <w:t xml:space="preserve"> referenciada a ativos ou do seu emitente com o sistema financeiro;</w:t>
            </w:r>
          </w:p>
        </w:tc>
      </w:tr>
    </w:tbl>
    <w:p w14:paraId="5B2F8636"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74"/>
        <w:gridCol w:w="8852"/>
      </w:tblGrid>
      <w:tr w:rsidR="00465964" w:rsidRPr="00465964" w14:paraId="35FEF485" w14:textId="77777777" w:rsidTr="00465964">
        <w:tc>
          <w:tcPr>
            <w:tcW w:w="0" w:type="auto"/>
            <w:shd w:val="clear" w:color="auto" w:fill="auto"/>
            <w:hideMark/>
          </w:tcPr>
          <w:p w14:paraId="493C9F9B" w14:textId="77777777" w:rsidR="00465964" w:rsidRPr="00465964" w:rsidRDefault="00465964" w:rsidP="00465964">
            <w:r w:rsidRPr="00465964">
              <w:t>g)</w:t>
            </w:r>
          </w:p>
        </w:tc>
        <w:tc>
          <w:tcPr>
            <w:tcW w:w="0" w:type="auto"/>
            <w:shd w:val="clear" w:color="auto" w:fill="auto"/>
            <w:hideMark/>
          </w:tcPr>
          <w:p w14:paraId="35C3DCEB" w14:textId="77777777" w:rsidR="00465964" w:rsidRPr="00465964" w:rsidRDefault="00465964" w:rsidP="00465964">
            <w:pPr>
              <w:rPr>
                <w:lang w:val="pt-PT"/>
              </w:rPr>
            </w:pPr>
            <w:r w:rsidRPr="00465964">
              <w:rPr>
                <w:lang w:val="pt-PT"/>
              </w:rPr>
              <w:t xml:space="preserve">O facto de o mesmo emitente emitir pelo menos mais uma </w:t>
            </w:r>
            <w:proofErr w:type="spellStart"/>
            <w:r w:rsidRPr="00465964">
              <w:rPr>
                <w:lang w:val="pt-PT"/>
              </w:rPr>
              <w:t>criptoficha</w:t>
            </w:r>
            <w:proofErr w:type="spellEnd"/>
            <w:r w:rsidRPr="00465964">
              <w:rPr>
                <w:lang w:val="pt-PT"/>
              </w:rPr>
              <w:t xml:space="preserve"> referenciada a ativos ou </w:t>
            </w:r>
            <w:proofErr w:type="spellStart"/>
            <w:r w:rsidRPr="00465964">
              <w:rPr>
                <w:lang w:val="pt-PT"/>
              </w:rPr>
              <w:t>criptoficha</w:t>
            </w:r>
            <w:proofErr w:type="spellEnd"/>
            <w:r w:rsidRPr="00465964">
              <w:rPr>
                <w:lang w:val="pt-PT"/>
              </w:rPr>
              <w:t xml:space="preserve"> de moeda eletrónica adicional e prestar pelo menos um serviço de criptoativos.</w:t>
            </w:r>
          </w:p>
        </w:tc>
      </w:tr>
    </w:tbl>
    <w:p w14:paraId="10F7614B" w14:textId="7A49D7CE" w:rsidR="00465964" w:rsidRPr="00465964" w:rsidRDefault="00465964" w:rsidP="00465964">
      <w:pPr>
        <w:rPr>
          <w:lang w:val="pt-PT"/>
        </w:rPr>
      </w:pPr>
      <w:r w:rsidRPr="00465964">
        <w:rPr>
          <w:lang w:val="pt-PT"/>
        </w:rPr>
        <w:t xml:space="preserve">2.   A EBA classifica as </w:t>
      </w:r>
      <w:r>
        <w:rPr>
          <w:lang w:val="pt-PT"/>
        </w:rPr>
        <w:t>criptomoedas</w:t>
      </w:r>
      <w:r w:rsidRPr="00465964">
        <w:rPr>
          <w:lang w:val="pt-PT"/>
        </w:rPr>
        <w:t xml:space="preserve"> referenciadas a ativos como significativas quando pelo menos três dos critérios previstos no </w:t>
      </w:r>
      <w:proofErr w:type="spellStart"/>
      <w:r w:rsidRPr="00465964">
        <w:rPr>
          <w:lang w:val="pt-PT"/>
        </w:rPr>
        <w:t>n.</w:t>
      </w:r>
      <w:r w:rsidRPr="00465964">
        <w:rPr>
          <w:vertAlign w:val="superscript"/>
          <w:lang w:val="pt-PT"/>
        </w:rPr>
        <w:t>o</w:t>
      </w:r>
      <w:proofErr w:type="spellEnd"/>
      <w:r w:rsidRPr="00465964">
        <w:rPr>
          <w:lang w:val="pt-PT"/>
        </w:rPr>
        <w:t xml:space="preserve"> 1 do presente artigo estiverem </w:t>
      </w:r>
      <w:proofErr w:type="gramStart"/>
      <w:r w:rsidRPr="00465964">
        <w:rPr>
          <w:lang w:val="pt-PT"/>
        </w:rPr>
        <w:t>preenchidos</w:t>
      </w:r>
      <w:proofErr w:type="gramEnd"/>
      <w:r w:rsidRPr="00465964">
        <w:rPr>
          <w:lang w:val="pt-PT"/>
        </w:rPr>
        <w:t>:</w:t>
      </w:r>
    </w:p>
    <w:tbl>
      <w:tblPr>
        <w:tblW w:w="5000" w:type="pct"/>
        <w:tblCellMar>
          <w:left w:w="0" w:type="dxa"/>
          <w:right w:w="0" w:type="dxa"/>
        </w:tblCellMar>
        <w:tblLook w:val="04A0" w:firstRow="1" w:lastRow="0" w:firstColumn="1" w:lastColumn="0" w:noHBand="0" w:noVBand="1"/>
      </w:tblPr>
      <w:tblGrid>
        <w:gridCol w:w="182"/>
        <w:gridCol w:w="8844"/>
      </w:tblGrid>
      <w:tr w:rsidR="00465964" w:rsidRPr="00465964" w14:paraId="1E402AFC" w14:textId="77777777" w:rsidTr="00465964">
        <w:tc>
          <w:tcPr>
            <w:tcW w:w="0" w:type="auto"/>
            <w:shd w:val="clear" w:color="auto" w:fill="auto"/>
            <w:hideMark/>
          </w:tcPr>
          <w:p w14:paraId="7D5C3EF4" w14:textId="77777777" w:rsidR="00465964" w:rsidRPr="00465964" w:rsidRDefault="00465964" w:rsidP="00465964">
            <w:r w:rsidRPr="00465964">
              <w:t>a)</w:t>
            </w:r>
          </w:p>
        </w:tc>
        <w:tc>
          <w:tcPr>
            <w:tcW w:w="0" w:type="auto"/>
            <w:shd w:val="clear" w:color="auto" w:fill="auto"/>
            <w:hideMark/>
          </w:tcPr>
          <w:p w14:paraId="56E80622" w14:textId="77777777" w:rsidR="00465964" w:rsidRPr="00465964" w:rsidRDefault="00465964" w:rsidP="00465964">
            <w:pPr>
              <w:rPr>
                <w:lang w:val="pt-PT"/>
              </w:rPr>
            </w:pPr>
            <w:r w:rsidRPr="00465964">
              <w:rPr>
                <w:lang w:val="pt-PT"/>
              </w:rPr>
              <w:t xml:space="preserve">Durante o período abrangido pela primeira comunicação de informações a que se refere o </w:t>
            </w:r>
            <w:proofErr w:type="spellStart"/>
            <w:r w:rsidRPr="00465964">
              <w:rPr>
                <w:lang w:val="pt-PT"/>
              </w:rPr>
              <w:t>n.</w:t>
            </w:r>
            <w:r w:rsidRPr="00465964">
              <w:rPr>
                <w:vertAlign w:val="superscript"/>
                <w:lang w:val="pt-PT"/>
              </w:rPr>
              <w:t>o</w:t>
            </w:r>
            <w:proofErr w:type="spellEnd"/>
            <w:r w:rsidRPr="00465964">
              <w:rPr>
                <w:lang w:val="pt-PT"/>
              </w:rPr>
              <w:t> 4 do presente artigo, após a autorização nos termos do artigo 21.</w:t>
            </w:r>
            <w:r w:rsidRPr="00465964">
              <w:rPr>
                <w:vertAlign w:val="superscript"/>
                <w:lang w:val="pt-PT"/>
              </w:rPr>
              <w:t>o</w:t>
            </w:r>
            <w:r w:rsidRPr="00465964">
              <w:rPr>
                <w:lang w:val="pt-PT"/>
              </w:rPr>
              <w:t> ou após a aprovação do livrete do criptoativo nos termos do artigo 17.</w:t>
            </w:r>
            <w:r w:rsidRPr="00465964">
              <w:rPr>
                <w:vertAlign w:val="superscript"/>
                <w:lang w:val="pt-PT"/>
              </w:rPr>
              <w:t>o</w:t>
            </w:r>
            <w:r w:rsidRPr="00465964">
              <w:rPr>
                <w:lang w:val="pt-PT"/>
              </w:rPr>
              <w:t>; ou</w:t>
            </w:r>
          </w:p>
        </w:tc>
      </w:tr>
    </w:tbl>
    <w:p w14:paraId="1EBDB6DA"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8"/>
        <w:gridCol w:w="8838"/>
      </w:tblGrid>
      <w:tr w:rsidR="00465964" w:rsidRPr="00465964" w14:paraId="10BB72D7" w14:textId="77777777" w:rsidTr="00465964">
        <w:tc>
          <w:tcPr>
            <w:tcW w:w="0" w:type="auto"/>
            <w:shd w:val="clear" w:color="auto" w:fill="auto"/>
            <w:hideMark/>
          </w:tcPr>
          <w:p w14:paraId="6F1C9099" w14:textId="77777777" w:rsidR="00465964" w:rsidRPr="00465964" w:rsidRDefault="00465964" w:rsidP="00465964">
            <w:r w:rsidRPr="00465964">
              <w:t>b)</w:t>
            </w:r>
          </w:p>
        </w:tc>
        <w:tc>
          <w:tcPr>
            <w:tcW w:w="0" w:type="auto"/>
            <w:shd w:val="clear" w:color="auto" w:fill="auto"/>
            <w:hideMark/>
          </w:tcPr>
          <w:p w14:paraId="35E441C2" w14:textId="77777777" w:rsidR="00465964" w:rsidRPr="00465964" w:rsidRDefault="00465964" w:rsidP="00465964">
            <w:pPr>
              <w:rPr>
                <w:lang w:val="pt-PT"/>
              </w:rPr>
            </w:pPr>
            <w:r w:rsidRPr="00465964">
              <w:rPr>
                <w:lang w:val="pt-PT"/>
              </w:rPr>
              <w:t xml:space="preserve">Durante o período abrangido por pelo menos duas comunicações de informações consecutivas a que se refere o </w:t>
            </w:r>
            <w:proofErr w:type="spellStart"/>
            <w:r w:rsidRPr="00465964">
              <w:rPr>
                <w:lang w:val="pt-PT"/>
              </w:rPr>
              <w:t>n.</w:t>
            </w:r>
            <w:r w:rsidRPr="00465964">
              <w:rPr>
                <w:vertAlign w:val="superscript"/>
                <w:lang w:val="pt-PT"/>
              </w:rPr>
              <w:t>o</w:t>
            </w:r>
            <w:proofErr w:type="spellEnd"/>
            <w:r w:rsidRPr="00465964">
              <w:rPr>
                <w:lang w:val="pt-PT"/>
              </w:rPr>
              <w:t> 4 do presente artigo.</w:t>
            </w:r>
          </w:p>
        </w:tc>
      </w:tr>
    </w:tbl>
    <w:p w14:paraId="023160E6" w14:textId="77777777" w:rsidR="00465964" w:rsidRPr="00465964" w:rsidRDefault="00465964" w:rsidP="00465964">
      <w:pPr>
        <w:rPr>
          <w:lang w:val="pt-PT"/>
        </w:rPr>
      </w:pPr>
      <w:r w:rsidRPr="00465964">
        <w:rPr>
          <w:lang w:val="pt-PT"/>
        </w:rPr>
        <w:t xml:space="preserve">3.   Caso vários emitentes emitam a mesma </w:t>
      </w:r>
      <w:proofErr w:type="spellStart"/>
      <w:r w:rsidRPr="00465964">
        <w:rPr>
          <w:lang w:val="pt-PT"/>
        </w:rPr>
        <w:t>criptoficha</w:t>
      </w:r>
      <w:proofErr w:type="spellEnd"/>
      <w:r w:rsidRPr="00465964">
        <w:rPr>
          <w:lang w:val="pt-PT"/>
        </w:rPr>
        <w:t xml:space="preserve"> referenciada a ativos, o cumprimento dos critérios referidos no </w:t>
      </w:r>
      <w:proofErr w:type="spellStart"/>
      <w:r w:rsidRPr="00465964">
        <w:rPr>
          <w:lang w:val="pt-PT"/>
        </w:rPr>
        <w:t>n.</w:t>
      </w:r>
      <w:r w:rsidRPr="00465964">
        <w:rPr>
          <w:vertAlign w:val="superscript"/>
          <w:lang w:val="pt-PT"/>
        </w:rPr>
        <w:t>o</w:t>
      </w:r>
      <w:proofErr w:type="spellEnd"/>
      <w:r w:rsidRPr="00465964">
        <w:rPr>
          <w:lang w:val="pt-PT"/>
        </w:rPr>
        <w:t> 1 é avaliado após agregação dos dados de todos esses emitentes.</w:t>
      </w:r>
    </w:p>
    <w:p w14:paraId="3B5F1346" w14:textId="77777777" w:rsidR="00465964" w:rsidRPr="00465964" w:rsidRDefault="00465964" w:rsidP="00465964">
      <w:pPr>
        <w:rPr>
          <w:lang w:val="pt-PT"/>
        </w:rPr>
      </w:pPr>
      <w:r w:rsidRPr="00465964">
        <w:rPr>
          <w:lang w:val="pt-PT"/>
        </w:rPr>
        <w:t xml:space="preserve">4.   As autoridades competentes do Estado-Membro de origem do emitente comunicam à EBA e ao BCE, pelo menos duas vezes por ano, as informações relevantes para a avaliação do cumprimento dos critérios previstos no </w:t>
      </w:r>
      <w:proofErr w:type="spellStart"/>
      <w:r w:rsidRPr="00465964">
        <w:rPr>
          <w:lang w:val="pt-PT"/>
        </w:rPr>
        <w:t>n.</w:t>
      </w:r>
      <w:r w:rsidRPr="00465964">
        <w:rPr>
          <w:vertAlign w:val="superscript"/>
          <w:lang w:val="pt-PT"/>
        </w:rPr>
        <w:t>o</w:t>
      </w:r>
      <w:proofErr w:type="spellEnd"/>
      <w:r w:rsidRPr="00465964">
        <w:rPr>
          <w:lang w:val="pt-PT"/>
        </w:rPr>
        <w:t> 1 do presente artigo, incluindo informações recebidas ao abrigo do artigo 22.</w:t>
      </w:r>
      <w:r w:rsidRPr="00465964">
        <w:rPr>
          <w:vertAlign w:val="superscript"/>
          <w:lang w:val="pt-PT"/>
        </w:rPr>
        <w:t>o</w:t>
      </w:r>
      <w:r w:rsidRPr="00465964">
        <w:rPr>
          <w:lang w:val="pt-PT"/>
        </w:rPr>
        <w:t>.</w:t>
      </w:r>
    </w:p>
    <w:p w14:paraId="4973355B" w14:textId="77777777" w:rsidR="00465964" w:rsidRPr="00465964" w:rsidRDefault="00465964" w:rsidP="00465964">
      <w:pPr>
        <w:rPr>
          <w:lang w:val="pt-PT"/>
        </w:rPr>
      </w:pPr>
      <w:r w:rsidRPr="00465964">
        <w:rPr>
          <w:lang w:val="pt-PT"/>
        </w:rPr>
        <w:t xml:space="preserve">Se o emitente estiver estabelecido num Estado-Membro cuja moeda oficial não seja o euro, ou se uma moeda oficial de um Estado-Membro que não seja o euro for referenciada pela </w:t>
      </w:r>
      <w:proofErr w:type="spellStart"/>
      <w:r w:rsidRPr="00465964">
        <w:rPr>
          <w:lang w:val="pt-PT"/>
        </w:rPr>
        <w:t>criptoficha</w:t>
      </w:r>
      <w:proofErr w:type="spellEnd"/>
      <w:r w:rsidRPr="00465964">
        <w:rPr>
          <w:lang w:val="pt-PT"/>
        </w:rPr>
        <w:t xml:space="preserve"> referenciada a ativos, as autoridades competentes também transmitem as informações a que se refere o primeiro parágrafo ao banco central do Estado-Membro em causa.</w:t>
      </w:r>
    </w:p>
    <w:p w14:paraId="63D2B521" w14:textId="77777777" w:rsidR="00465964" w:rsidRPr="00465964" w:rsidRDefault="00465964" w:rsidP="00465964">
      <w:pPr>
        <w:rPr>
          <w:lang w:val="pt-PT"/>
        </w:rPr>
      </w:pPr>
      <w:r w:rsidRPr="00465964">
        <w:rPr>
          <w:lang w:val="pt-PT"/>
        </w:rPr>
        <w:lastRenderedPageBreak/>
        <w:t xml:space="preserve">5.   Caso a EBA conclua que uma </w:t>
      </w:r>
      <w:proofErr w:type="spellStart"/>
      <w:r w:rsidRPr="00465964">
        <w:rPr>
          <w:lang w:val="pt-PT"/>
        </w:rPr>
        <w:t>criptoficha</w:t>
      </w:r>
      <w:proofErr w:type="spellEnd"/>
      <w:r w:rsidRPr="00465964">
        <w:rPr>
          <w:lang w:val="pt-PT"/>
        </w:rPr>
        <w:t xml:space="preserve"> referenciada a ativos preenche os critérios estabelecidos no </w:t>
      </w:r>
      <w:proofErr w:type="spellStart"/>
      <w:r w:rsidRPr="00465964">
        <w:rPr>
          <w:lang w:val="pt-PT"/>
        </w:rPr>
        <w:t>n.</w:t>
      </w:r>
      <w:r w:rsidRPr="00465964">
        <w:rPr>
          <w:vertAlign w:val="superscript"/>
          <w:lang w:val="pt-PT"/>
        </w:rPr>
        <w:t>o</w:t>
      </w:r>
      <w:proofErr w:type="spellEnd"/>
      <w:r w:rsidRPr="00465964">
        <w:rPr>
          <w:lang w:val="pt-PT"/>
        </w:rPr>
        <w:t xml:space="preserve"> 1, em conformidade com o </w:t>
      </w:r>
      <w:proofErr w:type="spellStart"/>
      <w:r w:rsidRPr="00465964">
        <w:rPr>
          <w:lang w:val="pt-PT"/>
        </w:rPr>
        <w:t>n.</w:t>
      </w:r>
      <w:r w:rsidRPr="00465964">
        <w:rPr>
          <w:vertAlign w:val="superscript"/>
          <w:lang w:val="pt-PT"/>
        </w:rPr>
        <w:t>o</w:t>
      </w:r>
      <w:proofErr w:type="spellEnd"/>
      <w:r w:rsidRPr="00465964">
        <w:rPr>
          <w:lang w:val="pt-PT"/>
        </w:rPr>
        <w:t xml:space="preserve"> 2, prepara um projeto de decisão para classificar a </w:t>
      </w:r>
      <w:proofErr w:type="spellStart"/>
      <w:r w:rsidRPr="00465964">
        <w:rPr>
          <w:lang w:val="pt-PT"/>
        </w:rPr>
        <w:t>criptoficha</w:t>
      </w:r>
      <w:proofErr w:type="spellEnd"/>
      <w:r w:rsidRPr="00465964">
        <w:rPr>
          <w:lang w:val="pt-PT"/>
        </w:rPr>
        <w:t xml:space="preserve"> referenciada a ativos como sendo significativa e notifica esse projeto de decisão ao emitente da </w:t>
      </w:r>
      <w:proofErr w:type="spellStart"/>
      <w:r w:rsidRPr="00465964">
        <w:rPr>
          <w:lang w:val="pt-PT"/>
        </w:rPr>
        <w:t>criptoficha</w:t>
      </w:r>
      <w:proofErr w:type="spellEnd"/>
      <w:r w:rsidRPr="00465964">
        <w:rPr>
          <w:lang w:val="pt-PT"/>
        </w:rPr>
        <w:t xml:space="preserve"> referenciada a ativos em causa, à autoridade competente do Estado-Membro de origem do emitente, ao BCE e, nos casos referidos no </w:t>
      </w:r>
      <w:proofErr w:type="spellStart"/>
      <w:r w:rsidRPr="00465964">
        <w:rPr>
          <w:lang w:val="pt-PT"/>
        </w:rPr>
        <w:t>n.</w:t>
      </w:r>
      <w:r w:rsidRPr="00465964">
        <w:rPr>
          <w:vertAlign w:val="superscript"/>
          <w:lang w:val="pt-PT"/>
        </w:rPr>
        <w:t>o</w:t>
      </w:r>
      <w:proofErr w:type="spellEnd"/>
      <w:r w:rsidRPr="00465964">
        <w:rPr>
          <w:lang w:val="pt-PT"/>
        </w:rPr>
        <w:t> 4, segundo parágrafo, ao banco central do Estado-Membro em causa.</w:t>
      </w:r>
    </w:p>
    <w:p w14:paraId="257BA15C" w14:textId="6B0FC2EF" w:rsidR="00465964" w:rsidRPr="00465964" w:rsidRDefault="00465964" w:rsidP="00465964">
      <w:pPr>
        <w:rPr>
          <w:lang w:val="pt-PT"/>
        </w:rPr>
      </w:pPr>
      <w:r w:rsidRPr="00465964">
        <w:rPr>
          <w:lang w:val="pt-PT"/>
        </w:rPr>
        <w:t xml:space="preserve">Os emitentes dessas </w:t>
      </w:r>
      <w:r>
        <w:rPr>
          <w:lang w:val="pt-PT"/>
        </w:rPr>
        <w:t>criptomoedas</w:t>
      </w:r>
      <w:r w:rsidRPr="00465964">
        <w:rPr>
          <w:lang w:val="pt-PT"/>
        </w:rPr>
        <w:t xml:space="preserve"> referenciadas a ativos, as respetivas autoridades competentes, o BCE e, se for o caso, o banco central do Estado-Membro em causa, dispõem de um prazo de 20 dias úteis a contar da data de notificação do projeto de decisão da EBA para apresentarem por escrito as suas observações e comentários. A EBA deve ter devidamente em conta essas observações e comentários antes de tomar uma decisão final.</w:t>
      </w:r>
    </w:p>
    <w:p w14:paraId="12EA0F41" w14:textId="77777777" w:rsidR="00465964" w:rsidRPr="00465964" w:rsidRDefault="00465964" w:rsidP="00465964">
      <w:pPr>
        <w:rPr>
          <w:lang w:val="pt-PT"/>
        </w:rPr>
      </w:pPr>
      <w:r w:rsidRPr="00465964">
        <w:rPr>
          <w:lang w:val="pt-PT"/>
        </w:rPr>
        <w:t xml:space="preserve">6.   A EBA toma a sua decisão final sobre se uma </w:t>
      </w:r>
      <w:proofErr w:type="spellStart"/>
      <w:r w:rsidRPr="00465964">
        <w:rPr>
          <w:lang w:val="pt-PT"/>
        </w:rPr>
        <w:t>criptoficha</w:t>
      </w:r>
      <w:proofErr w:type="spellEnd"/>
      <w:r w:rsidRPr="00465964">
        <w:rPr>
          <w:lang w:val="pt-PT"/>
        </w:rPr>
        <w:t xml:space="preserve"> referenciada a ativos deve ser classificada como significativa no prazo de 60 dias úteis a contar da data de notificação a que se refere o </w:t>
      </w:r>
      <w:proofErr w:type="spellStart"/>
      <w:r w:rsidRPr="00465964">
        <w:rPr>
          <w:lang w:val="pt-PT"/>
        </w:rPr>
        <w:t>n.</w:t>
      </w:r>
      <w:r w:rsidRPr="00465964">
        <w:rPr>
          <w:vertAlign w:val="superscript"/>
          <w:lang w:val="pt-PT"/>
        </w:rPr>
        <w:t>o</w:t>
      </w:r>
      <w:proofErr w:type="spellEnd"/>
      <w:r w:rsidRPr="00465964">
        <w:rPr>
          <w:lang w:val="pt-PT"/>
        </w:rPr>
        <w:t xml:space="preserve"> 5 e notifica de imediato essa decisão aos emitentes dessa </w:t>
      </w:r>
      <w:proofErr w:type="spellStart"/>
      <w:r w:rsidRPr="00465964">
        <w:rPr>
          <w:lang w:val="pt-PT"/>
        </w:rPr>
        <w:t>criptoficha</w:t>
      </w:r>
      <w:proofErr w:type="spellEnd"/>
      <w:r w:rsidRPr="00465964">
        <w:rPr>
          <w:lang w:val="pt-PT"/>
        </w:rPr>
        <w:t xml:space="preserve"> referenciada a ativos e à respetiva autoridade competente.</w:t>
      </w:r>
    </w:p>
    <w:p w14:paraId="3857F95F" w14:textId="77777777" w:rsidR="00465964" w:rsidRPr="00465964" w:rsidRDefault="00465964" w:rsidP="00465964">
      <w:pPr>
        <w:rPr>
          <w:lang w:val="pt-PT"/>
        </w:rPr>
      </w:pPr>
      <w:r w:rsidRPr="00465964">
        <w:rPr>
          <w:lang w:val="pt-PT"/>
        </w:rPr>
        <w:t xml:space="preserve">7.   Caso uma </w:t>
      </w:r>
      <w:proofErr w:type="spellStart"/>
      <w:r w:rsidRPr="00465964">
        <w:rPr>
          <w:lang w:val="pt-PT"/>
        </w:rPr>
        <w:t>criptoficha</w:t>
      </w:r>
      <w:proofErr w:type="spellEnd"/>
      <w:r w:rsidRPr="00465964">
        <w:rPr>
          <w:lang w:val="pt-PT"/>
        </w:rPr>
        <w:t xml:space="preserve"> referenciada a ativos tenha sido classificada como significativa nos termos de uma decisão da EBA tomada em conformidade com o </w:t>
      </w:r>
      <w:proofErr w:type="spellStart"/>
      <w:r w:rsidRPr="00465964">
        <w:rPr>
          <w:lang w:val="pt-PT"/>
        </w:rPr>
        <w:t>n.</w:t>
      </w:r>
      <w:r w:rsidRPr="00465964">
        <w:rPr>
          <w:vertAlign w:val="superscript"/>
          <w:lang w:val="pt-PT"/>
        </w:rPr>
        <w:t>o</w:t>
      </w:r>
      <w:proofErr w:type="spellEnd"/>
      <w:r w:rsidRPr="00465964">
        <w:rPr>
          <w:lang w:val="pt-PT"/>
        </w:rPr>
        <w:t xml:space="preserve"> 6, as responsabilidades de supervisão em relação ao emitente dessa </w:t>
      </w:r>
      <w:proofErr w:type="spellStart"/>
      <w:r w:rsidRPr="00465964">
        <w:rPr>
          <w:lang w:val="pt-PT"/>
        </w:rPr>
        <w:t>criptoficha</w:t>
      </w:r>
      <w:proofErr w:type="spellEnd"/>
      <w:r w:rsidRPr="00465964">
        <w:rPr>
          <w:lang w:val="pt-PT"/>
        </w:rPr>
        <w:t xml:space="preserve"> referenciada a ativos significativa são transferidas da autoridade competente do Estado-Membro de origem do emitente para a EBA no prazo de 20 dias úteis a contar da data de notificação dessa decisão.</w:t>
      </w:r>
    </w:p>
    <w:p w14:paraId="2206734D" w14:textId="77777777" w:rsidR="00465964" w:rsidRPr="00465964" w:rsidRDefault="00465964" w:rsidP="00465964">
      <w:pPr>
        <w:rPr>
          <w:lang w:val="pt-PT"/>
        </w:rPr>
      </w:pPr>
      <w:r w:rsidRPr="00465964">
        <w:rPr>
          <w:lang w:val="pt-PT"/>
        </w:rPr>
        <w:t>A EBA e a autoridade competente devem cooperar entre si a fim de assegurar a transição harmoniosa das competências de supervisão.</w:t>
      </w:r>
    </w:p>
    <w:p w14:paraId="6C8216E1" w14:textId="26DCC629" w:rsidR="00465964" w:rsidRPr="00465964" w:rsidRDefault="00465964" w:rsidP="00465964">
      <w:pPr>
        <w:rPr>
          <w:lang w:val="pt-PT"/>
        </w:rPr>
      </w:pPr>
      <w:r w:rsidRPr="00465964">
        <w:rPr>
          <w:lang w:val="pt-PT"/>
        </w:rPr>
        <w:t xml:space="preserve">8.   A EBA reavalia anualmente a classificação das </w:t>
      </w:r>
      <w:r>
        <w:rPr>
          <w:lang w:val="pt-PT"/>
        </w:rPr>
        <w:t>criptomoedas</w:t>
      </w:r>
      <w:r w:rsidRPr="00465964">
        <w:rPr>
          <w:lang w:val="pt-PT"/>
        </w:rPr>
        <w:t xml:space="preserve"> referenciadas a ativos significativas com base nas informações disponíveis, incluindo as comunicações de informação a que se refere o </w:t>
      </w:r>
      <w:proofErr w:type="spellStart"/>
      <w:r w:rsidRPr="00465964">
        <w:rPr>
          <w:lang w:val="pt-PT"/>
        </w:rPr>
        <w:t>n.</w:t>
      </w:r>
      <w:r w:rsidRPr="00465964">
        <w:rPr>
          <w:vertAlign w:val="superscript"/>
          <w:lang w:val="pt-PT"/>
        </w:rPr>
        <w:t>o</w:t>
      </w:r>
      <w:proofErr w:type="spellEnd"/>
      <w:r w:rsidRPr="00465964">
        <w:rPr>
          <w:lang w:val="pt-PT"/>
        </w:rPr>
        <w:t> 4 ou a informação recebida ao abrigo do artigo 22.</w:t>
      </w:r>
      <w:r w:rsidRPr="00465964">
        <w:rPr>
          <w:vertAlign w:val="superscript"/>
          <w:lang w:val="pt-PT"/>
        </w:rPr>
        <w:t>o</w:t>
      </w:r>
      <w:r w:rsidRPr="00465964">
        <w:rPr>
          <w:lang w:val="pt-PT"/>
        </w:rPr>
        <w:t>.</w:t>
      </w:r>
    </w:p>
    <w:p w14:paraId="55B4A1A2" w14:textId="7163AF5D" w:rsidR="00465964" w:rsidRPr="00465964" w:rsidRDefault="00465964" w:rsidP="00465964">
      <w:pPr>
        <w:rPr>
          <w:lang w:val="pt-PT"/>
        </w:rPr>
      </w:pPr>
      <w:r w:rsidRPr="00465964">
        <w:rPr>
          <w:lang w:val="pt-PT"/>
        </w:rPr>
        <w:t xml:space="preserve">Caso a EBA conclua que uma determinada </w:t>
      </w:r>
      <w:proofErr w:type="spellStart"/>
      <w:r w:rsidRPr="00465964">
        <w:rPr>
          <w:lang w:val="pt-PT"/>
        </w:rPr>
        <w:t>criptoficha</w:t>
      </w:r>
      <w:proofErr w:type="spellEnd"/>
      <w:r w:rsidRPr="00465964">
        <w:rPr>
          <w:lang w:val="pt-PT"/>
        </w:rPr>
        <w:t xml:space="preserve"> referenciada a ativos deixou de preencher os critérios estabelecidos no </w:t>
      </w:r>
      <w:proofErr w:type="spellStart"/>
      <w:r w:rsidRPr="00465964">
        <w:rPr>
          <w:lang w:val="pt-PT"/>
        </w:rPr>
        <w:t>n.</w:t>
      </w:r>
      <w:r w:rsidRPr="00465964">
        <w:rPr>
          <w:vertAlign w:val="superscript"/>
          <w:lang w:val="pt-PT"/>
        </w:rPr>
        <w:t>o</w:t>
      </w:r>
      <w:proofErr w:type="spellEnd"/>
      <w:r w:rsidRPr="00465964">
        <w:rPr>
          <w:lang w:val="pt-PT"/>
        </w:rPr>
        <w:t xml:space="preserve"> 1, nos termos do </w:t>
      </w:r>
      <w:proofErr w:type="spellStart"/>
      <w:r w:rsidRPr="00465964">
        <w:rPr>
          <w:lang w:val="pt-PT"/>
        </w:rPr>
        <w:t>n.</w:t>
      </w:r>
      <w:r w:rsidRPr="00465964">
        <w:rPr>
          <w:vertAlign w:val="superscript"/>
          <w:lang w:val="pt-PT"/>
        </w:rPr>
        <w:t>o</w:t>
      </w:r>
      <w:proofErr w:type="spellEnd"/>
      <w:r w:rsidRPr="00465964">
        <w:rPr>
          <w:lang w:val="pt-PT"/>
        </w:rPr>
        <w:t xml:space="preserve"> 2, a EBA prepara um projeto de decisão para que as </w:t>
      </w:r>
      <w:r>
        <w:rPr>
          <w:lang w:val="pt-PT"/>
        </w:rPr>
        <w:t>criptomoedas</w:t>
      </w:r>
      <w:r w:rsidRPr="00465964">
        <w:rPr>
          <w:lang w:val="pt-PT"/>
        </w:rPr>
        <w:t xml:space="preserve"> referenciadas a ativos deixem de ser classificadas como significativas e notifica desse projeto de decisão os emitentes das </w:t>
      </w:r>
      <w:r>
        <w:rPr>
          <w:lang w:val="pt-PT"/>
        </w:rPr>
        <w:t>criptomoedas</w:t>
      </w:r>
      <w:r w:rsidRPr="00465964">
        <w:rPr>
          <w:lang w:val="pt-PT"/>
        </w:rPr>
        <w:t xml:space="preserve"> referenciadas a ativos em causa, a autoridade competente do respetivo Estado-Membro de origem, o BCE e, nos casos referidos no </w:t>
      </w:r>
      <w:proofErr w:type="spellStart"/>
      <w:r w:rsidRPr="00465964">
        <w:rPr>
          <w:lang w:val="pt-PT"/>
        </w:rPr>
        <w:t>n.</w:t>
      </w:r>
      <w:r w:rsidRPr="00465964">
        <w:rPr>
          <w:vertAlign w:val="superscript"/>
          <w:lang w:val="pt-PT"/>
        </w:rPr>
        <w:t>o</w:t>
      </w:r>
      <w:proofErr w:type="spellEnd"/>
      <w:r w:rsidRPr="00465964">
        <w:rPr>
          <w:lang w:val="pt-PT"/>
        </w:rPr>
        <w:t> 4, segundo parágrafo, o banco central do Estado-Membro em causa.</w:t>
      </w:r>
    </w:p>
    <w:p w14:paraId="0DA9B346" w14:textId="1FD98488" w:rsidR="00465964" w:rsidRPr="00465964" w:rsidRDefault="00465964" w:rsidP="00465964">
      <w:pPr>
        <w:rPr>
          <w:lang w:val="pt-PT"/>
        </w:rPr>
      </w:pPr>
      <w:r w:rsidRPr="00465964">
        <w:rPr>
          <w:lang w:val="pt-PT"/>
        </w:rPr>
        <w:t xml:space="preserve">Os emitentes dessas </w:t>
      </w:r>
      <w:r>
        <w:rPr>
          <w:lang w:val="pt-PT"/>
        </w:rPr>
        <w:t>criptomoedas</w:t>
      </w:r>
      <w:r w:rsidRPr="00465964">
        <w:rPr>
          <w:lang w:val="pt-PT"/>
        </w:rPr>
        <w:t xml:space="preserve"> referenciadas a ativos, as respetivas autoridades competentes, o BCE e o banco central a que se refere o </w:t>
      </w:r>
      <w:proofErr w:type="spellStart"/>
      <w:r w:rsidRPr="00465964">
        <w:rPr>
          <w:lang w:val="pt-PT"/>
        </w:rPr>
        <w:t>n.</w:t>
      </w:r>
      <w:r w:rsidRPr="00465964">
        <w:rPr>
          <w:vertAlign w:val="superscript"/>
          <w:lang w:val="pt-PT"/>
        </w:rPr>
        <w:t>o</w:t>
      </w:r>
      <w:proofErr w:type="spellEnd"/>
      <w:r w:rsidRPr="00465964">
        <w:rPr>
          <w:lang w:val="pt-PT"/>
        </w:rPr>
        <w:t> 4 dispõem de um prazo de 20 dias úteis a contar da data de notificação do projeto de decisão para apresentarem, por escrito, as suas observações e comentários. A EBA deve ter devidamente em conta essas observações e comentários antes de tomar uma decisão final.</w:t>
      </w:r>
    </w:p>
    <w:p w14:paraId="424F3BBA" w14:textId="734DB8EF" w:rsidR="00465964" w:rsidRPr="00465964" w:rsidRDefault="00465964" w:rsidP="00465964">
      <w:pPr>
        <w:rPr>
          <w:lang w:val="pt-PT"/>
        </w:rPr>
      </w:pPr>
      <w:r w:rsidRPr="00465964">
        <w:rPr>
          <w:lang w:val="pt-PT"/>
        </w:rPr>
        <w:t xml:space="preserve">9.   A EBA toma a sua decisão final sobre se uma </w:t>
      </w:r>
      <w:proofErr w:type="spellStart"/>
      <w:r w:rsidRPr="00465964">
        <w:rPr>
          <w:lang w:val="pt-PT"/>
        </w:rPr>
        <w:t>criptoficha</w:t>
      </w:r>
      <w:proofErr w:type="spellEnd"/>
      <w:r w:rsidRPr="00465964">
        <w:rPr>
          <w:lang w:val="pt-PT"/>
        </w:rPr>
        <w:t xml:space="preserve"> referenciada a ativos deixa de ser considerada significativa no prazo de 60 dias úteis a contar da data de notificação a que se refere o </w:t>
      </w:r>
      <w:proofErr w:type="spellStart"/>
      <w:r w:rsidRPr="00465964">
        <w:rPr>
          <w:lang w:val="pt-PT"/>
        </w:rPr>
        <w:t>n.</w:t>
      </w:r>
      <w:r w:rsidRPr="00465964">
        <w:rPr>
          <w:vertAlign w:val="superscript"/>
          <w:lang w:val="pt-PT"/>
        </w:rPr>
        <w:t>o</w:t>
      </w:r>
      <w:proofErr w:type="spellEnd"/>
      <w:r w:rsidRPr="00465964">
        <w:rPr>
          <w:lang w:val="pt-PT"/>
        </w:rPr>
        <w:t xml:space="preserve"> 8 e notifica de imediato essa decisão ao emitente dessas </w:t>
      </w:r>
      <w:r>
        <w:rPr>
          <w:lang w:val="pt-PT"/>
        </w:rPr>
        <w:t>criptomoedas</w:t>
      </w:r>
      <w:r w:rsidRPr="00465964">
        <w:rPr>
          <w:lang w:val="pt-PT"/>
        </w:rPr>
        <w:t xml:space="preserve"> referenciadas a ativos e à respetiva autoridade competente.</w:t>
      </w:r>
    </w:p>
    <w:p w14:paraId="74B32A5B" w14:textId="77777777" w:rsidR="00465964" w:rsidRPr="00465964" w:rsidRDefault="00465964" w:rsidP="00465964">
      <w:pPr>
        <w:rPr>
          <w:lang w:val="pt-PT"/>
        </w:rPr>
      </w:pPr>
      <w:r w:rsidRPr="00465964">
        <w:rPr>
          <w:lang w:val="pt-PT"/>
        </w:rPr>
        <w:t xml:space="preserve">10.   Caso uma </w:t>
      </w:r>
      <w:proofErr w:type="spellStart"/>
      <w:r w:rsidRPr="00465964">
        <w:rPr>
          <w:lang w:val="pt-PT"/>
        </w:rPr>
        <w:t>criptoficha</w:t>
      </w:r>
      <w:proofErr w:type="spellEnd"/>
      <w:r w:rsidRPr="00465964">
        <w:rPr>
          <w:lang w:val="pt-PT"/>
        </w:rPr>
        <w:t xml:space="preserve"> referenciada a ativos deixe de ser classificada como significativa nos termos de uma decisão da EBA tomada em conformidade com o </w:t>
      </w:r>
      <w:proofErr w:type="spellStart"/>
      <w:r w:rsidRPr="00465964">
        <w:rPr>
          <w:lang w:val="pt-PT"/>
        </w:rPr>
        <w:t>n.</w:t>
      </w:r>
      <w:r w:rsidRPr="00465964">
        <w:rPr>
          <w:vertAlign w:val="superscript"/>
          <w:lang w:val="pt-PT"/>
        </w:rPr>
        <w:t>o</w:t>
      </w:r>
      <w:proofErr w:type="spellEnd"/>
      <w:r w:rsidRPr="00465964">
        <w:rPr>
          <w:lang w:val="pt-PT"/>
        </w:rPr>
        <w:t xml:space="preserve"> 9, as responsabilidades de supervisão em relação ao emitente dessa </w:t>
      </w:r>
      <w:proofErr w:type="spellStart"/>
      <w:r w:rsidRPr="00465964">
        <w:rPr>
          <w:lang w:val="pt-PT"/>
        </w:rPr>
        <w:t>criptoficha</w:t>
      </w:r>
      <w:proofErr w:type="spellEnd"/>
      <w:r w:rsidRPr="00465964">
        <w:rPr>
          <w:lang w:val="pt-PT"/>
        </w:rPr>
        <w:t xml:space="preserve"> referenciada a ativos são transferidas da </w:t>
      </w:r>
      <w:r w:rsidRPr="00465964">
        <w:rPr>
          <w:lang w:val="pt-PT"/>
        </w:rPr>
        <w:lastRenderedPageBreak/>
        <w:t>EBA para a autoridade competente do Estado-Membro de origem do emitente no prazo de 20 dias úteis a contar da data de notificação dessa decisão.</w:t>
      </w:r>
    </w:p>
    <w:p w14:paraId="186CD275" w14:textId="77777777" w:rsidR="00465964" w:rsidRPr="00465964" w:rsidRDefault="00465964" w:rsidP="00465964">
      <w:pPr>
        <w:rPr>
          <w:lang w:val="pt-PT"/>
        </w:rPr>
      </w:pPr>
      <w:r w:rsidRPr="00465964">
        <w:rPr>
          <w:lang w:val="pt-PT"/>
        </w:rPr>
        <w:t>A EBA e a autoridade competente cooperam entre si, a fim de assegurar a transição harmoniosa das competências de supervisão.</w:t>
      </w:r>
    </w:p>
    <w:p w14:paraId="21D28D7A" w14:textId="77777777" w:rsidR="00465964" w:rsidRPr="00465964" w:rsidRDefault="00465964" w:rsidP="00465964">
      <w:pPr>
        <w:rPr>
          <w:lang w:val="pt-PT"/>
        </w:rPr>
      </w:pPr>
      <w:r w:rsidRPr="00465964">
        <w:rPr>
          <w:lang w:val="pt-PT"/>
        </w:rPr>
        <w:t>11.   A Comissão adota atos delegados nos termos do artigo 139.</w:t>
      </w:r>
      <w:r w:rsidRPr="00465964">
        <w:rPr>
          <w:vertAlign w:val="superscript"/>
          <w:lang w:val="pt-PT"/>
        </w:rPr>
        <w:t>o</w:t>
      </w:r>
      <w:r w:rsidRPr="00465964">
        <w:rPr>
          <w:lang w:val="pt-PT"/>
        </w:rPr>
        <w:t xml:space="preserve">, a fim de completar o presente regulamento com a especificação mais pormenorizada dos critérios estabelecidos no </w:t>
      </w:r>
      <w:proofErr w:type="spellStart"/>
      <w:r w:rsidRPr="00465964">
        <w:rPr>
          <w:lang w:val="pt-PT"/>
        </w:rPr>
        <w:t>n.</w:t>
      </w:r>
      <w:r w:rsidRPr="00465964">
        <w:rPr>
          <w:vertAlign w:val="superscript"/>
          <w:lang w:val="pt-PT"/>
        </w:rPr>
        <w:t>o</w:t>
      </w:r>
      <w:proofErr w:type="spellEnd"/>
      <w:r w:rsidRPr="00465964">
        <w:rPr>
          <w:lang w:val="pt-PT"/>
        </w:rPr>
        <w:t xml:space="preserve"> 1 para que uma </w:t>
      </w:r>
      <w:proofErr w:type="spellStart"/>
      <w:r w:rsidRPr="00465964">
        <w:rPr>
          <w:lang w:val="pt-PT"/>
        </w:rPr>
        <w:t>criptoficha</w:t>
      </w:r>
      <w:proofErr w:type="spellEnd"/>
      <w:r w:rsidRPr="00465964">
        <w:rPr>
          <w:lang w:val="pt-PT"/>
        </w:rPr>
        <w:t xml:space="preserve"> referenciada a ativos seja classificada como significativa e de determinar:</w:t>
      </w:r>
    </w:p>
    <w:tbl>
      <w:tblPr>
        <w:tblW w:w="5000" w:type="pct"/>
        <w:tblCellMar>
          <w:left w:w="0" w:type="dxa"/>
          <w:right w:w="0" w:type="dxa"/>
        </w:tblCellMar>
        <w:tblLook w:val="04A0" w:firstRow="1" w:lastRow="0" w:firstColumn="1" w:lastColumn="0" w:noHBand="0" w:noVBand="1"/>
      </w:tblPr>
      <w:tblGrid>
        <w:gridCol w:w="182"/>
        <w:gridCol w:w="8844"/>
      </w:tblGrid>
      <w:tr w:rsidR="00465964" w:rsidRPr="00465964" w14:paraId="73A645C7" w14:textId="77777777" w:rsidTr="00465964">
        <w:tc>
          <w:tcPr>
            <w:tcW w:w="0" w:type="auto"/>
            <w:shd w:val="clear" w:color="auto" w:fill="auto"/>
            <w:hideMark/>
          </w:tcPr>
          <w:p w14:paraId="258A32ED" w14:textId="77777777" w:rsidR="00465964" w:rsidRPr="00465964" w:rsidRDefault="00465964" w:rsidP="00465964">
            <w:r w:rsidRPr="00465964">
              <w:t>a)</w:t>
            </w:r>
          </w:p>
        </w:tc>
        <w:tc>
          <w:tcPr>
            <w:tcW w:w="0" w:type="auto"/>
            <w:shd w:val="clear" w:color="auto" w:fill="auto"/>
            <w:hideMark/>
          </w:tcPr>
          <w:p w14:paraId="41D06B04" w14:textId="77777777" w:rsidR="00465964" w:rsidRPr="00465964" w:rsidRDefault="00465964" w:rsidP="00465964">
            <w:pPr>
              <w:rPr>
                <w:lang w:val="pt-PT"/>
              </w:rPr>
            </w:pPr>
            <w:r w:rsidRPr="00465964">
              <w:rPr>
                <w:lang w:val="pt-PT"/>
              </w:rPr>
              <w:t xml:space="preserve">As circunstâncias em que as atividades do emitente da </w:t>
            </w:r>
            <w:proofErr w:type="spellStart"/>
            <w:r w:rsidRPr="00465964">
              <w:rPr>
                <w:lang w:val="pt-PT"/>
              </w:rPr>
              <w:t>criptoficha</w:t>
            </w:r>
            <w:proofErr w:type="spellEnd"/>
            <w:r w:rsidRPr="00465964">
              <w:rPr>
                <w:lang w:val="pt-PT"/>
              </w:rPr>
              <w:t xml:space="preserve"> referenciada a ativos são consideradas significativas à escala internacional, fora da União;</w:t>
            </w:r>
          </w:p>
        </w:tc>
      </w:tr>
    </w:tbl>
    <w:p w14:paraId="4CCFCE84"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8"/>
        <w:gridCol w:w="8838"/>
      </w:tblGrid>
      <w:tr w:rsidR="00465964" w:rsidRPr="00465964" w14:paraId="08739633" w14:textId="77777777" w:rsidTr="00465964">
        <w:tc>
          <w:tcPr>
            <w:tcW w:w="0" w:type="auto"/>
            <w:shd w:val="clear" w:color="auto" w:fill="auto"/>
            <w:hideMark/>
          </w:tcPr>
          <w:p w14:paraId="5B327518" w14:textId="77777777" w:rsidR="00465964" w:rsidRPr="00465964" w:rsidRDefault="00465964" w:rsidP="00465964">
            <w:r w:rsidRPr="00465964">
              <w:t>b)</w:t>
            </w:r>
          </w:p>
        </w:tc>
        <w:tc>
          <w:tcPr>
            <w:tcW w:w="0" w:type="auto"/>
            <w:shd w:val="clear" w:color="auto" w:fill="auto"/>
            <w:hideMark/>
          </w:tcPr>
          <w:p w14:paraId="39C2FD13" w14:textId="6B6E0622" w:rsidR="00465964" w:rsidRPr="00465964" w:rsidRDefault="00465964" w:rsidP="00465964">
            <w:pPr>
              <w:rPr>
                <w:lang w:val="pt-PT"/>
              </w:rPr>
            </w:pPr>
            <w:r w:rsidRPr="00465964">
              <w:rPr>
                <w:lang w:val="pt-PT"/>
              </w:rPr>
              <w:t xml:space="preserve">As circunstâncias em que as </w:t>
            </w:r>
            <w:r>
              <w:rPr>
                <w:lang w:val="pt-PT"/>
              </w:rPr>
              <w:t>criptomoedas</w:t>
            </w:r>
            <w:r w:rsidRPr="00465964">
              <w:rPr>
                <w:lang w:val="pt-PT"/>
              </w:rPr>
              <w:t xml:space="preserve"> referenciadas a ativos e os respetivos emitentes são considerados como estando interligados com o sistema financeiro;</w:t>
            </w:r>
          </w:p>
        </w:tc>
      </w:tr>
    </w:tbl>
    <w:p w14:paraId="5555E344"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0"/>
        <w:gridCol w:w="8846"/>
      </w:tblGrid>
      <w:tr w:rsidR="00465964" w:rsidRPr="00465964" w14:paraId="46A1A582" w14:textId="77777777" w:rsidTr="00465964">
        <w:tc>
          <w:tcPr>
            <w:tcW w:w="0" w:type="auto"/>
            <w:shd w:val="clear" w:color="auto" w:fill="auto"/>
            <w:hideMark/>
          </w:tcPr>
          <w:p w14:paraId="5AFC7F25" w14:textId="77777777" w:rsidR="00465964" w:rsidRPr="00465964" w:rsidRDefault="00465964" w:rsidP="00465964">
            <w:r w:rsidRPr="00465964">
              <w:t>c)</w:t>
            </w:r>
          </w:p>
        </w:tc>
        <w:tc>
          <w:tcPr>
            <w:tcW w:w="0" w:type="auto"/>
            <w:shd w:val="clear" w:color="auto" w:fill="auto"/>
            <w:hideMark/>
          </w:tcPr>
          <w:p w14:paraId="23A6874F" w14:textId="77777777" w:rsidR="00465964" w:rsidRPr="00465964" w:rsidRDefault="00465964" w:rsidP="00465964">
            <w:pPr>
              <w:rPr>
                <w:lang w:val="pt-PT"/>
              </w:rPr>
            </w:pPr>
            <w:r w:rsidRPr="00465964">
              <w:rPr>
                <w:lang w:val="pt-PT"/>
              </w:rPr>
              <w:t xml:space="preserve">O conteúdo e o formato das informações facultadas pelas autoridades competentes à EBA e ao BCE nos termos do </w:t>
            </w:r>
            <w:proofErr w:type="spellStart"/>
            <w:r w:rsidRPr="00465964">
              <w:rPr>
                <w:lang w:val="pt-PT"/>
              </w:rPr>
              <w:t>n.</w:t>
            </w:r>
            <w:r w:rsidRPr="00465964">
              <w:rPr>
                <w:vertAlign w:val="superscript"/>
                <w:lang w:val="pt-PT"/>
              </w:rPr>
              <w:t>o</w:t>
            </w:r>
            <w:proofErr w:type="spellEnd"/>
            <w:r w:rsidRPr="00465964">
              <w:rPr>
                <w:lang w:val="pt-PT"/>
              </w:rPr>
              <w:t> 4 do presente artigo e do artigo 56.</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3.</w:t>
            </w:r>
          </w:p>
        </w:tc>
      </w:tr>
    </w:tbl>
    <w:p w14:paraId="425754D4" w14:textId="77777777" w:rsidR="00465964" w:rsidRPr="00465964" w:rsidRDefault="00465964" w:rsidP="00465964">
      <w:pPr>
        <w:rPr>
          <w:i/>
          <w:iCs/>
          <w:lang w:val="pt-PT"/>
        </w:rPr>
      </w:pPr>
      <w:r w:rsidRPr="00465964">
        <w:rPr>
          <w:i/>
          <w:iCs/>
          <w:lang w:val="pt-PT"/>
        </w:rPr>
        <w:t>Artigo 44.</w:t>
      </w:r>
      <w:r w:rsidRPr="00465964">
        <w:rPr>
          <w:i/>
          <w:iCs/>
          <w:vertAlign w:val="superscript"/>
          <w:lang w:val="pt-PT"/>
        </w:rPr>
        <w:t>o</w:t>
      </w:r>
    </w:p>
    <w:p w14:paraId="2B5E125F" w14:textId="2B66862B" w:rsidR="00465964" w:rsidRPr="00465964" w:rsidRDefault="00465964" w:rsidP="00465964">
      <w:pPr>
        <w:rPr>
          <w:b/>
          <w:bCs/>
          <w:lang w:val="pt-PT"/>
        </w:rPr>
      </w:pPr>
      <w:r w:rsidRPr="00465964">
        <w:rPr>
          <w:b/>
          <w:bCs/>
          <w:lang w:val="pt-PT"/>
        </w:rPr>
        <w:t xml:space="preserve">Classificação voluntária das </w:t>
      </w:r>
      <w:r>
        <w:rPr>
          <w:b/>
          <w:bCs/>
          <w:lang w:val="pt-PT"/>
        </w:rPr>
        <w:t>criptomoedas</w:t>
      </w:r>
      <w:r w:rsidRPr="00465964">
        <w:rPr>
          <w:b/>
          <w:bCs/>
          <w:lang w:val="pt-PT"/>
        </w:rPr>
        <w:t xml:space="preserve"> referenciadas a ativos como significativas</w:t>
      </w:r>
    </w:p>
    <w:p w14:paraId="52F399AE" w14:textId="5D059B56" w:rsidR="00465964" w:rsidRPr="00465964" w:rsidRDefault="00465964" w:rsidP="00465964">
      <w:pPr>
        <w:rPr>
          <w:lang w:val="pt-PT"/>
        </w:rPr>
      </w:pPr>
      <w:r w:rsidRPr="00465964">
        <w:rPr>
          <w:lang w:val="pt-PT"/>
        </w:rPr>
        <w:t xml:space="preserve">1.   Os emitentes de </w:t>
      </w:r>
      <w:r>
        <w:rPr>
          <w:lang w:val="pt-PT"/>
        </w:rPr>
        <w:t>criptomoedas</w:t>
      </w:r>
      <w:r w:rsidRPr="00465964">
        <w:rPr>
          <w:lang w:val="pt-PT"/>
        </w:rPr>
        <w:t xml:space="preserve"> referenciadas a ativos requerentes podem indicar no seu pedido de autorização nos termos do artigo 18.</w:t>
      </w:r>
      <w:r w:rsidRPr="00465964">
        <w:rPr>
          <w:vertAlign w:val="superscript"/>
          <w:lang w:val="pt-PT"/>
        </w:rPr>
        <w:t>o</w:t>
      </w:r>
      <w:r w:rsidRPr="00465964">
        <w:rPr>
          <w:lang w:val="pt-PT"/>
        </w:rPr>
        <w:t>, ou na sua notificação nos termos do artigo 17.</w:t>
      </w:r>
      <w:r w:rsidRPr="00465964">
        <w:rPr>
          <w:vertAlign w:val="superscript"/>
          <w:lang w:val="pt-PT"/>
        </w:rPr>
        <w:t>o</w:t>
      </w:r>
      <w:r w:rsidRPr="00465964">
        <w:rPr>
          <w:lang w:val="pt-PT"/>
        </w:rPr>
        <w:t xml:space="preserve">, que pretendem que as suas </w:t>
      </w:r>
      <w:r>
        <w:rPr>
          <w:lang w:val="pt-PT"/>
        </w:rPr>
        <w:t>criptomoedas</w:t>
      </w:r>
      <w:r w:rsidRPr="00465964">
        <w:rPr>
          <w:lang w:val="pt-PT"/>
        </w:rPr>
        <w:t xml:space="preserve"> referenciadas a ativos sejam classificadas como </w:t>
      </w:r>
      <w:r>
        <w:rPr>
          <w:lang w:val="pt-PT"/>
        </w:rPr>
        <w:t>criptomoedas</w:t>
      </w:r>
      <w:r w:rsidRPr="00465964">
        <w:rPr>
          <w:lang w:val="pt-PT"/>
        </w:rPr>
        <w:t xml:space="preserve"> referenciadas a ativos significativas. Nesse caso, a autoridade competente notifica de imediato esse pedido do emitente requerente à EBA, ao BCE e, nos casos referidos no artigo 43.</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4, ao banco central do Estado-Membro em causa.</w:t>
      </w:r>
    </w:p>
    <w:p w14:paraId="665B99E0" w14:textId="77777777" w:rsidR="00465964" w:rsidRPr="00465964" w:rsidRDefault="00465964" w:rsidP="00465964">
      <w:pPr>
        <w:rPr>
          <w:lang w:val="pt-PT"/>
        </w:rPr>
      </w:pPr>
      <w:r w:rsidRPr="00465964">
        <w:rPr>
          <w:lang w:val="pt-PT"/>
        </w:rPr>
        <w:t xml:space="preserve">Para que uma </w:t>
      </w:r>
      <w:proofErr w:type="spellStart"/>
      <w:r w:rsidRPr="00465964">
        <w:rPr>
          <w:lang w:val="pt-PT"/>
        </w:rPr>
        <w:t>criptoficha</w:t>
      </w:r>
      <w:proofErr w:type="spellEnd"/>
      <w:r w:rsidRPr="00465964">
        <w:rPr>
          <w:lang w:val="pt-PT"/>
        </w:rPr>
        <w:t xml:space="preserve"> referenciada a ativos seja classificada como significativa nos termos do presente artigo, o emitente requerente da </w:t>
      </w:r>
      <w:proofErr w:type="spellStart"/>
      <w:r w:rsidRPr="00465964">
        <w:rPr>
          <w:lang w:val="pt-PT"/>
        </w:rPr>
        <w:t>criptoficha</w:t>
      </w:r>
      <w:proofErr w:type="spellEnd"/>
      <w:r w:rsidRPr="00465964">
        <w:rPr>
          <w:lang w:val="pt-PT"/>
        </w:rPr>
        <w:t xml:space="preserve"> referenciada a ativos deve demonstrar, através de um programa de atividades detalhado a que se referem o artigo 17.</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1, alínea b), subalínea i), e o artigo 18.</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2, alínea d), que é provável que venha a preencher pelo menos três dos critérios previstos no artigo 43.</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1.</w:t>
      </w:r>
    </w:p>
    <w:p w14:paraId="632B1544" w14:textId="77777777" w:rsidR="00465964" w:rsidRPr="00465964" w:rsidRDefault="00465964" w:rsidP="00465964">
      <w:pPr>
        <w:rPr>
          <w:lang w:val="pt-PT"/>
        </w:rPr>
      </w:pPr>
      <w:r w:rsidRPr="00465964">
        <w:rPr>
          <w:lang w:val="pt-PT"/>
        </w:rPr>
        <w:t xml:space="preserve">2.   No prazo de 20 dias úteis a contar da notificação a que se refere o </w:t>
      </w:r>
      <w:proofErr w:type="spellStart"/>
      <w:r w:rsidRPr="00465964">
        <w:rPr>
          <w:lang w:val="pt-PT"/>
        </w:rPr>
        <w:t>n.</w:t>
      </w:r>
      <w:r w:rsidRPr="00465964">
        <w:rPr>
          <w:vertAlign w:val="superscript"/>
          <w:lang w:val="pt-PT"/>
        </w:rPr>
        <w:t>o</w:t>
      </w:r>
      <w:proofErr w:type="spellEnd"/>
      <w:r w:rsidRPr="00465964">
        <w:rPr>
          <w:lang w:val="pt-PT"/>
        </w:rPr>
        <w:t xml:space="preserve"> 1 do presente artigo, a EBA elabora um projeto de decisão em que indica, com base no programa de atividades, o seu entendimento sobre se a </w:t>
      </w:r>
      <w:proofErr w:type="spellStart"/>
      <w:r w:rsidRPr="00465964">
        <w:rPr>
          <w:lang w:val="pt-PT"/>
        </w:rPr>
        <w:t>criptoficha</w:t>
      </w:r>
      <w:proofErr w:type="spellEnd"/>
      <w:r w:rsidRPr="00465964">
        <w:rPr>
          <w:lang w:val="pt-PT"/>
        </w:rPr>
        <w:t xml:space="preserve"> referenciada a ativos preenche ou é provável que preencha pelo menos três dos critérios previstos no artigo 43.</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1, e notifica esse projeto de decisão à autoridade competente do Estado-Membro de origem do emitente requerente, ao BCE e, nos casos referidos no artigo 43.</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4, segundo parágrafo, ao banco central do Estado-Membro em causa.</w:t>
      </w:r>
    </w:p>
    <w:p w14:paraId="06DBCB51" w14:textId="77777777" w:rsidR="00465964" w:rsidRPr="00465964" w:rsidRDefault="00465964" w:rsidP="00465964">
      <w:pPr>
        <w:rPr>
          <w:lang w:val="pt-PT"/>
        </w:rPr>
      </w:pPr>
      <w:r w:rsidRPr="00465964">
        <w:rPr>
          <w:lang w:val="pt-PT"/>
        </w:rPr>
        <w:t xml:space="preserve">As autoridades competentes dos emitentes dessa </w:t>
      </w:r>
      <w:proofErr w:type="spellStart"/>
      <w:r w:rsidRPr="00465964">
        <w:rPr>
          <w:lang w:val="pt-PT"/>
        </w:rPr>
        <w:t>criptoficha</w:t>
      </w:r>
      <w:proofErr w:type="spellEnd"/>
      <w:r w:rsidRPr="00465964">
        <w:rPr>
          <w:lang w:val="pt-PT"/>
        </w:rPr>
        <w:t xml:space="preserve"> referenciada a ativos, o BCE e, quando aplicável, o banco central do Estado-Membro em causa, dispõem de um prazo de 20 dias úteis a contar da data de notificação do projeto de decisão para apresentarem, por escrito, as suas observações e comentários. A EBA deve ter devidamente em conta essas observações e comentários antes de tomar uma decisão final.</w:t>
      </w:r>
    </w:p>
    <w:p w14:paraId="39138E56" w14:textId="77777777" w:rsidR="00465964" w:rsidRPr="00465964" w:rsidRDefault="00465964" w:rsidP="00465964">
      <w:pPr>
        <w:rPr>
          <w:lang w:val="pt-PT"/>
        </w:rPr>
      </w:pPr>
      <w:r w:rsidRPr="00465964">
        <w:rPr>
          <w:lang w:val="pt-PT"/>
        </w:rPr>
        <w:t xml:space="preserve">3.   A EBA deve tomar a sua decisão final de classificar uma </w:t>
      </w:r>
      <w:proofErr w:type="spellStart"/>
      <w:r w:rsidRPr="00465964">
        <w:rPr>
          <w:lang w:val="pt-PT"/>
        </w:rPr>
        <w:t>criptoficha</w:t>
      </w:r>
      <w:proofErr w:type="spellEnd"/>
      <w:r w:rsidRPr="00465964">
        <w:rPr>
          <w:lang w:val="pt-PT"/>
        </w:rPr>
        <w:t xml:space="preserve"> referenciada a ativos como significativa ou não no prazo de 60 dias úteis a contar da notificação a que se refere o </w:t>
      </w:r>
      <w:proofErr w:type="spellStart"/>
      <w:r w:rsidRPr="00465964">
        <w:rPr>
          <w:lang w:val="pt-PT"/>
        </w:rPr>
        <w:lastRenderedPageBreak/>
        <w:t>n.</w:t>
      </w:r>
      <w:r w:rsidRPr="00465964">
        <w:rPr>
          <w:vertAlign w:val="superscript"/>
          <w:lang w:val="pt-PT"/>
        </w:rPr>
        <w:t>o</w:t>
      </w:r>
      <w:proofErr w:type="spellEnd"/>
      <w:r w:rsidRPr="00465964">
        <w:rPr>
          <w:lang w:val="pt-PT"/>
        </w:rPr>
        <w:t xml:space="preserve"> 1 e notifica de imediato essa decisão ao emitente requerente dessa </w:t>
      </w:r>
      <w:proofErr w:type="spellStart"/>
      <w:r w:rsidRPr="00465964">
        <w:rPr>
          <w:lang w:val="pt-PT"/>
        </w:rPr>
        <w:t>criptoficha</w:t>
      </w:r>
      <w:proofErr w:type="spellEnd"/>
      <w:r w:rsidRPr="00465964">
        <w:rPr>
          <w:lang w:val="pt-PT"/>
        </w:rPr>
        <w:t xml:space="preserve"> referenciada a ativos e à respetiva autoridade competente.</w:t>
      </w:r>
    </w:p>
    <w:p w14:paraId="3E483DA7" w14:textId="0E7BD187" w:rsidR="00465964" w:rsidRPr="00465964" w:rsidRDefault="00465964" w:rsidP="00465964">
      <w:pPr>
        <w:rPr>
          <w:lang w:val="pt-PT"/>
        </w:rPr>
      </w:pPr>
      <w:r w:rsidRPr="00465964">
        <w:rPr>
          <w:lang w:val="pt-PT"/>
        </w:rPr>
        <w:t xml:space="preserve">4.   Se as </w:t>
      </w:r>
      <w:r>
        <w:rPr>
          <w:lang w:val="pt-PT"/>
        </w:rPr>
        <w:t>criptomoedas</w:t>
      </w:r>
      <w:r w:rsidRPr="00465964">
        <w:rPr>
          <w:lang w:val="pt-PT"/>
        </w:rPr>
        <w:t xml:space="preserve"> referenciadas a ativos tiverem sido classificadas como significativas nos termos de uma decisão da EBA tomada em conformidade com o </w:t>
      </w:r>
      <w:proofErr w:type="spellStart"/>
      <w:r w:rsidRPr="00465964">
        <w:rPr>
          <w:lang w:val="pt-PT"/>
        </w:rPr>
        <w:t>n.</w:t>
      </w:r>
      <w:r w:rsidRPr="00465964">
        <w:rPr>
          <w:vertAlign w:val="superscript"/>
          <w:lang w:val="pt-PT"/>
        </w:rPr>
        <w:t>o</w:t>
      </w:r>
      <w:proofErr w:type="spellEnd"/>
      <w:r w:rsidRPr="00465964">
        <w:rPr>
          <w:lang w:val="pt-PT"/>
        </w:rPr>
        <w:t xml:space="preserve"> 3 do presente artigo, as responsabilidades de supervisão em relação aos emitentes dessas </w:t>
      </w:r>
      <w:r>
        <w:rPr>
          <w:lang w:val="pt-PT"/>
        </w:rPr>
        <w:t>criptomoedas</w:t>
      </w:r>
      <w:r w:rsidRPr="00465964">
        <w:rPr>
          <w:lang w:val="pt-PT"/>
        </w:rPr>
        <w:t xml:space="preserve"> referenciadas a ativos são transferidas da autoridade competente para a EBA, na data da decisão pela qual a autoridade competente concede a autorização a que se refere o artigo 21.</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1, ou na data de aprovação do livrete do criptoativo nos termos do artigo 17.</w:t>
      </w:r>
      <w:r w:rsidRPr="00465964">
        <w:rPr>
          <w:vertAlign w:val="superscript"/>
          <w:lang w:val="pt-PT"/>
        </w:rPr>
        <w:t>o</w:t>
      </w:r>
      <w:r w:rsidRPr="00465964">
        <w:rPr>
          <w:lang w:val="pt-PT"/>
        </w:rPr>
        <w:t>.</w:t>
      </w:r>
    </w:p>
    <w:p w14:paraId="74720349" w14:textId="77777777" w:rsidR="00465964" w:rsidRPr="00465964" w:rsidRDefault="00465964" w:rsidP="00465964">
      <w:pPr>
        <w:rPr>
          <w:i/>
          <w:iCs/>
          <w:lang w:val="pt-PT"/>
        </w:rPr>
      </w:pPr>
      <w:r w:rsidRPr="00465964">
        <w:rPr>
          <w:i/>
          <w:iCs/>
          <w:lang w:val="pt-PT"/>
        </w:rPr>
        <w:t>Artigo 45.</w:t>
      </w:r>
      <w:r w:rsidRPr="00465964">
        <w:rPr>
          <w:i/>
          <w:iCs/>
          <w:vertAlign w:val="superscript"/>
          <w:lang w:val="pt-PT"/>
        </w:rPr>
        <w:t>o</w:t>
      </w:r>
    </w:p>
    <w:p w14:paraId="54F4FCA2" w14:textId="0F62A0D7" w:rsidR="00465964" w:rsidRPr="00465964" w:rsidRDefault="00465964" w:rsidP="00465964">
      <w:pPr>
        <w:rPr>
          <w:b/>
          <w:bCs/>
          <w:lang w:val="pt-PT"/>
        </w:rPr>
      </w:pPr>
      <w:r w:rsidRPr="00465964">
        <w:rPr>
          <w:b/>
          <w:bCs/>
          <w:lang w:val="pt-PT"/>
        </w:rPr>
        <w:t xml:space="preserve">Obrigações adicionais específicas dos emitentes de </w:t>
      </w:r>
      <w:r>
        <w:rPr>
          <w:b/>
          <w:bCs/>
          <w:lang w:val="pt-PT"/>
        </w:rPr>
        <w:t>criptomoedas</w:t>
      </w:r>
      <w:r w:rsidRPr="00465964">
        <w:rPr>
          <w:b/>
          <w:bCs/>
          <w:lang w:val="pt-PT"/>
        </w:rPr>
        <w:t xml:space="preserve"> referenciadas a ativos significativas</w:t>
      </w:r>
    </w:p>
    <w:p w14:paraId="558CA918" w14:textId="68D23137" w:rsidR="00465964" w:rsidRPr="00465964" w:rsidRDefault="00465964" w:rsidP="00465964">
      <w:pPr>
        <w:rPr>
          <w:lang w:val="pt-PT"/>
        </w:rPr>
      </w:pPr>
      <w:r w:rsidRPr="00465964">
        <w:rPr>
          <w:lang w:val="pt-PT"/>
        </w:rPr>
        <w:t xml:space="preserve">1.   Os emitentes de </w:t>
      </w:r>
      <w:r>
        <w:rPr>
          <w:lang w:val="pt-PT"/>
        </w:rPr>
        <w:t>criptomoedas</w:t>
      </w:r>
      <w:r w:rsidRPr="00465964">
        <w:rPr>
          <w:lang w:val="pt-PT"/>
        </w:rPr>
        <w:t xml:space="preserve"> referenciadas a ativos significativas devem adotar, aplicar e manter uma política de remunerações que promova uma gestão de riscos sólida e eficaz desses emitentes e que não crie incentivos a padrões de risco menos exigentes.</w:t>
      </w:r>
    </w:p>
    <w:p w14:paraId="103FDA2F" w14:textId="1F2FCA0C" w:rsidR="00465964" w:rsidRPr="00465964" w:rsidRDefault="00465964" w:rsidP="00465964">
      <w:pPr>
        <w:rPr>
          <w:lang w:val="pt-PT"/>
        </w:rPr>
      </w:pPr>
      <w:r w:rsidRPr="00465964">
        <w:rPr>
          <w:lang w:val="pt-PT"/>
        </w:rPr>
        <w:t xml:space="preserve">2.   Os emitentes de </w:t>
      </w:r>
      <w:r>
        <w:rPr>
          <w:lang w:val="pt-PT"/>
        </w:rPr>
        <w:t>criptomoedas</w:t>
      </w:r>
      <w:r w:rsidRPr="00465964">
        <w:rPr>
          <w:lang w:val="pt-PT"/>
        </w:rPr>
        <w:t xml:space="preserve"> referenciadas a ativos significativas devem assegurar que estas possam ser detidas em custódia por diferentes prestadores de serviços de criptoativos autorizados para a custódia e administração de criptoativos em nome de clientes, inclusive por prestadores de serviços de criptoativos que não pertençam ao mesmo grupo, na aceção do artigo 2.</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11, da Diretiva 2013/34/UE, numa base equitativa, razoável e não discriminatória.</w:t>
      </w:r>
    </w:p>
    <w:p w14:paraId="7CA1F617" w14:textId="2E4E2A52" w:rsidR="00465964" w:rsidRPr="00465964" w:rsidRDefault="00465964" w:rsidP="00465964">
      <w:pPr>
        <w:rPr>
          <w:lang w:val="pt-PT"/>
        </w:rPr>
      </w:pPr>
      <w:r w:rsidRPr="00465964">
        <w:rPr>
          <w:lang w:val="pt-PT"/>
        </w:rPr>
        <w:t xml:space="preserve">3.   Os emitentes de </w:t>
      </w:r>
      <w:r>
        <w:rPr>
          <w:lang w:val="pt-PT"/>
        </w:rPr>
        <w:t>criptomoedas</w:t>
      </w:r>
      <w:r w:rsidRPr="00465964">
        <w:rPr>
          <w:lang w:val="pt-PT"/>
        </w:rPr>
        <w:t xml:space="preserve"> referenciadas a ativos significativas devem avaliar e vigiar as necessidades de liquidez para dar resposta aos pedidos de reembolso de </w:t>
      </w:r>
      <w:r>
        <w:rPr>
          <w:lang w:val="pt-PT"/>
        </w:rPr>
        <w:t>criptomoedas</w:t>
      </w:r>
      <w:r w:rsidRPr="00465964">
        <w:rPr>
          <w:lang w:val="pt-PT"/>
        </w:rPr>
        <w:t xml:space="preserve"> referenciadas a ativos por parte dos seus detentores. Para o efeito, os emitentes de </w:t>
      </w:r>
      <w:r>
        <w:rPr>
          <w:lang w:val="pt-PT"/>
        </w:rPr>
        <w:t>criptomoedas</w:t>
      </w:r>
      <w:r w:rsidRPr="00465964">
        <w:rPr>
          <w:lang w:val="pt-PT"/>
        </w:rPr>
        <w:t xml:space="preserve"> referenciadas a ativos significativas devem estabelecer, manter e aplicar uma política e procedimentos de gestão da liquidez. Essa política e esses procedimentos devem assegurar que os ativos de reserva tenham um perfil de liquidez resiliente, que permita ao emitente de </w:t>
      </w:r>
      <w:r>
        <w:rPr>
          <w:lang w:val="pt-PT"/>
        </w:rPr>
        <w:t>criptomoedas</w:t>
      </w:r>
      <w:r w:rsidRPr="00465964">
        <w:rPr>
          <w:lang w:val="pt-PT"/>
        </w:rPr>
        <w:t xml:space="preserve"> referenciadas a ativos significativas continuar a funcionar normalmente, inclusive em cenários de esforço de liquidez.</w:t>
      </w:r>
    </w:p>
    <w:p w14:paraId="6C6AD952" w14:textId="12897DCE" w:rsidR="00465964" w:rsidRPr="00465964" w:rsidRDefault="00465964" w:rsidP="00465964">
      <w:pPr>
        <w:rPr>
          <w:lang w:val="pt-PT"/>
        </w:rPr>
      </w:pPr>
      <w:r w:rsidRPr="00465964">
        <w:rPr>
          <w:lang w:val="pt-PT"/>
        </w:rPr>
        <w:t xml:space="preserve">4.   Os emitentes de </w:t>
      </w:r>
      <w:r>
        <w:rPr>
          <w:lang w:val="pt-PT"/>
        </w:rPr>
        <w:t>criptomoedas</w:t>
      </w:r>
      <w:r w:rsidRPr="00465964">
        <w:rPr>
          <w:lang w:val="pt-PT"/>
        </w:rPr>
        <w:t xml:space="preserve"> referenciadas a ativos significativas devem realizar regularmente testes de esforço de liquidez. Em função do resultado desses testes, a EBA pode decidir reforçar os requisitos de liquidez a que se refere o </w:t>
      </w:r>
      <w:proofErr w:type="spellStart"/>
      <w:r w:rsidRPr="00465964">
        <w:rPr>
          <w:lang w:val="pt-PT"/>
        </w:rPr>
        <w:t>n.</w:t>
      </w:r>
      <w:r w:rsidRPr="00465964">
        <w:rPr>
          <w:vertAlign w:val="superscript"/>
          <w:lang w:val="pt-PT"/>
        </w:rPr>
        <w:t>o</w:t>
      </w:r>
      <w:proofErr w:type="spellEnd"/>
      <w:r w:rsidRPr="00465964">
        <w:rPr>
          <w:lang w:val="pt-PT"/>
        </w:rPr>
        <w:t> 7, primeiro parágrafo, alínea b), do presente artigo e o artigo 36.</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6.</w:t>
      </w:r>
    </w:p>
    <w:p w14:paraId="5A20207D" w14:textId="19B27055" w:rsidR="00465964" w:rsidRPr="00465964" w:rsidRDefault="00465964" w:rsidP="00465964">
      <w:pPr>
        <w:rPr>
          <w:lang w:val="pt-PT"/>
        </w:rPr>
      </w:pPr>
      <w:r w:rsidRPr="00465964">
        <w:rPr>
          <w:lang w:val="pt-PT"/>
        </w:rPr>
        <w:t xml:space="preserve">Caso o emitente de </w:t>
      </w:r>
      <w:r>
        <w:rPr>
          <w:lang w:val="pt-PT"/>
        </w:rPr>
        <w:t>criptomoedas</w:t>
      </w:r>
      <w:r w:rsidRPr="00465964">
        <w:rPr>
          <w:lang w:val="pt-PT"/>
        </w:rPr>
        <w:t xml:space="preserve"> referenciadas a ativos significativas ofereça duas ou mais </w:t>
      </w:r>
      <w:r>
        <w:rPr>
          <w:lang w:val="pt-PT"/>
        </w:rPr>
        <w:t>criptomoedas</w:t>
      </w:r>
      <w:r w:rsidRPr="00465964">
        <w:rPr>
          <w:lang w:val="pt-PT"/>
        </w:rPr>
        <w:t xml:space="preserve"> referenciadas a ativos ou preste serviços de criptoativos, esses testes de esforço devem abarcar todas essas atividades de forma abrangente e holística.</w:t>
      </w:r>
    </w:p>
    <w:p w14:paraId="1D8B4570" w14:textId="347A0C74" w:rsidR="00465964" w:rsidRPr="00465964" w:rsidRDefault="00465964" w:rsidP="00465964">
      <w:pPr>
        <w:rPr>
          <w:lang w:val="pt-PT"/>
        </w:rPr>
      </w:pPr>
      <w:r w:rsidRPr="00465964">
        <w:rPr>
          <w:lang w:val="pt-PT"/>
        </w:rPr>
        <w:t>5.   A percentagem referida no artigo 35.</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xml:space="preserve"> 1, primeiro parágrafo, alínea b), deve ser fixada em 3 % do montante médio dos ativos de reserva para os emitentes de </w:t>
      </w:r>
      <w:r>
        <w:rPr>
          <w:lang w:val="pt-PT"/>
        </w:rPr>
        <w:t>criptomoedas</w:t>
      </w:r>
      <w:r w:rsidRPr="00465964">
        <w:rPr>
          <w:lang w:val="pt-PT"/>
        </w:rPr>
        <w:t xml:space="preserve"> referenciadas a ativos significativas.</w:t>
      </w:r>
    </w:p>
    <w:p w14:paraId="02F38DFE" w14:textId="77777777" w:rsidR="00465964" w:rsidRPr="00465964" w:rsidRDefault="00465964" w:rsidP="00465964">
      <w:pPr>
        <w:rPr>
          <w:lang w:val="pt-PT"/>
        </w:rPr>
      </w:pPr>
      <w:r w:rsidRPr="00465964">
        <w:rPr>
          <w:lang w:val="pt-PT"/>
        </w:rPr>
        <w:t xml:space="preserve">6.   Caso vários emitentes ofereçam a mesma </w:t>
      </w:r>
      <w:proofErr w:type="spellStart"/>
      <w:r w:rsidRPr="00465964">
        <w:rPr>
          <w:lang w:val="pt-PT"/>
        </w:rPr>
        <w:t>criptoficha</w:t>
      </w:r>
      <w:proofErr w:type="spellEnd"/>
      <w:r w:rsidRPr="00465964">
        <w:rPr>
          <w:lang w:val="pt-PT"/>
        </w:rPr>
        <w:t xml:space="preserve"> referenciada a ativos significativa, os </w:t>
      </w:r>
      <w:proofErr w:type="spellStart"/>
      <w:proofErr w:type="gramStart"/>
      <w:r w:rsidRPr="00465964">
        <w:rPr>
          <w:lang w:val="pt-PT"/>
        </w:rPr>
        <w:t>n.</w:t>
      </w:r>
      <w:r w:rsidRPr="00465964">
        <w:rPr>
          <w:vertAlign w:val="superscript"/>
          <w:lang w:val="pt-PT"/>
        </w:rPr>
        <w:t>os</w:t>
      </w:r>
      <w:proofErr w:type="spellEnd"/>
      <w:proofErr w:type="gramEnd"/>
      <w:r w:rsidRPr="00465964">
        <w:rPr>
          <w:lang w:val="pt-PT"/>
        </w:rPr>
        <w:t> 1 a 5 aplicam-se a cada um desses emitentes.</w:t>
      </w:r>
    </w:p>
    <w:p w14:paraId="549AF482" w14:textId="68DC17AB" w:rsidR="00465964" w:rsidRPr="00465964" w:rsidRDefault="00465964" w:rsidP="00465964">
      <w:pPr>
        <w:rPr>
          <w:lang w:val="pt-PT"/>
        </w:rPr>
      </w:pPr>
      <w:r w:rsidRPr="00465964">
        <w:rPr>
          <w:lang w:val="pt-PT"/>
        </w:rPr>
        <w:t xml:space="preserve">Caso um emitente ofereça duas ou mais </w:t>
      </w:r>
      <w:r>
        <w:rPr>
          <w:lang w:val="pt-PT"/>
        </w:rPr>
        <w:t>criptomoedas</w:t>
      </w:r>
      <w:r w:rsidRPr="00465964">
        <w:rPr>
          <w:lang w:val="pt-PT"/>
        </w:rPr>
        <w:t xml:space="preserve"> referenciadas a ativos na União e pelo menos uma dessas </w:t>
      </w:r>
      <w:r>
        <w:rPr>
          <w:lang w:val="pt-PT"/>
        </w:rPr>
        <w:t>criptomoedas</w:t>
      </w:r>
      <w:r w:rsidRPr="00465964">
        <w:rPr>
          <w:lang w:val="pt-PT"/>
        </w:rPr>
        <w:t xml:space="preserve"> referenciadas a ativos for classificada como significativa, os </w:t>
      </w:r>
      <w:proofErr w:type="spellStart"/>
      <w:proofErr w:type="gramStart"/>
      <w:r w:rsidRPr="00465964">
        <w:rPr>
          <w:lang w:val="pt-PT"/>
        </w:rPr>
        <w:t>n.</w:t>
      </w:r>
      <w:r w:rsidRPr="00465964">
        <w:rPr>
          <w:vertAlign w:val="superscript"/>
          <w:lang w:val="pt-PT"/>
        </w:rPr>
        <w:t>os</w:t>
      </w:r>
      <w:proofErr w:type="spellEnd"/>
      <w:proofErr w:type="gramEnd"/>
      <w:r w:rsidRPr="00465964">
        <w:rPr>
          <w:lang w:val="pt-PT"/>
        </w:rPr>
        <w:t> 1 a 5 aplicam-se ao emitente em causa.</w:t>
      </w:r>
    </w:p>
    <w:p w14:paraId="57A2F1A6" w14:textId="77777777" w:rsidR="00465964" w:rsidRPr="00465964" w:rsidRDefault="00465964" w:rsidP="00465964">
      <w:pPr>
        <w:rPr>
          <w:lang w:val="pt-PT"/>
        </w:rPr>
      </w:pPr>
      <w:r w:rsidRPr="00465964">
        <w:rPr>
          <w:lang w:val="pt-PT"/>
        </w:rPr>
        <w:lastRenderedPageBreak/>
        <w:t>7.   A EBA, em estreita cooperação com a ESMA, elabora projetos de normas técnicas de regulamentação que especifiquem:</w:t>
      </w:r>
    </w:p>
    <w:tbl>
      <w:tblPr>
        <w:tblW w:w="5000" w:type="pct"/>
        <w:tblCellMar>
          <w:left w:w="0" w:type="dxa"/>
          <w:right w:w="0" w:type="dxa"/>
        </w:tblCellMar>
        <w:tblLook w:val="04A0" w:firstRow="1" w:lastRow="0" w:firstColumn="1" w:lastColumn="0" w:noHBand="0" w:noVBand="1"/>
      </w:tblPr>
      <w:tblGrid>
        <w:gridCol w:w="182"/>
        <w:gridCol w:w="8844"/>
      </w:tblGrid>
      <w:tr w:rsidR="00465964" w:rsidRPr="00465964" w14:paraId="6BE2594A" w14:textId="77777777" w:rsidTr="00465964">
        <w:tc>
          <w:tcPr>
            <w:tcW w:w="0" w:type="auto"/>
            <w:shd w:val="clear" w:color="auto" w:fill="auto"/>
            <w:hideMark/>
          </w:tcPr>
          <w:p w14:paraId="211D56A8" w14:textId="77777777" w:rsidR="00465964" w:rsidRPr="00465964" w:rsidRDefault="00465964" w:rsidP="00465964">
            <w:r w:rsidRPr="00465964">
              <w:t>a)</w:t>
            </w:r>
          </w:p>
        </w:tc>
        <w:tc>
          <w:tcPr>
            <w:tcW w:w="0" w:type="auto"/>
            <w:shd w:val="clear" w:color="auto" w:fill="auto"/>
            <w:hideMark/>
          </w:tcPr>
          <w:p w14:paraId="7D922D57" w14:textId="77777777" w:rsidR="00465964" w:rsidRPr="00465964" w:rsidRDefault="00465964" w:rsidP="00465964">
            <w:pPr>
              <w:rPr>
                <w:lang w:val="pt-PT"/>
              </w:rPr>
            </w:pPr>
            <w:r w:rsidRPr="00465964">
              <w:rPr>
                <w:lang w:val="pt-PT"/>
              </w:rPr>
              <w:t xml:space="preserve">O teor mínimo dos mecanismos de governação aplicáveis à política de remuneração a que se refere o </w:t>
            </w:r>
            <w:proofErr w:type="spellStart"/>
            <w:r w:rsidRPr="00465964">
              <w:rPr>
                <w:lang w:val="pt-PT"/>
              </w:rPr>
              <w:t>n.</w:t>
            </w:r>
            <w:r w:rsidRPr="00465964">
              <w:rPr>
                <w:vertAlign w:val="superscript"/>
                <w:lang w:val="pt-PT"/>
              </w:rPr>
              <w:t>o</w:t>
            </w:r>
            <w:proofErr w:type="spellEnd"/>
            <w:r w:rsidRPr="00465964">
              <w:rPr>
                <w:lang w:val="pt-PT"/>
              </w:rPr>
              <w:t> 1;</w:t>
            </w:r>
          </w:p>
        </w:tc>
      </w:tr>
    </w:tbl>
    <w:p w14:paraId="6588614B"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8"/>
        <w:gridCol w:w="8838"/>
      </w:tblGrid>
      <w:tr w:rsidR="00465964" w:rsidRPr="00465964" w14:paraId="17C3D4BA" w14:textId="77777777" w:rsidTr="00465964">
        <w:tc>
          <w:tcPr>
            <w:tcW w:w="0" w:type="auto"/>
            <w:shd w:val="clear" w:color="auto" w:fill="auto"/>
            <w:hideMark/>
          </w:tcPr>
          <w:p w14:paraId="3C096C5D" w14:textId="77777777" w:rsidR="00465964" w:rsidRPr="00465964" w:rsidRDefault="00465964" w:rsidP="00465964">
            <w:r w:rsidRPr="00465964">
              <w:t>b)</w:t>
            </w:r>
          </w:p>
        </w:tc>
        <w:tc>
          <w:tcPr>
            <w:tcW w:w="0" w:type="auto"/>
            <w:shd w:val="clear" w:color="auto" w:fill="auto"/>
            <w:hideMark/>
          </w:tcPr>
          <w:p w14:paraId="508EF7C3" w14:textId="77777777" w:rsidR="00465964" w:rsidRPr="00465964" w:rsidRDefault="00465964" w:rsidP="00465964">
            <w:pPr>
              <w:rPr>
                <w:lang w:val="pt-PT"/>
              </w:rPr>
            </w:pPr>
            <w:r w:rsidRPr="00465964">
              <w:rPr>
                <w:lang w:val="pt-PT"/>
              </w:rPr>
              <w:t xml:space="preserve">O teor mínimo da política e dos procedimentos de gestão da liquidez, conforme estabelecido no </w:t>
            </w:r>
            <w:proofErr w:type="spellStart"/>
            <w:r w:rsidRPr="00465964">
              <w:rPr>
                <w:lang w:val="pt-PT"/>
              </w:rPr>
              <w:t>n.</w:t>
            </w:r>
            <w:r w:rsidRPr="00465964">
              <w:rPr>
                <w:vertAlign w:val="superscript"/>
                <w:lang w:val="pt-PT"/>
              </w:rPr>
              <w:t>o</w:t>
            </w:r>
            <w:proofErr w:type="spellEnd"/>
            <w:r w:rsidRPr="00465964">
              <w:rPr>
                <w:lang w:val="pt-PT"/>
              </w:rPr>
              <w:t> 3, e requisitos de liquidez, nomeadamente especificando o montante mínimo dos depósitos em cada uma das moedas oficiais referenciadas, que não pode ser inferior a 60 % do montante referenciado em cada moeda oficial;</w:t>
            </w:r>
          </w:p>
        </w:tc>
      </w:tr>
    </w:tbl>
    <w:p w14:paraId="4EC491BA"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0"/>
        <w:gridCol w:w="8846"/>
      </w:tblGrid>
      <w:tr w:rsidR="00465964" w:rsidRPr="00465964" w14:paraId="1ABF5071" w14:textId="77777777" w:rsidTr="00465964">
        <w:tc>
          <w:tcPr>
            <w:tcW w:w="0" w:type="auto"/>
            <w:shd w:val="clear" w:color="auto" w:fill="auto"/>
            <w:hideMark/>
          </w:tcPr>
          <w:p w14:paraId="66176236" w14:textId="77777777" w:rsidR="00465964" w:rsidRPr="00465964" w:rsidRDefault="00465964" w:rsidP="00465964">
            <w:r w:rsidRPr="00465964">
              <w:t>c)</w:t>
            </w:r>
          </w:p>
        </w:tc>
        <w:tc>
          <w:tcPr>
            <w:tcW w:w="0" w:type="auto"/>
            <w:shd w:val="clear" w:color="auto" w:fill="auto"/>
            <w:hideMark/>
          </w:tcPr>
          <w:p w14:paraId="2A1FA30F" w14:textId="77777777" w:rsidR="00465964" w:rsidRPr="00465964" w:rsidRDefault="00465964" w:rsidP="00465964">
            <w:pPr>
              <w:rPr>
                <w:lang w:val="pt-PT"/>
              </w:rPr>
            </w:pPr>
            <w:r w:rsidRPr="00465964">
              <w:rPr>
                <w:lang w:val="pt-PT"/>
              </w:rPr>
              <w:t xml:space="preserve">O procedimento e o calendário para que um emitente de uma </w:t>
            </w:r>
            <w:proofErr w:type="spellStart"/>
            <w:r w:rsidRPr="00465964">
              <w:rPr>
                <w:lang w:val="pt-PT"/>
              </w:rPr>
              <w:t>criptoficha</w:t>
            </w:r>
            <w:proofErr w:type="spellEnd"/>
            <w:r w:rsidRPr="00465964">
              <w:rPr>
                <w:lang w:val="pt-PT"/>
              </w:rPr>
              <w:t xml:space="preserve"> referenciada a ativos significativa adapte o montante dos seus fundos próprios conforme exigido no </w:t>
            </w:r>
            <w:proofErr w:type="spellStart"/>
            <w:r w:rsidRPr="00465964">
              <w:rPr>
                <w:lang w:val="pt-PT"/>
              </w:rPr>
              <w:t>n.</w:t>
            </w:r>
            <w:r w:rsidRPr="00465964">
              <w:rPr>
                <w:vertAlign w:val="superscript"/>
                <w:lang w:val="pt-PT"/>
              </w:rPr>
              <w:t>o</w:t>
            </w:r>
            <w:proofErr w:type="spellEnd"/>
            <w:r w:rsidRPr="00465964">
              <w:rPr>
                <w:lang w:val="pt-PT"/>
              </w:rPr>
              <w:t> 5.</w:t>
            </w:r>
          </w:p>
        </w:tc>
      </w:tr>
    </w:tbl>
    <w:p w14:paraId="387DB84C" w14:textId="77777777" w:rsidR="00465964" w:rsidRPr="00465964" w:rsidRDefault="00465964" w:rsidP="00465964">
      <w:pPr>
        <w:rPr>
          <w:lang w:val="pt-PT"/>
        </w:rPr>
      </w:pPr>
      <w:r w:rsidRPr="00465964">
        <w:rPr>
          <w:lang w:val="pt-PT"/>
        </w:rPr>
        <w:t>Quando se tratar de instituições de crédito, a EBA calibra as normas técnicas tendo em conta as possíveis interações entre os requisitos regulamentares estabelecidos pelo presente regulamento e os requisitos regulamentares estabelecidos por outros atos legislativos da União.</w:t>
      </w:r>
    </w:p>
    <w:p w14:paraId="4A140CC2" w14:textId="77777777" w:rsidR="00465964" w:rsidRPr="00465964" w:rsidRDefault="00465964" w:rsidP="00465964">
      <w:pPr>
        <w:rPr>
          <w:lang w:val="pt-PT"/>
        </w:rPr>
      </w:pPr>
      <w:r w:rsidRPr="00465964">
        <w:rPr>
          <w:lang w:val="pt-PT"/>
        </w:rPr>
        <w:t>A EBA apresenta à Comissão os projetos de normas técnicas de regulamentação referidos no primeiro parágrafo até 30 de junho de 2024.</w:t>
      </w:r>
    </w:p>
    <w:p w14:paraId="7E3A3D73" w14:textId="77777777" w:rsidR="00465964" w:rsidRPr="00465964" w:rsidRDefault="00465964" w:rsidP="00465964">
      <w:pPr>
        <w:rPr>
          <w:lang w:val="pt-PT"/>
        </w:rPr>
      </w:pPr>
      <w:r w:rsidRPr="00465964">
        <w:rPr>
          <w:lang w:val="pt-PT"/>
        </w:rPr>
        <w:t>É delegado na Comissão o poder de completar o presente regulamento através da adoção das normas técnicas de regulamentação a que se refere o primeiro parágrafo do presente número em conformidade com os artigos 10.</w:t>
      </w:r>
      <w:r w:rsidRPr="00465964">
        <w:rPr>
          <w:vertAlign w:val="superscript"/>
          <w:lang w:val="pt-PT"/>
        </w:rPr>
        <w:t>o</w:t>
      </w:r>
      <w:r w:rsidRPr="00465964">
        <w:rPr>
          <w:lang w:val="pt-PT"/>
        </w:rPr>
        <w:t> a 14.</w:t>
      </w:r>
      <w:r w:rsidRPr="00465964">
        <w:rPr>
          <w:vertAlign w:val="superscript"/>
          <w:lang w:val="pt-PT"/>
        </w:rPr>
        <w:t>o</w:t>
      </w:r>
      <w:r w:rsidRPr="00465964">
        <w:rPr>
          <w:lang w:val="pt-PT"/>
        </w:rPr>
        <w:t xml:space="preserve"> do Regulamento (UE) </w:t>
      </w:r>
      <w:proofErr w:type="spellStart"/>
      <w:r w:rsidRPr="00465964">
        <w:rPr>
          <w:lang w:val="pt-PT"/>
        </w:rPr>
        <w:t>n.</w:t>
      </w:r>
      <w:r w:rsidRPr="00465964">
        <w:rPr>
          <w:vertAlign w:val="superscript"/>
          <w:lang w:val="pt-PT"/>
        </w:rPr>
        <w:t>o</w:t>
      </w:r>
      <w:proofErr w:type="spellEnd"/>
      <w:r w:rsidRPr="00465964">
        <w:rPr>
          <w:lang w:val="pt-PT"/>
        </w:rPr>
        <w:t> 1093/2010.</w:t>
      </w:r>
    </w:p>
    <w:p w14:paraId="1B544FDA" w14:textId="77777777" w:rsidR="00465964" w:rsidRPr="00465964" w:rsidRDefault="00465964" w:rsidP="00465964">
      <w:pPr>
        <w:rPr>
          <w:lang w:val="pt-PT"/>
        </w:rPr>
      </w:pPr>
      <w:r w:rsidRPr="00465964">
        <w:rPr>
          <w:lang w:val="pt-PT"/>
        </w:rPr>
        <w:t>8.   A EBA, em estreita cooperação com a ESMA e o BCE, emite orientações em conformidade com o artigo 16.</w:t>
      </w:r>
      <w:r w:rsidRPr="00465964">
        <w:rPr>
          <w:vertAlign w:val="superscript"/>
          <w:lang w:val="pt-PT"/>
        </w:rPr>
        <w:t>o</w:t>
      </w:r>
      <w:r w:rsidRPr="00465964">
        <w:rPr>
          <w:lang w:val="pt-PT"/>
        </w:rPr>
        <w:t xml:space="preserve"> do Regulamento (UE) </w:t>
      </w:r>
      <w:proofErr w:type="spellStart"/>
      <w:r w:rsidRPr="00465964">
        <w:rPr>
          <w:lang w:val="pt-PT"/>
        </w:rPr>
        <w:t>n.</w:t>
      </w:r>
      <w:r w:rsidRPr="00465964">
        <w:rPr>
          <w:vertAlign w:val="superscript"/>
          <w:lang w:val="pt-PT"/>
        </w:rPr>
        <w:t>o</w:t>
      </w:r>
      <w:proofErr w:type="spellEnd"/>
      <w:r w:rsidRPr="00465964">
        <w:rPr>
          <w:lang w:val="pt-PT"/>
        </w:rPr>
        <w:t xml:space="preserve"> 1093/2010 com vista ao estabelecimento dos parâmetros de referência comuns para os cenários dos testes de esforço a incluir nos testes de esforço a que se refere o </w:t>
      </w:r>
      <w:proofErr w:type="spellStart"/>
      <w:r w:rsidRPr="00465964">
        <w:rPr>
          <w:lang w:val="pt-PT"/>
        </w:rPr>
        <w:t>n.</w:t>
      </w:r>
      <w:r w:rsidRPr="00465964">
        <w:rPr>
          <w:vertAlign w:val="superscript"/>
          <w:lang w:val="pt-PT"/>
        </w:rPr>
        <w:t>o</w:t>
      </w:r>
      <w:proofErr w:type="spellEnd"/>
      <w:r w:rsidRPr="00465964">
        <w:rPr>
          <w:lang w:val="pt-PT"/>
        </w:rPr>
        <w:t> 4 do presente artigo. Essas orientações são regularmente atualizadas, tendo em conta a mais recente evolução do mercado.</w:t>
      </w:r>
    </w:p>
    <w:p w14:paraId="0C882767" w14:textId="77777777" w:rsidR="00465964" w:rsidRPr="00465964" w:rsidRDefault="00465964" w:rsidP="00465964">
      <w:pPr>
        <w:rPr>
          <w:b/>
          <w:bCs/>
          <w:lang w:val="pt-PT"/>
        </w:rPr>
      </w:pPr>
      <w:r w:rsidRPr="00465964">
        <w:rPr>
          <w:b/>
          <w:bCs/>
          <w:i/>
          <w:iCs/>
          <w:lang w:val="pt-PT"/>
        </w:rPr>
        <w:t>CAPÍTULO 6</w:t>
      </w:r>
    </w:p>
    <w:p w14:paraId="5E5C5FA6" w14:textId="77777777" w:rsidR="00465964" w:rsidRPr="00465964" w:rsidRDefault="00465964" w:rsidP="00465964">
      <w:pPr>
        <w:rPr>
          <w:b/>
          <w:bCs/>
          <w:lang w:val="pt-PT"/>
        </w:rPr>
      </w:pPr>
      <w:r w:rsidRPr="00465964">
        <w:rPr>
          <w:b/>
          <w:bCs/>
          <w:i/>
          <w:iCs/>
          <w:lang w:val="pt-PT"/>
        </w:rPr>
        <w:t>Planos de recuperação e de reembolso</w:t>
      </w:r>
    </w:p>
    <w:p w14:paraId="18CE5D37" w14:textId="77777777" w:rsidR="00465964" w:rsidRPr="00465964" w:rsidRDefault="00465964" w:rsidP="00465964">
      <w:pPr>
        <w:rPr>
          <w:i/>
          <w:iCs/>
          <w:lang w:val="pt-PT"/>
        </w:rPr>
      </w:pPr>
      <w:r w:rsidRPr="00465964">
        <w:rPr>
          <w:i/>
          <w:iCs/>
          <w:lang w:val="pt-PT"/>
        </w:rPr>
        <w:t>Artigo 46.</w:t>
      </w:r>
      <w:r w:rsidRPr="00465964">
        <w:rPr>
          <w:i/>
          <w:iCs/>
          <w:vertAlign w:val="superscript"/>
          <w:lang w:val="pt-PT"/>
        </w:rPr>
        <w:t>o</w:t>
      </w:r>
    </w:p>
    <w:p w14:paraId="3FDACEC3" w14:textId="77777777" w:rsidR="00465964" w:rsidRPr="00465964" w:rsidRDefault="00465964" w:rsidP="00465964">
      <w:pPr>
        <w:rPr>
          <w:b/>
          <w:bCs/>
          <w:lang w:val="pt-PT"/>
        </w:rPr>
      </w:pPr>
      <w:r w:rsidRPr="00465964">
        <w:rPr>
          <w:b/>
          <w:bCs/>
          <w:lang w:val="pt-PT"/>
        </w:rPr>
        <w:t>Plano de recuperação</w:t>
      </w:r>
    </w:p>
    <w:p w14:paraId="483AE921" w14:textId="77777777" w:rsidR="00465964" w:rsidRPr="00465964" w:rsidRDefault="00465964" w:rsidP="00465964">
      <w:pPr>
        <w:rPr>
          <w:lang w:val="pt-PT"/>
        </w:rPr>
      </w:pPr>
      <w:r w:rsidRPr="00465964">
        <w:rPr>
          <w:lang w:val="pt-PT"/>
        </w:rPr>
        <w:t xml:space="preserve">1.   Um emitente de uma </w:t>
      </w:r>
      <w:proofErr w:type="spellStart"/>
      <w:r w:rsidRPr="00465964">
        <w:rPr>
          <w:lang w:val="pt-PT"/>
        </w:rPr>
        <w:t>criptoficha</w:t>
      </w:r>
      <w:proofErr w:type="spellEnd"/>
      <w:r w:rsidRPr="00465964">
        <w:rPr>
          <w:lang w:val="pt-PT"/>
        </w:rPr>
        <w:t xml:space="preserve"> referenciada a ativos deve elaborar e manter um plano de recuperação que preveja medidas a tomar pelo emitente para restabelecer a conformidade com os requisitos aplicáveis à reserva de ativos sempre que o emitente não cumpra esses requisitos.</w:t>
      </w:r>
    </w:p>
    <w:p w14:paraId="170E6C1C" w14:textId="77777777" w:rsidR="00465964" w:rsidRPr="00465964" w:rsidRDefault="00465964" w:rsidP="00465964">
      <w:pPr>
        <w:rPr>
          <w:lang w:val="pt-PT"/>
        </w:rPr>
      </w:pPr>
      <w:r w:rsidRPr="00465964">
        <w:rPr>
          <w:lang w:val="pt-PT"/>
        </w:rPr>
        <w:t xml:space="preserve">O plano de recuperação deve incluir também a preservação dos serviços do emitente relacionados com a </w:t>
      </w:r>
      <w:proofErr w:type="spellStart"/>
      <w:r w:rsidRPr="00465964">
        <w:rPr>
          <w:lang w:val="pt-PT"/>
        </w:rPr>
        <w:t>criptoficha</w:t>
      </w:r>
      <w:proofErr w:type="spellEnd"/>
      <w:r w:rsidRPr="00465964">
        <w:rPr>
          <w:lang w:val="pt-PT"/>
        </w:rPr>
        <w:t xml:space="preserve"> referenciada a ativos emitida, a recuperação atempada das operações e o cumprimento das obrigações do emitente em situações que colocam um risco significativo de perturbar as operações.</w:t>
      </w:r>
    </w:p>
    <w:p w14:paraId="1F562ED6" w14:textId="77777777" w:rsidR="00465964" w:rsidRPr="00465964" w:rsidRDefault="00465964" w:rsidP="00465964">
      <w:pPr>
        <w:rPr>
          <w:lang w:val="pt-PT"/>
        </w:rPr>
      </w:pPr>
      <w:r w:rsidRPr="00465964">
        <w:rPr>
          <w:lang w:val="pt-PT"/>
        </w:rPr>
        <w:t>O plano de recuperação deve compreender condições e procedimentos adequados para assegurar a execução atempada das medidas de recuperação, bem como uma vasta gama de opções de recuperação, incluindo:</w:t>
      </w:r>
    </w:p>
    <w:tbl>
      <w:tblPr>
        <w:tblW w:w="5000" w:type="pct"/>
        <w:tblCellMar>
          <w:left w:w="0" w:type="dxa"/>
          <w:right w:w="0" w:type="dxa"/>
        </w:tblCellMar>
        <w:tblLook w:val="04A0" w:firstRow="1" w:lastRow="0" w:firstColumn="1" w:lastColumn="0" w:noHBand="0" w:noVBand="1"/>
      </w:tblPr>
      <w:tblGrid>
        <w:gridCol w:w="373"/>
        <w:gridCol w:w="8653"/>
      </w:tblGrid>
      <w:tr w:rsidR="00465964" w:rsidRPr="00465964" w14:paraId="056EB788" w14:textId="77777777" w:rsidTr="00465964">
        <w:tc>
          <w:tcPr>
            <w:tcW w:w="0" w:type="auto"/>
            <w:shd w:val="clear" w:color="auto" w:fill="auto"/>
            <w:hideMark/>
          </w:tcPr>
          <w:p w14:paraId="484F9837" w14:textId="77777777" w:rsidR="00465964" w:rsidRPr="00465964" w:rsidRDefault="00465964" w:rsidP="00465964">
            <w:r w:rsidRPr="00465964">
              <w:lastRenderedPageBreak/>
              <w:t>a)</w:t>
            </w:r>
          </w:p>
        </w:tc>
        <w:tc>
          <w:tcPr>
            <w:tcW w:w="0" w:type="auto"/>
            <w:shd w:val="clear" w:color="auto" w:fill="auto"/>
            <w:hideMark/>
          </w:tcPr>
          <w:p w14:paraId="308F52F8" w14:textId="77777777" w:rsidR="00465964" w:rsidRPr="00465964" w:rsidRDefault="00465964" w:rsidP="00465964">
            <w:pPr>
              <w:rPr>
                <w:lang w:val="pt-PT"/>
              </w:rPr>
            </w:pPr>
            <w:r w:rsidRPr="00465964">
              <w:rPr>
                <w:lang w:val="pt-PT"/>
              </w:rPr>
              <w:t>Comissões de liquidez sobre os reembolsos;</w:t>
            </w:r>
          </w:p>
        </w:tc>
      </w:tr>
    </w:tbl>
    <w:p w14:paraId="0383A22B"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8"/>
        <w:gridCol w:w="8838"/>
      </w:tblGrid>
      <w:tr w:rsidR="00465964" w:rsidRPr="00465964" w14:paraId="042A0C91" w14:textId="77777777" w:rsidTr="00465964">
        <w:tc>
          <w:tcPr>
            <w:tcW w:w="0" w:type="auto"/>
            <w:shd w:val="clear" w:color="auto" w:fill="auto"/>
            <w:hideMark/>
          </w:tcPr>
          <w:p w14:paraId="6BF10337" w14:textId="77777777" w:rsidR="00465964" w:rsidRPr="00465964" w:rsidRDefault="00465964" w:rsidP="00465964">
            <w:r w:rsidRPr="00465964">
              <w:t>b)</w:t>
            </w:r>
          </w:p>
        </w:tc>
        <w:tc>
          <w:tcPr>
            <w:tcW w:w="0" w:type="auto"/>
            <w:shd w:val="clear" w:color="auto" w:fill="auto"/>
            <w:hideMark/>
          </w:tcPr>
          <w:p w14:paraId="18154CA5" w14:textId="77777777" w:rsidR="00465964" w:rsidRPr="00465964" w:rsidRDefault="00465964" w:rsidP="00465964">
            <w:pPr>
              <w:rPr>
                <w:lang w:val="pt-PT"/>
              </w:rPr>
            </w:pPr>
            <w:r w:rsidRPr="00465964">
              <w:rPr>
                <w:lang w:val="pt-PT"/>
              </w:rPr>
              <w:t xml:space="preserve">Limites aplicáveis ao montante da </w:t>
            </w:r>
            <w:proofErr w:type="spellStart"/>
            <w:r w:rsidRPr="00465964">
              <w:rPr>
                <w:lang w:val="pt-PT"/>
              </w:rPr>
              <w:t>criptoficha</w:t>
            </w:r>
            <w:proofErr w:type="spellEnd"/>
            <w:r w:rsidRPr="00465964">
              <w:rPr>
                <w:lang w:val="pt-PT"/>
              </w:rPr>
              <w:t xml:space="preserve"> referenciada a ativos que pode ser reembolsado em qualquer dia útil;</w:t>
            </w:r>
          </w:p>
        </w:tc>
      </w:tr>
    </w:tbl>
    <w:p w14:paraId="5C30DA1C"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567"/>
        <w:gridCol w:w="8459"/>
      </w:tblGrid>
      <w:tr w:rsidR="00465964" w:rsidRPr="00465964" w14:paraId="71B3618C" w14:textId="77777777" w:rsidTr="00465964">
        <w:tc>
          <w:tcPr>
            <w:tcW w:w="0" w:type="auto"/>
            <w:shd w:val="clear" w:color="auto" w:fill="auto"/>
            <w:hideMark/>
          </w:tcPr>
          <w:p w14:paraId="592C504B" w14:textId="77777777" w:rsidR="00465964" w:rsidRPr="00465964" w:rsidRDefault="00465964" w:rsidP="00465964">
            <w:r w:rsidRPr="00465964">
              <w:t>c)</w:t>
            </w:r>
          </w:p>
        </w:tc>
        <w:tc>
          <w:tcPr>
            <w:tcW w:w="0" w:type="auto"/>
            <w:shd w:val="clear" w:color="auto" w:fill="auto"/>
            <w:hideMark/>
          </w:tcPr>
          <w:p w14:paraId="14112B36" w14:textId="77777777" w:rsidR="00465964" w:rsidRPr="00465964" w:rsidRDefault="00465964" w:rsidP="00465964">
            <w:proofErr w:type="spellStart"/>
            <w:r w:rsidRPr="00465964">
              <w:t>Suspensão</w:t>
            </w:r>
            <w:proofErr w:type="spellEnd"/>
            <w:r w:rsidRPr="00465964">
              <w:t xml:space="preserve"> dos </w:t>
            </w:r>
            <w:proofErr w:type="spellStart"/>
            <w:r w:rsidRPr="00465964">
              <w:t>reembolsos</w:t>
            </w:r>
            <w:proofErr w:type="spellEnd"/>
            <w:r w:rsidRPr="00465964">
              <w:t>.</w:t>
            </w:r>
          </w:p>
        </w:tc>
      </w:tr>
    </w:tbl>
    <w:p w14:paraId="09B23B23" w14:textId="77777777" w:rsidR="00465964" w:rsidRPr="00465964" w:rsidRDefault="00465964" w:rsidP="00465964">
      <w:pPr>
        <w:rPr>
          <w:lang w:val="pt-PT"/>
        </w:rPr>
      </w:pPr>
      <w:r w:rsidRPr="00465964">
        <w:rPr>
          <w:lang w:val="pt-PT"/>
        </w:rPr>
        <w:t xml:space="preserve">2.   O emitente da </w:t>
      </w:r>
      <w:proofErr w:type="spellStart"/>
      <w:r w:rsidRPr="00465964">
        <w:rPr>
          <w:lang w:val="pt-PT"/>
        </w:rPr>
        <w:t>criptoficha</w:t>
      </w:r>
      <w:proofErr w:type="spellEnd"/>
      <w:r w:rsidRPr="00465964">
        <w:rPr>
          <w:lang w:val="pt-PT"/>
        </w:rPr>
        <w:t xml:space="preserve"> referenciada a ativos deve notificar à autoridade competente o plano de recuperação no prazo de seis meses a contar da data de autorização nos termos do artigo 21.</w:t>
      </w:r>
      <w:r w:rsidRPr="00465964">
        <w:rPr>
          <w:vertAlign w:val="superscript"/>
          <w:lang w:val="pt-PT"/>
        </w:rPr>
        <w:t>o</w:t>
      </w:r>
      <w:r w:rsidRPr="00465964">
        <w:rPr>
          <w:lang w:val="pt-PT"/>
        </w:rPr>
        <w:t> ou no prazo de seis meses a contar da data de aprovação do livrete do criptoativo nos termos do artigo 17.</w:t>
      </w:r>
      <w:r w:rsidRPr="00465964">
        <w:rPr>
          <w:vertAlign w:val="superscript"/>
          <w:lang w:val="pt-PT"/>
        </w:rPr>
        <w:t>o</w:t>
      </w:r>
      <w:r w:rsidRPr="00465964">
        <w:rPr>
          <w:lang w:val="pt-PT"/>
        </w:rPr>
        <w:t>. A autoridade competente requer a introdução de alterações ao plano de recuperação sempre que tal seja necessário para assegurar a sua correta execução e comunica ao emitente a sua decisão no sentido de solicitar essas alterações no prazo de 40 dias úteis a contar da data de notificação do plano em questão. Essa decisão é implementada pelo emitente no prazo de 40 dias úteis a contar da data de notificação da mesma. O emitente revê e atualiza regularmente o plano de recuperação.</w:t>
      </w:r>
    </w:p>
    <w:p w14:paraId="15936A2F" w14:textId="77777777" w:rsidR="00465964" w:rsidRPr="00465964" w:rsidRDefault="00465964" w:rsidP="00465964">
      <w:pPr>
        <w:rPr>
          <w:lang w:val="pt-PT"/>
        </w:rPr>
      </w:pPr>
      <w:r w:rsidRPr="00465964">
        <w:rPr>
          <w:lang w:val="pt-PT"/>
        </w:rPr>
        <w:t>Se for caso disso, o emitente também notifica o plano de recuperação às suas próprias autoridades de resolução e de supervisão prudencial, paralelamente à sua notificação à autoridade competente.</w:t>
      </w:r>
    </w:p>
    <w:p w14:paraId="535D56F4" w14:textId="77777777" w:rsidR="00465964" w:rsidRPr="00465964" w:rsidRDefault="00465964" w:rsidP="00465964">
      <w:pPr>
        <w:rPr>
          <w:lang w:val="pt-PT"/>
        </w:rPr>
      </w:pPr>
      <w:r w:rsidRPr="00465964">
        <w:rPr>
          <w:lang w:val="pt-PT"/>
        </w:rPr>
        <w:t>3.   Caso o emitente não cumpra os requisitos aplicáveis à reserva de ativos a que se refere o capítulo 3 do presente título ou, devido a uma situação financeira em rápida deterioração, esteja em risco de não cumprir esses requisitos num futuro próximo, a autoridade competente, a fim de assegurar a conformidade com os requisitos aplicáveis, tem poderes para exigir que o emitente aplique um ou mais dos mecanismos ou medidas previstos no plano de recuperação, ou que atualize esse plano de recuperação quando as circunstâncias forem diferentes dos pressupostos estabelecidos no plano de recuperação inicial e que ponha em prática um ou mais dos mecanismos ou medidas previstos no plano de recuperação atualizado dentro de um determinado período de tempo.</w:t>
      </w:r>
    </w:p>
    <w:p w14:paraId="3EDDAC3A" w14:textId="56FBA161" w:rsidR="00465964" w:rsidRPr="00465964" w:rsidRDefault="00465964" w:rsidP="00465964">
      <w:pPr>
        <w:rPr>
          <w:lang w:val="pt-PT"/>
        </w:rPr>
      </w:pPr>
      <w:r w:rsidRPr="00465964">
        <w:rPr>
          <w:lang w:val="pt-PT"/>
        </w:rPr>
        <w:t xml:space="preserve">4.   Nas circunstâncias a que se refere o </w:t>
      </w:r>
      <w:proofErr w:type="spellStart"/>
      <w:r w:rsidRPr="00465964">
        <w:rPr>
          <w:lang w:val="pt-PT"/>
        </w:rPr>
        <w:t>n.</w:t>
      </w:r>
      <w:r w:rsidRPr="00465964">
        <w:rPr>
          <w:vertAlign w:val="superscript"/>
          <w:lang w:val="pt-PT"/>
        </w:rPr>
        <w:t>o</w:t>
      </w:r>
      <w:proofErr w:type="spellEnd"/>
      <w:r w:rsidRPr="00465964">
        <w:rPr>
          <w:lang w:val="pt-PT"/>
        </w:rPr>
        <w:t xml:space="preserve"> 3, a autoridade competente tem poderes para, temporariamente, suspender o reembolso de </w:t>
      </w:r>
      <w:r>
        <w:rPr>
          <w:lang w:val="pt-PT"/>
        </w:rPr>
        <w:t>criptomoedas</w:t>
      </w:r>
      <w:r w:rsidRPr="00465964">
        <w:rPr>
          <w:lang w:val="pt-PT"/>
        </w:rPr>
        <w:t xml:space="preserve"> referenciadas a ativos, desde que a suspensão seja justificada tendo em conta os interesses dos detentores de </w:t>
      </w:r>
      <w:r>
        <w:rPr>
          <w:lang w:val="pt-PT"/>
        </w:rPr>
        <w:t>criptomoedas</w:t>
      </w:r>
      <w:r w:rsidRPr="00465964">
        <w:rPr>
          <w:lang w:val="pt-PT"/>
        </w:rPr>
        <w:t xml:space="preserve"> referenciadas a ativos e a estabilidade financeira.</w:t>
      </w:r>
    </w:p>
    <w:p w14:paraId="592501E3" w14:textId="77777777" w:rsidR="00465964" w:rsidRPr="00465964" w:rsidRDefault="00465964" w:rsidP="00465964">
      <w:pPr>
        <w:rPr>
          <w:lang w:val="pt-PT"/>
        </w:rPr>
      </w:pPr>
      <w:r w:rsidRPr="00465964">
        <w:rPr>
          <w:lang w:val="pt-PT"/>
        </w:rPr>
        <w:t xml:space="preserve">5.   Se for caso disso, a autoridade competente notifica as autoridades de resolução e de supervisão prudencial do emitente de qualquer medida tomada nos termos dos </w:t>
      </w:r>
      <w:proofErr w:type="spellStart"/>
      <w:proofErr w:type="gramStart"/>
      <w:r w:rsidRPr="00465964">
        <w:rPr>
          <w:lang w:val="pt-PT"/>
        </w:rPr>
        <w:t>n.</w:t>
      </w:r>
      <w:r w:rsidRPr="00465964">
        <w:rPr>
          <w:vertAlign w:val="superscript"/>
          <w:lang w:val="pt-PT"/>
        </w:rPr>
        <w:t>os</w:t>
      </w:r>
      <w:proofErr w:type="spellEnd"/>
      <w:proofErr w:type="gramEnd"/>
      <w:r w:rsidRPr="00465964">
        <w:rPr>
          <w:lang w:val="pt-PT"/>
        </w:rPr>
        <w:t> 3 e 4.</w:t>
      </w:r>
    </w:p>
    <w:p w14:paraId="7BC652FA" w14:textId="77777777" w:rsidR="00465964" w:rsidRPr="00465964" w:rsidRDefault="00465964" w:rsidP="00465964">
      <w:pPr>
        <w:rPr>
          <w:lang w:val="pt-PT"/>
        </w:rPr>
      </w:pPr>
      <w:r w:rsidRPr="00465964">
        <w:rPr>
          <w:lang w:val="pt-PT"/>
        </w:rPr>
        <w:t>6.   A EBA, após consulta da ESMA, emite orientações em conformidade com o artigo 16.</w:t>
      </w:r>
      <w:r w:rsidRPr="00465964">
        <w:rPr>
          <w:vertAlign w:val="superscript"/>
          <w:lang w:val="pt-PT"/>
        </w:rPr>
        <w:t>o</w:t>
      </w:r>
      <w:r w:rsidRPr="00465964">
        <w:rPr>
          <w:lang w:val="pt-PT"/>
        </w:rPr>
        <w:t xml:space="preserve"> do Regulamento (UE) </w:t>
      </w:r>
      <w:proofErr w:type="spellStart"/>
      <w:r w:rsidRPr="00465964">
        <w:rPr>
          <w:lang w:val="pt-PT"/>
        </w:rPr>
        <w:t>n.</w:t>
      </w:r>
      <w:r w:rsidRPr="00465964">
        <w:rPr>
          <w:vertAlign w:val="superscript"/>
          <w:lang w:val="pt-PT"/>
        </w:rPr>
        <w:t>o</w:t>
      </w:r>
      <w:proofErr w:type="spellEnd"/>
      <w:r w:rsidRPr="00465964">
        <w:rPr>
          <w:lang w:val="pt-PT"/>
        </w:rPr>
        <w:t> 1093/2010 para especificar o formato do plano de recuperação e as informações a incluir no plano de recuperação.</w:t>
      </w:r>
    </w:p>
    <w:p w14:paraId="026A4825" w14:textId="77777777" w:rsidR="00465964" w:rsidRPr="00465964" w:rsidRDefault="00465964" w:rsidP="00465964">
      <w:pPr>
        <w:rPr>
          <w:i/>
          <w:iCs/>
          <w:lang w:val="pt-PT"/>
        </w:rPr>
      </w:pPr>
      <w:r w:rsidRPr="00465964">
        <w:rPr>
          <w:i/>
          <w:iCs/>
          <w:lang w:val="pt-PT"/>
        </w:rPr>
        <w:t>Artigo 47.</w:t>
      </w:r>
      <w:r w:rsidRPr="00465964">
        <w:rPr>
          <w:i/>
          <w:iCs/>
          <w:vertAlign w:val="superscript"/>
          <w:lang w:val="pt-PT"/>
        </w:rPr>
        <w:t>o</w:t>
      </w:r>
    </w:p>
    <w:p w14:paraId="425E68B7" w14:textId="77777777" w:rsidR="00465964" w:rsidRPr="00465964" w:rsidRDefault="00465964" w:rsidP="00465964">
      <w:pPr>
        <w:rPr>
          <w:b/>
          <w:bCs/>
          <w:lang w:val="pt-PT"/>
        </w:rPr>
      </w:pPr>
      <w:r w:rsidRPr="00465964">
        <w:rPr>
          <w:b/>
          <w:bCs/>
          <w:lang w:val="pt-PT"/>
        </w:rPr>
        <w:t>Plano de reembolso</w:t>
      </w:r>
    </w:p>
    <w:p w14:paraId="3AE413F1" w14:textId="77777777" w:rsidR="00465964" w:rsidRPr="00465964" w:rsidRDefault="00465964" w:rsidP="00465964">
      <w:pPr>
        <w:rPr>
          <w:lang w:val="pt-PT"/>
        </w:rPr>
      </w:pPr>
      <w:r w:rsidRPr="00465964">
        <w:rPr>
          <w:lang w:val="pt-PT"/>
        </w:rPr>
        <w:t xml:space="preserve">1.   Um emitente de uma </w:t>
      </w:r>
      <w:proofErr w:type="spellStart"/>
      <w:r w:rsidRPr="00465964">
        <w:rPr>
          <w:lang w:val="pt-PT"/>
        </w:rPr>
        <w:t>criptoficha</w:t>
      </w:r>
      <w:proofErr w:type="spellEnd"/>
      <w:r w:rsidRPr="00465964">
        <w:rPr>
          <w:lang w:val="pt-PT"/>
        </w:rPr>
        <w:t xml:space="preserve"> referenciada a ativos deve elaborar e manter um plano operacional de apoio ao reembolso ordenado de cada </w:t>
      </w:r>
      <w:proofErr w:type="spellStart"/>
      <w:r w:rsidRPr="00465964">
        <w:rPr>
          <w:lang w:val="pt-PT"/>
        </w:rPr>
        <w:t>criptoficha</w:t>
      </w:r>
      <w:proofErr w:type="spellEnd"/>
      <w:r w:rsidRPr="00465964">
        <w:rPr>
          <w:lang w:val="pt-PT"/>
        </w:rPr>
        <w:t xml:space="preserve"> referenciada a ativos, a executar com base numa decisão da autoridade competente, em que esta estabeleça que o emitente não tem, ou está em risco de não ter, a capacidade para cumprir as suas obrigações, nomeadamente em caso de insolvência ou, se for caso disso, de resolução, ou em caso de revogação da autorização do emitente, sem prejuízo do lançamento de medidas de prevenção </w:t>
      </w:r>
      <w:r w:rsidRPr="00465964">
        <w:rPr>
          <w:lang w:val="pt-PT"/>
        </w:rPr>
        <w:lastRenderedPageBreak/>
        <w:t>de crises ou de medidas de gestão de crises na aceção do artigo 2.</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1, pontos 101 e 102, respetivamente, da Diretiva 2014/59/UE ou de medidas de resolução na aceção do artigo 2.</w:t>
      </w:r>
      <w:r w:rsidRPr="00465964">
        <w:rPr>
          <w:vertAlign w:val="superscript"/>
          <w:lang w:val="pt-PT"/>
        </w:rPr>
        <w:t>o</w:t>
      </w:r>
      <w:r w:rsidRPr="00465964">
        <w:rPr>
          <w:lang w:val="pt-PT"/>
        </w:rPr>
        <w:t>, ponto 11, do Regulamento (UE) 2021/23 do Parlamento Europeu e do Conselho </w:t>
      </w:r>
      <w:hyperlink r:id="rId51" w:anchor="ntr44-L_2023150PT.01004001-E0044" w:history="1">
        <w:r w:rsidRPr="00465964">
          <w:rPr>
            <w:rStyle w:val="Hyperlink"/>
            <w:lang w:val="pt-PT"/>
          </w:rPr>
          <w:t>(</w:t>
        </w:r>
        <w:r w:rsidRPr="00465964">
          <w:rPr>
            <w:rStyle w:val="Hyperlink"/>
            <w:vertAlign w:val="superscript"/>
            <w:lang w:val="pt-PT"/>
          </w:rPr>
          <w:t>44</w:t>
        </w:r>
        <w:r w:rsidRPr="00465964">
          <w:rPr>
            <w:rStyle w:val="Hyperlink"/>
            <w:lang w:val="pt-PT"/>
          </w:rPr>
          <w:t>)</w:t>
        </w:r>
      </w:hyperlink>
      <w:r w:rsidRPr="00465964">
        <w:rPr>
          <w:lang w:val="pt-PT"/>
        </w:rPr>
        <w:t>.</w:t>
      </w:r>
    </w:p>
    <w:p w14:paraId="5ADDDEC3" w14:textId="77777777" w:rsidR="00465964" w:rsidRPr="00465964" w:rsidRDefault="00465964" w:rsidP="00465964">
      <w:pPr>
        <w:rPr>
          <w:lang w:val="pt-PT"/>
        </w:rPr>
      </w:pPr>
      <w:r w:rsidRPr="00465964">
        <w:rPr>
          <w:lang w:val="pt-PT"/>
        </w:rPr>
        <w:t xml:space="preserve">2.   O plano de reembolso deve demonstrar a capacidade do emitente da </w:t>
      </w:r>
      <w:proofErr w:type="spellStart"/>
      <w:r w:rsidRPr="00465964">
        <w:rPr>
          <w:lang w:val="pt-PT"/>
        </w:rPr>
        <w:t>criptoficha</w:t>
      </w:r>
      <w:proofErr w:type="spellEnd"/>
      <w:r w:rsidRPr="00465964">
        <w:rPr>
          <w:lang w:val="pt-PT"/>
        </w:rPr>
        <w:t xml:space="preserve"> referenciada a ativos para proceder ao reembolso da </w:t>
      </w:r>
      <w:proofErr w:type="spellStart"/>
      <w:r w:rsidRPr="00465964">
        <w:rPr>
          <w:lang w:val="pt-PT"/>
        </w:rPr>
        <w:t>criptoficha</w:t>
      </w:r>
      <w:proofErr w:type="spellEnd"/>
      <w:r w:rsidRPr="00465964">
        <w:rPr>
          <w:lang w:val="pt-PT"/>
        </w:rPr>
        <w:t xml:space="preserve"> referenciada a ativos emitida sem causar prejuízos económicos indevidos aos seus detentores ou à estabilidade dos mercados dos ativos de reserva.</w:t>
      </w:r>
    </w:p>
    <w:p w14:paraId="0CB7D35B" w14:textId="3D78CAAA" w:rsidR="00465964" w:rsidRPr="00465964" w:rsidRDefault="00465964" w:rsidP="00465964">
      <w:pPr>
        <w:rPr>
          <w:lang w:val="pt-PT"/>
        </w:rPr>
      </w:pPr>
      <w:r w:rsidRPr="00465964">
        <w:rPr>
          <w:lang w:val="pt-PT"/>
        </w:rPr>
        <w:t xml:space="preserve">O plano de reembolso deve incluir disposições contratuais, procedimentos e sistemas, nomeadamente a designação de um administrador temporário, em conformidade com o direito aplicável, para assegurar o tratamento equitativo de todos os detentores de </w:t>
      </w:r>
      <w:r>
        <w:rPr>
          <w:lang w:val="pt-PT"/>
        </w:rPr>
        <w:t>criptomoedas</w:t>
      </w:r>
      <w:r w:rsidRPr="00465964">
        <w:rPr>
          <w:lang w:val="pt-PT"/>
        </w:rPr>
        <w:t xml:space="preserve"> referenciadas a ativos e para que os detentores de </w:t>
      </w:r>
      <w:r>
        <w:rPr>
          <w:lang w:val="pt-PT"/>
        </w:rPr>
        <w:t>criptomoedas</w:t>
      </w:r>
      <w:r w:rsidRPr="00465964">
        <w:rPr>
          <w:lang w:val="pt-PT"/>
        </w:rPr>
        <w:t xml:space="preserve"> referenciadas a ativos sejam pagos em tempo útil com as receitas da venda dos restantes ativos de reserva.</w:t>
      </w:r>
    </w:p>
    <w:p w14:paraId="03340ED9" w14:textId="77777777" w:rsidR="00465964" w:rsidRPr="00465964" w:rsidRDefault="00465964" w:rsidP="00465964">
      <w:pPr>
        <w:rPr>
          <w:lang w:val="pt-PT"/>
        </w:rPr>
      </w:pPr>
      <w:r w:rsidRPr="00465964">
        <w:rPr>
          <w:lang w:val="pt-PT"/>
        </w:rPr>
        <w:t>O plano de reembolso deve assegurar a continuidade das atividades críticas realizadas pelos emitentes, ou por qualquer entidade terceira, que sejam necessárias para o reembolso ordenado.</w:t>
      </w:r>
    </w:p>
    <w:p w14:paraId="7F2A4490" w14:textId="77777777" w:rsidR="00465964" w:rsidRPr="00465964" w:rsidRDefault="00465964" w:rsidP="00465964">
      <w:pPr>
        <w:rPr>
          <w:lang w:val="pt-PT"/>
        </w:rPr>
      </w:pPr>
      <w:r w:rsidRPr="00465964">
        <w:rPr>
          <w:lang w:val="pt-PT"/>
        </w:rPr>
        <w:t xml:space="preserve">3.   O emitente da </w:t>
      </w:r>
      <w:proofErr w:type="spellStart"/>
      <w:r w:rsidRPr="00465964">
        <w:rPr>
          <w:lang w:val="pt-PT"/>
        </w:rPr>
        <w:t>criptoficha</w:t>
      </w:r>
      <w:proofErr w:type="spellEnd"/>
      <w:r w:rsidRPr="00465964">
        <w:rPr>
          <w:lang w:val="pt-PT"/>
        </w:rPr>
        <w:t xml:space="preserve"> referenciada a ativos notifica o plano de reembolso à autoridade competente no prazo de seis meses a contar da data de autorização nos termos do artigo 21.</w:t>
      </w:r>
      <w:r w:rsidRPr="00465964">
        <w:rPr>
          <w:vertAlign w:val="superscript"/>
          <w:lang w:val="pt-PT"/>
        </w:rPr>
        <w:t>o</w:t>
      </w:r>
      <w:r w:rsidRPr="00465964">
        <w:rPr>
          <w:lang w:val="pt-PT"/>
        </w:rPr>
        <w:t> ou no prazo de seis meses a contar da data de aprovação do livrete do criptoativo nos termos do artigo 17.</w:t>
      </w:r>
      <w:r w:rsidRPr="00465964">
        <w:rPr>
          <w:vertAlign w:val="superscript"/>
          <w:lang w:val="pt-PT"/>
        </w:rPr>
        <w:t>o</w:t>
      </w:r>
      <w:r w:rsidRPr="00465964">
        <w:rPr>
          <w:lang w:val="pt-PT"/>
        </w:rPr>
        <w:t>. A autoridade competente requer a introdução de alterações ao plano de reembolso sempre que tal seja necessário para assegurar a sua correta execução e comunica ao emitente a sua decisão no sentido de solicitar essas alterações no prazo de 40 dias úteis a contar da data de notificação do plano em questão. Essa decisão é implementada pelo emitente no prazo de 40 dias úteis a contar da data de notificação da mesma. O emitente revê e atualiza regularmente o plano de reembolso.</w:t>
      </w:r>
    </w:p>
    <w:p w14:paraId="13954F30" w14:textId="77777777" w:rsidR="00465964" w:rsidRPr="00465964" w:rsidRDefault="00465964" w:rsidP="00465964">
      <w:pPr>
        <w:rPr>
          <w:lang w:val="pt-PT"/>
        </w:rPr>
      </w:pPr>
      <w:r w:rsidRPr="00465964">
        <w:rPr>
          <w:lang w:val="pt-PT"/>
        </w:rPr>
        <w:t>4.   Se for caso disso, a autoridade competente notifica a autoridade de resolução e a autoridade de supervisão prudencial do emitente do plano de reembolso.</w:t>
      </w:r>
    </w:p>
    <w:p w14:paraId="620BAD31" w14:textId="77777777" w:rsidR="00465964" w:rsidRPr="00465964" w:rsidRDefault="00465964" w:rsidP="00465964">
      <w:pPr>
        <w:rPr>
          <w:lang w:val="pt-PT"/>
        </w:rPr>
      </w:pPr>
      <w:r w:rsidRPr="00465964">
        <w:rPr>
          <w:lang w:val="pt-PT"/>
        </w:rPr>
        <w:t>A autoridade de resolução pode analisar o plano de reembolso a fim de identificar as medidas nele constantes suscetíveis de afetar negativamente a resolubilidade do emitente, e pode fazer recomendações à autoridade competente a esse respeito.</w:t>
      </w:r>
    </w:p>
    <w:p w14:paraId="750018F3" w14:textId="77777777" w:rsidR="00465964" w:rsidRPr="00465964" w:rsidRDefault="00465964" w:rsidP="00465964">
      <w:pPr>
        <w:rPr>
          <w:lang w:val="pt-PT"/>
        </w:rPr>
      </w:pPr>
      <w:r w:rsidRPr="00465964">
        <w:rPr>
          <w:lang w:val="pt-PT"/>
        </w:rPr>
        <w:t>5.   A EBA emite orientações nos termos do artigo 16.</w:t>
      </w:r>
      <w:r w:rsidRPr="00465964">
        <w:rPr>
          <w:vertAlign w:val="superscript"/>
          <w:lang w:val="pt-PT"/>
        </w:rPr>
        <w:t>o</w:t>
      </w:r>
      <w:r w:rsidRPr="00465964">
        <w:rPr>
          <w:lang w:val="pt-PT"/>
        </w:rPr>
        <w:t xml:space="preserve"> do Regulamento (UE) </w:t>
      </w:r>
      <w:proofErr w:type="spellStart"/>
      <w:r w:rsidRPr="00465964">
        <w:rPr>
          <w:lang w:val="pt-PT"/>
        </w:rPr>
        <w:t>n.</w:t>
      </w:r>
      <w:r w:rsidRPr="00465964">
        <w:rPr>
          <w:vertAlign w:val="superscript"/>
          <w:lang w:val="pt-PT"/>
        </w:rPr>
        <w:t>o</w:t>
      </w:r>
      <w:proofErr w:type="spellEnd"/>
      <w:r w:rsidRPr="00465964">
        <w:rPr>
          <w:lang w:val="pt-PT"/>
        </w:rPr>
        <w:t> 1093/2010 para especificar:</w:t>
      </w:r>
    </w:p>
    <w:tbl>
      <w:tblPr>
        <w:tblW w:w="5000" w:type="pct"/>
        <w:tblCellMar>
          <w:left w:w="0" w:type="dxa"/>
          <w:right w:w="0" w:type="dxa"/>
        </w:tblCellMar>
        <w:tblLook w:val="04A0" w:firstRow="1" w:lastRow="0" w:firstColumn="1" w:lastColumn="0" w:noHBand="0" w:noVBand="1"/>
      </w:tblPr>
      <w:tblGrid>
        <w:gridCol w:w="182"/>
        <w:gridCol w:w="8844"/>
      </w:tblGrid>
      <w:tr w:rsidR="00465964" w:rsidRPr="00465964" w14:paraId="129C4768" w14:textId="77777777" w:rsidTr="00465964">
        <w:tc>
          <w:tcPr>
            <w:tcW w:w="0" w:type="auto"/>
            <w:shd w:val="clear" w:color="auto" w:fill="auto"/>
            <w:hideMark/>
          </w:tcPr>
          <w:p w14:paraId="1FCA0E8D" w14:textId="77777777" w:rsidR="00465964" w:rsidRPr="00465964" w:rsidRDefault="00465964" w:rsidP="00465964">
            <w:r w:rsidRPr="00465964">
              <w:t>a)</w:t>
            </w:r>
          </w:p>
        </w:tc>
        <w:tc>
          <w:tcPr>
            <w:tcW w:w="0" w:type="auto"/>
            <w:shd w:val="clear" w:color="auto" w:fill="auto"/>
            <w:hideMark/>
          </w:tcPr>
          <w:p w14:paraId="259CFCD5" w14:textId="77777777" w:rsidR="00465964" w:rsidRPr="00465964" w:rsidRDefault="00465964" w:rsidP="00465964">
            <w:pPr>
              <w:rPr>
                <w:lang w:val="pt-PT"/>
              </w:rPr>
            </w:pPr>
            <w:r w:rsidRPr="00465964">
              <w:rPr>
                <w:lang w:val="pt-PT"/>
              </w:rPr>
              <w:t xml:space="preserve">O teor do plano de reembolso e a periodicidade da revisão, tendo em conta a dimensão, a complexidade e a natureza da </w:t>
            </w:r>
            <w:proofErr w:type="spellStart"/>
            <w:r w:rsidRPr="00465964">
              <w:rPr>
                <w:lang w:val="pt-PT"/>
              </w:rPr>
              <w:t>criptoficha</w:t>
            </w:r>
            <w:proofErr w:type="spellEnd"/>
            <w:r w:rsidRPr="00465964">
              <w:rPr>
                <w:lang w:val="pt-PT"/>
              </w:rPr>
              <w:t xml:space="preserve"> referenciada a ativos e tendo em conta o modelo de negócio do emitente em causa; e</w:t>
            </w:r>
          </w:p>
        </w:tc>
      </w:tr>
    </w:tbl>
    <w:p w14:paraId="106C13F6"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288"/>
        <w:gridCol w:w="8738"/>
      </w:tblGrid>
      <w:tr w:rsidR="00465964" w:rsidRPr="00465964" w14:paraId="5551F014" w14:textId="77777777" w:rsidTr="00465964">
        <w:tc>
          <w:tcPr>
            <w:tcW w:w="0" w:type="auto"/>
            <w:shd w:val="clear" w:color="auto" w:fill="auto"/>
            <w:hideMark/>
          </w:tcPr>
          <w:p w14:paraId="1D467A2B" w14:textId="77777777" w:rsidR="00465964" w:rsidRPr="00465964" w:rsidRDefault="00465964" w:rsidP="00465964">
            <w:r w:rsidRPr="00465964">
              <w:t>b)</w:t>
            </w:r>
          </w:p>
        </w:tc>
        <w:tc>
          <w:tcPr>
            <w:tcW w:w="0" w:type="auto"/>
            <w:shd w:val="clear" w:color="auto" w:fill="auto"/>
            <w:hideMark/>
          </w:tcPr>
          <w:p w14:paraId="33C98722" w14:textId="77777777" w:rsidR="00465964" w:rsidRPr="00465964" w:rsidRDefault="00465964" w:rsidP="00465964">
            <w:pPr>
              <w:rPr>
                <w:lang w:val="pt-PT"/>
              </w:rPr>
            </w:pPr>
            <w:r w:rsidRPr="00465964">
              <w:rPr>
                <w:lang w:val="pt-PT"/>
              </w:rPr>
              <w:t>As condições que levam à execução do plano de reembolso.</w:t>
            </w:r>
          </w:p>
        </w:tc>
      </w:tr>
    </w:tbl>
    <w:p w14:paraId="4374091B" w14:textId="77777777" w:rsidR="00465964" w:rsidRPr="00465964" w:rsidRDefault="00465964" w:rsidP="00465964">
      <w:pPr>
        <w:rPr>
          <w:b/>
          <w:bCs/>
          <w:lang w:val="pt-PT"/>
        </w:rPr>
      </w:pPr>
      <w:r w:rsidRPr="00465964">
        <w:rPr>
          <w:b/>
          <w:bCs/>
          <w:lang w:val="pt-PT"/>
        </w:rPr>
        <w:t>TÍTULO IV</w:t>
      </w:r>
    </w:p>
    <w:p w14:paraId="558E227B" w14:textId="4F717F38" w:rsidR="00465964" w:rsidRPr="00465964" w:rsidRDefault="00465964" w:rsidP="00465964">
      <w:pPr>
        <w:rPr>
          <w:b/>
          <w:bCs/>
          <w:lang w:val="pt-PT"/>
        </w:rPr>
      </w:pPr>
      <w:r>
        <w:rPr>
          <w:b/>
          <w:bCs/>
          <w:lang w:val="pt-PT"/>
        </w:rPr>
        <w:t>CRIPTOMOEDAS</w:t>
      </w:r>
      <w:r w:rsidRPr="00465964">
        <w:rPr>
          <w:b/>
          <w:bCs/>
          <w:lang w:val="pt-PT"/>
        </w:rPr>
        <w:t xml:space="preserve"> DE MOEDA ELETRÓNICA</w:t>
      </w:r>
    </w:p>
    <w:p w14:paraId="48CDA213" w14:textId="77777777" w:rsidR="00465964" w:rsidRPr="00465964" w:rsidRDefault="00465964" w:rsidP="00465964">
      <w:pPr>
        <w:rPr>
          <w:b/>
          <w:bCs/>
          <w:lang w:val="pt-PT"/>
        </w:rPr>
      </w:pPr>
      <w:r w:rsidRPr="00465964">
        <w:rPr>
          <w:b/>
          <w:bCs/>
          <w:i/>
          <w:iCs/>
          <w:lang w:val="pt-PT"/>
        </w:rPr>
        <w:t>CAPÍTULO 1</w:t>
      </w:r>
    </w:p>
    <w:p w14:paraId="13CF8121" w14:textId="059CD137" w:rsidR="00465964" w:rsidRPr="00465964" w:rsidRDefault="00465964" w:rsidP="00465964">
      <w:pPr>
        <w:rPr>
          <w:b/>
          <w:bCs/>
          <w:lang w:val="pt-PT"/>
        </w:rPr>
      </w:pPr>
      <w:r w:rsidRPr="00465964">
        <w:rPr>
          <w:b/>
          <w:bCs/>
          <w:i/>
          <w:iCs/>
          <w:lang w:val="pt-PT"/>
        </w:rPr>
        <w:t xml:space="preserve">Requisitos a preencher por todos os emitentes de </w:t>
      </w:r>
      <w:r>
        <w:rPr>
          <w:b/>
          <w:bCs/>
          <w:i/>
          <w:iCs/>
          <w:lang w:val="pt-PT"/>
        </w:rPr>
        <w:t>criptomoedas</w:t>
      </w:r>
      <w:r w:rsidRPr="00465964">
        <w:rPr>
          <w:b/>
          <w:bCs/>
          <w:i/>
          <w:iCs/>
          <w:lang w:val="pt-PT"/>
        </w:rPr>
        <w:t xml:space="preserve"> de moeda eletrónica</w:t>
      </w:r>
    </w:p>
    <w:p w14:paraId="1A999ABE" w14:textId="77777777" w:rsidR="00465964" w:rsidRPr="00465964" w:rsidRDefault="00465964" w:rsidP="00465964">
      <w:pPr>
        <w:rPr>
          <w:i/>
          <w:iCs/>
          <w:lang w:val="pt-PT"/>
        </w:rPr>
      </w:pPr>
      <w:r w:rsidRPr="00465964">
        <w:rPr>
          <w:i/>
          <w:iCs/>
          <w:lang w:val="pt-PT"/>
        </w:rPr>
        <w:t>Artigo 48.</w:t>
      </w:r>
      <w:r w:rsidRPr="00465964">
        <w:rPr>
          <w:i/>
          <w:iCs/>
          <w:vertAlign w:val="superscript"/>
          <w:lang w:val="pt-PT"/>
        </w:rPr>
        <w:t>o</w:t>
      </w:r>
    </w:p>
    <w:p w14:paraId="11D23701" w14:textId="2A5786E7" w:rsidR="00465964" w:rsidRPr="00465964" w:rsidRDefault="00465964" w:rsidP="00465964">
      <w:pPr>
        <w:rPr>
          <w:b/>
          <w:bCs/>
          <w:lang w:val="pt-PT"/>
        </w:rPr>
      </w:pPr>
      <w:r w:rsidRPr="00465964">
        <w:rPr>
          <w:b/>
          <w:bCs/>
          <w:lang w:val="pt-PT"/>
        </w:rPr>
        <w:lastRenderedPageBreak/>
        <w:t xml:space="preserve">Requisitos para a oferta pública ou admissão à negociação de </w:t>
      </w:r>
      <w:r>
        <w:rPr>
          <w:b/>
          <w:bCs/>
          <w:lang w:val="pt-PT"/>
        </w:rPr>
        <w:t>criptomoedas</w:t>
      </w:r>
      <w:r w:rsidRPr="00465964">
        <w:rPr>
          <w:b/>
          <w:bCs/>
          <w:lang w:val="pt-PT"/>
        </w:rPr>
        <w:t xml:space="preserve"> de moeda eletrónica</w:t>
      </w:r>
    </w:p>
    <w:p w14:paraId="4894DBE2" w14:textId="77777777" w:rsidR="00465964" w:rsidRPr="00465964" w:rsidRDefault="00465964" w:rsidP="00465964">
      <w:pPr>
        <w:rPr>
          <w:lang w:val="pt-PT"/>
        </w:rPr>
      </w:pPr>
      <w:r w:rsidRPr="00465964">
        <w:rPr>
          <w:lang w:val="pt-PT"/>
        </w:rPr>
        <w:t xml:space="preserve">1.   Uma pessoa não pode, na União, fazer uma oferta pública ou solicitar a admissão à negociação de uma </w:t>
      </w:r>
      <w:proofErr w:type="spellStart"/>
      <w:r w:rsidRPr="00465964">
        <w:rPr>
          <w:lang w:val="pt-PT"/>
        </w:rPr>
        <w:t>criptoficha</w:t>
      </w:r>
      <w:proofErr w:type="spellEnd"/>
      <w:r w:rsidRPr="00465964">
        <w:rPr>
          <w:lang w:val="pt-PT"/>
        </w:rPr>
        <w:t xml:space="preserve"> de moeda eletrónica, a menos que a pessoa em causa seja o emitente dessa </w:t>
      </w:r>
      <w:proofErr w:type="spellStart"/>
      <w:r w:rsidRPr="00465964">
        <w:rPr>
          <w:lang w:val="pt-PT"/>
        </w:rPr>
        <w:t>criptoficha</w:t>
      </w:r>
      <w:proofErr w:type="spellEnd"/>
      <w:r w:rsidRPr="00465964">
        <w:rPr>
          <w:lang w:val="pt-PT"/>
        </w:rPr>
        <w:t xml:space="preserve"> de moeda eletrónica e:</w:t>
      </w:r>
    </w:p>
    <w:tbl>
      <w:tblPr>
        <w:tblW w:w="5000" w:type="pct"/>
        <w:tblCellMar>
          <w:left w:w="0" w:type="dxa"/>
          <w:right w:w="0" w:type="dxa"/>
        </w:tblCellMar>
        <w:tblLook w:val="04A0" w:firstRow="1" w:lastRow="0" w:firstColumn="1" w:lastColumn="0" w:noHBand="0" w:noVBand="1"/>
      </w:tblPr>
      <w:tblGrid>
        <w:gridCol w:w="191"/>
        <w:gridCol w:w="8835"/>
      </w:tblGrid>
      <w:tr w:rsidR="00465964" w:rsidRPr="00465964" w14:paraId="3E97CEDC" w14:textId="77777777" w:rsidTr="00465964">
        <w:tc>
          <w:tcPr>
            <w:tcW w:w="0" w:type="auto"/>
            <w:shd w:val="clear" w:color="auto" w:fill="auto"/>
            <w:hideMark/>
          </w:tcPr>
          <w:p w14:paraId="11C441A0" w14:textId="77777777" w:rsidR="00465964" w:rsidRPr="00465964" w:rsidRDefault="00465964" w:rsidP="00465964">
            <w:r w:rsidRPr="00465964">
              <w:t>a)</w:t>
            </w:r>
          </w:p>
        </w:tc>
        <w:tc>
          <w:tcPr>
            <w:tcW w:w="0" w:type="auto"/>
            <w:shd w:val="clear" w:color="auto" w:fill="auto"/>
            <w:hideMark/>
          </w:tcPr>
          <w:p w14:paraId="31164668" w14:textId="77777777" w:rsidR="00465964" w:rsidRPr="00465964" w:rsidRDefault="00465964" w:rsidP="00465964">
            <w:pPr>
              <w:rPr>
                <w:lang w:val="pt-PT"/>
              </w:rPr>
            </w:pPr>
            <w:r w:rsidRPr="00465964">
              <w:rPr>
                <w:lang w:val="pt-PT"/>
              </w:rPr>
              <w:t>Esteja autorizada como instituição de crédito ou como instituição de moeda eletrónica; e</w:t>
            </w:r>
          </w:p>
        </w:tc>
      </w:tr>
    </w:tbl>
    <w:p w14:paraId="60E7A7E9"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8"/>
        <w:gridCol w:w="8838"/>
      </w:tblGrid>
      <w:tr w:rsidR="00465964" w:rsidRPr="00465964" w14:paraId="26157AD1" w14:textId="77777777" w:rsidTr="00465964">
        <w:tc>
          <w:tcPr>
            <w:tcW w:w="0" w:type="auto"/>
            <w:shd w:val="clear" w:color="auto" w:fill="auto"/>
            <w:hideMark/>
          </w:tcPr>
          <w:p w14:paraId="32217541" w14:textId="77777777" w:rsidR="00465964" w:rsidRPr="00465964" w:rsidRDefault="00465964" w:rsidP="00465964">
            <w:r w:rsidRPr="00465964">
              <w:t>b)</w:t>
            </w:r>
          </w:p>
        </w:tc>
        <w:tc>
          <w:tcPr>
            <w:tcW w:w="0" w:type="auto"/>
            <w:shd w:val="clear" w:color="auto" w:fill="auto"/>
            <w:hideMark/>
          </w:tcPr>
          <w:p w14:paraId="489C0FC3" w14:textId="77777777" w:rsidR="00465964" w:rsidRPr="00465964" w:rsidRDefault="00465964" w:rsidP="00465964">
            <w:pPr>
              <w:rPr>
                <w:lang w:val="pt-PT"/>
              </w:rPr>
            </w:pPr>
            <w:r w:rsidRPr="00465964">
              <w:rPr>
                <w:lang w:val="pt-PT"/>
              </w:rPr>
              <w:t xml:space="preserve">Tenha notificado um livrete do criptoativo à autoridade competente e o tenha publicado em conformidade com o artigo </w:t>
            </w:r>
            <w:proofErr w:type="gramStart"/>
            <w:r w:rsidRPr="00465964">
              <w:rPr>
                <w:lang w:val="pt-PT"/>
              </w:rPr>
              <w:t>51.</w:t>
            </w:r>
            <w:r w:rsidRPr="00465964">
              <w:rPr>
                <w:vertAlign w:val="superscript"/>
                <w:lang w:val="pt-PT"/>
              </w:rPr>
              <w:t>o</w:t>
            </w:r>
            <w:r w:rsidRPr="00465964">
              <w:rPr>
                <w:lang w:val="pt-PT"/>
              </w:rPr>
              <w:t>.</w:t>
            </w:r>
            <w:proofErr w:type="gramEnd"/>
          </w:p>
        </w:tc>
      </w:tr>
    </w:tbl>
    <w:p w14:paraId="211568A3" w14:textId="5B4B7115" w:rsidR="00465964" w:rsidRPr="00465964" w:rsidRDefault="00465964" w:rsidP="00465964">
      <w:pPr>
        <w:rPr>
          <w:lang w:val="pt-PT"/>
        </w:rPr>
      </w:pPr>
      <w:r w:rsidRPr="00465964">
        <w:rPr>
          <w:lang w:val="pt-PT"/>
        </w:rPr>
        <w:t xml:space="preserve">Não obstante o disposto no primeiro parágrafo, mediante consentimento escrito do emitente, outras pessoas podem proceder a uma oferta pública de </w:t>
      </w:r>
      <w:r>
        <w:rPr>
          <w:lang w:val="pt-PT"/>
        </w:rPr>
        <w:t>criptomoedas</w:t>
      </w:r>
      <w:r w:rsidRPr="00465964">
        <w:rPr>
          <w:lang w:val="pt-PT"/>
        </w:rPr>
        <w:t xml:space="preserve"> de moeda eletrónica ou solicitar a admissão à negociação das mesmas. As pessoas em causa devem cumprir o disposto nos artigos 50.</w:t>
      </w:r>
      <w:r w:rsidRPr="00465964">
        <w:rPr>
          <w:vertAlign w:val="superscript"/>
          <w:lang w:val="pt-PT"/>
        </w:rPr>
        <w:t>o</w:t>
      </w:r>
      <w:r w:rsidRPr="00465964">
        <w:rPr>
          <w:lang w:val="pt-PT"/>
        </w:rPr>
        <w:t> e 53.</w:t>
      </w:r>
      <w:r w:rsidRPr="00465964">
        <w:rPr>
          <w:vertAlign w:val="superscript"/>
          <w:lang w:val="pt-PT"/>
        </w:rPr>
        <w:t>o</w:t>
      </w:r>
      <w:r w:rsidRPr="00465964">
        <w:rPr>
          <w:lang w:val="pt-PT"/>
        </w:rPr>
        <w:t>.</w:t>
      </w:r>
    </w:p>
    <w:p w14:paraId="4D5BFE58" w14:textId="00909C56" w:rsidR="00465964" w:rsidRPr="00465964" w:rsidRDefault="00465964" w:rsidP="00465964">
      <w:pPr>
        <w:rPr>
          <w:lang w:val="pt-PT"/>
        </w:rPr>
      </w:pPr>
      <w:r w:rsidRPr="00465964">
        <w:rPr>
          <w:lang w:val="pt-PT"/>
        </w:rPr>
        <w:t xml:space="preserve">2.   As </w:t>
      </w:r>
      <w:r>
        <w:rPr>
          <w:lang w:val="pt-PT"/>
        </w:rPr>
        <w:t>criptomoedas</w:t>
      </w:r>
      <w:r w:rsidRPr="00465964">
        <w:rPr>
          <w:lang w:val="pt-PT"/>
        </w:rPr>
        <w:t xml:space="preserve"> de moeda eletrónica são consideradas moeda eletrónica.</w:t>
      </w:r>
    </w:p>
    <w:p w14:paraId="5D395A99" w14:textId="77777777" w:rsidR="00465964" w:rsidRPr="00465964" w:rsidRDefault="00465964" w:rsidP="00465964">
      <w:pPr>
        <w:rPr>
          <w:lang w:val="pt-PT"/>
        </w:rPr>
      </w:pPr>
      <w:r w:rsidRPr="00465964">
        <w:rPr>
          <w:lang w:val="pt-PT"/>
        </w:rPr>
        <w:t xml:space="preserve">Uma </w:t>
      </w:r>
      <w:proofErr w:type="spellStart"/>
      <w:r w:rsidRPr="00465964">
        <w:rPr>
          <w:lang w:val="pt-PT"/>
        </w:rPr>
        <w:t>criptoficha</w:t>
      </w:r>
      <w:proofErr w:type="spellEnd"/>
      <w:r w:rsidRPr="00465964">
        <w:rPr>
          <w:lang w:val="pt-PT"/>
        </w:rPr>
        <w:t xml:space="preserve"> de moeda eletrónica cujo valor de referência seja uma moeda oficial de um Estado-Membro é considerada como sendo objeto de uma oferta pública na União.</w:t>
      </w:r>
    </w:p>
    <w:p w14:paraId="7C55773F" w14:textId="59DE4DF6" w:rsidR="00465964" w:rsidRPr="00465964" w:rsidRDefault="00465964" w:rsidP="00465964">
      <w:pPr>
        <w:rPr>
          <w:lang w:val="pt-PT"/>
        </w:rPr>
      </w:pPr>
      <w:r w:rsidRPr="00465964">
        <w:rPr>
          <w:lang w:val="pt-PT"/>
        </w:rPr>
        <w:t xml:space="preserve">3.   Salvo disposição em contrário no presente título, aplicam-se às </w:t>
      </w:r>
      <w:r>
        <w:rPr>
          <w:lang w:val="pt-PT"/>
        </w:rPr>
        <w:t>criptomoedas</w:t>
      </w:r>
      <w:r w:rsidRPr="00465964">
        <w:rPr>
          <w:lang w:val="pt-PT"/>
        </w:rPr>
        <w:t xml:space="preserve"> de moeda eletrónica os títulos II e III da Diretiva 2009/110/CE.</w:t>
      </w:r>
    </w:p>
    <w:p w14:paraId="75CC99A7" w14:textId="01C82F5E" w:rsidR="00465964" w:rsidRPr="00465964" w:rsidRDefault="00465964" w:rsidP="00465964">
      <w:pPr>
        <w:rPr>
          <w:lang w:val="pt-PT"/>
        </w:rPr>
      </w:pPr>
      <w:r w:rsidRPr="00465964">
        <w:rPr>
          <w:lang w:val="pt-PT"/>
        </w:rPr>
        <w:t xml:space="preserve">4.   O </w:t>
      </w:r>
      <w:proofErr w:type="spellStart"/>
      <w:r w:rsidRPr="00465964">
        <w:rPr>
          <w:lang w:val="pt-PT"/>
        </w:rPr>
        <w:t>n.</w:t>
      </w:r>
      <w:r w:rsidRPr="00465964">
        <w:rPr>
          <w:vertAlign w:val="superscript"/>
          <w:lang w:val="pt-PT"/>
        </w:rPr>
        <w:t>o</w:t>
      </w:r>
      <w:proofErr w:type="spellEnd"/>
      <w:r w:rsidRPr="00465964">
        <w:rPr>
          <w:lang w:val="pt-PT"/>
        </w:rPr>
        <w:t xml:space="preserve"> 1 do presente artigo não se aplica aos emitentes de </w:t>
      </w:r>
      <w:r>
        <w:rPr>
          <w:lang w:val="pt-PT"/>
        </w:rPr>
        <w:t>criptomoedas</w:t>
      </w:r>
      <w:r w:rsidRPr="00465964">
        <w:rPr>
          <w:lang w:val="pt-PT"/>
        </w:rPr>
        <w:t xml:space="preserve"> de moeda eletrónica isentos em conformidade com o artigo 9.</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1, da Diretiva 2009/110/CE.</w:t>
      </w:r>
    </w:p>
    <w:p w14:paraId="452F9FEB" w14:textId="2C683C66" w:rsidR="00465964" w:rsidRPr="00465964" w:rsidRDefault="00465964" w:rsidP="00465964">
      <w:pPr>
        <w:rPr>
          <w:lang w:val="pt-PT"/>
        </w:rPr>
      </w:pPr>
      <w:r w:rsidRPr="00465964">
        <w:rPr>
          <w:lang w:val="pt-PT"/>
        </w:rPr>
        <w:t xml:space="preserve">5.   O presente título, à exceção do </w:t>
      </w:r>
      <w:proofErr w:type="spellStart"/>
      <w:proofErr w:type="gramStart"/>
      <w:r w:rsidRPr="00465964">
        <w:rPr>
          <w:lang w:val="pt-PT"/>
        </w:rPr>
        <w:t>n.</w:t>
      </w:r>
      <w:r w:rsidRPr="00465964">
        <w:rPr>
          <w:vertAlign w:val="superscript"/>
          <w:lang w:val="pt-PT"/>
        </w:rPr>
        <w:t>o</w:t>
      </w:r>
      <w:proofErr w:type="spellEnd"/>
      <w:proofErr w:type="gramEnd"/>
      <w:r w:rsidRPr="00465964">
        <w:rPr>
          <w:lang w:val="pt-PT"/>
        </w:rPr>
        <w:t> 7 do presente artigo e do artigo 51.</w:t>
      </w:r>
      <w:r w:rsidRPr="00465964">
        <w:rPr>
          <w:vertAlign w:val="superscript"/>
          <w:lang w:val="pt-PT"/>
        </w:rPr>
        <w:t>o</w:t>
      </w:r>
      <w:r w:rsidRPr="00465964">
        <w:rPr>
          <w:lang w:val="pt-PT"/>
        </w:rPr>
        <w:t xml:space="preserve">, não se aplica relativamente a </w:t>
      </w:r>
      <w:r>
        <w:rPr>
          <w:lang w:val="pt-PT"/>
        </w:rPr>
        <w:t>criptomoedas</w:t>
      </w:r>
      <w:r w:rsidRPr="00465964">
        <w:rPr>
          <w:lang w:val="pt-PT"/>
        </w:rPr>
        <w:t xml:space="preserve"> de moeda eletrónica isentas nos termos do artigo 1.</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os</w:t>
      </w:r>
      <w:proofErr w:type="spellEnd"/>
      <w:r w:rsidRPr="00465964">
        <w:rPr>
          <w:lang w:val="pt-PT"/>
        </w:rPr>
        <w:t> 4 e 5 da Diretiva 2009/110/CE.</w:t>
      </w:r>
    </w:p>
    <w:p w14:paraId="4F16C4C6" w14:textId="752EECDA" w:rsidR="00465964" w:rsidRPr="00465964" w:rsidRDefault="00465964" w:rsidP="00465964">
      <w:pPr>
        <w:rPr>
          <w:lang w:val="pt-PT"/>
        </w:rPr>
      </w:pPr>
      <w:r w:rsidRPr="00465964">
        <w:rPr>
          <w:lang w:val="pt-PT"/>
        </w:rPr>
        <w:t xml:space="preserve">6.   Os emitentes de </w:t>
      </w:r>
      <w:r>
        <w:rPr>
          <w:lang w:val="pt-PT"/>
        </w:rPr>
        <w:t>criptomoedas</w:t>
      </w:r>
      <w:r w:rsidRPr="00465964">
        <w:rPr>
          <w:lang w:val="pt-PT"/>
        </w:rPr>
        <w:t xml:space="preserve"> de moeda eletrónica devem notificar à sua autoridade competente, pelo menos 40 dias úteis antes da data em que pretendem fazer uma oferta pública dessas </w:t>
      </w:r>
      <w:r>
        <w:rPr>
          <w:lang w:val="pt-PT"/>
        </w:rPr>
        <w:t>criptomoedas</w:t>
      </w:r>
      <w:r w:rsidRPr="00465964">
        <w:rPr>
          <w:lang w:val="pt-PT"/>
        </w:rPr>
        <w:t xml:space="preserve"> de moeda eletrónica ou solicitar a sua admissão à negociação, essa sua intenção.</w:t>
      </w:r>
    </w:p>
    <w:p w14:paraId="3787C7EE" w14:textId="7D36B9A4" w:rsidR="00465964" w:rsidRPr="00465964" w:rsidRDefault="00465964" w:rsidP="00465964">
      <w:pPr>
        <w:rPr>
          <w:lang w:val="pt-PT"/>
        </w:rPr>
      </w:pPr>
      <w:r w:rsidRPr="00465964">
        <w:rPr>
          <w:lang w:val="pt-PT"/>
        </w:rPr>
        <w:t xml:space="preserve">7.   Quando se apliquem os </w:t>
      </w:r>
      <w:proofErr w:type="spellStart"/>
      <w:proofErr w:type="gramStart"/>
      <w:r w:rsidRPr="00465964">
        <w:rPr>
          <w:lang w:val="pt-PT"/>
        </w:rPr>
        <w:t>n.</w:t>
      </w:r>
      <w:r w:rsidRPr="00465964">
        <w:rPr>
          <w:vertAlign w:val="superscript"/>
          <w:lang w:val="pt-PT"/>
        </w:rPr>
        <w:t>os</w:t>
      </w:r>
      <w:proofErr w:type="spellEnd"/>
      <w:proofErr w:type="gramEnd"/>
      <w:r w:rsidRPr="00465964">
        <w:rPr>
          <w:lang w:val="pt-PT"/>
        </w:rPr>
        <w:t xml:space="preserve"> 4 e 5, os emitentes de </w:t>
      </w:r>
      <w:r>
        <w:rPr>
          <w:lang w:val="pt-PT"/>
        </w:rPr>
        <w:t>criptomoedas</w:t>
      </w:r>
      <w:r w:rsidRPr="00465964">
        <w:rPr>
          <w:lang w:val="pt-PT"/>
        </w:rPr>
        <w:t xml:space="preserve"> de moeda eletrónica devem redigir um livrete do criptoativo e notificar a autoridade competente desse livrete do criptoativo em conformidade com o artigo 51.</w:t>
      </w:r>
      <w:r w:rsidRPr="00465964">
        <w:rPr>
          <w:vertAlign w:val="superscript"/>
          <w:lang w:val="pt-PT"/>
        </w:rPr>
        <w:t>o</w:t>
      </w:r>
      <w:r w:rsidRPr="00465964">
        <w:rPr>
          <w:lang w:val="pt-PT"/>
        </w:rPr>
        <w:t>.</w:t>
      </w:r>
    </w:p>
    <w:p w14:paraId="6F0DD3CB" w14:textId="77777777" w:rsidR="00465964" w:rsidRPr="00465964" w:rsidRDefault="00465964" w:rsidP="00465964">
      <w:pPr>
        <w:rPr>
          <w:i/>
          <w:iCs/>
          <w:lang w:val="pt-PT"/>
        </w:rPr>
      </w:pPr>
      <w:r w:rsidRPr="00465964">
        <w:rPr>
          <w:i/>
          <w:iCs/>
          <w:lang w:val="pt-PT"/>
        </w:rPr>
        <w:t>Artigo 49.</w:t>
      </w:r>
      <w:r w:rsidRPr="00465964">
        <w:rPr>
          <w:i/>
          <w:iCs/>
          <w:vertAlign w:val="superscript"/>
          <w:lang w:val="pt-PT"/>
        </w:rPr>
        <w:t>o</w:t>
      </w:r>
    </w:p>
    <w:p w14:paraId="008306E4" w14:textId="4999CD8B" w:rsidR="00465964" w:rsidRPr="00465964" w:rsidRDefault="00465964" w:rsidP="00465964">
      <w:pPr>
        <w:rPr>
          <w:b/>
          <w:bCs/>
          <w:lang w:val="pt-PT"/>
        </w:rPr>
      </w:pPr>
      <w:r w:rsidRPr="00465964">
        <w:rPr>
          <w:b/>
          <w:bCs/>
          <w:lang w:val="pt-PT"/>
        </w:rPr>
        <w:t xml:space="preserve">Emissão e caráter reembolsável das </w:t>
      </w:r>
      <w:r>
        <w:rPr>
          <w:b/>
          <w:bCs/>
          <w:lang w:val="pt-PT"/>
        </w:rPr>
        <w:t>criptomoedas</w:t>
      </w:r>
      <w:r w:rsidRPr="00465964">
        <w:rPr>
          <w:b/>
          <w:bCs/>
          <w:lang w:val="pt-PT"/>
        </w:rPr>
        <w:t xml:space="preserve"> de moeda eletrónica</w:t>
      </w:r>
    </w:p>
    <w:p w14:paraId="3DABFAEC" w14:textId="160C61B4" w:rsidR="00465964" w:rsidRPr="00465964" w:rsidRDefault="00465964" w:rsidP="00465964">
      <w:pPr>
        <w:rPr>
          <w:lang w:val="pt-PT"/>
        </w:rPr>
      </w:pPr>
      <w:r w:rsidRPr="00465964">
        <w:rPr>
          <w:lang w:val="pt-PT"/>
        </w:rPr>
        <w:t>1.   Em derrogação do disposto no artigo 11.</w:t>
      </w:r>
      <w:r w:rsidRPr="00465964">
        <w:rPr>
          <w:vertAlign w:val="superscript"/>
          <w:lang w:val="pt-PT"/>
        </w:rPr>
        <w:t>o</w:t>
      </w:r>
      <w:r w:rsidRPr="00465964">
        <w:rPr>
          <w:lang w:val="pt-PT"/>
        </w:rPr>
        <w:t xml:space="preserve"> da Diretiva 2009/110/CE, no que respeita à emissão e ao caráter reembolsável das </w:t>
      </w:r>
      <w:r>
        <w:rPr>
          <w:lang w:val="pt-PT"/>
        </w:rPr>
        <w:t>criptomoedas</w:t>
      </w:r>
      <w:r w:rsidRPr="00465964">
        <w:rPr>
          <w:lang w:val="pt-PT"/>
        </w:rPr>
        <w:t xml:space="preserve"> de moeda eletrónica, apenas os requisitos estabelecidos no presente artigo são aplicáveis aos emitentes de </w:t>
      </w:r>
      <w:r>
        <w:rPr>
          <w:lang w:val="pt-PT"/>
        </w:rPr>
        <w:t>criptomoedas</w:t>
      </w:r>
      <w:r w:rsidRPr="00465964">
        <w:rPr>
          <w:lang w:val="pt-PT"/>
        </w:rPr>
        <w:t xml:space="preserve"> de moeda eletrónica.</w:t>
      </w:r>
    </w:p>
    <w:p w14:paraId="09C5FC04" w14:textId="4AA28BCB" w:rsidR="00465964" w:rsidRPr="00465964" w:rsidRDefault="00465964" w:rsidP="00465964">
      <w:pPr>
        <w:rPr>
          <w:lang w:val="pt-PT"/>
        </w:rPr>
      </w:pPr>
      <w:r w:rsidRPr="00465964">
        <w:rPr>
          <w:lang w:val="pt-PT"/>
        </w:rPr>
        <w:t xml:space="preserve">2.   Os detentores de </w:t>
      </w:r>
      <w:r>
        <w:rPr>
          <w:lang w:val="pt-PT"/>
        </w:rPr>
        <w:t>criptomoedas</w:t>
      </w:r>
      <w:r w:rsidRPr="00465964">
        <w:rPr>
          <w:lang w:val="pt-PT"/>
        </w:rPr>
        <w:t xml:space="preserve"> de moeda eletrónica têm direito de crédito sobre os emitentes dessas </w:t>
      </w:r>
      <w:r>
        <w:rPr>
          <w:lang w:val="pt-PT"/>
        </w:rPr>
        <w:t>criptomoedas</w:t>
      </w:r>
      <w:r w:rsidRPr="00465964">
        <w:rPr>
          <w:lang w:val="pt-PT"/>
        </w:rPr>
        <w:t xml:space="preserve"> de moeda eletrónica.</w:t>
      </w:r>
    </w:p>
    <w:p w14:paraId="0B61E0F3" w14:textId="2942C0E9" w:rsidR="00465964" w:rsidRPr="00465964" w:rsidRDefault="00465964" w:rsidP="00465964">
      <w:pPr>
        <w:rPr>
          <w:lang w:val="pt-PT"/>
        </w:rPr>
      </w:pPr>
      <w:r w:rsidRPr="00465964">
        <w:rPr>
          <w:lang w:val="pt-PT"/>
        </w:rPr>
        <w:t xml:space="preserve">3.   Os emitentes de </w:t>
      </w:r>
      <w:r>
        <w:rPr>
          <w:lang w:val="pt-PT"/>
        </w:rPr>
        <w:t>criptomoedas</w:t>
      </w:r>
      <w:r w:rsidRPr="00465964">
        <w:rPr>
          <w:lang w:val="pt-PT"/>
        </w:rPr>
        <w:t xml:space="preserve"> de moeda eletrónica devem emitir </w:t>
      </w:r>
      <w:r>
        <w:rPr>
          <w:lang w:val="pt-PT"/>
        </w:rPr>
        <w:t>criptomoedas</w:t>
      </w:r>
      <w:r w:rsidRPr="00465964">
        <w:rPr>
          <w:lang w:val="pt-PT"/>
        </w:rPr>
        <w:t xml:space="preserve"> de moeda eletrónica pelo valor nominal aquando da receção de fundos.</w:t>
      </w:r>
    </w:p>
    <w:p w14:paraId="44FF864C" w14:textId="77777777" w:rsidR="00465964" w:rsidRPr="00465964" w:rsidRDefault="00465964" w:rsidP="00465964">
      <w:pPr>
        <w:rPr>
          <w:lang w:val="pt-PT"/>
        </w:rPr>
      </w:pPr>
      <w:r w:rsidRPr="00465964">
        <w:rPr>
          <w:lang w:val="pt-PT"/>
        </w:rPr>
        <w:lastRenderedPageBreak/>
        <w:t xml:space="preserve">4.   A pedido de um detentor de uma </w:t>
      </w:r>
      <w:proofErr w:type="spellStart"/>
      <w:r w:rsidRPr="00465964">
        <w:rPr>
          <w:lang w:val="pt-PT"/>
        </w:rPr>
        <w:t>criptoficha</w:t>
      </w:r>
      <w:proofErr w:type="spellEnd"/>
      <w:r w:rsidRPr="00465964">
        <w:rPr>
          <w:lang w:val="pt-PT"/>
        </w:rPr>
        <w:t xml:space="preserve"> de moeda eletrónica, o emitente dessa </w:t>
      </w:r>
      <w:proofErr w:type="spellStart"/>
      <w:r w:rsidRPr="00465964">
        <w:rPr>
          <w:lang w:val="pt-PT"/>
        </w:rPr>
        <w:t>criptoficha</w:t>
      </w:r>
      <w:proofErr w:type="spellEnd"/>
      <w:r w:rsidRPr="00465964">
        <w:rPr>
          <w:lang w:val="pt-PT"/>
        </w:rPr>
        <w:t xml:space="preserve"> de moeda eletrónica deve reembolsá-la, em qualquer momento e pelo valor nominal, mediante o pagamento, ao detentor da </w:t>
      </w:r>
      <w:proofErr w:type="spellStart"/>
      <w:r w:rsidRPr="00465964">
        <w:rPr>
          <w:lang w:val="pt-PT"/>
        </w:rPr>
        <w:t>criptoficha</w:t>
      </w:r>
      <w:proofErr w:type="spellEnd"/>
      <w:r w:rsidRPr="00465964">
        <w:rPr>
          <w:lang w:val="pt-PT"/>
        </w:rPr>
        <w:t xml:space="preserve"> de moeda eletrónica, do valor monetário da </w:t>
      </w:r>
      <w:proofErr w:type="spellStart"/>
      <w:r w:rsidRPr="00465964">
        <w:rPr>
          <w:lang w:val="pt-PT"/>
        </w:rPr>
        <w:t>criptoficha</w:t>
      </w:r>
      <w:proofErr w:type="spellEnd"/>
      <w:r w:rsidRPr="00465964">
        <w:rPr>
          <w:lang w:val="pt-PT"/>
        </w:rPr>
        <w:t xml:space="preserve"> de moeda eletrónica detida, em fundos que não sejam moeda eletrónica.</w:t>
      </w:r>
    </w:p>
    <w:p w14:paraId="19CFD80B" w14:textId="7C17049E" w:rsidR="00465964" w:rsidRPr="00465964" w:rsidRDefault="00465964" w:rsidP="00465964">
      <w:pPr>
        <w:rPr>
          <w:lang w:val="pt-PT"/>
        </w:rPr>
      </w:pPr>
      <w:r w:rsidRPr="00465964">
        <w:rPr>
          <w:lang w:val="pt-PT"/>
        </w:rPr>
        <w:t xml:space="preserve">5.   Os emitentes de </w:t>
      </w:r>
      <w:r>
        <w:rPr>
          <w:lang w:val="pt-PT"/>
        </w:rPr>
        <w:t>criptomoedas</w:t>
      </w:r>
      <w:r w:rsidRPr="00465964">
        <w:rPr>
          <w:lang w:val="pt-PT"/>
        </w:rPr>
        <w:t xml:space="preserve"> de moeda eletrónica devem dar destaque às condições de reembolso no livrete do criptoativo, como referido no artigo 51.</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1, primeiro parágrafo, alínea d).</w:t>
      </w:r>
    </w:p>
    <w:p w14:paraId="559FEDF2" w14:textId="4FFA3BF0" w:rsidR="00465964" w:rsidRPr="00465964" w:rsidRDefault="00465964" w:rsidP="00465964">
      <w:pPr>
        <w:rPr>
          <w:lang w:val="pt-PT"/>
        </w:rPr>
      </w:pPr>
      <w:r w:rsidRPr="00465964">
        <w:rPr>
          <w:lang w:val="pt-PT"/>
        </w:rPr>
        <w:t>6.   Sem prejuízo do disposto no artigo 46.</w:t>
      </w:r>
      <w:r w:rsidRPr="00465964">
        <w:rPr>
          <w:vertAlign w:val="superscript"/>
          <w:lang w:val="pt-PT"/>
        </w:rPr>
        <w:t>o</w:t>
      </w:r>
      <w:r w:rsidRPr="00465964">
        <w:rPr>
          <w:lang w:val="pt-PT"/>
        </w:rPr>
        <w:t xml:space="preserve">, o reembolso de </w:t>
      </w:r>
      <w:r>
        <w:rPr>
          <w:lang w:val="pt-PT"/>
        </w:rPr>
        <w:t>criptomoedas</w:t>
      </w:r>
      <w:r w:rsidRPr="00465964">
        <w:rPr>
          <w:lang w:val="pt-PT"/>
        </w:rPr>
        <w:t xml:space="preserve"> de moeda eletrónica não está sujeito a qualquer taxa.</w:t>
      </w:r>
    </w:p>
    <w:p w14:paraId="73782F7B" w14:textId="77777777" w:rsidR="00465964" w:rsidRPr="00465964" w:rsidRDefault="00465964" w:rsidP="00465964">
      <w:pPr>
        <w:rPr>
          <w:i/>
          <w:iCs/>
          <w:lang w:val="pt-PT"/>
        </w:rPr>
      </w:pPr>
      <w:r w:rsidRPr="00465964">
        <w:rPr>
          <w:i/>
          <w:iCs/>
          <w:lang w:val="pt-PT"/>
        </w:rPr>
        <w:t>Artigo 50.</w:t>
      </w:r>
      <w:r w:rsidRPr="00465964">
        <w:rPr>
          <w:i/>
          <w:iCs/>
          <w:vertAlign w:val="superscript"/>
          <w:lang w:val="pt-PT"/>
        </w:rPr>
        <w:t>o</w:t>
      </w:r>
    </w:p>
    <w:p w14:paraId="64C28854" w14:textId="77777777" w:rsidR="00465964" w:rsidRPr="00465964" w:rsidRDefault="00465964" w:rsidP="00465964">
      <w:pPr>
        <w:rPr>
          <w:b/>
          <w:bCs/>
          <w:lang w:val="pt-PT"/>
        </w:rPr>
      </w:pPr>
      <w:r w:rsidRPr="00465964">
        <w:rPr>
          <w:b/>
          <w:bCs/>
          <w:lang w:val="pt-PT"/>
        </w:rPr>
        <w:t>Proibição de pagamento de juros</w:t>
      </w:r>
    </w:p>
    <w:p w14:paraId="15F4E818" w14:textId="7503DAAF" w:rsidR="00465964" w:rsidRPr="00465964" w:rsidRDefault="00465964" w:rsidP="00465964">
      <w:pPr>
        <w:rPr>
          <w:lang w:val="pt-PT"/>
        </w:rPr>
      </w:pPr>
      <w:r w:rsidRPr="00465964">
        <w:rPr>
          <w:lang w:val="pt-PT"/>
        </w:rPr>
        <w:t>1.   Não obstante o disposto no artigo 12.</w:t>
      </w:r>
      <w:r w:rsidRPr="00465964">
        <w:rPr>
          <w:vertAlign w:val="superscript"/>
          <w:lang w:val="pt-PT"/>
        </w:rPr>
        <w:t>o</w:t>
      </w:r>
      <w:r w:rsidRPr="00465964">
        <w:rPr>
          <w:lang w:val="pt-PT"/>
        </w:rPr>
        <w:t xml:space="preserve"> da Diretiva 2009/110/CE, os emitentes de </w:t>
      </w:r>
      <w:r>
        <w:rPr>
          <w:lang w:val="pt-PT"/>
        </w:rPr>
        <w:t>criptomoedas</w:t>
      </w:r>
      <w:r w:rsidRPr="00465964">
        <w:rPr>
          <w:lang w:val="pt-PT"/>
        </w:rPr>
        <w:t xml:space="preserve"> de moeda eletrónica não podem pagar juros relativamente a </w:t>
      </w:r>
      <w:r>
        <w:rPr>
          <w:lang w:val="pt-PT"/>
        </w:rPr>
        <w:t>criptomoedas</w:t>
      </w:r>
      <w:r w:rsidRPr="00465964">
        <w:rPr>
          <w:lang w:val="pt-PT"/>
        </w:rPr>
        <w:t xml:space="preserve"> de moeda eletrónica.</w:t>
      </w:r>
    </w:p>
    <w:p w14:paraId="6F789192" w14:textId="27713348" w:rsidR="00465964" w:rsidRPr="00465964" w:rsidRDefault="00465964" w:rsidP="00465964">
      <w:pPr>
        <w:rPr>
          <w:lang w:val="pt-PT"/>
        </w:rPr>
      </w:pPr>
      <w:r w:rsidRPr="00465964">
        <w:rPr>
          <w:lang w:val="pt-PT"/>
        </w:rPr>
        <w:t xml:space="preserve">2.   Os prestadores de serviços de criptoativos não podem pagar juros quando prestam serviços de criptoativos relacionados com </w:t>
      </w:r>
      <w:r>
        <w:rPr>
          <w:lang w:val="pt-PT"/>
        </w:rPr>
        <w:t>criptomoedas</w:t>
      </w:r>
      <w:r w:rsidRPr="00465964">
        <w:rPr>
          <w:lang w:val="pt-PT"/>
        </w:rPr>
        <w:t xml:space="preserve"> de moeda eletrónica.</w:t>
      </w:r>
    </w:p>
    <w:p w14:paraId="7F75785C" w14:textId="77777777" w:rsidR="00465964" w:rsidRPr="00465964" w:rsidRDefault="00465964" w:rsidP="00465964">
      <w:pPr>
        <w:rPr>
          <w:lang w:val="pt-PT"/>
        </w:rPr>
      </w:pPr>
      <w:r w:rsidRPr="00465964">
        <w:rPr>
          <w:lang w:val="pt-PT"/>
        </w:rPr>
        <w:t xml:space="preserve">3.   Para efeitos dos </w:t>
      </w:r>
      <w:proofErr w:type="spellStart"/>
      <w:proofErr w:type="gramStart"/>
      <w:r w:rsidRPr="00465964">
        <w:rPr>
          <w:lang w:val="pt-PT"/>
        </w:rPr>
        <w:t>n.</w:t>
      </w:r>
      <w:r w:rsidRPr="00465964">
        <w:rPr>
          <w:vertAlign w:val="superscript"/>
          <w:lang w:val="pt-PT"/>
        </w:rPr>
        <w:t>os</w:t>
      </w:r>
      <w:proofErr w:type="spellEnd"/>
      <w:proofErr w:type="gramEnd"/>
      <w:r w:rsidRPr="00465964">
        <w:rPr>
          <w:lang w:val="pt-PT"/>
        </w:rPr>
        <w:t xml:space="preserve"> 1 e 2, toda e qualquer remuneração ou outro benefício relacionado com o período de tempo durante o qual o detentor de uma </w:t>
      </w:r>
      <w:proofErr w:type="spellStart"/>
      <w:r w:rsidRPr="00465964">
        <w:rPr>
          <w:lang w:val="pt-PT"/>
        </w:rPr>
        <w:t>criptoficha</w:t>
      </w:r>
      <w:proofErr w:type="spellEnd"/>
      <w:r w:rsidRPr="00465964">
        <w:rPr>
          <w:lang w:val="pt-PT"/>
        </w:rPr>
        <w:t xml:space="preserve"> de moeda eletrónica detém essa </w:t>
      </w:r>
      <w:proofErr w:type="spellStart"/>
      <w:r w:rsidRPr="00465964">
        <w:rPr>
          <w:lang w:val="pt-PT"/>
        </w:rPr>
        <w:t>criptoficha</w:t>
      </w:r>
      <w:proofErr w:type="spellEnd"/>
      <w:r w:rsidRPr="00465964">
        <w:rPr>
          <w:lang w:val="pt-PT"/>
        </w:rPr>
        <w:t xml:space="preserve"> de moeda eletrónica é considerado juro. Tal inclui a compensação ou descontos líquidos com um efeito equivalente a juros recebidos pelo detentor da </w:t>
      </w:r>
      <w:proofErr w:type="spellStart"/>
      <w:r w:rsidRPr="00465964">
        <w:rPr>
          <w:lang w:val="pt-PT"/>
        </w:rPr>
        <w:t>criptoficha</w:t>
      </w:r>
      <w:proofErr w:type="spellEnd"/>
      <w:r w:rsidRPr="00465964">
        <w:rPr>
          <w:lang w:val="pt-PT"/>
        </w:rPr>
        <w:t xml:space="preserve"> de moeda eletrónica, diretamente do emitente ou de terceiros, e diretamente associados à </w:t>
      </w:r>
      <w:proofErr w:type="spellStart"/>
      <w:r w:rsidRPr="00465964">
        <w:rPr>
          <w:lang w:val="pt-PT"/>
        </w:rPr>
        <w:t>criptoficha</w:t>
      </w:r>
      <w:proofErr w:type="spellEnd"/>
      <w:r w:rsidRPr="00465964">
        <w:rPr>
          <w:lang w:val="pt-PT"/>
        </w:rPr>
        <w:t xml:space="preserve"> de moeda eletrónica, ou através da remuneração ou da fixação de preços de outros produtos.</w:t>
      </w:r>
    </w:p>
    <w:p w14:paraId="58975808" w14:textId="77777777" w:rsidR="00465964" w:rsidRPr="00465964" w:rsidRDefault="00465964" w:rsidP="00465964">
      <w:pPr>
        <w:rPr>
          <w:i/>
          <w:iCs/>
          <w:lang w:val="pt-PT"/>
        </w:rPr>
      </w:pPr>
      <w:r w:rsidRPr="00465964">
        <w:rPr>
          <w:i/>
          <w:iCs/>
          <w:lang w:val="pt-PT"/>
        </w:rPr>
        <w:t>Artigo 51.</w:t>
      </w:r>
      <w:r w:rsidRPr="00465964">
        <w:rPr>
          <w:i/>
          <w:iCs/>
          <w:vertAlign w:val="superscript"/>
          <w:lang w:val="pt-PT"/>
        </w:rPr>
        <w:t>o</w:t>
      </w:r>
    </w:p>
    <w:p w14:paraId="4119196D" w14:textId="0B3E78ED" w:rsidR="00465964" w:rsidRPr="00465964" w:rsidRDefault="00465964" w:rsidP="00465964">
      <w:pPr>
        <w:rPr>
          <w:b/>
          <w:bCs/>
          <w:lang w:val="pt-PT"/>
        </w:rPr>
      </w:pPr>
      <w:r w:rsidRPr="00465964">
        <w:rPr>
          <w:b/>
          <w:bCs/>
          <w:lang w:val="pt-PT"/>
        </w:rPr>
        <w:t xml:space="preserve">Conteúdo e forma do livrete do criptoativo para </w:t>
      </w:r>
      <w:r>
        <w:rPr>
          <w:b/>
          <w:bCs/>
          <w:lang w:val="pt-PT"/>
        </w:rPr>
        <w:t>criptomoedas</w:t>
      </w:r>
      <w:r w:rsidRPr="00465964">
        <w:rPr>
          <w:b/>
          <w:bCs/>
          <w:lang w:val="pt-PT"/>
        </w:rPr>
        <w:t xml:space="preserve"> de moeda eletrónica</w:t>
      </w:r>
    </w:p>
    <w:p w14:paraId="7AF1415D" w14:textId="77777777" w:rsidR="00465964" w:rsidRPr="00465964" w:rsidRDefault="00465964" w:rsidP="00465964">
      <w:pPr>
        <w:rPr>
          <w:lang w:val="pt-PT"/>
        </w:rPr>
      </w:pPr>
      <w:r w:rsidRPr="00465964">
        <w:rPr>
          <w:lang w:val="pt-PT"/>
        </w:rPr>
        <w:t xml:space="preserve">1.   O livrete do criptoativo para uma </w:t>
      </w:r>
      <w:proofErr w:type="spellStart"/>
      <w:r w:rsidRPr="00465964">
        <w:rPr>
          <w:lang w:val="pt-PT"/>
        </w:rPr>
        <w:t>criptoficha</w:t>
      </w:r>
      <w:proofErr w:type="spellEnd"/>
      <w:r w:rsidRPr="00465964">
        <w:rPr>
          <w:lang w:val="pt-PT"/>
        </w:rPr>
        <w:t xml:space="preserve"> de moeda eletrónica deve incluir todas as seguintes informações, conforme especificado com maior pormenor no anexo III:</w:t>
      </w:r>
    </w:p>
    <w:tbl>
      <w:tblPr>
        <w:tblW w:w="5000" w:type="pct"/>
        <w:tblCellMar>
          <w:left w:w="0" w:type="dxa"/>
          <w:right w:w="0" w:type="dxa"/>
        </w:tblCellMar>
        <w:tblLook w:val="04A0" w:firstRow="1" w:lastRow="0" w:firstColumn="1" w:lastColumn="0" w:noHBand="0" w:noVBand="1"/>
      </w:tblPr>
      <w:tblGrid>
        <w:gridCol w:w="259"/>
        <w:gridCol w:w="8767"/>
      </w:tblGrid>
      <w:tr w:rsidR="00465964" w:rsidRPr="00465964" w14:paraId="5B751958" w14:textId="77777777" w:rsidTr="00465964">
        <w:tc>
          <w:tcPr>
            <w:tcW w:w="0" w:type="auto"/>
            <w:shd w:val="clear" w:color="auto" w:fill="auto"/>
            <w:hideMark/>
          </w:tcPr>
          <w:p w14:paraId="146573AA" w14:textId="77777777" w:rsidR="00465964" w:rsidRPr="00465964" w:rsidRDefault="00465964" w:rsidP="00465964">
            <w:r w:rsidRPr="00465964">
              <w:t>a)</w:t>
            </w:r>
          </w:p>
        </w:tc>
        <w:tc>
          <w:tcPr>
            <w:tcW w:w="0" w:type="auto"/>
            <w:shd w:val="clear" w:color="auto" w:fill="auto"/>
            <w:hideMark/>
          </w:tcPr>
          <w:p w14:paraId="1313035F" w14:textId="77777777" w:rsidR="00465964" w:rsidRPr="00465964" w:rsidRDefault="00465964" w:rsidP="00465964">
            <w:pPr>
              <w:rPr>
                <w:lang w:val="pt-PT"/>
              </w:rPr>
            </w:pPr>
            <w:r w:rsidRPr="00465964">
              <w:rPr>
                <w:lang w:val="pt-PT"/>
              </w:rPr>
              <w:t xml:space="preserve">Informação sobre o emitente da </w:t>
            </w:r>
            <w:proofErr w:type="spellStart"/>
            <w:r w:rsidRPr="00465964">
              <w:rPr>
                <w:lang w:val="pt-PT"/>
              </w:rPr>
              <w:t>criptoficha</w:t>
            </w:r>
            <w:proofErr w:type="spellEnd"/>
            <w:r w:rsidRPr="00465964">
              <w:rPr>
                <w:lang w:val="pt-PT"/>
              </w:rPr>
              <w:t xml:space="preserve"> de moeda eletrónica;</w:t>
            </w:r>
          </w:p>
        </w:tc>
      </w:tr>
    </w:tbl>
    <w:p w14:paraId="365A29E6"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329"/>
        <w:gridCol w:w="8697"/>
      </w:tblGrid>
      <w:tr w:rsidR="00465964" w:rsidRPr="00465964" w14:paraId="4EBCEBA7" w14:textId="77777777" w:rsidTr="00465964">
        <w:tc>
          <w:tcPr>
            <w:tcW w:w="0" w:type="auto"/>
            <w:shd w:val="clear" w:color="auto" w:fill="auto"/>
            <w:hideMark/>
          </w:tcPr>
          <w:p w14:paraId="3C0629BB" w14:textId="77777777" w:rsidR="00465964" w:rsidRPr="00465964" w:rsidRDefault="00465964" w:rsidP="00465964">
            <w:r w:rsidRPr="00465964">
              <w:t>b)</w:t>
            </w:r>
          </w:p>
        </w:tc>
        <w:tc>
          <w:tcPr>
            <w:tcW w:w="0" w:type="auto"/>
            <w:shd w:val="clear" w:color="auto" w:fill="auto"/>
            <w:hideMark/>
          </w:tcPr>
          <w:p w14:paraId="537BC838" w14:textId="77777777" w:rsidR="00465964" w:rsidRPr="00465964" w:rsidRDefault="00465964" w:rsidP="00465964">
            <w:pPr>
              <w:rPr>
                <w:lang w:val="pt-PT"/>
              </w:rPr>
            </w:pPr>
            <w:r w:rsidRPr="00465964">
              <w:rPr>
                <w:lang w:val="pt-PT"/>
              </w:rPr>
              <w:t xml:space="preserve">Informação sobre a </w:t>
            </w:r>
            <w:proofErr w:type="spellStart"/>
            <w:r w:rsidRPr="00465964">
              <w:rPr>
                <w:lang w:val="pt-PT"/>
              </w:rPr>
              <w:t>criptoficha</w:t>
            </w:r>
            <w:proofErr w:type="spellEnd"/>
            <w:r w:rsidRPr="00465964">
              <w:rPr>
                <w:lang w:val="pt-PT"/>
              </w:rPr>
              <w:t xml:space="preserve"> de moeda eletrónica;</w:t>
            </w:r>
          </w:p>
        </w:tc>
      </w:tr>
    </w:tbl>
    <w:p w14:paraId="40A9414E"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0"/>
        <w:gridCol w:w="8846"/>
      </w:tblGrid>
      <w:tr w:rsidR="00465964" w:rsidRPr="00465964" w14:paraId="12668E02" w14:textId="77777777" w:rsidTr="00465964">
        <w:tc>
          <w:tcPr>
            <w:tcW w:w="0" w:type="auto"/>
            <w:shd w:val="clear" w:color="auto" w:fill="auto"/>
            <w:hideMark/>
          </w:tcPr>
          <w:p w14:paraId="383B2CCC" w14:textId="77777777" w:rsidR="00465964" w:rsidRPr="00465964" w:rsidRDefault="00465964" w:rsidP="00465964">
            <w:r w:rsidRPr="00465964">
              <w:t>c)</w:t>
            </w:r>
          </w:p>
        </w:tc>
        <w:tc>
          <w:tcPr>
            <w:tcW w:w="0" w:type="auto"/>
            <w:shd w:val="clear" w:color="auto" w:fill="auto"/>
            <w:hideMark/>
          </w:tcPr>
          <w:p w14:paraId="51325152" w14:textId="77777777" w:rsidR="00465964" w:rsidRPr="00465964" w:rsidRDefault="00465964" w:rsidP="00465964">
            <w:pPr>
              <w:rPr>
                <w:lang w:val="pt-PT"/>
              </w:rPr>
            </w:pPr>
            <w:r w:rsidRPr="00465964">
              <w:rPr>
                <w:lang w:val="pt-PT"/>
              </w:rPr>
              <w:t xml:space="preserve">Informação sobre a oferta pública da </w:t>
            </w:r>
            <w:proofErr w:type="spellStart"/>
            <w:r w:rsidRPr="00465964">
              <w:rPr>
                <w:lang w:val="pt-PT"/>
              </w:rPr>
              <w:t>criptoficha</w:t>
            </w:r>
            <w:proofErr w:type="spellEnd"/>
            <w:r w:rsidRPr="00465964">
              <w:rPr>
                <w:lang w:val="pt-PT"/>
              </w:rPr>
              <w:t xml:space="preserve"> de moeda eletrónica ou sobre a sua admissão à negociação;</w:t>
            </w:r>
          </w:p>
        </w:tc>
      </w:tr>
    </w:tbl>
    <w:p w14:paraId="0362A6B1"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98"/>
        <w:gridCol w:w="8828"/>
      </w:tblGrid>
      <w:tr w:rsidR="00465964" w:rsidRPr="00465964" w14:paraId="7EE3B74C" w14:textId="77777777" w:rsidTr="00465964">
        <w:tc>
          <w:tcPr>
            <w:tcW w:w="0" w:type="auto"/>
            <w:shd w:val="clear" w:color="auto" w:fill="auto"/>
            <w:hideMark/>
          </w:tcPr>
          <w:p w14:paraId="7AA17E1C" w14:textId="77777777" w:rsidR="00465964" w:rsidRPr="00465964" w:rsidRDefault="00465964" w:rsidP="00465964">
            <w:r w:rsidRPr="00465964">
              <w:t>d)</w:t>
            </w:r>
          </w:p>
        </w:tc>
        <w:tc>
          <w:tcPr>
            <w:tcW w:w="0" w:type="auto"/>
            <w:shd w:val="clear" w:color="auto" w:fill="auto"/>
            <w:hideMark/>
          </w:tcPr>
          <w:p w14:paraId="206FDFA6" w14:textId="77777777" w:rsidR="00465964" w:rsidRPr="00465964" w:rsidRDefault="00465964" w:rsidP="00465964">
            <w:pPr>
              <w:rPr>
                <w:lang w:val="pt-PT"/>
              </w:rPr>
            </w:pPr>
            <w:r w:rsidRPr="00465964">
              <w:rPr>
                <w:lang w:val="pt-PT"/>
              </w:rPr>
              <w:t xml:space="preserve">Informação sobre os direitos e obrigações associados à </w:t>
            </w:r>
            <w:proofErr w:type="spellStart"/>
            <w:r w:rsidRPr="00465964">
              <w:rPr>
                <w:lang w:val="pt-PT"/>
              </w:rPr>
              <w:t>criptoficha</w:t>
            </w:r>
            <w:proofErr w:type="spellEnd"/>
            <w:r w:rsidRPr="00465964">
              <w:rPr>
                <w:lang w:val="pt-PT"/>
              </w:rPr>
              <w:t xml:space="preserve"> de moeda eletrónica;</w:t>
            </w:r>
          </w:p>
        </w:tc>
      </w:tr>
    </w:tbl>
    <w:p w14:paraId="00FBD034"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386"/>
        <w:gridCol w:w="8640"/>
      </w:tblGrid>
      <w:tr w:rsidR="00465964" w:rsidRPr="00465964" w14:paraId="037A0997" w14:textId="77777777" w:rsidTr="00465964">
        <w:tc>
          <w:tcPr>
            <w:tcW w:w="0" w:type="auto"/>
            <w:shd w:val="clear" w:color="auto" w:fill="auto"/>
            <w:hideMark/>
          </w:tcPr>
          <w:p w14:paraId="576F1C74" w14:textId="77777777" w:rsidR="00465964" w:rsidRPr="00465964" w:rsidRDefault="00465964" w:rsidP="00465964">
            <w:r w:rsidRPr="00465964">
              <w:t>e)</w:t>
            </w:r>
          </w:p>
        </w:tc>
        <w:tc>
          <w:tcPr>
            <w:tcW w:w="0" w:type="auto"/>
            <w:shd w:val="clear" w:color="auto" w:fill="auto"/>
            <w:hideMark/>
          </w:tcPr>
          <w:p w14:paraId="5CA36582" w14:textId="77777777" w:rsidR="00465964" w:rsidRPr="00465964" w:rsidRDefault="00465964" w:rsidP="00465964">
            <w:pPr>
              <w:rPr>
                <w:lang w:val="pt-PT"/>
              </w:rPr>
            </w:pPr>
            <w:r w:rsidRPr="00465964">
              <w:rPr>
                <w:lang w:val="pt-PT"/>
              </w:rPr>
              <w:t>Informação sobre a tecnologia subjacente;</w:t>
            </w:r>
          </w:p>
        </w:tc>
      </w:tr>
    </w:tbl>
    <w:p w14:paraId="7BCEA5C4"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444"/>
        <w:gridCol w:w="8582"/>
      </w:tblGrid>
      <w:tr w:rsidR="00465964" w:rsidRPr="00465964" w14:paraId="298BA3EC" w14:textId="77777777" w:rsidTr="00465964">
        <w:tc>
          <w:tcPr>
            <w:tcW w:w="0" w:type="auto"/>
            <w:shd w:val="clear" w:color="auto" w:fill="auto"/>
            <w:hideMark/>
          </w:tcPr>
          <w:p w14:paraId="41BA4E15" w14:textId="77777777" w:rsidR="00465964" w:rsidRPr="00465964" w:rsidRDefault="00465964" w:rsidP="00465964">
            <w:r w:rsidRPr="00465964">
              <w:t>f)</w:t>
            </w:r>
          </w:p>
        </w:tc>
        <w:tc>
          <w:tcPr>
            <w:tcW w:w="0" w:type="auto"/>
            <w:shd w:val="clear" w:color="auto" w:fill="auto"/>
            <w:hideMark/>
          </w:tcPr>
          <w:p w14:paraId="23525B77" w14:textId="77777777" w:rsidR="00465964" w:rsidRPr="00465964" w:rsidRDefault="00465964" w:rsidP="00465964">
            <w:proofErr w:type="spellStart"/>
            <w:r w:rsidRPr="00465964">
              <w:t>Informação</w:t>
            </w:r>
            <w:proofErr w:type="spellEnd"/>
            <w:r w:rsidRPr="00465964">
              <w:t xml:space="preserve"> </w:t>
            </w:r>
            <w:proofErr w:type="spellStart"/>
            <w:r w:rsidRPr="00465964">
              <w:t>sobre</w:t>
            </w:r>
            <w:proofErr w:type="spellEnd"/>
            <w:r w:rsidRPr="00465964">
              <w:t xml:space="preserve"> </w:t>
            </w:r>
            <w:proofErr w:type="spellStart"/>
            <w:r w:rsidRPr="00465964">
              <w:t>os</w:t>
            </w:r>
            <w:proofErr w:type="spellEnd"/>
            <w:r w:rsidRPr="00465964">
              <w:t xml:space="preserve"> </w:t>
            </w:r>
            <w:proofErr w:type="spellStart"/>
            <w:r w:rsidRPr="00465964">
              <w:t>riscos</w:t>
            </w:r>
            <w:proofErr w:type="spellEnd"/>
            <w:r w:rsidRPr="00465964">
              <w:t>;</w:t>
            </w:r>
          </w:p>
        </w:tc>
      </w:tr>
    </w:tbl>
    <w:p w14:paraId="6D1C5758"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74"/>
        <w:gridCol w:w="8852"/>
      </w:tblGrid>
      <w:tr w:rsidR="00465964" w:rsidRPr="00465964" w14:paraId="36DE1DB1" w14:textId="77777777" w:rsidTr="00465964">
        <w:tc>
          <w:tcPr>
            <w:tcW w:w="0" w:type="auto"/>
            <w:shd w:val="clear" w:color="auto" w:fill="auto"/>
            <w:hideMark/>
          </w:tcPr>
          <w:p w14:paraId="734FB72A" w14:textId="77777777" w:rsidR="00465964" w:rsidRPr="00465964" w:rsidRDefault="00465964" w:rsidP="00465964">
            <w:r w:rsidRPr="00465964">
              <w:t>g)</w:t>
            </w:r>
          </w:p>
        </w:tc>
        <w:tc>
          <w:tcPr>
            <w:tcW w:w="0" w:type="auto"/>
            <w:shd w:val="clear" w:color="auto" w:fill="auto"/>
            <w:hideMark/>
          </w:tcPr>
          <w:p w14:paraId="5432AB2F" w14:textId="77777777" w:rsidR="00465964" w:rsidRPr="00465964" w:rsidRDefault="00465964" w:rsidP="00465964">
            <w:pPr>
              <w:rPr>
                <w:lang w:val="pt-PT"/>
              </w:rPr>
            </w:pPr>
            <w:r w:rsidRPr="00465964">
              <w:rPr>
                <w:lang w:val="pt-PT"/>
              </w:rPr>
              <w:t xml:space="preserve">Informação sobre os principais impactos negativos no clima e outros impactos negativos relacionados com o ambiente do mecanismo de consenso utilizado para emitir a </w:t>
            </w:r>
            <w:proofErr w:type="spellStart"/>
            <w:r w:rsidRPr="00465964">
              <w:rPr>
                <w:lang w:val="pt-PT"/>
              </w:rPr>
              <w:t>criptoficha</w:t>
            </w:r>
            <w:proofErr w:type="spellEnd"/>
            <w:r w:rsidRPr="00465964">
              <w:rPr>
                <w:lang w:val="pt-PT"/>
              </w:rPr>
              <w:t xml:space="preserve"> de moeda eletrónica.</w:t>
            </w:r>
          </w:p>
        </w:tc>
      </w:tr>
    </w:tbl>
    <w:p w14:paraId="0225CD32" w14:textId="77777777" w:rsidR="00465964" w:rsidRPr="00465964" w:rsidRDefault="00465964" w:rsidP="00465964">
      <w:pPr>
        <w:rPr>
          <w:lang w:val="pt-PT"/>
        </w:rPr>
      </w:pPr>
      <w:r w:rsidRPr="00465964">
        <w:rPr>
          <w:lang w:val="pt-PT"/>
        </w:rPr>
        <w:lastRenderedPageBreak/>
        <w:t xml:space="preserve">O livrete do criptoativo deve também incluir a identidade da pessoa que não seja o emitente que procede à oferta pública da </w:t>
      </w:r>
      <w:proofErr w:type="spellStart"/>
      <w:r w:rsidRPr="00465964">
        <w:rPr>
          <w:lang w:val="pt-PT"/>
        </w:rPr>
        <w:t>criptoficha</w:t>
      </w:r>
      <w:proofErr w:type="spellEnd"/>
      <w:r w:rsidRPr="00465964">
        <w:rPr>
          <w:lang w:val="pt-PT"/>
        </w:rPr>
        <w:t xml:space="preserve"> de moeda eletrónica ou solicita a sua admissão à negociação nos termos do artigo 48.</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xml:space="preserve"> 1, segundo parágrafo, bem como a razão pela qual essa pessoa em particular oferece essa </w:t>
      </w:r>
      <w:proofErr w:type="spellStart"/>
      <w:r w:rsidRPr="00465964">
        <w:rPr>
          <w:lang w:val="pt-PT"/>
        </w:rPr>
        <w:t>criptoficha</w:t>
      </w:r>
      <w:proofErr w:type="spellEnd"/>
      <w:r w:rsidRPr="00465964">
        <w:rPr>
          <w:lang w:val="pt-PT"/>
        </w:rPr>
        <w:t xml:space="preserve"> de moeda eletrónica ou solicita a sua admissão à negociação.</w:t>
      </w:r>
    </w:p>
    <w:p w14:paraId="7F3DABFC" w14:textId="77777777" w:rsidR="00465964" w:rsidRPr="00465964" w:rsidRDefault="00465964" w:rsidP="00465964">
      <w:pPr>
        <w:rPr>
          <w:lang w:val="pt-PT"/>
        </w:rPr>
      </w:pPr>
      <w:r w:rsidRPr="00465964">
        <w:rPr>
          <w:lang w:val="pt-PT"/>
        </w:rPr>
        <w:t xml:space="preserve">2.   Todas as informações enumeradas no </w:t>
      </w:r>
      <w:proofErr w:type="spellStart"/>
      <w:r w:rsidRPr="00465964">
        <w:rPr>
          <w:lang w:val="pt-PT"/>
        </w:rPr>
        <w:t>n.</w:t>
      </w:r>
      <w:r w:rsidRPr="00465964">
        <w:rPr>
          <w:vertAlign w:val="superscript"/>
          <w:lang w:val="pt-PT"/>
        </w:rPr>
        <w:t>o</w:t>
      </w:r>
      <w:proofErr w:type="spellEnd"/>
      <w:r w:rsidRPr="00465964">
        <w:rPr>
          <w:lang w:val="pt-PT"/>
        </w:rPr>
        <w:t> 1 devem ser corretas, claras e não induzir em erro. O livrete do criptoativo não deve conter omissões materiais e deve ser apresentado de forma concisa e compreensível.</w:t>
      </w:r>
    </w:p>
    <w:p w14:paraId="7BFBE4EC" w14:textId="77777777" w:rsidR="00465964" w:rsidRPr="00465964" w:rsidRDefault="00465964" w:rsidP="00465964">
      <w:pPr>
        <w:rPr>
          <w:lang w:val="pt-PT"/>
        </w:rPr>
      </w:pPr>
      <w:r w:rsidRPr="00465964">
        <w:rPr>
          <w:lang w:val="pt-PT"/>
        </w:rPr>
        <w:t>3.   O livrete do criptoativo deve conter na primeira página a seguinte declaração clara e com destaque:</w:t>
      </w:r>
    </w:p>
    <w:p w14:paraId="098A24C1" w14:textId="77777777" w:rsidR="00465964" w:rsidRPr="00465964" w:rsidRDefault="00465964" w:rsidP="00465964">
      <w:pPr>
        <w:rPr>
          <w:lang w:val="pt-PT"/>
        </w:rPr>
      </w:pPr>
      <w:r w:rsidRPr="00465964">
        <w:rPr>
          <w:lang w:val="pt-PT"/>
        </w:rPr>
        <w:t>«Este livrete do criptoativo não foi revisto nem aprovado por nenhuma autoridade competente de nenhum Estado-Membro da União Europeia. O conteúdo deste livrete do criptoativo é da exclusiva responsabilidade do emitente do criptoativo.».</w:t>
      </w:r>
    </w:p>
    <w:p w14:paraId="13B0ACB3" w14:textId="77777777" w:rsidR="00465964" w:rsidRPr="00465964" w:rsidRDefault="00465964" w:rsidP="00465964">
      <w:pPr>
        <w:rPr>
          <w:lang w:val="pt-PT"/>
        </w:rPr>
      </w:pPr>
      <w:r w:rsidRPr="00465964">
        <w:rPr>
          <w:lang w:val="pt-PT"/>
        </w:rPr>
        <w:t>4.   O livrete do criptoativo deve conter um aviso claro indicando que:</w:t>
      </w:r>
    </w:p>
    <w:tbl>
      <w:tblPr>
        <w:tblW w:w="5000" w:type="pct"/>
        <w:tblCellMar>
          <w:left w:w="0" w:type="dxa"/>
          <w:right w:w="0" w:type="dxa"/>
        </w:tblCellMar>
        <w:tblLook w:val="04A0" w:firstRow="1" w:lastRow="0" w:firstColumn="1" w:lastColumn="0" w:noHBand="0" w:noVBand="1"/>
      </w:tblPr>
      <w:tblGrid>
        <w:gridCol w:w="182"/>
        <w:gridCol w:w="8844"/>
      </w:tblGrid>
      <w:tr w:rsidR="00465964" w:rsidRPr="00465964" w14:paraId="2EF6E2F9" w14:textId="77777777" w:rsidTr="00465964">
        <w:tc>
          <w:tcPr>
            <w:tcW w:w="0" w:type="auto"/>
            <w:shd w:val="clear" w:color="auto" w:fill="auto"/>
            <w:hideMark/>
          </w:tcPr>
          <w:p w14:paraId="7BDE056C" w14:textId="77777777" w:rsidR="00465964" w:rsidRPr="00465964" w:rsidRDefault="00465964" w:rsidP="00465964">
            <w:r w:rsidRPr="00465964">
              <w:t>a)</w:t>
            </w:r>
          </w:p>
        </w:tc>
        <w:tc>
          <w:tcPr>
            <w:tcW w:w="0" w:type="auto"/>
            <w:shd w:val="clear" w:color="auto" w:fill="auto"/>
            <w:hideMark/>
          </w:tcPr>
          <w:p w14:paraId="0F82FB7F" w14:textId="77777777" w:rsidR="00465964" w:rsidRPr="00465964" w:rsidRDefault="00465964" w:rsidP="00465964">
            <w:pPr>
              <w:rPr>
                <w:lang w:val="pt-PT"/>
              </w:rPr>
            </w:pPr>
            <w:r w:rsidRPr="00465964">
              <w:rPr>
                <w:lang w:val="pt-PT"/>
              </w:rPr>
              <w:t xml:space="preserve">A </w:t>
            </w:r>
            <w:proofErr w:type="spellStart"/>
            <w:r w:rsidRPr="00465964">
              <w:rPr>
                <w:lang w:val="pt-PT"/>
              </w:rPr>
              <w:t>criptoficha</w:t>
            </w:r>
            <w:proofErr w:type="spellEnd"/>
            <w:r w:rsidRPr="00465964">
              <w:rPr>
                <w:lang w:val="pt-PT"/>
              </w:rPr>
              <w:t xml:space="preserve"> de moeda eletrónica não está abrangida pelos sistemas de indemnização dos investidores previstos na Diretiva 97/9/CE;</w:t>
            </w:r>
          </w:p>
        </w:tc>
      </w:tr>
    </w:tbl>
    <w:p w14:paraId="506E27E6"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8"/>
        <w:gridCol w:w="8838"/>
      </w:tblGrid>
      <w:tr w:rsidR="00465964" w:rsidRPr="00465964" w14:paraId="0659343D" w14:textId="77777777" w:rsidTr="00465964">
        <w:tc>
          <w:tcPr>
            <w:tcW w:w="0" w:type="auto"/>
            <w:shd w:val="clear" w:color="auto" w:fill="auto"/>
            <w:hideMark/>
          </w:tcPr>
          <w:p w14:paraId="2CFD7A4C" w14:textId="77777777" w:rsidR="00465964" w:rsidRPr="00465964" w:rsidRDefault="00465964" w:rsidP="00465964">
            <w:r w:rsidRPr="00465964">
              <w:t>b)</w:t>
            </w:r>
          </w:p>
        </w:tc>
        <w:tc>
          <w:tcPr>
            <w:tcW w:w="0" w:type="auto"/>
            <w:shd w:val="clear" w:color="auto" w:fill="auto"/>
            <w:hideMark/>
          </w:tcPr>
          <w:p w14:paraId="134983FD" w14:textId="77777777" w:rsidR="00465964" w:rsidRPr="00465964" w:rsidRDefault="00465964" w:rsidP="00465964">
            <w:pPr>
              <w:rPr>
                <w:lang w:val="pt-PT"/>
              </w:rPr>
            </w:pPr>
            <w:r w:rsidRPr="00465964">
              <w:rPr>
                <w:lang w:val="pt-PT"/>
              </w:rPr>
              <w:t xml:space="preserve">A </w:t>
            </w:r>
            <w:proofErr w:type="spellStart"/>
            <w:r w:rsidRPr="00465964">
              <w:rPr>
                <w:lang w:val="pt-PT"/>
              </w:rPr>
              <w:t>criptoficha</w:t>
            </w:r>
            <w:proofErr w:type="spellEnd"/>
            <w:r w:rsidRPr="00465964">
              <w:rPr>
                <w:lang w:val="pt-PT"/>
              </w:rPr>
              <w:t xml:space="preserve"> de moeda eletrónica não está abrangida pelos sistemas de garantia de depósitos previstos na Diretiva 2014/49/UE.</w:t>
            </w:r>
          </w:p>
        </w:tc>
      </w:tr>
    </w:tbl>
    <w:p w14:paraId="2735CBE6" w14:textId="77777777" w:rsidR="00465964" w:rsidRPr="00465964" w:rsidRDefault="00465964" w:rsidP="00465964">
      <w:pPr>
        <w:rPr>
          <w:lang w:val="pt-PT"/>
        </w:rPr>
      </w:pPr>
      <w:r w:rsidRPr="00465964">
        <w:rPr>
          <w:lang w:val="pt-PT"/>
        </w:rPr>
        <w:t xml:space="preserve">5.   O livrete do criptoativo deve incluir uma declaração do órgão de administração do emitente da </w:t>
      </w:r>
      <w:proofErr w:type="spellStart"/>
      <w:r w:rsidRPr="00465964">
        <w:rPr>
          <w:lang w:val="pt-PT"/>
        </w:rPr>
        <w:t>criptoficha</w:t>
      </w:r>
      <w:proofErr w:type="spellEnd"/>
      <w:r w:rsidRPr="00465964">
        <w:rPr>
          <w:lang w:val="pt-PT"/>
        </w:rPr>
        <w:t xml:space="preserve"> de moeda eletrónica. Essa declaração, a inserir a seguir à declaração a que se refere o </w:t>
      </w:r>
      <w:proofErr w:type="spellStart"/>
      <w:r w:rsidRPr="00465964">
        <w:rPr>
          <w:lang w:val="pt-PT"/>
        </w:rPr>
        <w:t>n.</w:t>
      </w:r>
      <w:r w:rsidRPr="00465964">
        <w:rPr>
          <w:vertAlign w:val="superscript"/>
          <w:lang w:val="pt-PT"/>
        </w:rPr>
        <w:t>o</w:t>
      </w:r>
      <w:proofErr w:type="spellEnd"/>
      <w:r w:rsidRPr="00465964">
        <w:rPr>
          <w:lang w:val="pt-PT"/>
        </w:rPr>
        <w:t> 3, deve confirmar que o livrete do criptoativo cumpre os requisitos do presente título e que, tanto quanto é do conhecimento do órgão de administração, a informação apresentada no livrete do criptoativo é completa, correta, clara e não induz em erro e que o livrete do criptoativo não contém omissões suscetíveis de afetar o seu alcance.</w:t>
      </w:r>
    </w:p>
    <w:p w14:paraId="55DBF1D2" w14:textId="77777777" w:rsidR="00465964" w:rsidRPr="00465964" w:rsidRDefault="00465964" w:rsidP="00465964">
      <w:pPr>
        <w:rPr>
          <w:lang w:val="pt-PT"/>
        </w:rPr>
      </w:pPr>
      <w:r w:rsidRPr="00465964">
        <w:rPr>
          <w:lang w:val="pt-PT"/>
        </w:rPr>
        <w:t xml:space="preserve">6.   O livrete do criptoativo deve conter um resumo, inserido após a declaração a que se refere o </w:t>
      </w:r>
      <w:proofErr w:type="spellStart"/>
      <w:r w:rsidRPr="00465964">
        <w:rPr>
          <w:lang w:val="pt-PT"/>
        </w:rPr>
        <w:t>n.</w:t>
      </w:r>
      <w:r w:rsidRPr="00465964">
        <w:rPr>
          <w:vertAlign w:val="superscript"/>
          <w:lang w:val="pt-PT"/>
        </w:rPr>
        <w:t>o</w:t>
      </w:r>
      <w:proofErr w:type="spellEnd"/>
      <w:r w:rsidRPr="00465964">
        <w:rPr>
          <w:lang w:val="pt-PT"/>
        </w:rPr>
        <w:t xml:space="preserve"> 5, que deve prestar, em linguagem sucinta e não técnica, informação fundamental sobre a oferta pública da </w:t>
      </w:r>
      <w:proofErr w:type="spellStart"/>
      <w:r w:rsidRPr="00465964">
        <w:rPr>
          <w:lang w:val="pt-PT"/>
        </w:rPr>
        <w:t>criptoficha</w:t>
      </w:r>
      <w:proofErr w:type="spellEnd"/>
      <w:r w:rsidRPr="00465964">
        <w:rPr>
          <w:lang w:val="pt-PT"/>
        </w:rPr>
        <w:t xml:space="preserve"> de moeda eletrónica ou a admissão à negociação da </w:t>
      </w:r>
      <w:proofErr w:type="spellStart"/>
      <w:r w:rsidRPr="00465964">
        <w:rPr>
          <w:lang w:val="pt-PT"/>
        </w:rPr>
        <w:t>criptoficha</w:t>
      </w:r>
      <w:proofErr w:type="spellEnd"/>
      <w:r w:rsidRPr="00465964">
        <w:rPr>
          <w:lang w:val="pt-PT"/>
        </w:rPr>
        <w:t xml:space="preserve"> de moeda eletrónica prevista. O resumo deve ser facilmente inteligível e apresentado num formato claro e compreensível, com recurso a caracteres de tamanho legível. O resumo do livrete do criptoativo deve facultar informação apropriada sobre as características dos criptoativos em questão, de molde a permitir que os potenciais detentores dos criptoativos tomem uma decisão informada.</w:t>
      </w:r>
    </w:p>
    <w:p w14:paraId="71D8F920" w14:textId="77777777" w:rsidR="00465964" w:rsidRPr="00465964" w:rsidRDefault="00465964" w:rsidP="00465964">
      <w:pPr>
        <w:rPr>
          <w:lang w:val="pt-PT"/>
        </w:rPr>
      </w:pPr>
      <w:r w:rsidRPr="00465964">
        <w:rPr>
          <w:lang w:val="pt-PT"/>
        </w:rPr>
        <w:t>O resumo deve conter um aviso indicando que:</w:t>
      </w:r>
    </w:p>
    <w:tbl>
      <w:tblPr>
        <w:tblW w:w="5000" w:type="pct"/>
        <w:tblCellMar>
          <w:left w:w="0" w:type="dxa"/>
          <w:right w:w="0" w:type="dxa"/>
        </w:tblCellMar>
        <w:tblLook w:val="04A0" w:firstRow="1" w:lastRow="0" w:firstColumn="1" w:lastColumn="0" w:noHBand="0" w:noVBand="1"/>
      </w:tblPr>
      <w:tblGrid>
        <w:gridCol w:w="254"/>
        <w:gridCol w:w="8772"/>
      </w:tblGrid>
      <w:tr w:rsidR="00465964" w:rsidRPr="00465964" w14:paraId="6A61F579" w14:textId="77777777" w:rsidTr="00465964">
        <w:tc>
          <w:tcPr>
            <w:tcW w:w="0" w:type="auto"/>
            <w:shd w:val="clear" w:color="auto" w:fill="auto"/>
            <w:hideMark/>
          </w:tcPr>
          <w:p w14:paraId="2BDA39C9" w14:textId="77777777" w:rsidR="00465964" w:rsidRPr="00465964" w:rsidRDefault="00465964" w:rsidP="00465964">
            <w:r w:rsidRPr="00465964">
              <w:t>a)</w:t>
            </w:r>
          </w:p>
        </w:tc>
        <w:tc>
          <w:tcPr>
            <w:tcW w:w="0" w:type="auto"/>
            <w:shd w:val="clear" w:color="auto" w:fill="auto"/>
            <w:hideMark/>
          </w:tcPr>
          <w:p w14:paraId="6DE7A2EB" w14:textId="77777777" w:rsidR="00465964" w:rsidRPr="00465964" w:rsidRDefault="00465964" w:rsidP="00465964">
            <w:pPr>
              <w:rPr>
                <w:lang w:val="pt-PT"/>
              </w:rPr>
            </w:pPr>
            <w:r w:rsidRPr="00465964">
              <w:rPr>
                <w:lang w:val="pt-PT"/>
              </w:rPr>
              <w:t>Deve ser entendido como uma introdução ao livrete do criptoativo;</w:t>
            </w:r>
          </w:p>
        </w:tc>
      </w:tr>
    </w:tbl>
    <w:p w14:paraId="4B131692"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8"/>
        <w:gridCol w:w="8838"/>
      </w:tblGrid>
      <w:tr w:rsidR="00465964" w:rsidRPr="00465964" w14:paraId="7DBB5155" w14:textId="77777777" w:rsidTr="00465964">
        <w:tc>
          <w:tcPr>
            <w:tcW w:w="0" w:type="auto"/>
            <w:shd w:val="clear" w:color="auto" w:fill="auto"/>
            <w:hideMark/>
          </w:tcPr>
          <w:p w14:paraId="3655C34B" w14:textId="77777777" w:rsidR="00465964" w:rsidRPr="00465964" w:rsidRDefault="00465964" w:rsidP="00465964">
            <w:r w:rsidRPr="00465964">
              <w:t>b)</w:t>
            </w:r>
          </w:p>
        </w:tc>
        <w:tc>
          <w:tcPr>
            <w:tcW w:w="0" w:type="auto"/>
            <w:shd w:val="clear" w:color="auto" w:fill="auto"/>
            <w:hideMark/>
          </w:tcPr>
          <w:p w14:paraId="1331EF70" w14:textId="77777777" w:rsidR="00465964" w:rsidRPr="00465964" w:rsidRDefault="00465964" w:rsidP="00465964">
            <w:pPr>
              <w:rPr>
                <w:lang w:val="pt-PT"/>
              </w:rPr>
            </w:pPr>
            <w:r w:rsidRPr="00465964">
              <w:rPr>
                <w:lang w:val="pt-PT"/>
              </w:rPr>
              <w:t xml:space="preserve">O potencial detentor deve basear toda e qualquer decisão de compra do </w:t>
            </w:r>
            <w:proofErr w:type="spellStart"/>
            <w:r w:rsidRPr="00465964">
              <w:rPr>
                <w:lang w:val="pt-PT"/>
              </w:rPr>
              <w:t>criptoficha</w:t>
            </w:r>
            <w:proofErr w:type="spellEnd"/>
            <w:r w:rsidRPr="00465964">
              <w:rPr>
                <w:lang w:val="pt-PT"/>
              </w:rPr>
              <w:t xml:space="preserve"> de moeda eletrónica no conteúdo da totalidade do livrete do criptoativo e não apenas no resumo;</w:t>
            </w:r>
          </w:p>
        </w:tc>
      </w:tr>
    </w:tbl>
    <w:p w14:paraId="162C2C2F"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0"/>
        <w:gridCol w:w="8846"/>
      </w:tblGrid>
      <w:tr w:rsidR="00465964" w:rsidRPr="00465964" w14:paraId="3BD8A594" w14:textId="77777777" w:rsidTr="00465964">
        <w:tc>
          <w:tcPr>
            <w:tcW w:w="0" w:type="auto"/>
            <w:shd w:val="clear" w:color="auto" w:fill="auto"/>
            <w:hideMark/>
          </w:tcPr>
          <w:p w14:paraId="37A7B5C1" w14:textId="77777777" w:rsidR="00465964" w:rsidRPr="00465964" w:rsidRDefault="00465964" w:rsidP="00465964">
            <w:r w:rsidRPr="00465964">
              <w:t>c)</w:t>
            </w:r>
          </w:p>
        </w:tc>
        <w:tc>
          <w:tcPr>
            <w:tcW w:w="0" w:type="auto"/>
            <w:shd w:val="clear" w:color="auto" w:fill="auto"/>
            <w:hideMark/>
          </w:tcPr>
          <w:p w14:paraId="37F48D2C" w14:textId="77777777" w:rsidR="00465964" w:rsidRPr="00465964" w:rsidRDefault="00465964" w:rsidP="00465964">
            <w:pPr>
              <w:rPr>
                <w:lang w:val="pt-PT"/>
              </w:rPr>
            </w:pPr>
            <w:r w:rsidRPr="00465964">
              <w:rPr>
                <w:lang w:val="pt-PT"/>
              </w:rPr>
              <w:t xml:space="preserve">A oferta pública da </w:t>
            </w:r>
            <w:proofErr w:type="spellStart"/>
            <w:r w:rsidRPr="00465964">
              <w:rPr>
                <w:lang w:val="pt-PT"/>
              </w:rPr>
              <w:t>criptoficha</w:t>
            </w:r>
            <w:proofErr w:type="spellEnd"/>
            <w:r w:rsidRPr="00465964">
              <w:rPr>
                <w:lang w:val="pt-PT"/>
              </w:rPr>
              <w:t xml:space="preserve"> de moeda eletrónica não constitui uma oferta nem uma solicitação para comprar instrumentos financeiros, e que qualquer oferta ou solicitação </w:t>
            </w:r>
            <w:r w:rsidRPr="00465964">
              <w:rPr>
                <w:lang w:val="pt-PT"/>
              </w:rPr>
              <w:lastRenderedPageBreak/>
              <w:t>nesse sentido só pode ser feita através de um prospeto ou de outros documentos relativos à oferta nos termos do direito nacional aplicável;</w:t>
            </w:r>
          </w:p>
        </w:tc>
      </w:tr>
    </w:tbl>
    <w:p w14:paraId="0154FB62"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8"/>
        <w:gridCol w:w="8838"/>
      </w:tblGrid>
      <w:tr w:rsidR="00465964" w:rsidRPr="00465964" w14:paraId="64D7D1A1" w14:textId="77777777" w:rsidTr="00465964">
        <w:tc>
          <w:tcPr>
            <w:tcW w:w="0" w:type="auto"/>
            <w:shd w:val="clear" w:color="auto" w:fill="auto"/>
            <w:hideMark/>
          </w:tcPr>
          <w:p w14:paraId="343C7F32" w14:textId="77777777" w:rsidR="00465964" w:rsidRPr="00465964" w:rsidRDefault="00465964" w:rsidP="00465964">
            <w:r w:rsidRPr="00465964">
              <w:t>d)</w:t>
            </w:r>
          </w:p>
        </w:tc>
        <w:tc>
          <w:tcPr>
            <w:tcW w:w="0" w:type="auto"/>
            <w:shd w:val="clear" w:color="auto" w:fill="auto"/>
            <w:hideMark/>
          </w:tcPr>
          <w:p w14:paraId="0FE87B88" w14:textId="77777777" w:rsidR="00465964" w:rsidRPr="00465964" w:rsidRDefault="00465964" w:rsidP="00465964">
            <w:pPr>
              <w:rPr>
                <w:lang w:val="pt-PT"/>
              </w:rPr>
            </w:pPr>
            <w:r w:rsidRPr="00465964">
              <w:rPr>
                <w:lang w:val="pt-PT"/>
              </w:rPr>
              <w:t>O livrete do criptoativo não constitui um prospeto na aceção do Regulamento (UE) 2017/1129, nem outro documento relativo à oferta nos termos do direito da União ou do direito nacional.</w:t>
            </w:r>
          </w:p>
        </w:tc>
      </w:tr>
    </w:tbl>
    <w:p w14:paraId="4691FF0B" w14:textId="77777777" w:rsidR="00465964" w:rsidRPr="00465964" w:rsidRDefault="00465964" w:rsidP="00465964">
      <w:pPr>
        <w:rPr>
          <w:lang w:val="pt-PT"/>
        </w:rPr>
      </w:pPr>
      <w:r w:rsidRPr="00465964">
        <w:rPr>
          <w:lang w:val="pt-PT"/>
        </w:rPr>
        <w:t xml:space="preserve">O resumo deve indicar que os detentores da </w:t>
      </w:r>
      <w:proofErr w:type="spellStart"/>
      <w:r w:rsidRPr="00465964">
        <w:rPr>
          <w:lang w:val="pt-PT"/>
        </w:rPr>
        <w:t>criptoficha</w:t>
      </w:r>
      <w:proofErr w:type="spellEnd"/>
      <w:r w:rsidRPr="00465964">
        <w:rPr>
          <w:lang w:val="pt-PT"/>
        </w:rPr>
        <w:t xml:space="preserve"> de moeda eletrónica têm, em qualquer momento, um direito de reembolso pelo valor nominal, bem como as condições de reembolso.</w:t>
      </w:r>
    </w:p>
    <w:p w14:paraId="69F21A37" w14:textId="77777777" w:rsidR="00465964" w:rsidRPr="00465964" w:rsidRDefault="00465964" w:rsidP="00465964">
      <w:pPr>
        <w:rPr>
          <w:lang w:val="pt-PT"/>
        </w:rPr>
      </w:pPr>
      <w:r w:rsidRPr="00465964">
        <w:rPr>
          <w:lang w:val="pt-PT"/>
        </w:rPr>
        <w:t>7.   O livrete do criptoativo deve incluir a data da sua notificação e um índice.</w:t>
      </w:r>
    </w:p>
    <w:p w14:paraId="07E4AC4A" w14:textId="77777777" w:rsidR="00465964" w:rsidRPr="00465964" w:rsidRDefault="00465964" w:rsidP="00465964">
      <w:pPr>
        <w:rPr>
          <w:lang w:val="pt-PT"/>
        </w:rPr>
      </w:pPr>
      <w:r w:rsidRPr="00465964">
        <w:rPr>
          <w:lang w:val="pt-PT"/>
        </w:rPr>
        <w:t>8.   O livrete do criptoativo deve ser redigido numa língua oficial do Estado-Membro de origem ou numa língua habitual no sector financeiro internacional.</w:t>
      </w:r>
    </w:p>
    <w:p w14:paraId="6AB25378" w14:textId="77777777" w:rsidR="00465964" w:rsidRPr="00465964" w:rsidRDefault="00465964" w:rsidP="00465964">
      <w:pPr>
        <w:rPr>
          <w:lang w:val="pt-PT"/>
        </w:rPr>
      </w:pPr>
      <w:r w:rsidRPr="00465964">
        <w:rPr>
          <w:lang w:val="pt-PT"/>
        </w:rPr>
        <w:t xml:space="preserve">Caso a </w:t>
      </w:r>
      <w:proofErr w:type="spellStart"/>
      <w:r w:rsidRPr="00465964">
        <w:rPr>
          <w:lang w:val="pt-PT"/>
        </w:rPr>
        <w:t>criptoficha</w:t>
      </w:r>
      <w:proofErr w:type="spellEnd"/>
      <w:r w:rsidRPr="00465964">
        <w:rPr>
          <w:lang w:val="pt-PT"/>
        </w:rPr>
        <w:t xml:space="preserve"> de moeda eletrónica também seja oferecida num Estado-Membro diferente do Estado-Membro de origem, o livrete do criptoativo é igualmente redigido numa língua oficial do Estado-Membro de acolhimento ou numa língua de uso corrente no sector financeiro internacional.</w:t>
      </w:r>
    </w:p>
    <w:p w14:paraId="56391276" w14:textId="77777777" w:rsidR="00465964" w:rsidRPr="00465964" w:rsidRDefault="00465964" w:rsidP="00465964">
      <w:pPr>
        <w:rPr>
          <w:lang w:val="pt-PT"/>
        </w:rPr>
      </w:pPr>
      <w:r w:rsidRPr="00465964">
        <w:rPr>
          <w:lang w:val="pt-PT"/>
        </w:rPr>
        <w:t>9.   O livrete do criptoativo é disponibilizado num formato legível por máquina.</w:t>
      </w:r>
    </w:p>
    <w:p w14:paraId="668619F9" w14:textId="77777777" w:rsidR="00465964" w:rsidRPr="00465964" w:rsidRDefault="00465964" w:rsidP="00465964">
      <w:pPr>
        <w:rPr>
          <w:lang w:val="pt-PT"/>
        </w:rPr>
      </w:pPr>
      <w:r w:rsidRPr="00465964">
        <w:rPr>
          <w:lang w:val="pt-PT"/>
        </w:rPr>
        <w:t xml:space="preserve">10.   A ESMA, em cooperação com a EBA, elabora projetos de normas técnicas de execução para criar formulários, formatos e modelos normalizados para efeitos do </w:t>
      </w:r>
      <w:proofErr w:type="spellStart"/>
      <w:r w:rsidRPr="00465964">
        <w:rPr>
          <w:lang w:val="pt-PT"/>
        </w:rPr>
        <w:t>n.</w:t>
      </w:r>
      <w:r w:rsidRPr="00465964">
        <w:rPr>
          <w:vertAlign w:val="superscript"/>
          <w:lang w:val="pt-PT"/>
        </w:rPr>
        <w:t>o</w:t>
      </w:r>
      <w:proofErr w:type="spellEnd"/>
      <w:r w:rsidRPr="00465964">
        <w:rPr>
          <w:lang w:val="pt-PT"/>
        </w:rPr>
        <w:t> 9.</w:t>
      </w:r>
    </w:p>
    <w:p w14:paraId="419F4EE2" w14:textId="77777777" w:rsidR="00465964" w:rsidRPr="00465964" w:rsidRDefault="00465964" w:rsidP="00465964">
      <w:pPr>
        <w:rPr>
          <w:lang w:val="pt-PT"/>
        </w:rPr>
      </w:pPr>
      <w:r w:rsidRPr="00465964">
        <w:rPr>
          <w:lang w:val="pt-PT"/>
        </w:rPr>
        <w:t>A ESMA apresenta à Comissão os projetos de normas técnicas de execução referidos no primeiro parágrafo até 30 de junho de 2024.</w:t>
      </w:r>
    </w:p>
    <w:p w14:paraId="17A1FD62" w14:textId="77777777" w:rsidR="00465964" w:rsidRPr="00465964" w:rsidRDefault="00465964" w:rsidP="00465964">
      <w:pPr>
        <w:rPr>
          <w:lang w:val="pt-PT"/>
        </w:rPr>
      </w:pPr>
      <w:r w:rsidRPr="00465964">
        <w:rPr>
          <w:lang w:val="pt-PT"/>
        </w:rPr>
        <w:t>É conferido à Comissão o poder de adotar as normas técnicas de execução a que se refere o primeiro parágrafo do presente número em conformidade com o artigo 15.</w:t>
      </w:r>
      <w:r w:rsidRPr="00465964">
        <w:rPr>
          <w:vertAlign w:val="superscript"/>
          <w:lang w:val="pt-PT"/>
        </w:rPr>
        <w:t>o</w:t>
      </w:r>
      <w:r w:rsidRPr="00465964">
        <w:rPr>
          <w:lang w:val="pt-PT"/>
        </w:rPr>
        <w:t xml:space="preserve"> do Regulamento (UE) </w:t>
      </w:r>
      <w:proofErr w:type="spellStart"/>
      <w:r w:rsidRPr="00465964">
        <w:rPr>
          <w:lang w:val="pt-PT"/>
        </w:rPr>
        <w:t>n.</w:t>
      </w:r>
      <w:r w:rsidRPr="00465964">
        <w:rPr>
          <w:vertAlign w:val="superscript"/>
          <w:lang w:val="pt-PT"/>
        </w:rPr>
        <w:t>o</w:t>
      </w:r>
      <w:proofErr w:type="spellEnd"/>
      <w:r w:rsidRPr="00465964">
        <w:rPr>
          <w:lang w:val="pt-PT"/>
        </w:rPr>
        <w:t> 1095/2010.</w:t>
      </w:r>
    </w:p>
    <w:p w14:paraId="3C8264CE" w14:textId="1F2FE3AC" w:rsidR="00465964" w:rsidRPr="00465964" w:rsidRDefault="00465964" w:rsidP="00465964">
      <w:pPr>
        <w:rPr>
          <w:lang w:val="pt-PT"/>
        </w:rPr>
      </w:pPr>
      <w:r w:rsidRPr="00465964">
        <w:rPr>
          <w:lang w:val="pt-PT"/>
        </w:rPr>
        <w:t xml:space="preserve">11.   Os emitentes de </w:t>
      </w:r>
      <w:r>
        <w:rPr>
          <w:lang w:val="pt-PT"/>
        </w:rPr>
        <w:t>criptomoedas</w:t>
      </w:r>
      <w:r w:rsidRPr="00465964">
        <w:rPr>
          <w:lang w:val="pt-PT"/>
        </w:rPr>
        <w:t xml:space="preserve"> de moeda eletrónica notificam à sua autoridade competente o seu livrete do criptoativo pelo menos 20 dias úteis antes da data da sua publicação.</w:t>
      </w:r>
    </w:p>
    <w:p w14:paraId="71620242" w14:textId="77777777" w:rsidR="00465964" w:rsidRPr="00465964" w:rsidRDefault="00465964" w:rsidP="00465964">
      <w:pPr>
        <w:rPr>
          <w:lang w:val="pt-PT"/>
        </w:rPr>
      </w:pPr>
      <w:r w:rsidRPr="00465964">
        <w:rPr>
          <w:lang w:val="pt-PT"/>
        </w:rPr>
        <w:t>As autoridades competentes não exigem que os livretes do criptoativo sejam aprovados antes da sua publicação.</w:t>
      </w:r>
    </w:p>
    <w:p w14:paraId="57FD8C7F" w14:textId="77777777" w:rsidR="00465964" w:rsidRPr="00465964" w:rsidRDefault="00465964" w:rsidP="00465964">
      <w:pPr>
        <w:rPr>
          <w:lang w:val="pt-PT"/>
        </w:rPr>
      </w:pPr>
      <w:r w:rsidRPr="00465964">
        <w:rPr>
          <w:lang w:val="pt-PT"/>
        </w:rPr>
        <w:t xml:space="preserve">12.   Qualquer novo facto significativo, erro ou inexatidão material suscetíveis de afetar a avaliação da </w:t>
      </w:r>
      <w:proofErr w:type="spellStart"/>
      <w:r w:rsidRPr="00465964">
        <w:rPr>
          <w:lang w:val="pt-PT"/>
        </w:rPr>
        <w:t>criptoficha</w:t>
      </w:r>
      <w:proofErr w:type="spellEnd"/>
      <w:r w:rsidRPr="00465964">
        <w:rPr>
          <w:lang w:val="pt-PT"/>
        </w:rPr>
        <w:t xml:space="preserve"> de moeda eletrónica devem ser descritos num livrete do criptoativo modificado, redigido pelos emitentes, notificado às autoridades competentes e publicado nos sítios Web dos emitentes.</w:t>
      </w:r>
    </w:p>
    <w:p w14:paraId="3503BAFB" w14:textId="77777777" w:rsidR="00465964" w:rsidRPr="00465964" w:rsidRDefault="00465964" w:rsidP="00465964">
      <w:pPr>
        <w:rPr>
          <w:lang w:val="pt-PT"/>
        </w:rPr>
      </w:pPr>
      <w:r w:rsidRPr="00465964">
        <w:rPr>
          <w:lang w:val="pt-PT"/>
        </w:rPr>
        <w:t xml:space="preserve">13.   Antes de oferecer a </w:t>
      </w:r>
      <w:proofErr w:type="spellStart"/>
      <w:r w:rsidRPr="00465964">
        <w:rPr>
          <w:lang w:val="pt-PT"/>
        </w:rPr>
        <w:t>criptoficha</w:t>
      </w:r>
      <w:proofErr w:type="spellEnd"/>
      <w:r w:rsidRPr="00465964">
        <w:rPr>
          <w:lang w:val="pt-PT"/>
        </w:rPr>
        <w:t xml:space="preserve"> de moeda eletrónica ao público na União ou de solicitar a admissão à negociação dessa </w:t>
      </w:r>
      <w:proofErr w:type="spellStart"/>
      <w:r w:rsidRPr="00465964">
        <w:rPr>
          <w:lang w:val="pt-PT"/>
        </w:rPr>
        <w:t>criptoficha</w:t>
      </w:r>
      <w:proofErr w:type="spellEnd"/>
      <w:r w:rsidRPr="00465964">
        <w:rPr>
          <w:lang w:val="pt-PT"/>
        </w:rPr>
        <w:t xml:space="preserve"> de moeda eletrónica, o emitente dessa </w:t>
      </w:r>
      <w:proofErr w:type="spellStart"/>
      <w:r w:rsidRPr="00465964">
        <w:rPr>
          <w:lang w:val="pt-PT"/>
        </w:rPr>
        <w:t>criptoficha</w:t>
      </w:r>
      <w:proofErr w:type="spellEnd"/>
      <w:r w:rsidRPr="00465964">
        <w:rPr>
          <w:lang w:val="pt-PT"/>
        </w:rPr>
        <w:t xml:space="preserve"> de moeda eletrónica deve publicar um livrete do criptoativo no seu sítio Web.</w:t>
      </w:r>
    </w:p>
    <w:p w14:paraId="6B28F6AA" w14:textId="77777777" w:rsidR="00465964" w:rsidRPr="00465964" w:rsidRDefault="00465964" w:rsidP="00465964">
      <w:pPr>
        <w:rPr>
          <w:lang w:val="pt-PT"/>
        </w:rPr>
      </w:pPr>
      <w:r w:rsidRPr="00465964">
        <w:rPr>
          <w:lang w:val="pt-PT"/>
        </w:rPr>
        <w:t xml:space="preserve">14.   O emitente da </w:t>
      </w:r>
      <w:proofErr w:type="spellStart"/>
      <w:r w:rsidRPr="00465964">
        <w:rPr>
          <w:lang w:val="pt-PT"/>
        </w:rPr>
        <w:t>criptoficha</w:t>
      </w:r>
      <w:proofErr w:type="spellEnd"/>
      <w:r w:rsidRPr="00465964">
        <w:rPr>
          <w:lang w:val="pt-PT"/>
        </w:rPr>
        <w:t xml:space="preserve"> de moeda eletrónica deve, juntamente com a notificação do livrete do criptoativo nos termos do </w:t>
      </w:r>
      <w:proofErr w:type="spellStart"/>
      <w:r w:rsidRPr="00465964">
        <w:rPr>
          <w:lang w:val="pt-PT"/>
        </w:rPr>
        <w:t>n.</w:t>
      </w:r>
      <w:r w:rsidRPr="00465964">
        <w:rPr>
          <w:vertAlign w:val="superscript"/>
          <w:lang w:val="pt-PT"/>
        </w:rPr>
        <w:t>o</w:t>
      </w:r>
      <w:proofErr w:type="spellEnd"/>
      <w:r w:rsidRPr="00465964">
        <w:rPr>
          <w:lang w:val="pt-PT"/>
        </w:rPr>
        <w:t> 11 do presente artigo, facultar à autoridade competente a informação a que se refere o artigo 109.</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4. A autoridade competente comunica à ESMA, no prazo de cinco dias úteis a contar da receção das informações do emitente, as informações elencadas no artigo 109.</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4.</w:t>
      </w:r>
    </w:p>
    <w:p w14:paraId="1D8BBC8A" w14:textId="77777777" w:rsidR="00465964" w:rsidRPr="00465964" w:rsidRDefault="00465964" w:rsidP="00465964">
      <w:pPr>
        <w:rPr>
          <w:lang w:val="pt-PT"/>
        </w:rPr>
      </w:pPr>
      <w:r w:rsidRPr="00465964">
        <w:rPr>
          <w:lang w:val="pt-PT"/>
        </w:rPr>
        <w:lastRenderedPageBreak/>
        <w:t xml:space="preserve">A autoridade competente também comunica à ESMA qualquer livrete do criptoativo modificado e qualquer revogação da autorização do emitente da </w:t>
      </w:r>
      <w:proofErr w:type="spellStart"/>
      <w:r w:rsidRPr="00465964">
        <w:rPr>
          <w:lang w:val="pt-PT"/>
        </w:rPr>
        <w:t>criptoficha</w:t>
      </w:r>
      <w:proofErr w:type="spellEnd"/>
      <w:r w:rsidRPr="00465964">
        <w:rPr>
          <w:lang w:val="pt-PT"/>
        </w:rPr>
        <w:t xml:space="preserve"> de moeda eletrónica.</w:t>
      </w:r>
    </w:p>
    <w:p w14:paraId="14CCB973" w14:textId="77777777" w:rsidR="00465964" w:rsidRPr="00465964" w:rsidRDefault="00465964" w:rsidP="00465964">
      <w:pPr>
        <w:rPr>
          <w:lang w:val="pt-PT"/>
        </w:rPr>
      </w:pPr>
      <w:r w:rsidRPr="00465964">
        <w:rPr>
          <w:lang w:val="pt-PT"/>
        </w:rPr>
        <w:t>A ESMA disponibiliza essas informações no registo ao abrigo do artigo 109.</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4, na data de início da oferta pública ou da admissão à negociação, ou, no caso de um livrete do criptoativo modificado ou da revogação da autorização, sem demora injustificada.</w:t>
      </w:r>
    </w:p>
    <w:p w14:paraId="0CF336EA" w14:textId="77777777" w:rsidR="00465964" w:rsidRPr="00465964" w:rsidRDefault="00465964" w:rsidP="00465964">
      <w:pPr>
        <w:rPr>
          <w:lang w:val="pt-PT"/>
        </w:rPr>
      </w:pPr>
      <w:r w:rsidRPr="00465964">
        <w:rPr>
          <w:lang w:val="pt-PT"/>
        </w:rPr>
        <w:t xml:space="preserve">15.   A ESMA, em cooperação com a EBA, elabora projetos de normas técnicas de regulamentação sobre o conteúdo, as metodologias e a apresentação das informações a que se refere o </w:t>
      </w:r>
      <w:proofErr w:type="spellStart"/>
      <w:r w:rsidRPr="00465964">
        <w:rPr>
          <w:lang w:val="pt-PT"/>
        </w:rPr>
        <w:t>n.</w:t>
      </w:r>
      <w:r w:rsidRPr="00465964">
        <w:rPr>
          <w:vertAlign w:val="superscript"/>
          <w:lang w:val="pt-PT"/>
        </w:rPr>
        <w:t>o</w:t>
      </w:r>
      <w:proofErr w:type="spellEnd"/>
      <w:r w:rsidRPr="00465964">
        <w:rPr>
          <w:lang w:val="pt-PT"/>
        </w:rPr>
        <w:t> 1, alínea g), no que diz respeito aos indicadores de sustentabilidade relacionados com os impactos negativos no clima e outros impactos negativos relacionados com o ambiente.</w:t>
      </w:r>
    </w:p>
    <w:p w14:paraId="698E6315" w14:textId="77777777" w:rsidR="00465964" w:rsidRPr="00465964" w:rsidRDefault="00465964" w:rsidP="00465964">
      <w:pPr>
        <w:rPr>
          <w:lang w:val="pt-PT"/>
        </w:rPr>
      </w:pPr>
      <w:r w:rsidRPr="00465964">
        <w:rPr>
          <w:lang w:val="pt-PT"/>
        </w:rPr>
        <w:t>Ao elaborar os projetos de normas técnicas de regulamentação a que se refere o primeiro parágrafo, a ESMA tem em conta os vários tipos de mecanismos de consenso utilizados para validar as transações de criptoativos, as suas estruturas de incentivo e a utilização de energia, energias renováveis e recursos naturais, bem como a produção de resíduos e as emissões de gases com efeito de estufa. A ESMA atualiza as normas técnicas de regulamentação à luz da evolução regulamentar e tecnológica.</w:t>
      </w:r>
    </w:p>
    <w:p w14:paraId="167BFFB0" w14:textId="77777777" w:rsidR="00465964" w:rsidRPr="00465964" w:rsidRDefault="00465964" w:rsidP="00465964">
      <w:pPr>
        <w:rPr>
          <w:lang w:val="pt-PT"/>
        </w:rPr>
      </w:pPr>
      <w:r w:rsidRPr="00465964">
        <w:rPr>
          <w:lang w:val="pt-PT"/>
        </w:rPr>
        <w:t>A ESMA apresenta à Comissão os projetos de normas técnicas de regulamentação referidos no primeiro parágrafo até 30 de junho de 2024.</w:t>
      </w:r>
    </w:p>
    <w:p w14:paraId="2E0CBB5C" w14:textId="77777777" w:rsidR="00465964" w:rsidRPr="00465964" w:rsidRDefault="00465964" w:rsidP="00465964">
      <w:pPr>
        <w:rPr>
          <w:lang w:val="pt-PT"/>
        </w:rPr>
      </w:pPr>
      <w:r w:rsidRPr="00465964">
        <w:rPr>
          <w:lang w:val="pt-PT"/>
        </w:rPr>
        <w:t>É delegado na Comissão o poder de completar o presente regulamento através da adoção das normas técnicas de regulamentação a que se refere o primeiro parágrafo do presente número em conformidade com os artigos 10.</w:t>
      </w:r>
      <w:r w:rsidRPr="00465964">
        <w:rPr>
          <w:vertAlign w:val="superscript"/>
          <w:lang w:val="pt-PT"/>
        </w:rPr>
        <w:t>o</w:t>
      </w:r>
      <w:r w:rsidRPr="00465964">
        <w:rPr>
          <w:lang w:val="pt-PT"/>
        </w:rPr>
        <w:t> a 14.</w:t>
      </w:r>
      <w:r w:rsidRPr="00465964">
        <w:rPr>
          <w:vertAlign w:val="superscript"/>
          <w:lang w:val="pt-PT"/>
        </w:rPr>
        <w:t>o</w:t>
      </w:r>
      <w:r w:rsidRPr="00465964">
        <w:rPr>
          <w:lang w:val="pt-PT"/>
        </w:rPr>
        <w:t xml:space="preserve"> do Regulamento (UE) </w:t>
      </w:r>
      <w:proofErr w:type="spellStart"/>
      <w:r w:rsidRPr="00465964">
        <w:rPr>
          <w:lang w:val="pt-PT"/>
        </w:rPr>
        <w:t>n.</w:t>
      </w:r>
      <w:r w:rsidRPr="00465964">
        <w:rPr>
          <w:vertAlign w:val="superscript"/>
          <w:lang w:val="pt-PT"/>
        </w:rPr>
        <w:t>o</w:t>
      </w:r>
      <w:proofErr w:type="spellEnd"/>
      <w:r w:rsidRPr="00465964">
        <w:rPr>
          <w:lang w:val="pt-PT"/>
        </w:rPr>
        <w:t> 1095/2010.</w:t>
      </w:r>
    </w:p>
    <w:p w14:paraId="397C89A5" w14:textId="77777777" w:rsidR="00465964" w:rsidRPr="00465964" w:rsidRDefault="00465964" w:rsidP="00465964">
      <w:pPr>
        <w:rPr>
          <w:i/>
          <w:iCs/>
          <w:lang w:val="pt-PT"/>
        </w:rPr>
      </w:pPr>
      <w:r w:rsidRPr="00465964">
        <w:rPr>
          <w:i/>
          <w:iCs/>
          <w:lang w:val="pt-PT"/>
        </w:rPr>
        <w:t>Artigo 52.</w:t>
      </w:r>
      <w:r w:rsidRPr="00465964">
        <w:rPr>
          <w:i/>
          <w:iCs/>
          <w:vertAlign w:val="superscript"/>
          <w:lang w:val="pt-PT"/>
        </w:rPr>
        <w:t>o</w:t>
      </w:r>
    </w:p>
    <w:p w14:paraId="79B954E2" w14:textId="625D5E85" w:rsidR="00465964" w:rsidRPr="00465964" w:rsidRDefault="00465964" w:rsidP="00465964">
      <w:pPr>
        <w:rPr>
          <w:b/>
          <w:bCs/>
          <w:lang w:val="pt-PT"/>
        </w:rPr>
      </w:pPr>
      <w:r w:rsidRPr="00465964">
        <w:rPr>
          <w:b/>
          <w:bCs/>
          <w:lang w:val="pt-PT"/>
        </w:rPr>
        <w:t xml:space="preserve">Responsabilidade dos emitentes de </w:t>
      </w:r>
      <w:r>
        <w:rPr>
          <w:b/>
          <w:bCs/>
          <w:lang w:val="pt-PT"/>
        </w:rPr>
        <w:t>criptomoedas</w:t>
      </w:r>
      <w:r w:rsidRPr="00465964">
        <w:rPr>
          <w:b/>
          <w:bCs/>
          <w:lang w:val="pt-PT"/>
        </w:rPr>
        <w:t xml:space="preserve"> de moeda eletrónica pela informação incluída num livrete do criptoativo</w:t>
      </w:r>
    </w:p>
    <w:p w14:paraId="55FA490D" w14:textId="77777777" w:rsidR="00465964" w:rsidRPr="00465964" w:rsidRDefault="00465964" w:rsidP="00465964">
      <w:pPr>
        <w:rPr>
          <w:lang w:val="pt-PT"/>
        </w:rPr>
      </w:pPr>
      <w:r w:rsidRPr="00465964">
        <w:rPr>
          <w:lang w:val="pt-PT"/>
        </w:rPr>
        <w:t xml:space="preserve">1.   Caso um emitente de uma </w:t>
      </w:r>
      <w:proofErr w:type="spellStart"/>
      <w:r w:rsidRPr="00465964">
        <w:rPr>
          <w:lang w:val="pt-PT"/>
        </w:rPr>
        <w:t>criptoficha</w:t>
      </w:r>
      <w:proofErr w:type="spellEnd"/>
      <w:r w:rsidRPr="00465964">
        <w:rPr>
          <w:lang w:val="pt-PT"/>
        </w:rPr>
        <w:t xml:space="preserve"> de moeda eletrónica tenha infringido o artigo 51.</w:t>
      </w:r>
      <w:r w:rsidRPr="00465964">
        <w:rPr>
          <w:vertAlign w:val="superscript"/>
          <w:lang w:val="pt-PT"/>
        </w:rPr>
        <w:t>o</w:t>
      </w:r>
      <w:r w:rsidRPr="00465964">
        <w:rPr>
          <w:lang w:val="pt-PT"/>
        </w:rPr>
        <w:t xml:space="preserve">, ao facultar, no seu livrete do criptoativo ou num livrete do criptoativo modificado, informação que não é completa, não é correta, não é clara ou que induz em erro, esse emitente e os membros do seu órgão de administração, direção ou supervisão são responsáveis perante o detentor dessa </w:t>
      </w:r>
      <w:proofErr w:type="spellStart"/>
      <w:r w:rsidRPr="00465964">
        <w:rPr>
          <w:lang w:val="pt-PT"/>
        </w:rPr>
        <w:t>criptoficha</w:t>
      </w:r>
      <w:proofErr w:type="spellEnd"/>
      <w:r w:rsidRPr="00465964">
        <w:rPr>
          <w:lang w:val="pt-PT"/>
        </w:rPr>
        <w:t xml:space="preserve"> de moeda eletrónica pelas perdas sofridas devido a essa infração.</w:t>
      </w:r>
    </w:p>
    <w:p w14:paraId="7DD167BD" w14:textId="77777777" w:rsidR="00465964" w:rsidRPr="00465964" w:rsidRDefault="00465964" w:rsidP="00465964">
      <w:pPr>
        <w:rPr>
          <w:lang w:val="pt-PT"/>
        </w:rPr>
      </w:pPr>
      <w:r w:rsidRPr="00465964">
        <w:rPr>
          <w:lang w:val="pt-PT"/>
        </w:rPr>
        <w:t xml:space="preserve">2.   Toda e qualquer exclusão ou limitação contratual da responsabilidade civil a que se refere o </w:t>
      </w:r>
      <w:proofErr w:type="spellStart"/>
      <w:r w:rsidRPr="00465964">
        <w:rPr>
          <w:lang w:val="pt-PT"/>
        </w:rPr>
        <w:t>n.</w:t>
      </w:r>
      <w:r w:rsidRPr="00465964">
        <w:rPr>
          <w:vertAlign w:val="superscript"/>
          <w:lang w:val="pt-PT"/>
        </w:rPr>
        <w:t>o</w:t>
      </w:r>
      <w:proofErr w:type="spellEnd"/>
      <w:r w:rsidRPr="00465964">
        <w:rPr>
          <w:lang w:val="pt-PT"/>
        </w:rPr>
        <w:t> 1 não produz efeitos jurídicos.</w:t>
      </w:r>
    </w:p>
    <w:p w14:paraId="6585ACB4" w14:textId="77777777" w:rsidR="00465964" w:rsidRPr="00465964" w:rsidRDefault="00465964" w:rsidP="00465964">
      <w:pPr>
        <w:rPr>
          <w:lang w:val="pt-PT"/>
        </w:rPr>
      </w:pPr>
      <w:r w:rsidRPr="00465964">
        <w:rPr>
          <w:lang w:val="pt-PT"/>
        </w:rPr>
        <w:t xml:space="preserve">3.   Cabe aos detentores da </w:t>
      </w:r>
      <w:proofErr w:type="spellStart"/>
      <w:r w:rsidRPr="00465964">
        <w:rPr>
          <w:lang w:val="pt-PT"/>
        </w:rPr>
        <w:t>criptoficha</w:t>
      </w:r>
      <w:proofErr w:type="spellEnd"/>
      <w:r w:rsidRPr="00465964">
        <w:rPr>
          <w:lang w:val="pt-PT"/>
        </w:rPr>
        <w:t xml:space="preserve"> de moeda eletrónica apresentarem provas que indiquem que o emitente dessa </w:t>
      </w:r>
      <w:proofErr w:type="spellStart"/>
      <w:r w:rsidRPr="00465964">
        <w:rPr>
          <w:lang w:val="pt-PT"/>
        </w:rPr>
        <w:t>criptoficha</w:t>
      </w:r>
      <w:proofErr w:type="spellEnd"/>
      <w:r w:rsidRPr="00465964">
        <w:rPr>
          <w:lang w:val="pt-PT"/>
        </w:rPr>
        <w:t xml:space="preserve"> de moeda eletrónica infringiu o artigo 51.</w:t>
      </w:r>
      <w:r w:rsidRPr="00465964">
        <w:rPr>
          <w:vertAlign w:val="superscript"/>
          <w:lang w:val="pt-PT"/>
        </w:rPr>
        <w:t>o</w:t>
      </w:r>
      <w:r w:rsidRPr="00465964">
        <w:rPr>
          <w:lang w:val="pt-PT"/>
        </w:rPr>
        <w:t xml:space="preserve"> ao prestar, no seu livrete do criptoativo ou num livrete do criptoativo modificado, informação que não é completa, não é correta, não é clara ou que induz em erro e que o recurso a essa informação teve um impacto na decisão do detentor de comprar, vender ou trocar essa </w:t>
      </w:r>
      <w:proofErr w:type="spellStart"/>
      <w:r w:rsidRPr="00465964">
        <w:rPr>
          <w:lang w:val="pt-PT"/>
        </w:rPr>
        <w:t>criptoficha</w:t>
      </w:r>
      <w:proofErr w:type="spellEnd"/>
      <w:r w:rsidRPr="00465964">
        <w:rPr>
          <w:lang w:val="pt-PT"/>
        </w:rPr>
        <w:t xml:space="preserve"> de moeda eletrónica.</w:t>
      </w:r>
    </w:p>
    <w:p w14:paraId="543F56B9" w14:textId="77777777" w:rsidR="00465964" w:rsidRPr="00465964" w:rsidRDefault="00465964" w:rsidP="00465964">
      <w:pPr>
        <w:rPr>
          <w:lang w:val="pt-PT"/>
        </w:rPr>
      </w:pPr>
      <w:r w:rsidRPr="00465964">
        <w:rPr>
          <w:lang w:val="pt-PT"/>
        </w:rPr>
        <w:t>4.   O emitente e os membros dos seus órgãos de administração, de direção ou de supervisão não são responsáveis pelas perdas sofridas em resultado da confiança depositada na informação facultada num resumo nos termos do artigo 51.</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6, nomeadamente em traduções dessa informação, salvo se o resumo:</w:t>
      </w:r>
    </w:p>
    <w:tbl>
      <w:tblPr>
        <w:tblW w:w="5000" w:type="pct"/>
        <w:tblCellMar>
          <w:left w:w="0" w:type="dxa"/>
          <w:right w:w="0" w:type="dxa"/>
        </w:tblCellMar>
        <w:tblLook w:val="04A0" w:firstRow="1" w:lastRow="0" w:firstColumn="1" w:lastColumn="0" w:noHBand="0" w:noVBand="1"/>
      </w:tblPr>
      <w:tblGrid>
        <w:gridCol w:w="182"/>
        <w:gridCol w:w="8844"/>
      </w:tblGrid>
      <w:tr w:rsidR="00465964" w:rsidRPr="00465964" w14:paraId="4CC03407" w14:textId="77777777" w:rsidTr="00465964">
        <w:tc>
          <w:tcPr>
            <w:tcW w:w="0" w:type="auto"/>
            <w:shd w:val="clear" w:color="auto" w:fill="auto"/>
            <w:hideMark/>
          </w:tcPr>
          <w:p w14:paraId="1CEECF2D" w14:textId="77777777" w:rsidR="00465964" w:rsidRPr="00465964" w:rsidRDefault="00465964" w:rsidP="00465964">
            <w:r w:rsidRPr="00465964">
              <w:lastRenderedPageBreak/>
              <w:t>a)</w:t>
            </w:r>
          </w:p>
        </w:tc>
        <w:tc>
          <w:tcPr>
            <w:tcW w:w="0" w:type="auto"/>
            <w:shd w:val="clear" w:color="auto" w:fill="auto"/>
            <w:hideMark/>
          </w:tcPr>
          <w:p w14:paraId="108EAE45" w14:textId="77777777" w:rsidR="00465964" w:rsidRPr="00465964" w:rsidRDefault="00465964" w:rsidP="00465964">
            <w:pPr>
              <w:rPr>
                <w:lang w:val="pt-PT"/>
              </w:rPr>
            </w:pPr>
            <w:r w:rsidRPr="00465964">
              <w:rPr>
                <w:lang w:val="pt-PT"/>
              </w:rPr>
              <w:t>Quando lido em conjunto com as outras partes do livrete do criptoativo, induzir em erro, for inexato ou incoerente; ou</w:t>
            </w:r>
          </w:p>
        </w:tc>
      </w:tr>
    </w:tbl>
    <w:p w14:paraId="0498DBC5"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8"/>
        <w:gridCol w:w="8838"/>
      </w:tblGrid>
      <w:tr w:rsidR="00465964" w:rsidRPr="00465964" w14:paraId="2F346EA2" w14:textId="77777777" w:rsidTr="00465964">
        <w:tc>
          <w:tcPr>
            <w:tcW w:w="0" w:type="auto"/>
            <w:shd w:val="clear" w:color="auto" w:fill="auto"/>
            <w:hideMark/>
          </w:tcPr>
          <w:p w14:paraId="7733C544" w14:textId="77777777" w:rsidR="00465964" w:rsidRPr="00465964" w:rsidRDefault="00465964" w:rsidP="00465964">
            <w:r w:rsidRPr="00465964">
              <w:t>b)</w:t>
            </w:r>
          </w:p>
        </w:tc>
        <w:tc>
          <w:tcPr>
            <w:tcW w:w="0" w:type="auto"/>
            <w:shd w:val="clear" w:color="auto" w:fill="auto"/>
            <w:hideMark/>
          </w:tcPr>
          <w:p w14:paraId="1823C475" w14:textId="22966138" w:rsidR="00465964" w:rsidRPr="00465964" w:rsidRDefault="00465964" w:rsidP="00465964">
            <w:pPr>
              <w:rPr>
                <w:lang w:val="pt-PT"/>
              </w:rPr>
            </w:pPr>
            <w:r w:rsidRPr="00465964">
              <w:rPr>
                <w:lang w:val="pt-PT"/>
              </w:rPr>
              <w:t xml:space="preserve">Quando, lido em conjunto com as outras partes do livrete do criptoativo, não prestar a informação fundamental para ajudar os potenciais detentores a decidirem se devem adquirir essas </w:t>
            </w:r>
            <w:r>
              <w:rPr>
                <w:lang w:val="pt-PT"/>
              </w:rPr>
              <w:t>criptomoedas</w:t>
            </w:r>
            <w:r w:rsidRPr="00465964">
              <w:rPr>
                <w:lang w:val="pt-PT"/>
              </w:rPr>
              <w:t xml:space="preserve"> de moeda eletrónica.</w:t>
            </w:r>
          </w:p>
        </w:tc>
      </w:tr>
    </w:tbl>
    <w:p w14:paraId="09850430" w14:textId="77777777" w:rsidR="00465964" w:rsidRPr="00465964" w:rsidRDefault="00465964" w:rsidP="00465964">
      <w:pPr>
        <w:rPr>
          <w:lang w:val="pt-PT"/>
        </w:rPr>
      </w:pPr>
      <w:r w:rsidRPr="00465964">
        <w:rPr>
          <w:lang w:val="pt-PT"/>
        </w:rPr>
        <w:t>5.   O presente artigo não prejudica qualquer outra responsabilidade civil prevista no direito nacional.</w:t>
      </w:r>
    </w:p>
    <w:p w14:paraId="4EFE55EA" w14:textId="77777777" w:rsidR="00465964" w:rsidRPr="00465964" w:rsidRDefault="00465964" w:rsidP="00465964">
      <w:pPr>
        <w:rPr>
          <w:i/>
          <w:iCs/>
          <w:lang w:val="pt-PT"/>
        </w:rPr>
      </w:pPr>
      <w:r w:rsidRPr="00465964">
        <w:rPr>
          <w:i/>
          <w:iCs/>
          <w:lang w:val="pt-PT"/>
        </w:rPr>
        <w:t>Artigo 53.</w:t>
      </w:r>
      <w:r w:rsidRPr="00465964">
        <w:rPr>
          <w:i/>
          <w:iCs/>
          <w:vertAlign w:val="superscript"/>
          <w:lang w:val="pt-PT"/>
        </w:rPr>
        <w:t>o</w:t>
      </w:r>
    </w:p>
    <w:p w14:paraId="0E32DFDB" w14:textId="77777777" w:rsidR="00465964" w:rsidRPr="00465964" w:rsidRDefault="00465964" w:rsidP="00465964">
      <w:pPr>
        <w:rPr>
          <w:b/>
          <w:bCs/>
          <w:lang w:val="pt-PT"/>
        </w:rPr>
      </w:pPr>
      <w:r w:rsidRPr="00465964">
        <w:rPr>
          <w:b/>
          <w:bCs/>
          <w:lang w:val="pt-PT"/>
        </w:rPr>
        <w:t>Comunicações comerciais</w:t>
      </w:r>
    </w:p>
    <w:p w14:paraId="50C292F9" w14:textId="77777777" w:rsidR="00465964" w:rsidRPr="00465964" w:rsidRDefault="00465964" w:rsidP="00465964">
      <w:pPr>
        <w:rPr>
          <w:lang w:val="pt-PT"/>
        </w:rPr>
      </w:pPr>
      <w:r w:rsidRPr="00465964">
        <w:rPr>
          <w:lang w:val="pt-PT"/>
        </w:rPr>
        <w:t xml:space="preserve">1.   As comunicações comerciais relativas a uma oferta pública de uma </w:t>
      </w:r>
      <w:proofErr w:type="spellStart"/>
      <w:r w:rsidRPr="00465964">
        <w:rPr>
          <w:lang w:val="pt-PT"/>
        </w:rPr>
        <w:t>criptoficha</w:t>
      </w:r>
      <w:proofErr w:type="spellEnd"/>
      <w:r w:rsidRPr="00465964">
        <w:rPr>
          <w:lang w:val="pt-PT"/>
        </w:rPr>
        <w:t xml:space="preserve"> de moeda eletrónica ou relativas à admissão à negociação dessa </w:t>
      </w:r>
      <w:proofErr w:type="spellStart"/>
      <w:r w:rsidRPr="00465964">
        <w:rPr>
          <w:lang w:val="pt-PT"/>
        </w:rPr>
        <w:t>criptoficha</w:t>
      </w:r>
      <w:proofErr w:type="spellEnd"/>
      <w:r w:rsidRPr="00465964">
        <w:rPr>
          <w:lang w:val="pt-PT"/>
        </w:rPr>
        <w:t xml:space="preserve"> de moeda eletrónica devem cumprir todos os seguintes requisitos:</w:t>
      </w:r>
    </w:p>
    <w:tbl>
      <w:tblPr>
        <w:tblW w:w="5000" w:type="pct"/>
        <w:tblCellMar>
          <w:left w:w="0" w:type="dxa"/>
          <w:right w:w="0" w:type="dxa"/>
        </w:tblCellMar>
        <w:tblLook w:val="04A0" w:firstRow="1" w:lastRow="0" w:firstColumn="1" w:lastColumn="0" w:noHBand="0" w:noVBand="1"/>
      </w:tblPr>
      <w:tblGrid>
        <w:gridCol w:w="244"/>
        <w:gridCol w:w="8782"/>
      </w:tblGrid>
      <w:tr w:rsidR="00465964" w:rsidRPr="00465964" w14:paraId="5131A961" w14:textId="77777777" w:rsidTr="00465964">
        <w:tc>
          <w:tcPr>
            <w:tcW w:w="0" w:type="auto"/>
            <w:shd w:val="clear" w:color="auto" w:fill="auto"/>
            <w:hideMark/>
          </w:tcPr>
          <w:p w14:paraId="538D400F" w14:textId="77777777" w:rsidR="00465964" w:rsidRPr="00465964" w:rsidRDefault="00465964" w:rsidP="00465964">
            <w:r w:rsidRPr="00465964">
              <w:t>a)</w:t>
            </w:r>
          </w:p>
        </w:tc>
        <w:tc>
          <w:tcPr>
            <w:tcW w:w="0" w:type="auto"/>
            <w:shd w:val="clear" w:color="auto" w:fill="auto"/>
            <w:hideMark/>
          </w:tcPr>
          <w:p w14:paraId="6CDF64FA" w14:textId="77777777" w:rsidR="00465964" w:rsidRPr="00465964" w:rsidRDefault="00465964" w:rsidP="00465964">
            <w:pPr>
              <w:rPr>
                <w:lang w:val="pt-PT"/>
              </w:rPr>
            </w:pPr>
            <w:r w:rsidRPr="00465964">
              <w:rPr>
                <w:lang w:val="pt-PT"/>
              </w:rPr>
              <w:t>As comunicações comerciais são claramente identificáveis como tal;</w:t>
            </w:r>
          </w:p>
        </w:tc>
      </w:tr>
    </w:tbl>
    <w:p w14:paraId="793BD111"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97"/>
        <w:gridCol w:w="8829"/>
      </w:tblGrid>
      <w:tr w:rsidR="00465964" w:rsidRPr="00465964" w14:paraId="4CEF1C10" w14:textId="77777777" w:rsidTr="00465964">
        <w:tc>
          <w:tcPr>
            <w:tcW w:w="0" w:type="auto"/>
            <w:shd w:val="clear" w:color="auto" w:fill="auto"/>
            <w:hideMark/>
          </w:tcPr>
          <w:p w14:paraId="06D0696C" w14:textId="77777777" w:rsidR="00465964" w:rsidRPr="00465964" w:rsidRDefault="00465964" w:rsidP="00465964">
            <w:r w:rsidRPr="00465964">
              <w:t>b)</w:t>
            </w:r>
          </w:p>
        </w:tc>
        <w:tc>
          <w:tcPr>
            <w:tcW w:w="0" w:type="auto"/>
            <w:shd w:val="clear" w:color="auto" w:fill="auto"/>
            <w:hideMark/>
          </w:tcPr>
          <w:p w14:paraId="04690B9C" w14:textId="77777777" w:rsidR="00465964" w:rsidRPr="00465964" w:rsidRDefault="00465964" w:rsidP="00465964">
            <w:pPr>
              <w:rPr>
                <w:lang w:val="pt-PT"/>
              </w:rPr>
            </w:pPr>
            <w:r w:rsidRPr="00465964">
              <w:rPr>
                <w:lang w:val="pt-PT"/>
              </w:rPr>
              <w:t>A informação incluída nas comunicações comerciais é correta, clara e não induz em erro;</w:t>
            </w:r>
          </w:p>
        </w:tc>
      </w:tr>
    </w:tbl>
    <w:p w14:paraId="0C147B17"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0"/>
        <w:gridCol w:w="8846"/>
      </w:tblGrid>
      <w:tr w:rsidR="00465964" w:rsidRPr="00465964" w14:paraId="3CBB57A2" w14:textId="77777777" w:rsidTr="00465964">
        <w:tc>
          <w:tcPr>
            <w:tcW w:w="0" w:type="auto"/>
            <w:shd w:val="clear" w:color="auto" w:fill="auto"/>
            <w:hideMark/>
          </w:tcPr>
          <w:p w14:paraId="08C2DCB4" w14:textId="77777777" w:rsidR="00465964" w:rsidRPr="00465964" w:rsidRDefault="00465964" w:rsidP="00465964">
            <w:r w:rsidRPr="00465964">
              <w:t>c)</w:t>
            </w:r>
          </w:p>
        </w:tc>
        <w:tc>
          <w:tcPr>
            <w:tcW w:w="0" w:type="auto"/>
            <w:shd w:val="clear" w:color="auto" w:fill="auto"/>
            <w:hideMark/>
          </w:tcPr>
          <w:p w14:paraId="36999379" w14:textId="77777777" w:rsidR="00465964" w:rsidRPr="00465964" w:rsidRDefault="00465964" w:rsidP="00465964">
            <w:pPr>
              <w:rPr>
                <w:lang w:val="pt-PT"/>
              </w:rPr>
            </w:pPr>
            <w:r w:rsidRPr="00465964">
              <w:rPr>
                <w:lang w:val="pt-PT"/>
              </w:rPr>
              <w:t>A informação incluída nas comunicações comerciais é coerente com a informação incluída no livrete do criptoativo;</w:t>
            </w:r>
          </w:p>
        </w:tc>
      </w:tr>
    </w:tbl>
    <w:p w14:paraId="7A1DB10C"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8"/>
        <w:gridCol w:w="8838"/>
      </w:tblGrid>
      <w:tr w:rsidR="00465964" w:rsidRPr="00465964" w14:paraId="1DF2B144" w14:textId="77777777" w:rsidTr="00465964">
        <w:tc>
          <w:tcPr>
            <w:tcW w:w="0" w:type="auto"/>
            <w:shd w:val="clear" w:color="auto" w:fill="auto"/>
            <w:hideMark/>
          </w:tcPr>
          <w:p w14:paraId="601E1956" w14:textId="77777777" w:rsidR="00465964" w:rsidRPr="00465964" w:rsidRDefault="00465964" w:rsidP="00465964">
            <w:r w:rsidRPr="00465964">
              <w:t>d)</w:t>
            </w:r>
          </w:p>
        </w:tc>
        <w:tc>
          <w:tcPr>
            <w:tcW w:w="0" w:type="auto"/>
            <w:shd w:val="clear" w:color="auto" w:fill="auto"/>
            <w:hideMark/>
          </w:tcPr>
          <w:p w14:paraId="7DBEDB5E" w14:textId="77777777" w:rsidR="00465964" w:rsidRPr="00465964" w:rsidRDefault="00465964" w:rsidP="00465964">
            <w:pPr>
              <w:rPr>
                <w:lang w:val="pt-PT"/>
              </w:rPr>
            </w:pPr>
            <w:r w:rsidRPr="00465964">
              <w:rPr>
                <w:lang w:val="pt-PT"/>
              </w:rPr>
              <w:t xml:space="preserve">As comunicações comerciais mencionam claramente que foi publicado um livrete do criptoativo e indicam claramente o endereço do sítio Web do emitente da </w:t>
            </w:r>
            <w:proofErr w:type="spellStart"/>
            <w:r w:rsidRPr="00465964">
              <w:rPr>
                <w:lang w:val="pt-PT"/>
              </w:rPr>
              <w:t>criptoficha</w:t>
            </w:r>
            <w:proofErr w:type="spellEnd"/>
            <w:r w:rsidRPr="00465964">
              <w:rPr>
                <w:lang w:val="pt-PT"/>
              </w:rPr>
              <w:t xml:space="preserve"> de moeda eletrónica, bem como um número de telefone e um endereço de correio eletrónico para contactar o emitente.</w:t>
            </w:r>
          </w:p>
        </w:tc>
      </w:tr>
    </w:tbl>
    <w:p w14:paraId="02874AF5" w14:textId="77777777" w:rsidR="00465964" w:rsidRPr="00465964" w:rsidRDefault="00465964" w:rsidP="00465964">
      <w:pPr>
        <w:rPr>
          <w:lang w:val="pt-PT"/>
        </w:rPr>
      </w:pPr>
      <w:r w:rsidRPr="00465964">
        <w:rPr>
          <w:lang w:val="pt-PT"/>
        </w:rPr>
        <w:t xml:space="preserve">2.   As comunicações comerciais incluem uma declaração clara e inequívoca no sentido de que todos os detentores da </w:t>
      </w:r>
      <w:proofErr w:type="spellStart"/>
      <w:r w:rsidRPr="00465964">
        <w:rPr>
          <w:lang w:val="pt-PT"/>
        </w:rPr>
        <w:t>criptoficha</w:t>
      </w:r>
      <w:proofErr w:type="spellEnd"/>
      <w:r w:rsidRPr="00465964">
        <w:rPr>
          <w:lang w:val="pt-PT"/>
        </w:rPr>
        <w:t xml:space="preserve"> de moeda eletrónica têm um direito de reembolso a qualquer momento, pelo valor nominal, sobre o emitente.</w:t>
      </w:r>
    </w:p>
    <w:p w14:paraId="1B5356E6" w14:textId="77777777" w:rsidR="00465964" w:rsidRPr="00465964" w:rsidRDefault="00465964" w:rsidP="00465964">
      <w:pPr>
        <w:rPr>
          <w:lang w:val="pt-PT"/>
        </w:rPr>
      </w:pPr>
      <w:r w:rsidRPr="00465964">
        <w:rPr>
          <w:lang w:val="pt-PT"/>
        </w:rPr>
        <w:t>3.   As comunicações comerciais e quaisquer versões modificadas dessas comunicações comerciais devem ser publicadas no sítio Web do emitente.</w:t>
      </w:r>
    </w:p>
    <w:p w14:paraId="67396A61" w14:textId="77777777" w:rsidR="00465964" w:rsidRPr="00465964" w:rsidRDefault="00465964" w:rsidP="00465964">
      <w:pPr>
        <w:rPr>
          <w:lang w:val="pt-PT"/>
        </w:rPr>
      </w:pPr>
      <w:r w:rsidRPr="00465964">
        <w:rPr>
          <w:lang w:val="pt-PT"/>
        </w:rPr>
        <w:t>4.   As autoridades competentes não podem exigir uma aprovação prévia das comunicações comerciais antes da sua publicação.</w:t>
      </w:r>
    </w:p>
    <w:p w14:paraId="20B2FE41" w14:textId="77777777" w:rsidR="00465964" w:rsidRPr="00465964" w:rsidRDefault="00465964" w:rsidP="00465964">
      <w:pPr>
        <w:rPr>
          <w:lang w:val="pt-PT"/>
        </w:rPr>
      </w:pPr>
      <w:r w:rsidRPr="00465964">
        <w:rPr>
          <w:lang w:val="pt-PT"/>
        </w:rPr>
        <w:t>5.   As comunicações comerciais são, a pedido, transmitidas às autoridades competentes.</w:t>
      </w:r>
    </w:p>
    <w:p w14:paraId="0DD0D67D" w14:textId="77777777" w:rsidR="00465964" w:rsidRPr="00465964" w:rsidRDefault="00465964" w:rsidP="00465964">
      <w:pPr>
        <w:rPr>
          <w:lang w:val="pt-PT"/>
        </w:rPr>
      </w:pPr>
      <w:r w:rsidRPr="00465964">
        <w:rPr>
          <w:lang w:val="pt-PT"/>
        </w:rPr>
        <w:t xml:space="preserve">6.   Nenhuma comunicação comercial pode ser divulgada antes da publicação do livrete do criptoativo. Esta restrição não afeta a capacidade do emitente da </w:t>
      </w:r>
      <w:proofErr w:type="spellStart"/>
      <w:r w:rsidRPr="00465964">
        <w:rPr>
          <w:lang w:val="pt-PT"/>
        </w:rPr>
        <w:t>criptoficha</w:t>
      </w:r>
      <w:proofErr w:type="spellEnd"/>
      <w:r w:rsidRPr="00465964">
        <w:rPr>
          <w:lang w:val="pt-PT"/>
        </w:rPr>
        <w:t xml:space="preserve"> de moeda eletrónica para realizar sondagens de mercado.</w:t>
      </w:r>
    </w:p>
    <w:p w14:paraId="1FC128D8" w14:textId="77777777" w:rsidR="00465964" w:rsidRPr="00465964" w:rsidRDefault="00465964" w:rsidP="00465964">
      <w:pPr>
        <w:rPr>
          <w:i/>
          <w:iCs/>
          <w:lang w:val="pt-PT"/>
        </w:rPr>
      </w:pPr>
      <w:r w:rsidRPr="00465964">
        <w:rPr>
          <w:i/>
          <w:iCs/>
          <w:lang w:val="pt-PT"/>
        </w:rPr>
        <w:t>Artigo 54.</w:t>
      </w:r>
      <w:r w:rsidRPr="00465964">
        <w:rPr>
          <w:i/>
          <w:iCs/>
          <w:vertAlign w:val="superscript"/>
          <w:lang w:val="pt-PT"/>
        </w:rPr>
        <w:t>o</w:t>
      </w:r>
    </w:p>
    <w:p w14:paraId="5048991F" w14:textId="2175BC60" w:rsidR="00465964" w:rsidRPr="00465964" w:rsidRDefault="00465964" w:rsidP="00465964">
      <w:pPr>
        <w:rPr>
          <w:b/>
          <w:bCs/>
          <w:lang w:val="pt-PT"/>
        </w:rPr>
      </w:pPr>
      <w:r w:rsidRPr="00465964">
        <w:rPr>
          <w:b/>
          <w:bCs/>
          <w:lang w:val="pt-PT"/>
        </w:rPr>
        <w:t xml:space="preserve">Investimento de fundos recebidos em troca de </w:t>
      </w:r>
      <w:r>
        <w:rPr>
          <w:b/>
          <w:bCs/>
          <w:lang w:val="pt-PT"/>
        </w:rPr>
        <w:t>criptomoedas</w:t>
      </w:r>
      <w:r w:rsidRPr="00465964">
        <w:rPr>
          <w:b/>
          <w:bCs/>
          <w:lang w:val="pt-PT"/>
        </w:rPr>
        <w:t xml:space="preserve"> de moeda eletrónica</w:t>
      </w:r>
    </w:p>
    <w:p w14:paraId="0C270C03" w14:textId="6188DF2C" w:rsidR="00465964" w:rsidRPr="00465964" w:rsidRDefault="00465964" w:rsidP="00465964">
      <w:pPr>
        <w:rPr>
          <w:lang w:val="pt-PT"/>
        </w:rPr>
      </w:pPr>
      <w:r w:rsidRPr="00465964">
        <w:rPr>
          <w:lang w:val="pt-PT"/>
        </w:rPr>
        <w:t xml:space="preserve">Os fundos recebidos pelos emitentes de </w:t>
      </w:r>
      <w:r>
        <w:rPr>
          <w:lang w:val="pt-PT"/>
        </w:rPr>
        <w:t>criptomoedas</w:t>
      </w:r>
      <w:r w:rsidRPr="00465964">
        <w:rPr>
          <w:lang w:val="pt-PT"/>
        </w:rPr>
        <w:t xml:space="preserve"> de moeda eletrónica em troca de </w:t>
      </w:r>
      <w:r>
        <w:rPr>
          <w:lang w:val="pt-PT"/>
        </w:rPr>
        <w:t>criptomoedas</w:t>
      </w:r>
      <w:r w:rsidRPr="00465964">
        <w:rPr>
          <w:lang w:val="pt-PT"/>
        </w:rPr>
        <w:t xml:space="preserve"> de moeda eletrónica e garantidos em conformidade com o artigo 7.</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1, da Diretiva 2009/110/CE devem cumprir os seguintes requisitos:</w:t>
      </w:r>
    </w:p>
    <w:tbl>
      <w:tblPr>
        <w:tblW w:w="5000" w:type="pct"/>
        <w:tblCellMar>
          <w:left w:w="0" w:type="dxa"/>
          <w:right w:w="0" w:type="dxa"/>
        </w:tblCellMar>
        <w:tblLook w:val="04A0" w:firstRow="1" w:lastRow="0" w:firstColumn="1" w:lastColumn="0" w:noHBand="0" w:noVBand="1"/>
      </w:tblPr>
      <w:tblGrid>
        <w:gridCol w:w="182"/>
        <w:gridCol w:w="8844"/>
      </w:tblGrid>
      <w:tr w:rsidR="00465964" w:rsidRPr="00465964" w14:paraId="7FE11A35" w14:textId="77777777" w:rsidTr="00465964">
        <w:tc>
          <w:tcPr>
            <w:tcW w:w="0" w:type="auto"/>
            <w:shd w:val="clear" w:color="auto" w:fill="auto"/>
            <w:hideMark/>
          </w:tcPr>
          <w:p w14:paraId="51048915" w14:textId="77777777" w:rsidR="00465964" w:rsidRPr="00465964" w:rsidRDefault="00465964" w:rsidP="00465964">
            <w:r w:rsidRPr="00465964">
              <w:lastRenderedPageBreak/>
              <w:t>a)</w:t>
            </w:r>
          </w:p>
        </w:tc>
        <w:tc>
          <w:tcPr>
            <w:tcW w:w="0" w:type="auto"/>
            <w:shd w:val="clear" w:color="auto" w:fill="auto"/>
            <w:hideMark/>
          </w:tcPr>
          <w:p w14:paraId="360BDB19" w14:textId="77777777" w:rsidR="00465964" w:rsidRPr="00465964" w:rsidRDefault="00465964" w:rsidP="00465964">
            <w:pPr>
              <w:rPr>
                <w:lang w:val="pt-PT"/>
              </w:rPr>
            </w:pPr>
            <w:r w:rsidRPr="00465964">
              <w:rPr>
                <w:lang w:val="pt-PT"/>
              </w:rPr>
              <w:t>Pelo menos 30 % dos fundos recebidos estão sempre depositados em contas separadas junto de instituições de crédito;</w:t>
            </w:r>
          </w:p>
        </w:tc>
      </w:tr>
    </w:tbl>
    <w:p w14:paraId="79B75212"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8"/>
        <w:gridCol w:w="8838"/>
      </w:tblGrid>
      <w:tr w:rsidR="00465964" w:rsidRPr="00465964" w14:paraId="63052F9A" w14:textId="77777777" w:rsidTr="00465964">
        <w:tc>
          <w:tcPr>
            <w:tcW w:w="0" w:type="auto"/>
            <w:shd w:val="clear" w:color="auto" w:fill="auto"/>
            <w:hideMark/>
          </w:tcPr>
          <w:p w14:paraId="08D46F42" w14:textId="77777777" w:rsidR="00465964" w:rsidRPr="00465964" w:rsidRDefault="00465964" w:rsidP="00465964">
            <w:r w:rsidRPr="00465964">
              <w:t>b)</w:t>
            </w:r>
          </w:p>
        </w:tc>
        <w:tc>
          <w:tcPr>
            <w:tcW w:w="0" w:type="auto"/>
            <w:shd w:val="clear" w:color="auto" w:fill="auto"/>
            <w:hideMark/>
          </w:tcPr>
          <w:p w14:paraId="58BCEE0C" w14:textId="77777777" w:rsidR="00465964" w:rsidRPr="00465964" w:rsidRDefault="00465964" w:rsidP="00465964">
            <w:pPr>
              <w:rPr>
                <w:lang w:val="pt-PT"/>
              </w:rPr>
            </w:pPr>
            <w:r w:rsidRPr="00465964">
              <w:rPr>
                <w:lang w:val="pt-PT"/>
              </w:rPr>
              <w:t>Os fundos recebidos remanescentes são investidos em ativos seguros e de baixo risco que sejam considerados instrumentos financeiros de elevada liquidez com risco de mercado, risco de crédito e risco de concentração mínimos, em conformidade com o artigo 38.</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xml:space="preserve"> 1, do presente regulamento, e que sejam denominados na mesma moeda oficial que a referenciada pela </w:t>
            </w:r>
            <w:proofErr w:type="spellStart"/>
            <w:r w:rsidRPr="00465964">
              <w:rPr>
                <w:lang w:val="pt-PT"/>
              </w:rPr>
              <w:t>criptoficha</w:t>
            </w:r>
            <w:proofErr w:type="spellEnd"/>
            <w:r w:rsidRPr="00465964">
              <w:rPr>
                <w:lang w:val="pt-PT"/>
              </w:rPr>
              <w:t xml:space="preserve"> de moeda eletrónica.</w:t>
            </w:r>
          </w:p>
        </w:tc>
      </w:tr>
    </w:tbl>
    <w:p w14:paraId="590020B4" w14:textId="77777777" w:rsidR="00465964" w:rsidRPr="00465964" w:rsidRDefault="00465964" w:rsidP="00465964">
      <w:pPr>
        <w:rPr>
          <w:i/>
          <w:iCs/>
          <w:lang w:val="pt-PT"/>
        </w:rPr>
      </w:pPr>
      <w:r w:rsidRPr="00465964">
        <w:rPr>
          <w:i/>
          <w:iCs/>
          <w:lang w:val="pt-PT"/>
        </w:rPr>
        <w:t>Artigo 55.</w:t>
      </w:r>
      <w:r w:rsidRPr="00465964">
        <w:rPr>
          <w:i/>
          <w:iCs/>
          <w:vertAlign w:val="superscript"/>
          <w:lang w:val="pt-PT"/>
        </w:rPr>
        <w:t>o</w:t>
      </w:r>
    </w:p>
    <w:p w14:paraId="74F37998" w14:textId="77777777" w:rsidR="00465964" w:rsidRPr="00465964" w:rsidRDefault="00465964" w:rsidP="00465964">
      <w:pPr>
        <w:rPr>
          <w:b/>
          <w:bCs/>
          <w:lang w:val="pt-PT"/>
        </w:rPr>
      </w:pPr>
      <w:r w:rsidRPr="00465964">
        <w:rPr>
          <w:b/>
          <w:bCs/>
          <w:lang w:val="pt-PT"/>
        </w:rPr>
        <w:t>Planos de recuperação e de reembolso</w:t>
      </w:r>
    </w:p>
    <w:p w14:paraId="3B8CC51D" w14:textId="5AD6BDE0" w:rsidR="00465964" w:rsidRPr="00465964" w:rsidRDefault="00465964" w:rsidP="00465964">
      <w:pPr>
        <w:rPr>
          <w:lang w:val="pt-PT"/>
        </w:rPr>
      </w:pPr>
      <w:r w:rsidRPr="00465964">
        <w:rPr>
          <w:lang w:val="pt-PT"/>
        </w:rPr>
        <w:t xml:space="preserve">O capítulo 6 do título III aplica-se, com as devidas adaptações, aos emitentes de </w:t>
      </w:r>
      <w:r>
        <w:rPr>
          <w:lang w:val="pt-PT"/>
        </w:rPr>
        <w:t>criptomoedas</w:t>
      </w:r>
      <w:r w:rsidRPr="00465964">
        <w:rPr>
          <w:lang w:val="pt-PT"/>
        </w:rPr>
        <w:t xml:space="preserve"> de moeda eletrónica.</w:t>
      </w:r>
    </w:p>
    <w:p w14:paraId="2272BDFB" w14:textId="425B4116" w:rsidR="00465964" w:rsidRPr="00465964" w:rsidRDefault="00465964" w:rsidP="00465964">
      <w:pPr>
        <w:rPr>
          <w:lang w:val="pt-PT"/>
        </w:rPr>
      </w:pPr>
      <w:r w:rsidRPr="00465964">
        <w:rPr>
          <w:lang w:val="pt-PT"/>
        </w:rPr>
        <w:t>Em derrogação do disposto no artigo 46.</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xml:space="preserve"> 2, a data até à qual o plano de recuperação deve ser notificado à autoridade competente deve, no que diz respeito aos emitentes de </w:t>
      </w:r>
      <w:r>
        <w:rPr>
          <w:lang w:val="pt-PT"/>
        </w:rPr>
        <w:t>criptomoedas</w:t>
      </w:r>
      <w:r w:rsidRPr="00465964">
        <w:rPr>
          <w:lang w:val="pt-PT"/>
        </w:rPr>
        <w:t xml:space="preserve"> de moeda eletrónica, ocorrer no prazo de seis meses a contar da data da oferta pública ou da admissão à negociação.</w:t>
      </w:r>
    </w:p>
    <w:p w14:paraId="26EF14DC" w14:textId="4D19F7D4" w:rsidR="00465964" w:rsidRPr="00465964" w:rsidRDefault="00465964" w:rsidP="00465964">
      <w:pPr>
        <w:rPr>
          <w:lang w:val="pt-PT"/>
        </w:rPr>
      </w:pPr>
      <w:r w:rsidRPr="00465964">
        <w:rPr>
          <w:lang w:val="pt-PT"/>
        </w:rPr>
        <w:t>Em derrogação do disposto no artigo 47.</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xml:space="preserve"> 3, a data até à qual o plano de reembolso deve ser notificado à autoridade competente deve, no que diz respeito aos emitentes de </w:t>
      </w:r>
      <w:r>
        <w:rPr>
          <w:lang w:val="pt-PT"/>
        </w:rPr>
        <w:t>criptomoedas</w:t>
      </w:r>
      <w:r w:rsidRPr="00465964">
        <w:rPr>
          <w:lang w:val="pt-PT"/>
        </w:rPr>
        <w:t xml:space="preserve"> de moeda eletrónica, ocorrer no prazo de seis meses a contar da data da oferta pública ou da admissão à negociação.</w:t>
      </w:r>
    </w:p>
    <w:p w14:paraId="3D000B1F" w14:textId="77777777" w:rsidR="00465964" w:rsidRPr="00465964" w:rsidRDefault="00465964" w:rsidP="00465964">
      <w:pPr>
        <w:rPr>
          <w:b/>
          <w:bCs/>
          <w:lang w:val="pt-PT"/>
        </w:rPr>
      </w:pPr>
      <w:r w:rsidRPr="00465964">
        <w:rPr>
          <w:b/>
          <w:bCs/>
          <w:i/>
          <w:iCs/>
          <w:lang w:val="pt-PT"/>
        </w:rPr>
        <w:t>CAPÍTULO 2</w:t>
      </w:r>
    </w:p>
    <w:p w14:paraId="45B77DE0" w14:textId="1578908C" w:rsidR="00465964" w:rsidRPr="00465964" w:rsidRDefault="00465964" w:rsidP="00465964">
      <w:pPr>
        <w:rPr>
          <w:b/>
          <w:bCs/>
          <w:lang w:val="pt-PT"/>
        </w:rPr>
      </w:pPr>
      <w:r>
        <w:rPr>
          <w:b/>
          <w:bCs/>
          <w:i/>
          <w:iCs/>
          <w:lang w:val="pt-PT"/>
        </w:rPr>
        <w:t>Criptomoedas</w:t>
      </w:r>
      <w:r w:rsidRPr="00465964">
        <w:rPr>
          <w:b/>
          <w:bCs/>
          <w:i/>
          <w:iCs/>
          <w:lang w:val="pt-PT"/>
        </w:rPr>
        <w:t xml:space="preserve"> de moeda eletrónica significativas</w:t>
      </w:r>
    </w:p>
    <w:p w14:paraId="2B64DD82" w14:textId="77777777" w:rsidR="00465964" w:rsidRPr="00465964" w:rsidRDefault="00465964" w:rsidP="00465964">
      <w:pPr>
        <w:rPr>
          <w:i/>
          <w:iCs/>
          <w:lang w:val="pt-PT"/>
        </w:rPr>
      </w:pPr>
      <w:r w:rsidRPr="00465964">
        <w:rPr>
          <w:i/>
          <w:iCs/>
          <w:lang w:val="pt-PT"/>
        </w:rPr>
        <w:t>Artigo 56.</w:t>
      </w:r>
      <w:r w:rsidRPr="00465964">
        <w:rPr>
          <w:i/>
          <w:iCs/>
          <w:vertAlign w:val="superscript"/>
          <w:lang w:val="pt-PT"/>
        </w:rPr>
        <w:t>o</w:t>
      </w:r>
    </w:p>
    <w:p w14:paraId="5792839D" w14:textId="4536EE80" w:rsidR="00465964" w:rsidRPr="00465964" w:rsidRDefault="00465964" w:rsidP="00465964">
      <w:pPr>
        <w:rPr>
          <w:b/>
          <w:bCs/>
          <w:lang w:val="pt-PT"/>
        </w:rPr>
      </w:pPr>
      <w:r w:rsidRPr="00465964">
        <w:rPr>
          <w:b/>
          <w:bCs/>
          <w:lang w:val="pt-PT"/>
        </w:rPr>
        <w:t xml:space="preserve">Classificação de </w:t>
      </w:r>
      <w:r>
        <w:rPr>
          <w:b/>
          <w:bCs/>
          <w:lang w:val="pt-PT"/>
        </w:rPr>
        <w:t>criptomoedas</w:t>
      </w:r>
      <w:r w:rsidRPr="00465964">
        <w:rPr>
          <w:b/>
          <w:bCs/>
          <w:lang w:val="pt-PT"/>
        </w:rPr>
        <w:t xml:space="preserve"> de moeda eletrónica como significativas</w:t>
      </w:r>
    </w:p>
    <w:p w14:paraId="2AD01180" w14:textId="1024A9A5" w:rsidR="00465964" w:rsidRPr="00465964" w:rsidRDefault="00465964" w:rsidP="00465964">
      <w:pPr>
        <w:rPr>
          <w:lang w:val="pt-PT"/>
        </w:rPr>
      </w:pPr>
      <w:r w:rsidRPr="00465964">
        <w:rPr>
          <w:lang w:val="pt-PT"/>
        </w:rPr>
        <w:t xml:space="preserve">1.   A EBA classifica </w:t>
      </w:r>
      <w:r>
        <w:rPr>
          <w:lang w:val="pt-PT"/>
        </w:rPr>
        <w:t>criptomoedas</w:t>
      </w:r>
      <w:r w:rsidRPr="00465964">
        <w:rPr>
          <w:lang w:val="pt-PT"/>
        </w:rPr>
        <w:t xml:space="preserve"> de moeda eletrónica como </w:t>
      </w:r>
      <w:r>
        <w:rPr>
          <w:lang w:val="pt-PT"/>
        </w:rPr>
        <w:t>criptomoedas</w:t>
      </w:r>
      <w:r w:rsidRPr="00465964">
        <w:rPr>
          <w:lang w:val="pt-PT"/>
        </w:rPr>
        <w:t xml:space="preserve"> de moeda eletrónica significativas quando pelo menos três dos critérios previstos no artigo 43.</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1, estiverem preenchidos:</w:t>
      </w:r>
    </w:p>
    <w:tbl>
      <w:tblPr>
        <w:tblW w:w="5000" w:type="pct"/>
        <w:tblCellMar>
          <w:left w:w="0" w:type="dxa"/>
          <w:right w:w="0" w:type="dxa"/>
        </w:tblCellMar>
        <w:tblLook w:val="04A0" w:firstRow="1" w:lastRow="0" w:firstColumn="1" w:lastColumn="0" w:noHBand="0" w:noVBand="1"/>
      </w:tblPr>
      <w:tblGrid>
        <w:gridCol w:w="182"/>
        <w:gridCol w:w="8844"/>
      </w:tblGrid>
      <w:tr w:rsidR="00465964" w:rsidRPr="00465964" w14:paraId="5B773852" w14:textId="77777777" w:rsidTr="00465964">
        <w:tc>
          <w:tcPr>
            <w:tcW w:w="0" w:type="auto"/>
            <w:shd w:val="clear" w:color="auto" w:fill="auto"/>
            <w:hideMark/>
          </w:tcPr>
          <w:p w14:paraId="0B3C31D2" w14:textId="77777777" w:rsidR="00465964" w:rsidRPr="00465964" w:rsidRDefault="00465964" w:rsidP="00465964">
            <w:r w:rsidRPr="00465964">
              <w:t>a)</w:t>
            </w:r>
          </w:p>
        </w:tc>
        <w:tc>
          <w:tcPr>
            <w:tcW w:w="0" w:type="auto"/>
            <w:shd w:val="clear" w:color="auto" w:fill="auto"/>
            <w:hideMark/>
          </w:tcPr>
          <w:p w14:paraId="1F50025C" w14:textId="59B36D14" w:rsidR="00465964" w:rsidRPr="00465964" w:rsidRDefault="00465964" w:rsidP="00465964">
            <w:pPr>
              <w:rPr>
                <w:lang w:val="pt-PT"/>
              </w:rPr>
            </w:pPr>
            <w:r w:rsidRPr="00465964">
              <w:rPr>
                <w:lang w:val="pt-PT"/>
              </w:rPr>
              <w:t xml:space="preserve">Durante o período abrangido pela primeira comunicação de informação a que se refere o </w:t>
            </w:r>
            <w:proofErr w:type="spellStart"/>
            <w:r w:rsidRPr="00465964">
              <w:rPr>
                <w:lang w:val="pt-PT"/>
              </w:rPr>
              <w:t>n.</w:t>
            </w:r>
            <w:r w:rsidRPr="00465964">
              <w:rPr>
                <w:vertAlign w:val="superscript"/>
                <w:lang w:val="pt-PT"/>
              </w:rPr>
              <w:t>o</w:t>
            </w:r>
            <w:proofErr w:type="spellEnd"/>
            <w:r w:rsidRPr="00465964">
              <w:rPr>
                <w:lang w:val="pt-PT"/>
              </w:rPr>
              <w:t xml:space="preserve"> 3 do presente artigo após a oferta pública ou o pedido de admissão à negociação dessas </w:t>
            </w:r>
            <w:r>
              <w:rPr>
                <w:lang w:val="pt-PT"/>
              </w:rPr>
              <w:t>criptomoedas</w:t>
            </w:r>
            <w:r w:rsidRPr="00465964">
              <w:rPr>
                <w:lang w:val="pt-PT"/>
              </w:rPr>
              <w:t>; ou</w:t>
            </w:r>
          </w:p>
        </w:tc>
      </w:tr>
    </w:tbl>
    <w:p w14:paraId="07B884C6"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8"/>
        <w:gridCol w:w="8838"/>
      </w:tblGrid>
      <w:tr w:rsidR="00465964" w:rsidRPr="00465964" w14:paraId="216EA67C" w14:textId="77777777" w:rsidTr="00465964">
        <w:tc>
          <w:tcPr>
            <w:tcW w:w="0" w:type="auto"/>
            <w:shd w:val="clear" w:color="auto" w:fill="auto"/>
            <w:hideMark/>
          </w:tcPr>
          <w:p w14:paraId="4CCA5162" w14:textId="77777777" w:rsidR="00465964" w:rsidRPr="00465964" w:rsidRDefault="00465964" w:rsidP="00465964">
            <w:r w:rsidRPr="00465964">
              <w:t>b)</w:t>
            </w:r>
          </w:p>
        </w:tc>
        <w:tc>
          <w:tcPr>
            <w:tcW w:w="0" w:type="auto"/>
            <w:shd w:val="clear" w:color="auto" w:fill="auto"/>
            <w:hideMark/>
          </w:tcPr>
          <w:p w14:paraId="08A0F1F3" w14:textId="77777777" w:rsidR="00465964" w:rsidRPr="00465964" w:rsidRDefault="00465964" w:rsidP="00465964">
            <w:pPr>
              <w:rPr>
                <w:lang w:val="pt-PT"/>
              </w:rPr>
            </w:pPr>
            <w:r w:rsidRPr="00465964">
              <w:rPr>
                <w:lang w:val="pt-PT"/>
              </w:rPr>
              <w:t xml:space="preserve">Durante o período abrangido por pelo menos duas comunicações de informação consecutivas a que se refere o </w:t>
            </w:r>
            <w:proofErr w:type="spellStart"/>
            <w:r w:rsidRPr="00465964">
              <w:rPr>
                <w:lang w:val="pt-PT"/>
              </w:rPr>
              <w:t>n.</w:t>
            </w:r>
            <w:r w:rsidRPr="00465964">
              <w:rPr>
                <w:vertAlign w:val="superscript"/>
                <w:lang w:val="pt-PT"/>
              </w:rPr>
              <w:t>o</w:t>
            </w:r>
            <w:proofErr w:type="spellEnd"/>
            <w:r w:rsidRPr="00465964">
              <w:rPr>
                <w:lang w:val="pt-PT"/>
              </w:rPr>
              <w:t> 3 do presente artigo.</w:t>
            </w:r>
          </w:p>
        </w:tc>
      </w:tr>
    </w:tbl>
    <w:p w14:paraId="2CF5A728" w14:textId="77777777" w:rsidR="00465964" w:rsidRPr="00465964" w:rsidRDefault="00465964" w:rsidP="00465964">
      <w:pPr>
        <w:rPr>
          <w:lang w:val="pt-PT"/>
        </w:rPr>
      </w:pPr>
      <w:r w:rsidRPr="00465964">
        <w:rPr>
          <w:lang w:val="pt-PT"/>
        </w:rPr>
        <w:t xml:space="preserve">2.   Caso vários emitentes emitam a mesma </w:t>
      </w:r>
      <w:proofErr w:type="spellStart"/>
      <w:r w:rsidRPr="00465964">
        <w:rPr>
          <w:lang w:val="pt-PT"/>
        </w:rPr>
        <w:t>criptoficha</w:t>
      </w:r>
      <w:proofErr w:type="spellEnd"/>
      <w:r w:rsidRPr="00465964">
        <w:rPr>
          <w:lang w:val="pt-PT"/>
        </w:rPr>
        <w:t xml:space="preserve"> de moeda eletrónica, o preenchimento dos critérios previstos no artigo 43.</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1, é avaliado após agregação dos dados de todos esses emitentes.</w:t>
      </w:r>
    </w:p>
    <w:p w14:paraId="671A87A4" w14:textId="77777777" w:rsidR="00465964" w:rsidRPr="00465964" w:rsidRDefault="00465964" w:rsidP="00465964">
      <w:pPr>
        <w:rPr>
          <w:lang w:val="pt-PT"/>
        </w:rPr>
      </w:pPr>
      <w:r w:rsidRPr="00465964">
        <w:rPr>
          <w:lang w:val="pt-PT"/>
        </w:rPr>
        <w:t>3.   As autoridades competentes do Estado-Membro de origem do emitente comunicam à EBA e ao BCE as informações relevantes para a avaliação do preenchimento dos critérios previstos no artigo 43.</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1, incluindo, se aplicável, as informações recebidas ao abrigo do artigo 22.</w:t>
      </w:r>
      <w:r w:rsidRPr="00465964">
        <w:rPr>
          <w:vertAlign w:val="superscript"/>
          <w:lang w:val="pt-PT"/>
        </w:rPr>
        <w:t>o</w:t>
      </w:r>
      <w:r w:rsidRPr="00465964">
        <w:rPr>
          <w:lang w:val="pt-PT"/>
        </w:rPr>
        <w:t>, pelo menos duas vezes por ano.</w:t>
      </w:r>
    </w:p>
    <w:p w14:paraId="7FD27DCF" w14:textId="77777777" w:rsidR="00465964" w:rsidRPr="00465964" w:rsidRDefault="00465964" w:rsidP="00465964">
      <w:pPr>
        <w:rPr>
          <w:lang w:val="pt-PT"/>
        </w:rPr>
      </w:pPr>
      <w:r w:rsidRPr="00465964">
        <w:rPr>
          <w:lang w:val="pt-PT"/>
        </w:rPr>
        <w:lastRenderedPageBreak/>
        <w:t xml:space="preserve">Se o emitente estiver estabelecido num Estado-Membro cuja moeda oficial não seja o euro, ou se uma moeda oficial de um Estado-Membro que não seja o euro for referenciada pela </w:t>
      </w:r>
      <w:proofErr w:type="spellStart"/>
      <w:r w:rsidRPr="00465964">
        <w:rPr>
          <w:lang w:val="pt-PT"/>
        </w:rPr>
        <w:t>criptoficha</w:t>
      </w:r>
      <w:proofErr w:type="spellEnd"/>
      <w:r w:rsidRPr="00465964">
        <w:rPr>
          <w:lang w:val="pt-PT"/>
        </w:rPr>
        <w:t xml:space="preserve"> de moeda eletrónica, as autoridades competentes também transmitem as informações a que se refere o primeiro parágrafo ao banco central do Estado-Membro em causa.</w:t>
      </w:r>
    </w:p>
    <w:p w14:paraId="4931693B" w14:textId="77777777" w:rsidR="00465964" w:rsidRPr="00465964" w:rsidRDefault="00465964" w:rsidP="00465964">
      <w:pPr>
        <w:rPr>
          <w:lang w:val="pt-PT"/>
        </w:rPr>
      </w:pPr>
      <w:r w:rsidRPr="00465964">
        <w:rPr>
          <w:lang w:val="pt-PT"/>
        </w:rPr>
        <w:t xml:space="preserve">4.   Caso a EBA conclua que uma </w:t>
      </w:r>
      <w:proofErr w:type="spellStart"/>
      <w:r w:rsidRPr="00465964">
        <w:rPr>
          <w:lang w:val="pt-PT"/>
        </w:rPr>
        <w:t>criptoficha</w:t>
      </w:r>
      <w:proofErr w:type="spellEnd"/>
      <w:r w:rsidRPr="00465964">
        <w:rPr>
          <w:lang w:val="pt-PT"/>
        </w:rPr>
        <w:t xml:space="preserve"> de moeda eletrónica preenche os critérios estabelecidos no artigo 43.</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xml:space="preserve"> 1, em conformidade com o </w:t>
      </w:r>
      <w:proofErr w:type="spellStart"/>
      <w:r w:rsidRPr="00465964">
        <w:rPr>
          <w:lang w:val="pt-PT"/>
        </w:rPr>
        <w:t>n.</w:t>
      </w:r>
      <w:r w:rsidRPr="00465964">
        <w:rPr>
          <w:vertAlign w:val="superscript"/>
          <w:lang w:val="pt-PT"/>
        </w:rPr>
        <w:t>o</w:t>
      </w:r>
      <w:proofErr w:type="spellEnd"/>
      <w:r w:rsidRPr="00465964">
        <w:rPr>
          <w:lang w:val="pt-PT"/>
        </w:rPr>
        <w:t xml:space="preserve"> 1 do presente artigo, prepara um projeto de decisão para classificar a </w:t>
      </w:r>
      <w:proofErr w:type="spellStart"/>
      <w:r w:rsidRPr="00465964">
        <w:rPr>
          <w:lang w:val="pt-PT"/>
        </w:rPr>
        <w:t>criptoficha</w:t>
      </w:r>
      <w:proofErr w:type="spellEnd"/>
      <w:r w:rsidRPr="00465964">
        <w:rPr>
          <w:lang w:val="pt-PT"/>
        </w:rPr>
        <w:t xml:space="preserve"> de moeda eletrónica como significativa e notifica esse projeto de decisão ao emitente da </w:t>
      </w:r>
      <w:proofErr w:type="spellStart"/>
      <w:r w:rsidRPr="00465964">
        <w:rPr>
          <w:lang w:val="pt-PT"/>
        </w:rPr>
        <w:t>criptoficha</w:t>
      </w:r>
      <w:proofErr w:type="spellEnd"/>
      <w:r w:rsidRPr="00465964">
        <w:rPr>
          <w:lang w:val="pt-PT"/>
        </w:rPr>
        <w:t xml:space="preserve"> de moeda eletrónica, à autoridade competente do Estado-Membro de origem do emitente, ao BCE e, nos casos referidos no </w:t>
      </w:r>
      <w:proofErr w:type="spellStart"/>
      <w:r w:rsidRPr="00465964">
        <w:rPr>
          <w:lang w:val="pt-PT"/>
        </w:rPr>
        <w:t>n.</w:t>
      </w:r>
      <w:r w:rsidRPr="00465964">
        <w:rPr>
          <w:vertAlign w:val="superscript"/>
          <w:lang w:val="pt-PT"/>
        </w:rPr>
        <w:t>o</w:t>
      </w:r>
      <w:proofErr w:type="spellEnd"/>
      <w:r w:rsidRPr="00465964">
        <w:rPr>
          <w:lang w:val="pt-PT"/>
        </w:rPr>
        <w:t> 3, segundo parágrafo, do presente artigo, ao banco central do Estado-Membro em causa.</w:t>
      </w:r>
    </w:p>
    <w:p w14:paraId="079EE02B" w14:textId="02D54250" w:rsidR="00465964" w:rsidRPr="00465964" w:rsidRDefault="00465964" w:rsidP="00465964">
      <w:pPr>
        <w:rPr>
          <w:lang w:val="pt-PT"/>
        </w:rPr>
      </w:pPr>
      <w:r w:rsidRPr="00465964">
        <w:rPr>
          <w:lang w:val="pt-PT"/>
        </w:rPr>
        <w:t xml:space="preserve">Os emitentes dessas </w:t>
      </w:r>
      <w:r>
        <w:rPr>
          <w:lang w:val="pt-PT"/>
        </w:rPr>
        <w:t>criptomoedas</w:t>
      </w:r>
      <w:r w:rsidRPr="00465964">
        <w:rPr>
          <w:lang w:val="pt-PT"/>
        </w:rPr>
        <w:t xml:space="preserve"> de moeda eletrónica, as respetivas autoridades competentes, o BCE e, quando aplicável, o banco central do Estado-Membro em causa dispõem de 20 dias úteis a contar da data de notificação do projeto de decisão para apresentarem, por escrito, as suas observações e comentários. A EBA deve ter devidamente em conta essas observações e comentários antes de tomar uma decisão final.</w:t>
      </w:r>
    </w:p>
    <w:p w14:paraId="750A7C07" w14:textId="77777777" w:rsidR="00465964" w:rsidRPr="00465964" w:rsidRDefault="00465964" w:rsidP="00465964">
      <w:pPr>
        <w:rPr>
          <w:lang w:val="pt-PT"/>
        </w:rPr>
      </w:pPr>
      <w:r w:rsidRPr="00465964">
        <w:rPr>
          <w:lang w:val="pt-PT"/>
        </w:rPr>
        <w:t xml:space="preserve">5.   A EBA toma a sua decisão final sobre se uma </w:t>
      </w:r>
      <w:proofErr w:type="spellStart"/>
      <w:r w:rsidRPr="00465964">
        <w:rPr>
          <w:lang w:val="pt-PT"/>
        </w:rPr>
        <w:t>criptoficha</w:t>
      </w:r>
      <w:proofErr w:type="spellEnd"/>
      <w:r w:rsidRPr="00465964">
        <w:rPr>
          <w:lang w:val="pt-PT"/>
        </w:rPr>
        <w:t xml:space="preserve"> de moeda eletrónica deve ser classificada como significativa no prazo de 60 dias úteis a contar da data de notificação a que se refere o </w:t>
      </w:r>
      <w:proofErr w:type="spellStart"/>
      <w:r w:rsidRPr="00465964">
        <w:rPr>
          <w:lang w:val="pt-PT"/>
        </w:rPr>
        <w:t>n.</w:t>
      </w:r>
      <w:r w:rsidRPr="00465964">
        <w:rPr>
          <w:vertAlign w:val="superscript"/>
          <w:lang w:val="pt-PT"/>
        </w:rPr>
        <w:t>o</w:t>
      </w:r>
      <w:proofErr w:type="spellEnd"/>
      <w:r w:rsidRPr="00465964">
        <w:rPr>
          <w:lang w:val="pt-PT"/>
        </w:rPr>
        <w:t xml:space="preserve"> 4 e notifica de imediato essa decisão aos emitentes dessa </w:t>
      </w:r>
      <w:proofErr w:type="spellStart"/>
      <w:r w:rsidRPr="00465964">
        <w:rPr>
          <w:lang w:val="pt-PT"/>
        </w:rPr>
        <w:t>criptoficha</w:t>
      </w:r>
      <w:proofErr w:type="spellEnd"/>
      <w:r w:rsidRPr="00465964">
        <w:rPr>
          <w:lang w:val="pt-PT"/>
        </w:rPr>
        <w:t xml:space="preserve"> de moeda eletrónica e às respetivas autoridades competentes.</w:t>
      </w:r>
    </w:p>
    <w:p w14:paraId="2E451167" w14:textId="77777777" w:rsidR="00465964" w:rsidRPr="00465964" w:rsidRDefault="00465964" w:rsidP="00465964">
      <w:pPr>
        <w:rPr>
          <w:lang w:val="pt-PT"/>
        </w:rPr>
      </w:pPr>
      <w:r w:rsidRPr="00465964">
        <w:rPr>
          <w:lang w:val="pt-PT"/>
        </w:rPr>
        <w:t xml:space="preserve">6.   Caso uma </w:t>
      </w:r>
      <w:proofErr w:type="spellStart"/>
      <w:r w:rsidRPr="00465964">
        <w:rPr>
          <w:lang w:val="pt-PT"/>
        </w:rPr>
        <w:t>criptoficha</w:t>
      </w:r>
      <w:proofErr w:type="spellEnd"/>
      <w:r w:rsidRPr="00465964">
        <w:rPr>
          <w:lang w:val="pt-PT"/>
        </w:rPr>
        <w:t xml:space="preserve"> de moeda eletrónica tenha sido classificada como significativa nos termos de uma decisão da EBA tomada em conformidade com o </w:t>
      </w:r>
      <w:proofErr w:type="spellStart"/>
      <w:r w:rsidRPr="00465964">
        <w:rPr>
          <w:lang w:val="pt-PT"/>
        </w:rPr>
        <w:t>n.</w:t>
      </w:r>
      <w:r w:rsidRPr="00465964">
        <w:rPr>
          <w:vertAlign w:val="superscript"/>
          <w:lang w:val="pt-PT"/>
        </w:rPr>
        <w:t>o</w:t>
      </w:r>
      <w:proofErr w:type="spellEnd"/>
      <w:r w:rsidRPr="00465964">
        <w:rPr>
          <w:lang w:val="pt-PT"/>
        </w:rPr>
        <w:t xml:space="preserve"> 5, as responsabilidades de supervisão em relação ao emitente dessa </w:t>
      </w:r>
      <w:proofErr w:type="spellStart"/>
      <w:r w:rsidRPr="00465964">
        <w:rPr>
          <w:lang w:val="pt-PT"/>
        </w:rPr>
        <w:t>criptoficha</w:t>
      </w:r>
      <w:proofErr w:type="spellEnd"/>
      <w:r w:rsidRPr="00465964">
        <w:rPr>
          <w:lang w:val="pt-PT"/>
        </w:rPr>
        <w:t xml:space="preserve"> de moeda eletrónica são transferidas da autoridade competente do Estado-Membro de origem do emitente para a EBA em conformidade com o artigo 117.</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w:t>
      </w:r>
      <w:proofErr w:type="gramStart"/>
      <w:r w:rsidRPr="00465964">
        <w:rPr>
          <w:lang w:val="pt-PT"/>
        </w:rPr>
        <w:t>4.</w:t>
      </w:r>
      <w:r w:rsidRPr="00465964">
        <w:rPr>
          <w:vertAlign w:val="superscript"/>
          <w:lang w:val="pt-PT"/>
        </w:rPr>
        <w:t>o</w:t>
      </w:r>
      <w:proofErr w:type="gramEnd"/>
      <w:r w:rsidRPr="00465964">
        <w:rPr>
          <w:lang w:val="pt-PT"/>
        </w:rPr>
        <w:t>, no prazo de 20 dias úteis a contar da data de notificação dessa decisão.</w:t>
      </w:r>
    </w:p>
    <w:p w14:paraId="2AB975CF" w14:textId="77777777" w:rsidR="00465964" w:rsidRPr="00465964" w:rsidRDefault="00465964" w:rsidP="00465964">
      <w:pPr>
        <w:rPr>
          <w:lang w:val="pt-PT"/>
        </w:rPr>
      </w:pPr>
      <w:r w:rsidRPr="00465964">
        <w:rPr>
          <w:lang w:val="pt-PT"/>
        </w:rPr>
        <w:t>A EBA e a autoridade competente devem cooperar a fim de garantir uma transição harmoniosa das competências de supervisão.</w:t>
      </w:r>
    </w:p>
    <w:p w14:paraId="27E9546D" w14:textId="7954588D" w:rsidR="00465964" w:rsidRPr="00465964" w:rsidRDefault="00465964" w:rsidP="00465964">
      <w:pPr>
        <w:rPr>
          <w:lang w:val="pt-PT"/>
        </w:rPr>
      </w:pPr>
      <w:r w:rsidRPr="00465964">
        <w:rPr>
          <w:lang w:val="pt-PT"/>
        </w:rPr>
        <w:t xml:space="preserve">7.   Em derrogação do disposto no </w:t>
      </w:r>
      <w:proofErr w:type="spellStart"/>
      <w:r w:rsidRPr="00465964">
        <w:rPr>
          <w:lang w:val="pt-PT"/>
        </w:rPr>
        <w:t>n.</w:t>
      </w:r>
      <w:r w:rsidRPr="00465964">
        <w:rPr>
          <w:vertAlign w:val="superscript"/>
          <w:lang w:val="pt-PT"/>
        </w:rPr>
        <w:t>o</w:t>
      </w:r>
      <w:proofErr w:type="spellEnd"/>
      <w:r w:rsidRPr="00465964">
        <w:rPr>
          <w:lang w:val="pt-PT"/>
        </w:rPr>
        <w:t xml:space="preserve"> 6, não são transferidas para a EBA as responsabilidades de supervisão em relação aos emitentes de </w:t>
      </w:r>
      <w:r>
        <w:rPr>
          <w:lang w:val="pt-PT"/>
        </w:rPr>
        <w:t>criptomoedas</w:t>
      </w:r>
      <w:r w:rsidRPr="00465964">
        <w:rPr>
          <w:lang w:val="pt-PT"/>
        </w:rPr>
        <w:t xml:space="preserve"> de moeda eletrónica significativas denominadas numa moeda oficial de um Estado-Membro que não seja o euro, caso pelo menos 80 % do número de detentores e do volume de transações dessas </w:t>
      </w:r>
      <w:r>
        <w:rPr>
          <w:lang w:val="pt-PT"/>
        </w:rPr>
        <w:t>criptomoedas</w:t>
      </w:r>
      <w:r w:rsidRPr="00465964">
        <w:rPr>
          <w:lang w:val="pt-PT"/>
        </w:rPr>
        <w:t xml:space="preserve"> de moeda eletrónica significativas esteja concentrado no Estado-Membro de origem.</w:t>
      </w:r>
    </w:p>
    <w:p w14:paraId="3D58A55A" w14:textId="77777777" w:rsidR="00465964" w:rsidRPr="00465964" w:rsidRDefault="00465964" w:rsidP="00465964">
      <w:pPr>
        <w:rPr>
          <w:lang w:val="pt-PT"/>
        </w:rPr>
      </w:pPr>
      <w:r w:rsidRPr="00465964">
        <w:rPr>
          <w:lang w:val="pt-PT"/>
        </w:rPr>
        <w:t>A autoridade competente do Estado-Membro de origem do emitente faculta à EBA anualmente informações sobre todos os casos em que se aplique a derrogação a que se refere o primeiro parágrafo.</w:t>
      </w:r>
    </w:p>
    <w:p w14:paraId="0CCC39AD" w14:textId="77777777" w:rsidR="00465964" w:rsidRPr="00465964" w:rsidRDefault="00465964" w:rsidP="00465964">
      <w:pPr>
        <w:rPr>
          <w:lang w:val="pt-PT"/>
        </w:rPr>
      </w:pPr>
      <w:r w:rsidRPr="00465964">
        <w:rPr>
          <w:lang w:val="pt-PT"/>
        </w:rPr>
        <w:t>Para efeitos do primeiro parágrafo, considera-se que uma transação tem lugar no Estado-Membro de origem quando o ordenante ou o beneficiário está estabelecido no Estado-Membro em causa.</w:t>
      </w:r>
    </w:p>
    <w:p w14:paraId="11CD5C5F" w14:textId="388311CB" w:rsidR="00465964" w:rsidRPr="00465964" w:rsidRDefault="00465964" w:rsidP="00465964">
      <w:pPr>
        <w:rPr>
          <w:lang w:val="pt-PT"/>
        </w:rPr>
      </w:pPr>
      <w:r w:rsidRPr="00465964">
        <w:rPr>
          <w:lang w:val="pt-PT"/>
        </w:rPr>
        <w:t xml:space="preserve">8.   A EBA reavalia anualmente a classificação das </w:t>
      </w:r>
      <w:r>
        <w:rPr>
          <w:lang w:val="pt-PT"/>
        </w:rPr>
        <w:t>criptomoedas</w:t>
      </w:r>
      <w:r w:rsidRPr="00465964">
        <w:rPr>
          <w:lang w:val="pt-PT"/>
        </w:rPr>
        <w:t xml:space="preserve"> de moeda eletrónica significativas, com base na informação disponível, incluindo as comunicações de informação a que se refere o </w:t>
      </w:r>
      <w:proofErr w:type="spellStart"/>
      <w:r w:rsidRPr="00465964">
        <w:rPr>
          <w:lang w:val="pt-PT"/>
        </w:rPr>
        <w:t>n.</w:t>
      </w:r>
      <w:r w:rsidRPr="00465964">
        <w:rPr>
          <w:vertAlign w:val="superscript"/>
          <w:lang w:val="pt-PT"/>
        </w:rPr>
        <w:t>o</w:t>
      </w:r>
      <w:proofErr w:type="spellEnd"/>
      <w:r w:rsidRPr="00465964">
        <w:rPr>
          <w:lang w:val="pt-PT"/>
        </w:rPr>
        <w:t> 3 do presente artigo ou a informação recebida nos termos do artigo 22.</w:t>
      </w:r>
      <w:r w:rsidRPr="00465964">
        <w:rPr>
          <w:vertAlign w:val="superscript"/>
          <w:lang w:val="pt-PT"/>
        </w:rPr>
        <w:t>o</w:t>
      </w:r>
      <w:r w:rsidRPr="00465964">
        <w:rPr>
          <w:lang w:val="pt-PT"/>
        </w:rPr>
        <w:t>.</w:t>
      </w:r>
    </w:p>
    <w:p w14:paraId="0E5D56AC" w14:textId="39354327" w:rsidR="00465964" w:rsidRPr="00465964" w:rsidRDefault="00465964" w:rsidP="00465964">
      <w:pPr>
        <w:rPr>
          <w:lang w:val="pt-PT"/>
        </w:rPr>
      </w:pPr>
      <w:r w:rsidRPr="00465964">
        <w:rPr>
          <w:lang w:val="pt-PT"/>
        </w:rPr>
        <w:lastRenderedPageBreak/>
        <w:t xml:space="preserve">Caso a EBA conclua que uma determinada </w:t>
      </w:r>
      <w:proofErr w:type="spellStart"/>
      <w:r w:rsidRPr="00465964">
        <w:rPr>
          <w:lang w:val="pt-PT"/>
        </w:rPr>
        <w:t>criptoficha</w:t>
      </w:r>
      <w:proofErr w:type="spellEnd"/>
      <w:r w:rsidRPr="00465964">
        <w:rPr>
          <w:lang w:val="pt-PT"/>
        </w:rPr>
        <w:t xml:space="preserve"> de moeda eletrónica deixou de preencher os critérios estabelecidos no artigo 43.</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xml:space="preserve"> 1, nos termos do </w:t>
      </w:r>
      <w:proofErr w:type="spellStart"/>
      <w:r w:rsidRPr="00465964">
        <w:rPr>
          <w:lang w:val="pt-PT"/>
        </w:rPr>
        <w:t>n.</w:t>
      </w:r>
      <w:r w:rsidRPr="00465964">
        <w:rPr>
          <w:vertAlign w:val="superscript"/>
          <w:lang w:val="pt-PT"/>
        </w:rPr>
        <w:t>o</w:t>
      </w:r>
      <w:proofErr w:type="spellEnd"/>
      <w:r w:rsidRPr="00465964">
        <w:rPr>
          <w:lang w:val="pt-PT"/>
        </w:rPr>
        <w:t xml:space="preserve"> 1 do presente artigo, a EBA prepara um projeto de decisão para deixar de classificar a </w:t>
      </w:r>
      <w:proofErr w:type="spellStart"/>
      <w:r w:rsidRPr="00465964">
        <w:rPr>
          <w:lang w:val="pt-PT"/>
        </w:rPr>
        <w:t>criptoficha</w:t>
      </w:r>
      <w:proofErr w:type="spellEnd"/>
      <w:r w:rsidRPr="00465964">
        <w:rPr>
          <w:lang w:val="pt-PT"/>
        </w:rPr>
        <w:t xml:space="preserve"> de moeda eletrónica como significativa e notifica esse projeto de decisão aos emitentes dessas </w:t>
      </w:r>
      <w:r>
        <w:rPr>
          <w:lang w:val="pt-PT"/>
        </w:rPr>
        <w:t>criptomoedas</w:t>
      </w:r>
      <w:r w:rsidRPr="00465964">
        <w:rPr>
          <w:lang w:val="pt-PT"/>
        </w:rPr>
        <w:t xml:space="preserve"> de moeda eletrónica, à autoridade competente do Estado-Membro de origem do emitente, ao BCE e, nos casos referidos no </w:t>
      </w:r>
      <w:proofErr w:type="spellStart"/>
      <w:r w:rsidRPr="00465964">
        <w:rPr>
          <w:lang w:val="pt-PT"/>
        </w:rPr>
        <w:t>n.</w:t>
      </w:r>
      <w:r w:rsidRPr="00465964">
        <w:rPr>
          <w:vertAlign w:val="superscript"/>
          <w:lang w:val="pt-PT"/>
        </w:rPr>
        <w:t>o</w:t>
      </w:r>
      <w:proofErr w:type="spellEnd"/>
      <w:r w:rsidRPr="00465964">
        <w:rPr>
          <w:lang w:val="pt-PT"/>
        </w:rPr>
        <w:t> 3, segundo parágrafo, do presente artigo, ao banco central do Estado-Membro em causa.</w:t>
      </w:r>
    </w:p>
    <w:p w14:paraId="2DD2B3C4" w14:textId="72AEB655" w:rsidR="00465964" w:rsidRPr="00465964" w:rsidRDefault="00465964" w:rsidP="00465964">
      <w:pPr>
        <w:rPr>
          <w:lang w:val="pt-PT"/>
        </w:rPr>
      </w:pPr>
      <w:r w:rsidRPr="00465964">
        <w:rPr>
          <w:lang w:val="pt-PT"/>
        </w:rPr>
        <w:t xml:space="preserve">Os emitentes dessas </w:t>
      </w:r>
      <w:r>
        <w:rPr>
          <w:lang w:val="pt-PT"/>
        </w:rPr>
        <w:t>criptomoedas</w:t>
      </w:r>
      <w:r w:rsidRPr="00465964">
        <w:rPr>
          <w:lang w:val="pt-PT"/>
        </w:rPr>
        <w:t xml:space="preserve"> de moeda eletrónica, as respetivas autoridades competentes, o BCE e o banco central do Estado-Membro em causa dispõem de 20 dias úteis a contar da data de notificação desse projeto de decisão para apresentarem, por escrito, as suas observações e comentários. A EBA deve ter devidamente em conta essas observações e comentários antes de tomar a decisão final.</w:t>
      </w:r>
    </w:p>
    <w:p w14:paraId="07473149" w14:textId="77777777" w:rsidR="00465964" w:rsidRPr="00465964" w:rsidRDefault="00465964" w:rsidP="00465964">
      <w:pPr>
        <w:rPr>
          <w:lang w:val="pt-PT"/>
        </w:rPr>
      </w:pPr>
      <w:r w:rsidRPr="00465964">
        <w:rPr>
          <w:lang w:val="pt-PT"/>
        </w:rPr>
        <w:t xml:space="preserve">9.   A EBA toma a sua decisão final sobre se uma </w:t>
      </w:r>
      <w:proofErr w:type="spellStart"/>
      <w:r w:rsidRPr="00465964">
        <w:rPr>
          <w:lang w:val="pt-PT"/>
        </w:rPr>
        <w:t>criptoficha</w:t>
      </w:r>
      <w:proofErr w:type="spellEnd"/>
      <w:r w:rsidRPr="00465964">
        <w:rPr>
          <w:lang w:val="pt-PT"/>
        </w:rPr>
        <w:t xml:space="preserve"> de moeda eletrónica deixa de ser considerada como significativa no prazo de 60 dias úteis a contar da data de notificação a que se refere o </w:t>
      </w:r>
      <w:proofErr w:type="spellStart"/>
      <w:r w:rsidRPr="00465964">
        <w:rPr>
          <w:lang w:val="pt-PT"/>
        </w:rPr>
        <w:t>n.</w:t>
      </w:r>
      <w:r w:rsidRPr="00465964">
        <w:rPr>
          <w:vertAlign w:val="superscript"/>
          <w:lang w:val="pt-PT"/>
        </w:rPr>
        <w:t>o</w:t>
      </w:r>
      <w:proofErr w:type="spellEnd"/>
      <w:r w:rsidRPr="00465964">
        <w:rPr>
          <w:lang w:val="pt-PT"/>
        </w:rPr>
        <w:t xml:space="preserve"> 8 e notifica de imediato essa decisão ao emitente dessa </w:t>
      </w:r>
      <w:proofErr w:type="spellStart"/>
      <w:r w:rsidRPr="00465964">
        <w:rPr>
          <w:lang w:val="pt-PT"/>
        </w:rPr>
        <w:t>criptoficha</w:t>
      </w:r>
      <w:proofErr w:type="spellEnd"/>
      <w:r w:rsidRPr="00465964">
        <w:rPr>
          <w:lang w:val="pt-PT"/>
        </w:rPr>
        <w:t xml:space="preserve"> de moeda eletrónica e à respetiva autoridade competente.</w:t>
      </w:r>
    </w:p>
    <w:p w14:paraId="513A7125" w14:textId="77777777" w:rsidR="00465964" w:rsidRPr="00465964" w:rsidRDefault="00465964" w:rsidP="00465964">
      <w:pPr>
        <w:rPr>
          <w:lang w:val="pt-PT"/>
        </w:rPr>
      </w:pPr>
      <w:r w:rsidRPr="00465964">
        <w:rPr>
          <w:lang w:val="pt-PT"/>
        </w:rPr>
        <w:t xml:space="preserve">10.   Caso uma </w:t>
      </w:r>
      <w:proofErr w:type="spellStart"/>
      <w:r w:rsidRPr="00465964">
        <w:rPr>
          <w:lang w:val="pt-PT"/>
        </w:rPr>
        <w:t>criptoficha</w:t>
      </w:r>
      <w:proofErr w:type="spellEnd"/>
      <w:r w:rsidRPr="00465964">
        <w:rPr>
          <w:lang w:val="pt-PT"/>
        </w:rPr>
        <w:t xml:space="preserve"> de moeda eletrónica deixe de ser classificada como significativa nos termos de uma decisão da EBA tomada em conformidade com o </w:t>
      </w:r>
      <w:proofErr w:type="spellStart"/>
      <w:r w:rsidRPr="00465964">
        <w:rPr>
          <w:lang w:val="pt-PT"/>
        </w:rPr>
        <w:t>n.</w:t>
      </w:r>
      <w:r w:rsidRPr="00465964">
        <w:rPr>
          <w:vertAlign w:val="superscript"/>
          <w:lang w:val="pt-PT"/>
        </w:rPr>
        <w:t>o</w:t>
      </w:r>
      <w:proofErr w:type="spellEnd"/>
      <w:r w:rsidRPr="00465964">
        <w:rPr>
          <w:lang w:val="pt-PT"/>
        </w:rPr>
        <w:t xml:space="preserve"> 9, as responsabilidades de supervisão em relação ao emitente dessa </w:t>
      </w:r>
      <w:proofErr w:type="spellStart"/>
      <w:r w:rsidRPr="00465964">
        <w:rPr>
          <w:lang w:val="pt-PT"/>
        </w:rPr>
        <w:t>criptoficha</w:t>
      </w:r>
      <w:proofErr w:type="spellEnd"/>
      <w:r w:rsidRPr="00465964">
        <w:rPr>
          <w:lang w:val="pt-PT"/>
        </w:rPr>
        <w:t xml:space="preserve"> de moeda eletrónica são transferidas da EBA para a autoridade competente do Estado-Membro de origem do emitente no prazo de 20 dias úteis a contar da data de notificação dessa decisão.</w:t>
      </w:r>
    </w:p>
    <w:p w14:paraId="4A13780D" w14:textId="77777777" w:rsidR="00465964" w:rsidRPr="00465964" w:rsidRDefault="00465964" w:rsidP="00465964">
      <w:pPr>
        <w:rPr>
          <w:lang w:val="pt-PT"/>
        </w:rPr>
      </w:pPr>
      <w:r w:rsidRPr="00465964">
        <w:rPr>
          <w:lang w:val="pt-PT"/>
        </w:rPr>
        <w:t>A EBA e a autoridade competente devem cooperar a fim de assegurar a transição harmoniosa das competências de supervisão.</w:t>
      </w:r>
    </w:p>
    <w:p w14:paraId="67F15BDE" w14:textId="77777777" w:rsidR="00465964" w:rsidRPr="00465964" w:rsidRDefault="00465964" w:rsidP="00465964">
      <w:pPr>
        <w:rPr>
          <w:i/>
          <w:iCs/>
          <w:lang w:val="pt-PT"/>
        </w:rPr>
      </w:pPr>
      <w:r w:rsidRPr="00465964">
        <w:rPr>
          <w:i/>
          <w:iCs/>
          <w:lang w:val="pt-PT"/>
        </w:rPr>
        <w:t>Artigo 57.</w:t>
      </w:r>
      <w:r w:rsidRPr="00465964">
        <w:rPr>
          <w:i/>
          <w:iCs/>
          <w:vertAlign w:val="superscript"/>
          <w:lang w:val="pt-PT"/>
        </w:rPr>
        <w:t>o</w:t>
      </w:r>
    </w:p>
    <w:p w14:paraId="315E48FD" w14:textId="17CE9D45" w:rsidR="00465964" w:rsidRPr="00465964" w:rsidRDefault="00465964" w:rsidP="00465964">
      <w:pPr>
        <w:rPr>
          <w:b/>
          <w:bCs/>
          <w:lang w:val="pt-PT"/>
        </w:rPr>
      </w:pPr>
      <w:r w:rsidRPr="00465964">
        <w:rPr>
          <w:b/>
          <w:bCs/>
          <w:lang w:val="pt-PT"/>
        </w:rPr>
        <w:t xml:space="preserve">Classificação voluntária de </w:t>
      </w:r>
      <w:r>
        <w:rPr>
          <w:b/>
          <w:bCs/>
          <w:lang w:val="pt-PT"/>
        </w:rPr>
        <w:t>criptomoedas</w:t>
      </w:r>
      <w:r w:rsidRPr="00465964">
        <w:rPr>
          <w:b/>
          <w:bCs/>
          <w:lang w:val="pt-PT"/>
        </w:rPr>
        <w:t xml:space="preserve"> de moeda eletrónica como significativas</w:t>
      </w:r>
    </w:p>
    <w:p w14:paraId="0922D6A0" w14:textId="77777777" w:rsidR="00465964" w:rsidRPr="00465964" w:rsidRDefault="00465964" w:rsidP="00465964">
      <w:pPr>
        <w:rPr>
          <w:lang w:val="pt-PT"/>
        </w:rPr>
      </w:pPr>
      <w:r w:rsidRPr="00465964">
        <w:rPr>
          <w:lang w:val="pt-PT"/>
        </w:rPr>
        <w:t xml:space="preserve">1.   Um emitente de uma </w:t>
      </w:r>
      <w:proofErr w:type="spellStart"/>
      <w:r w:rsidRPr="00465964">
        <w:rPr>
          <w:lang w:val="pt-PT"/>
        </w:rPr>
        <w:t>criptoficha</w:t>
      </w:r>
      <w:proofErr w:type="spellEnd"/>
      <w:r w:rsidRPr="00465964">
        <w:rPr>
          <w:lang w:val="pt-PT"/>
        </w:rPr>
        <w:t xml:space="preserve"> de moeda eletrónica, autorizado enquanto instituição de crédito ou instituição de moeda eletrónica, ou que solicite essa autorização, pode indicar que pretende classificar a respetiva </w:t>
      </w:r>
      <w:proofErr w:type="spellStart"/>
      <w:r w:rsidRPr="00465964">
        <w:rPr>
          <w:lang w:val="pt-PT"/>
        </w:rPr>
        <w:t>criptoficha</w:t>
      </w:r>
      <w:proofErr w:type="spellEnd"/>
      <w:r w:rsidRPr="00465964">
        <w:rPr>
          <w:lang w:val="pt-PT"/>
        </w:rPr>
        <w:t xml:space="preserve"> de moeda eletrónica como significativa. Nesse caso, a autoridade competente deve notificar de imediato a EBA, o BCE e, nos casos referidos no artigo 56.</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3, segundo parágrafo, o banco central do Estado-Membro em causa de um tal pedido.</w:t>
      </w:r>
    </w:p>
    <w:p w14:paraId="18905AE5" w14:textId="77777777" w:rsidR="00465964" w:rsidRPr="00465964" w:rsidRDefault="00465964" w:rsidP="00465964">
      <w:pPr>
        <w:rPr>
          <w:lang w:val="pt-PT"/>
        </w:rPr>
      </w:pPr>
      <w:r w:rsidRPr="00465964">
        <w:rPr>
          <w:lang w:val="pt-PT"/>
        </w:rPr>
        <w:t xml:space="preserve">Para que a </w:t>
      </w:r>
      <w:proofErr w:type="spellStart"/>
      <w:r w:rsidRPr="00465964">
        <w:rPr>
          <w:lang w:val="pt-PT"/>
        </w:rPr>
        <w:t>criptoficha</w:t>
      </w:r>
      <w:proofErr w:type="spellEnd"/>
      <w:r w:rsidRPr="00465964">
        <w:rPr>
          <w:lang w:val="pt-PT"/>
        </w:rPr>
        <w:t xml:space="preserve"> de moeda eletrónica seja classificada como significativa nos termos do presente artigo, o emitente da </w:t>
      </w:r>
      <w:proofErr w:type="spellStart"/>
      <w:r w:rsidRPr="00465964">
        <w:rPr>
          <w:lang w:val="pt-PT"/>
        </w:rPr>
        <w:t>criptoficha</w:t>
      </w:r>
      <w:proofErr w:type="spellEnd"/>
      <w:r w:rsidRPr="00465964">
        <w:rPr>
          <w:lang w:val="pt-PT"/>
        </w:rPr>
        <w:t xml:space="preserve"> de moeda eletrónica deve demonstrar, através de um programa de atividades detalhado, que é provável que venha a preencher pelo menos três dos critérios estabelecidos no artigo 43.</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1.</w:t>
      </w:r>
    </w:p>
    <w:p w14:paraId="74FBC174" w14:textId="77777777" w:rsidR="00465964" w:rsidRPr="00465964" w:rsidRDefault="00465964" w:rsidP="00465964">
      <w:pPr>
        <w:rPr>
          <w:lang w:val="pt-PT"/>
        </w:rPr>
      </w:pPr>
      <w:r w:rsidRPr="00465964">
        <w:rPr>
          <w:lang w:val="pt-PT"/>
        </w:rPr>
        <w:t xml:space="preserve">2.   No prazo de 20 dias úteis a contar da data de notificação a que se refere o </w:t>
      </w:r>
      <w:proofErr w:type="spellStart"/>
      <w:r w:rsidRPr="00465964">
        <w:rPr>
          <w:lang w:val="pt-PT"/>
        </w:rPr>
        <w:t>n.</w:t>
      </w:r>
      <w:r w:rsidRPr="00465964">
        <w:rPr>
          <w:vertAlign w:val="superscript"/>
          <w:lang w:val="pt-PT"/>
        </w:rPr>
        <w:t>o</w:t>
      </w:r>
      <w:proofErr w:type="spellEnd"/>
      <w:r w:rsidRPr="00465964">
        <w:rPr>
          <w:lang w:val="pt-PT"/>
        </w:rPr>
        <w:t xml:space="preserve"> 1 do presente artigo, a EBA elabora um projeto de decisão contendo o seu entendimento, com base no programa de atividades do emitente, sobre se a </w:t>
      </w:r>
      <w:proofErr w:type="spellStart"/>
      <w:r w:rsidRPr="00465964">
        <w:rPr>
          <w:lang w:val="pt-PT"/>
        </w:rPr>
        <w:t>criptoficha</w:t>
      </w:r>
      <w:proofErr w:type="spellEnd"/>
      <w:r w:rsidRPr="00465964">
        <w:rPr>
          <w:lang w:val="pt-PT"/>
        </w:rPr>
        <w:t xml:space="preserve"> de moeda eletrónica preenche ou se é provável que preencha pelo menos três dos critérios estabelecidos no artigo 43.</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1, e notifica esse projeto de decisão à autoridade competente do Estado-Membro de origem do emitente, ao BCE e, nos casos referidos no artigo 56.</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3, segundo parágrafo, ao banco central do Estado-Membro em causa.</w:t>
      </w:r>
    </w:p>
    <w:p w14:paraId="79397D2B" w14:textId="4048FD30" w:rsidR="00465964" w:rsidRPr="00465964" w:rsidRDefault="00465964" w:rsidP="00465964">
      <w:pPr>
        <w:rPr>
          <w:lang w:val="pt-PT"/>
        </w:rPr>
      </w:pPr>
      <w:r w:rsidRPr="00465964">
        <w:rPr>
          <w:lang w:val="pt-PT"/>
        </w:rPr>
        <w:lastRenderedPageBreak/>
        <w:t xml:space="preserve">As autoridades competentes dos emitentes dessas </w:t>
      </w:r>
      <w:r>
        <w:rPr>
          <w:lang w:val="pt-PT"/>
        </w:rPr>
        <w:t>criptomoedas</w:t>
      </w:r>
      <w:r w:rsidRPr="00465964">
        <w:rPr>
          <w:lang w:val="pt-PT"/>
        </w:rPr>
        <w:t xml:space="preserve"> de moeda eletrónica, o BCE e, se for o caso, o banco central do Estado-Membro em causa dispõem de 20 dias úteis a contar da data de notificação do projeto de decisão para apresentarem, por escrito, as suas observações e comentários. A EBA deve ter devidamente em conta essas observações e comentários antes de tomar a decisão final.</w:t>
      </w:r>
    </w:p>
    <w:p w14:paraId="2D83C88B" w14:textId="77777777" w:rsidR="00465964" w:rsidRPr="00465964" w:rsidRDefault="00465964" w:rsidP="00465964">
      <w:pPr>
        <w:rPr>
          <w:lang w:val="pt-PT"/>
        </w:rPr>
      </w:pPr>
      <w:r w:rsidRPr="00465964">
        <w:rPr>
          <w:lang w:val="pt-PT"/>
        </w:rPr>
        <w:t xml:space="preserve">3.   A EBA toma a sua decisão final sobre se uma </w:t>
      </w:r>
      <w:proofErr w:type="spellStart"/>
      <w:r w:rsidRPr="00465964">
        <w:rPr>
          <w:lang w:val="pt-PT"/>
        </w:rPr>
        <w:t>criptoficha</w:t>
      </w:r>
      <w:proofErr w:type="spellEnd"/>
      <w:r w:rsidRPr="00465964">
        <w:rPr>
          <w:lang w:val="pt-PT"/>
        </w:rPr>
        <w:t xml:space="preserve"> de moeda eletrónica deve ser classificada como significativa no prazo de 60 dias úteis a contar da data de notificação a que se refere o </w:t>
      </w:r>
      <w:proofErr w:type="spellStart"/>
      <w:r w:rsidRPr="00465964">
        <w:rPr>
          <w:lang w:val="pt-PT"/>
        </w:rPr>
        <w:t>n.</w:t>
      </w:r>
      <w:r w:rsidRPr="00465964">
        <w:rPr>
          <w:vertAlign w:val="superscript"/>
          <w:lang w:val="pt-PT"/>
        </w:rPr>
        <w:t>o</w:t>
      </w:r>
      <w:proofErr w:type="spellEnd"/>
      <w:r w:rsidRPr="00465964">
        <w:rPr>
          <w:lang w:val="pt-PT"/>
        </w:rPr>
        <w:t xml:space="preserve"> 1 e notifica de imediato essa decisão ao emitente dessa </w:t>
      </w:r>
      <w:proofErr w:type="spellStart"/>
      <w:r w:rsidRPr="00465964">
        <w:rPr>
          <w:lang w:val="pt-PT"/>
        </w:rPr>
        <w:t>criptoficha</w:t>
      </w:r>
      <w:proofErr w:type="spellEnd"/>
      <w:r w:rsidRPr="00465964">
        <w:rPr>
          <w:lang w:val="pt-PT"/>
        </w:rPr>
        <w:t xml:space="preserve"> de moeda eletrónica e à respetiva autoridade competente.</w:t>
      </w:r>
    </w:p>
    <w:p w14:paraId="33B141F5" w14:textId="0AE2506A" w:rsidR="00465964" w:rsidRPr="00465964" w:rsidRDefault="00465964" w:rsidP="00465964">
      <w:pPr>
        <w:rPr>
          <w:lang w:val="pt-PT"/>
        </w:rPr>
      </w:pPr>
      <w:r w:rsidRPr="00465964">
        <w:rPr>
          <w:lang w:val="pt-PT"/>
        </w:rPr>
        <w:t xml:space="preserve">4.   Caso uma </w:t>
      </w:r>
      <w:proofErr w:type="spellStart"/>
      <w:r w:rsidRPr="00465964">
        <w:rPr>
          <w:lang w:val="pt-PT"/>
        </w:rPr>
        <w:t>criptoficha</w:t>
      </w:r>
      <w:proofErr w:type="spellEnd"/>
      <w:r w:rsidRPr="00465964">
        <w:rPr>
          <w:lang w:val="pt-PT"/>
        </w:rPr>
        <w:t xml:space="preserve"> de moeda eletrónica tenha sido classificada como significativa nos termos de uma decisão da EBA tomada em conformidade com o </w:t>
      </w:r>
      <w:proofErr w:type="spellStart"/>
      <w:r w:rsidRPr="00465964">
        <w:rPr>
          <w:lang w:val="pt-PT"/>
        </w:rPr>
        <w:t>n.</w:t>
      </w:r>
      <w:r w:rsidRPr="00465964">
        <w:rPr>
          <w:vertAlign w:val="superscript"/>
          <w:lang w:val="pt-PT"/>
        </w:rPr>
        <w:t>o</w:t>
      </w:r>
      <w:proofErr w:type="spellEnd"/>
      <w:r w:rsidRPr="00465964">
        <w:rPr>
          <w:lang w:val="pt-PT"/>
        </w:rPr>
        <w:t xml:space="preserve"> 3 do presente artigo, as responsabilidades de supervisão em relação aos emitentes dessas </w:t>
      </w:r>
      <w:r>
        <w:rPr>
          <w:lang w:val="pt-PT"/>
        </w:rPr>
        <w:t>criptomoedas</w:t>
      </w:r>
      <w:r w:rsidRPr="00465964">
        <w:rPr>
          <w:lang w:val="pt-PT"/>
        </w:rPr>
        <w:t xml:space="preserve"> de moeda eletrónica são transferidas da autoridade competente para a EBA, em conformidade com o artigo 117.</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4, no prazo de 20 dias úteis a contar da data de notificação dessa decisão.</w:t>
      </w:r>
    </w:p>
    <w:p w14:paraId="323C1618" w14:textId="77777777" w:rsidR="00465964" w:rsidRPr="00465964" w:rsidRDefault="00465964" w:rsidP="00465964">
      <w:pPr>
        <w:rPr>
          <w:lang w:val="pt-PT"/>
        </w:rPr>
      </w:pPr>
      <w:r w:rsidRPr="00465964">
        <w:rPr>
          <w:lang w:val="pt-PT"/>
        </w:rPr>
        <w:t>A EBA e as autoridades competentes devem cooperar a fim de assegurar a transição harmoniosa das competências de supervisão.</w:t>
      </w:r>
    </w:p>
    <w:p w14:paraId="46285223" w14:textId="2A1B8A30" w:rsidR="00465964" w:rsidRPr="00465964" w:rsidRDefault="00465964" w:rsidP="00465964">
      <w:pPr>
        <w:rPr>
          <w:lang w:val="pt-PT"/>
        </w:rPr>
      </w:pPr>
      <w:r w:rsidRPr="00465964">
        <w:rPr>
          <w:lang w:val="pt-PT"/>
        </w:rPr>
        <w:t xml:space="preserve">5.   Em derrogação do </w:t>
      </w:r>
      <w:proofErr w:type="spellStart"/>
      <w:r w:rsidRPr="00465964">
        <w:rPr>
          <w:lang w:val="pt-PT"/>
        </w:rPr>
        <w:t>n.</w:t>
      </w:r>
      <w:r w:rsidRPr="00465964">
        <w:rPr>
          <w:vertAlign w:val="superscript"/>
          <w:lang w:val="pt-PT"/>
        </w:rPr>
        <w:t>o</w:t>
      </w:r>
      <w:proofErr w:type="spellEnd"/>
      <w:r w:rsidRPr="00465964">
        <w:rPr>
          <w:lang w:val="pt-PT"/>
        </w:rPr>
        <w:t xml:space="preserve"> 4, não são transferidas para a EBA as responsabilidades de supervisão em relação aos emitentes de </w:t>
      </w:r>
      <w:r>
        <w:rPr>
          <w:lang w:val="pt-PT"/>
        </w:rPr>
        <w:t>criptomoedas</w:t>
      </w:r>
      <w:r w:rsidRPr="00465964">
        <w:rPr>
          <w:lang w:val="pt-PT"/>
        </w:rPr>
        <w:t xml:space="preserve"> de moeda eletrónica significativas denominadas numa moeda oficial de um Estado-Membro diferente do euro, caso pelo menos 80 % do número de detentores e do volume de transações das </w:t>
      </w:r>
      <w:r>
        <w:rPr>
          <w:lang w:val="pt-PT"/>
        </w:rPr>
        <w:t>criptomoedas</w:t>
      </w:r>
      <w:r w:rsidRPr="00465964">
        <w:rPr>
          <w:lang w:val="pt-PT"/>
        </w:rPr>
        <w:t xml:space="preserve"> de tais moedas eletrónicas significativas se concentrem, </w:t>
      </w:r>
      <w:proofErr w:type="gramStart"/>
      <w:r w:rsidRPr="00465964">
        <w:rPr>
          <w:lang w:val="pt-PT"/>
        </w:rPr>
        <w:t>ou seja</w:t>
      </w:r>
      <w:proofErr w:type="gramEnd"/>
      <w:r w:rsidRPr="00465964">
        <w:rPr>
          <w:lang w:val="pt-PT"/>
        </w:rPr>
        <w:t xml:space="preserve"> de esperar que se concentrem, no Estado-Membro de origem.</w:t>
      </w:r>
    </w:p>
    <w:p w14:paraId="13E3E421" w14:textId="77777777" w:rsidR="00465964" w:rsidRPr="00465964" w:rsidRDefault="00465964" w:rsidP="00465964">
      <w:pPr>
        <w:rPr>
          <w:lang w:val="pt-PT"/>
        </w:rPr>
      </w:pPr>
      <w:r w:rsidRPr="00465964">
        <w:rPr>
          <w:lang w:val="pt-PT"/>
        </w:rPr>
        <w:t>A autoridade competente do Estado-Membro de origem do emitente faculta à EBA anualmente informações sobre a aplicação da derrogação a que se refere o primeiro parágrafo.</w:t>
      </w:r>
    </w:p>
    <w:p w14:paraId="28B3908B" w14:textId="77777777" w:rsidR="00465964" w:rsidRPr="00465964" w:rsidRDefault="00465964" w:rsidP="00465964">
      <w:pPr>
        <w:rPr>
          <w:lang w:val="pt-PT"/>
        </w:rPr>
      </w:pPr>
      <w:r w:rsidRPr="00465964">
        <w:rPr>
          <w:lang w:val="pt-PT"/>
        </w:rPr>
        <w:t>Para efeitos do primeiro parágrafo, considera-se que uma transação tem lugar no Estado-Membro de origem quando o ordenante ou o beneficiário estão estabelecidas nesse Estado-Membro.</w:t>
      </w:r>
    </w:p>
    <w:p w14:paraId="0BBCF413" w14:textId="77777777" w:rsidR="00465964" w:rsidRPr="00465964" w:rsidRDefault="00465964" w:rsidP="00465964">
      <w:pPr>
        <w:rPr>
          <w:i/>
          <w:iCs/>
          <w:lang w:val="pt-PT"/>
        </w:rPr>
      </w:pPr>
      <w:r w:rsidRPr="00465964">
        <w:rPr>
          <w:i/>
          <w:iCs/>
          <w:lang w:val="pt-PT"/>
        </w:rPr>
        <w:t>Artigo 58.</w:t>
      </w:r>
      <w:r w:rsidRPr="00465964">
        <w:rPr>
          <w:i/>
          <w:iCs/>
          <w:vertAlign w:val="superscript"/>
          <w:lang w:val="pt-PT"/>
        </w:rPr>
        <w:t>o</w:t>
      </w:r>
    </w:p>
    <w:p w14:paraId="6AEC2CA1" w14:textId="433868D9" w:rsidR="00465964" w:rsidRPr="00465964" w:rsidRDefault="00465964" w:rsidP="00465964">
      <w:pPr>
        <w:rPr>
          <w:b/>
          <w:bCs/>
          <w:lang w:val="pt-PT"/>
        </w:rPr>
      </w:pPr>
      <w:r w:rsidRPr="00465964">
        <w:rPr>
          <w:b/>
          <w:bCs/>
          <w:lang w:val="pt-PT"/>
        </w:rPr>
        <w:t xml:space="preserve">Obrigações adicionais específicas dos emitentes de </w:t>
      </w:r>
      <w:r>
        <w:rPr>
          <w:b/>
          <w:bCs/>
          <w:lang w:val="pt-PT"/>
        </w:rPr>
        <w:t>criptomoedas</w:t>
      </w:r>
      <w:r w:rsidRPr="00465964">
        <w:rPr>
          <w:b/>
          <w:bCs/>
          <w:lang w:val="pt-PT"/>
        </w:rPr>
        <w:t xml:space="preserve"> de moeda eletrónica</w:t>
      </w:r>
    </w:p>
    <w:p w14:paraId="01791161" w14:textId="3A1D6C5D" w:rsidR="00465964" w:rsidRPr="00465964" w:rsidRDefault="00465964" w:rsidP="00465964">
      <w:pPr>
        <w:rPr>
          <w:lang w:val="pt-PT"/>
        </w:rPr>
      </w:pPr>
      <w:r w:rsidRPr="00465964">
        <w:rPr>
          <w:lang w:val="pt-PT"/>
        </w:rPr>
        <w:t xml:space="preserve">1.   As instituições de moeda eletrónica que emitem </w:t>
      </w:r>
      <w:r>
        <w:rPr>
          <w:lang w:val="pt-PT"/>
        </w:rPr>
        <w:t>criptomoedas</w:t>
      </w:r>
      <w:r w:rsidRPr="00465964">
        <w:rPr>
          <w:lang w:val="pt-PT"/>
        </w:rPr>
        <w:t xml:space="preserve"> de moeda eletrónica significativas estão sujeitas:</w:t>
      </w:r>
    </w:p>
    <w:tbl>
      <w:tblPr>
        <w:tblW w:w="5000" w:type="pct"/>
        <w:tblCellMar>
          <w:left w:w="0" w:type="dxa"/>
          <w:right w:w="0" w:type="dxa"/>
        </w:tblCellMar>
        <w:tblLook w:val="04A0" w:firstRow="1" w:lastRow="0" w:firstColumn="1" w:lastColumn="0" w:noHBand="0" w:noVBand="1"/>
      </w:tblPr>
      <w:tblGrid>
        <w:gridCol w:w="182"/>
        <w:gridCol w:w="8844"/>
      </w:tblGrid>
      <w:tr w:rsidR="00465964" w:rsidRPr="00465964" w14:paraId="7BD4CFF0" w14:textId="77777777" w:rsidTr="00465964">
        <w:tc>
          <w:tcPr>
            <w:tcW w:w="0" w:type="auto"/>
            <w:shd w:val="clear" w:color="auto" w:fill="auto"/>
            <w:hideMark/>
          </w:tcPr>
          <w:p w14:paraId="1C9C7781" w14:textId="77777777" w:rsidR="00465964" w:rsidRPr="00465964" w:rsidRDefault="00465964" w:rsidP="00465964">
            <w:r w:rsidRPr="00465964">
              <w:t>a)</w:t>
            </w:r>
          </w:p>
        </w:tc>
        <w:tc>
          <w:tcPr>
            <w:tcW w:w="0" w:type="auto"/>
            <w:shd w:val="clear" w:color="auto" w:fill="auto"/>
            <w:hideMark/>
          </w:tcPr>
          <w:p w14:paraId="39A14B5C" w14:textId="77777777" w:rsidR="00465964" w:rsidRPr="00465964" w:rsidRDefault="00465964" w:rsidP="00465964">
            <w:pPr>
              <w:rPr>
                <w:lang w:val="pt-PT"/>
              </w:rPr>
            </w:pPr>
            <w:r w:rsidRPr="00465964">
              <w:rPr>
                <w:lang w:val="pt-PT"/>
              </w:rPr>
              <w:t xml:space="preserve">Aos requisitos referidos nos artigos </w:t>
            </w:r>
            <w:proofErr w:type="gramStart"/>
            <w:r w:rsidRPr="00465964">
              <w:rPr>
                <w:lang w:val="pt-PT"/>
              </w:rPr>
              <w:t>36.</w:t>
            </w:r>
            <w:r w:rsidRPr="00465964">
              <w:rPr>
                <w:vertAlign w:val="superscript"/>
                <w:lang w:val="pt-PT"/>
              </w:rPr>
              <w:t>o</w:t>
            </w:r>
            <w:proofErr w:type="gramEnd"/>
            <w:r w:rsidRPr="00465964">
              <w:rPr>
                <w:lang w:val="pt-PT"/>
              </w:rPr>
              <w:t>, 37.</w:t>
            </w:r>
            <w:r w:rsidRPr="00465964">
              <w:rPr>
                <w:vertAlign w:val="superscript"/>
                <w:lang w:val="pt-PT"/>
              </w:rPr>
              <w:t>o</w:t>
            </w:r>
            <w:r w:rsidRPr="00465964">
              <w:rPr>
                <w:lang w:val="pt-PT"/>
              </w:rPr>
              <w:t> e 38.</w:t>
            </w:r>
            <w:r w:rsidRPr="00465964">
              <w:rPr>
                <w:vertAlign w:val="superscript"/>
                <w:lang w:val="pt-PT"/>
              </w:rPr>
              <w:t>o</w:t>
            </w:r>
            <w:r w:rsidRPr="00465964">
              <w:rPr>
                <w:lang w:val="pt-PT"/>
              </w:rPr>
              <w:t> e no artigo 45.</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os</w:t>
            </w:r>
            <w:proofErr w:type="spellEnd"/>
            <w:r w:rsidRPr="00465964">
              <w:rPr>
                <w:lang w:val="pt-PT"/>
              </w:rPr>
              <w:t> 1 a 4, do presente regulamento, em vez do artigo 7.</w:t>
            </w:r>
            <w:r w:rsidRPr="00465964">
              <w:rPr>
                <w:vertAlign w:val="superscript"/>
                <w:lang w:val="pt-PT"/>
              </w:rPr>
              <w:t>o</w:t>
            </w:r>
            <w:r w:rsidRPr="00465964">
              <w:rPr>
                <w:lang w:val="pt-PT"/>
              </w:rPr>
              <w:t> da Diretiva 2009/110/CE;</w:t>
            </w:r>
          </w:p>
        </w:tc>
      </w:tr>
    </w:tbl>
    <w:p w14:paraId="2E3A25AC"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8"/>
        <w:gridCol w:w="8838"/>
      </w:tblGrid>
      <w:tr w:rsidR="00465964" w:rsidRPr="00465964" w14:paraId="7F1272C7" w14:textId="77777777" w:rsidTr="00465964">
        <w:tc>
          <w:tcPr>
            <w:tcW w:w="0" w:type="auto"/>
            <w:shd w:val="clear" w:color="auto" w:fill="auto"/>
            <w:hideMark/>
          </w:tcPr>
          <w:p w14:paraId="07C3F827" w14:textId="77777777" w:rsidR="00465964" w:rsidRPr="00465964" w:rsidRDefault="00465964" w:rsidP="00465964">
            <w:r w:rsidRPr="00465964">
              <w:t>b)</w:t>
            </w:r>
          </w:p>
        </w:tc>
        <w:tc>
          <w:tcPr>
            <w:tcW w:w="0" w:type="auto"/>
            <w:shd w:val="clear" w:color="auto" w:fill="auto"/>
            <w:hideMark/>
          </w:tcPr>
          <w:p w14:paraId="04139A48" w14:textId="77777777" w:rsidR="00465964" w:rsidRPr="00465964" w:rsidRDefault="00465964" w:rsidP="00465964">
            <w:pPr>
              <w:rPr>
                <w:lang w:val="pt-PT"/>
              </w:rPr>
            </w:pPr>
            <w:r w:rsidRPr="00465964">
              <w:rPr>
                <w:lang w:val="pt-PT"/>
              </w:rPr>
              <w:t xml:space="preserve">Aos requisitos referidos no artigo </w:t>
            </w:r>
            <w:proofErr w:type="gramStart"/>
            <w:r w:rsidRPr="00465964">
              <w:rPr>
                <w:lang w:val="pt-PT"/>
              </w:rPr>
              <w:t>35.</w:t>
            </w:r>
            <w:r w:rsidRPr="00465964">
              <w:rPr>
                <w:vertAlign w:val="superscript"/>
                <w:lang w:val="pt-PT"/>
              </w:rPr>
              <w:t>o</w:t>
            </w:r>
            <w:proofErr w:type="gramEnd"/>
            <w:r w:rsidRPr="00465964">
              <w:rPr>
                <w:lang w:val="pt-PT"/>
              </w:rPr>
              <w:t xml:space="preserve">, </w:t>
            </w:r>
            <w:proofErr w:type="spellStart"/>
            <w:r w:rsidRPr="00465964">
              <w:rPr>
                <w:lang w:val="pt-PT"/>
              </w:rPr>
              <w:t>n.</w:t>
            </w:r>
            <w:r w:rsidRPr="00465964">
              <w:rPr>
                <w:vertAlign w:val="superscript"/>
                <w:lang w:val="pt-PT"/>
              </w:rPr>
              <w:t>os</w:t>
            </w:r>
            <w:proofErr w:type="spellEnd"/>
            <w:r w:rsidRPr="00465964">
              <w:rPr>
                <w:lang w:val="pt-PT"/>
              </w:rPr>
              <w:t> 2, 3 e 5 e no artigo 45.</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5, do presente regulamento, em vez do artigo 5.</w:t>
            </w:r>
            <w:r w:rsidRPr="00465964">
              <w:rPr>
                <w:vertAlign w:val="superscript"/>
                <w:lang w:val="pt-PT"/>
              </w:rPr>
              <w:t>o</w:t>
            </w:r>
            <w:r w:rsidRPr="00465964">
              <w:rPr>
                <w:lang w:val="pt-PT"/>
              </w:rPr>
              <w:t> da Diretiva 2009/110/CE.</w:t>
            </w:r>
          </w:p>
        </w:tc>
      </w:tr>
    </w:tbl>
    <w:p w14:paraId="01CA2619" w14:textId="5C60533A" w:rsidR="00465964" w:rsidRPr="00465964" w:rsidRDefault="00465964" w:rsidP="00465964">
      <w:pPr>
        <w:rPr>
          <w:lang w:val="pt-PT"/>
        </w:rPr>
      </w:pPr>
      <w:r w:rsidRPr="00465964">
        <w:rPr>
          <w:lang w:val="pt-PT"/>
        </w:rPr>
        <w:t>Em derrogação do disposto no artigo 36.</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xml:space="preserve"> 9, a auditoria independente deve, no que diz respeito aos emitentes de </w:t>
      </w:r>
      <w:r>
        <w:rPr>
          <w:lang w:val="pt-PT"/>
        </w:rPr>
        <w:t>criptomoedas</w:t>
      </w:r>
      <w:r w:rsidRPr="00465964">
        <w:rPr>
          <w:lang w:val="pt-PT"/>
        </w:rPr>
        <w:t xml:space="preserve"> de moeda eletrónica significativas, ser mandatada de seis em seis meses a contar da data da decisão de classificar a </w:t>
      </w:r>
      <w:proofErr w:type="spellStart"/>
      <w:r w:rsidRPr="00465964">
        <w:rPr>
          <w:lang w:val="pt-PT"/>
        </w:rPr>
        <w:t>criptoficha</w:t>
      </w:r>
      <w:proofErr w:type="spellEnd"/>
      <w:r w:rsidRPr="00465964">
        <w:rPr>
          <w:lang w:val="pt-PT"/>
        </w:rPr>
        <w:t xml:space="preserve"> de moeda eletrónica como significativa nos termos dos artigos 56.</w:t>
      </w:r>
      <w:r w:rsidRPr="00465964">
        <w:rPr>
          <w:vertAlign w:val="superscript"/>
          <w:lang w:val="pt-PT"/>
        </w:rPr>
        <w:t>o</w:t>
      </w:r>
      <w:r w:rsidRPr="00465964">
        <w:rPr>
          <w:lang w:val="pt-PT"/>
        </w:rPr>
        <w:t> ou 57.</w:t>
      </w:r>
      <w:r w:rsidRPr="00465964">
        <w:rPr>
          <w:vertAlign w:val="superscript"/>
          <w:lang w:val="pt-PT"/>
        </w:rPr>
        <w:t>o</w:t>
      </w:r>
      <w:r w:rsidRPr="00465964">
        <w:rPr>
          <w:lang w:val="pt-PT"/>
        </w:rPr>
        <w:t>, consoante aplicável.</w:t>
      </w:r>
    </w:p>
    <w:p w14:paraId="43242C7A" w14:textId="36A086BB" w:rsidR="00465964" w:rsidRPr="00465964" w:rsidRDefault="00465964" w:rsidP="00465964">
      <w:pPr>
        <w:rPr>
          <w:lang w:val="pt-PT"/>
        </w:rPr>
      </w:pPr>
      <w:r w:rsidRPr="00465964">
        <w:rPr>
          <w:lang w:val="pt-PT"/>
        </w:rPr>
        <w:t xml:space="preserve">2.   As autoridades competentes dos Estados-Membros de origem podem exigir que as instituições de moeda eletrónica que emitem </w:t>
      </w:r>
      <w:r>
        <w:rPr>
          <w:lang w:val="pt-PT"/>
        </w:rPr>
        <w:t>criptomoedas</w:t>
      </w:r>
      <w:r w:rsidRPr="00465964">
        <w:rPr>
          <w:lang w:val="pt-PT"/>
        </w:rPr>
        <w:t xml:space="preserve"> de moeda eletrónica que não </w:t>
      </w:r>
      <w:r w:rsidRPr="00465964">
        <w:rPr>
          <w:lang w:val="pt-PT"/>
        </w:rPr>
        <w:lastRenderedPageBreak/>
        <w:t xml:space="preserve">sejam significativas cumpram os requisitos a que se refere o </w:t>
      </w:r>
      <w:proofErr w:type="spellStart"/>
      <w:r w:rsidRPr="00465964">
        <w:rPr>
          <w:lang w:val="pt-PT"/>
        </w:rPr>
        <w:t>n.</w:t>
      </w:r>
      <w:r w:rsidRPr="00465964">
        <w:rPr>
          <w:vertAlign w:val="superscript"/>
          <w:lang w:val="pt-PT"/>
        </w:rPr>
        <w:t>o</w:t>
      </w:r>
      <w:proofErr w:type="spellEnd"/>
      <w:r w:rsidRPr="00465964">
        <w:rPr>
          <w:lang w:val="pt-PT"/>
        </w:rPr>
        <w:t> 1, se tal for necessário para fazer face aos riscos a que essas disposições visam dar resposta, tais como riscos de liquidez, riscos operacionais ou riscos decorrentes do incumprimento dos requisitos em matéria de gestão da reserva de ativos.</w:t>
      </w:r>
    </w:p>
    <w:p w14:paraId="5DCB2248" w14:textId="6A2EC0F2" w:rsidR="00465964" w:rsidRPr="00465964" w:rsidRDefault="00465964" w:rsidP="00465964">
      <w:pPr>
        <w:rPr>
          <w:lang w:val="pt-PT"/>
        </w:rPr>
      </w:pPr>
      <w:r w:rsidRPr="00465964">
        <w:rPr>
          <w:lang w:val="pt-PT"/>
        </w:rPr>
        <w:t>3.   Os artigos 22.</w:t>
      </w:r>
      <w:r w:rsidRPr="00465964">
        <w:rPr>
          <w:vertAlign w:val="superscript"/>
          <w:lang w:val="pt-PT"/>
        </w:rPr>
        <w:t>o</w:t>
      </w:r>
      <w:r w:rsidRPr="00465964">
        <w:rPr>
          <w:lang w:val="pt-PT"/>
        </w:rPr>
        <w:t> e 23.</w:t>
      </w:r>
      <w:r w:rsidRPr="00465964">
        <w:rPr>
          <w:vertAlign w:val="superscript"/>
          <w:lang w:val="pt-PT"/>
        </w:rPr>
        <w:t>o</w:t>
      </w:r>
      <w:r w:rsidRPr="00465964">
        <w:rPr>
          <w:lang w:val="pt-PT"/>
        </w:rPr>
        <w:t> e o artigo 24.</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xml:space="preserve"> 3, aplicam-se às </w:t>
      </w:r>
      <w:r>
        <w:rPr>
          <w:lang w:val="pt-PT"/>
        </w:rPr>
        <w:t>criptomoedas</w:t>
      </w:r>
      <w:r w:rsidRPr="00465964">
        <w:rPr>
          <w:lang w:val="pt-PT"/>
        </w:rPr>
        <w:t xml:space="preserve"> de moeda eletrónica denominadas numa moeda que não seja uma moeda oficial de um Estado-Membro.</w:t>
      </w:r>
    </w:p>
    <w:p w14:paraId="54EF0C75" w14:textId="77777777" w:rsidR="00465964" w:rsidRPr="00465964" w:rsidRDefault="00465964" w:rsidP="00465964">
      <w:pPr>
        <w:rPr>
          <w:b/>
          <w:bCs/>
          <w:lang w:val="pt-PT"/>
        </w:rPr>
      </w:pPr>
      <w:r w:rsidRPr="00465964">
        <w:rPr>
          <w:b/>
          <w:bCs/>
          <w:lang w:val="pt-PT"/>
        </w:rPr>
        <w:t>TÍTULO V</w:t>
      </w:r>
    </w:p>
    <w:p w14:paraId="71BDB859" w14:textId="77777777" w:rsidR="00465964" w:rsidRPr="00465964" w:rsidRDefault="00465964" w:rsidP="00465964">
      <w:pPr>
        <w:rPr>
          <w:b/>
          <w:bCs/>
          <w:lang w:val="pt-PT"/>
        </w:rPr>
      </w:pPr>
      <w:r w:rsidRPr="00465964">
        <w:rPr>
          <w:b/>
          <w:bCs/>
          <w:lang w:val="pt-PT"/>
        </w:rPr>
        <w:t>AUTORIZAÇÃO E CONDIÇÕES DE FUNCIONAMENTO PARA PRESTADORES DE SERVIÇOS DE CRIPTOATIVOS</w:t>
      </w:r>
    </w:p>
    <w:p w14:paraId="165611FD" w14:textId="77777777" w:rsidR="00465964" w:rsidRPr="00465964" w:rsidRDefault="00465964" w:rsidP="00465964">
      <w:pPr>
        <w:rPr>
          <w:b/>
          <w:bCs/>
          <w:lang w:val="pt-PT"/>
        </w:rPr>
      </w:pPr>
      <w:r w:rsidRPr="00465964">
        <w:rPr>
          <w:b/>
          <w:bCs/>
          <w:i/>
          <w:iCs/>
          <w:lang w:val="pt-PT"/>
        </w:rPr>
        <w:t>CAPÍTULO 1</w:t>
      </w:r>
    </w:p>
    <w:p w14:paraId="7EFCE0DC" w14:textId="77777777" w:rsidR="00465964" w:rsidRPr="00465964" w:rsidRDefault="00465964" w:rsidP="00465964">
      <w:pPr>
        <w:rPr>
          <w:b/>
          <w:bCs/>
          <w:lang w:val="pt-PT"/>
        </w:rPr>
      </w:pPr>
      <w:r w:rsidRPr="00465964">
        <w:rPr>
          <w:b/>
          <w:bCs/>
          <w:i/>
          <w:iCs/>
          <w:lang w:val="pt-PT"/>
        </w:rPr>
        <w:t>Autorização de prestadores de serviços de criptoativos</w:t>
      </w:r>
    </w:p>
    <w:p w14:paraId="464B62D7" w14:textId="77777777" w:rsidR="00465964" w:rsidRPr="00465964" w:rsidRDefault="00465964" w:rsidP="00465964">
      <w:pPr>
        <w:rPr>
          <w:i/>
          <w:iCs/>
          <w:lang w:val="pt-PT"/>
        </w:rPr>
      </w:pPr>
      <w:r w:rsidRPr="00465964">
        <w:rPr>
          <w:i/>
          <w:iCs/>
          <w:lang w:val="pt-PT"/>
        </w:rPr>
        <w:t>Artigo 59.</w:t>
      </w:r>
      <w:r w:rsidRPr="00465964">
        <w:rPr>
          <w:i/>
          <w:iCs/>
          <w:vertAlign w:val="superscript"/>
          <w:lang w:val="pt-PT"/>
        </w:rPr>
        <w:t>o</w:t>
      </w:r>
    </w:p>
    <w:p w14:paraId="551BA2F4" w14:textId="77777777" w:rsidR="00465964" w:rsidRPr="00465964" w:rsidRDefault="00465964" w:rsidP="00465964">
      <w:pPr>
        <w:rPr>
          <w:b/>
          <w:bCs/>
          <w:lang w:val="pt-PT"/>
        </w:rPr>
      </w:pPr>
      <w:r w:rsidRPr="00465964">
        <w:rPr>
          <w:b/>
          <w:bCs/>
          <w:lang w:val="pt-PT"/>
        </w:rPr>
        <w:t>Autorização</w:t>
      </w:r>
    </w:p>
    <w:p w14:paraId="2047441B" w14:textId="77777777" w:rsidR="00465964" w:rsidRPr="00465964" w:rsidRDefault="00465964" w:rsidP="00465964">
      <w:pPr>
        <w:rPr>
          <w:lang w:val="pt-PT"/>
        </w:rPr>
      </w:pPr>
      <w:r w:rsidRPr="00465964">
        <w:rPr>
          <w:lang w:val="pt-PT"/>
        </w:rPr>
        <w:t>1.   Uma pessoa não pode, na União, prestar serviços de criptoativos a menos que essa pessoa seja:</w:t>
      </w:r>
    </w:p>
    <w:tbl>
      <w:tblPr>
        <w:tblW w:w="5000" w:type="pct"/>
        <w:tblCellMar>
          <w:left w:w="0" w:type="dxa"/>
          <w:right w:w="0" w:type="dxa"/>
        </w:tblCellMar>
        <w:tblLook w:val="04A0" w:firstRow="1" w:lastRow="0" w:firstColumn="1" w:lastColumn="0" w:noHBand="0" w:noVBand="1"/>
      </w:tblPr>
      <w:tblGrid>
        <w:gridCol w:w="182"/>
        <w:gridCol w:w="8844"/>
      </w:tblGrid>
      <w:tr w:rsidR="00465964" w:rsidRPr="00465964" w14:paraId="49F518FD" w14:textId="77777777" w:rsidTr="00465964">
        <w:tc>
          <w:tcPr>
            <w:tcW w:w="0" w:type="auto"/>
            <w:shd w:val="clear" w:color="auto" w:fill="auto"/>
            <w:hideMark/>
          </w:tcPr>
          <w:p w14:paraId="690C9500" w14:textId="77777777" w:rsidR="00465964" w:rsidRPr="00465964" w:rsidRDefault="00465964" w:rsidP="00465964">
            <w:r w:rsidRPr="00465964">
              <w:t>a)</w:t>
            </w:r>
          </w:p>
        </w:tc>
        <w:tc>
          <w:tcPr>
            <w:tcW w:w="0" w:type="auto"/>
            <w:shd w:val="clear" w:color="auto" w:fill="auto"/>
            <w:hideMark/>
          </w:tcPr>
          <w:p w14:paraId="22BD0EFF" w14:textId="77777777" w:rsidR="00465964" w:rsidRPr="00465964" w:rsidRDefault="00465964" w:rsidP="00465964">
            <w:pPr>
              <w:rPr>
                <w:lang w:val="pt-PT"/>
              </w:rPr>
            </w:pPr>
            <w:r w:rsidRPr="00465964">
              <w:rPr>
                <w:lang w:val="pt-PT"/>
              </w:rPr>
              <w:t>Uma pessoa coletiva ou outra empresa que tenha sido autorizada como prestador de serviços de criptoativos nos termos do artigo 63.</w:t>
            </w:r>
            <w:r w:rsidRPr="00465964">
              <w:rPr>
                <w:vertAlign w:val="superscript"/>
                <w:lang w:val="pt-PT"/>
              </w:rPr>
              <w:t>o</w:t>
            </w:r>
            <w:r w:rsidRPr="00465964">
              <w:rPr>
                <w:lang w:val="pt-PT"/>
              </w:rPr>
              <w:t>; ou</w:t>
            </w:r>
          </w:p>
        </w:tc>
      </w:tr>
    </w:tbl>
    <w:p w14:paraId="5ACC7F45"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8"/>
        <w:gridCol w:w="8838"/>
      </w:tblGrid>
      <w:tr w:rsidR="00465964" w:rsidRPr="00465964" w14:paraId="771C5FE1" w14:textId="77777777" w:rsidTr="00465964">
        <w:tc>
          <w:tcPr>
            <w:tcW w:w="0" w:type="auto"/>
            <w:shd w:val="clear" w:color="auto" w:fill="auto"/>
            <w:hideMark/>
          </w:tcPr>
          <w:p w14:paraId="723B6057" w14:textId="77777777" w:rsidR="00465964" w:rsidRPr="00465964" w:rsidRDefault="00465964" w:rsidP="00465964">
            <w:r w:rsidRPr="00465964">
              <w:t>b)</w:t>
            </w:r>
          </w:p>
        </w:tc>
        <w:tc>
          <w:tcPr>
            <w:tcW w:w="0" w:type="auto"/>
            <w:shd w:val="clear" w:color="auto" w:fill="auto"/>
            <w:hideMark/>
          </w:tcPr>
          <w:p w14:paraId="6AEBE77C" w14:textId="77777777" w:rsidR="00465964" w:rsidRPr="00465964" w:rsidRDefault="00465964" w:rsidP="00465964">
            <w:pPr>
              <w:rPr>
                <w:lang w:val="pt-PT"/>
              </w:rPr>
            </w:pPr>
            <w:r w:rsidRPr="00465964">
              <w:rPr>
                <w:lang w:val="pt-PT"/>
              </w:rPr>
              <w:t xml:space="preserve">Uma instituição de crédito, uma central de valores mobiliários, uma empresa de investimento, um operador de mercado, uma instituição de moeda eletrónica, uma sociedade gestora de OICVM ou um gestor de um fundo de investimento alternativo autorizado a prestar serviços de criptoativos nos termos do artigo </w:t>
            </w:r>
            <w:proofErr w:type="gramStart"/>
            <w:r w:rsidRPr="00465964">
              <w:rPr>
                <w:lang w:val="pt-PT"/>
              </w:rPr>
              <w:t>60.</w:t>
            </w:r>
            <w:r w:rsidRPr="00465964">
              <w:rPr>
                <w:vertAlign w:val="superscript"/>
                <w:lang w:val="pt-PT"/>
              </w:rPr>
              <w:t>o</w:t>
            </w:r>
            <w:r w:rsidRPr="00465964">
              <w:rPr>
                <w:lang w:val="pt-PT"/>
              </w:rPr>
              <w:t>.</w:t>
            </w:r>
            <w:proofErr w:type="gramEnd"/>
          </w:p>
        </w:tc>
      </w:tr>
    </w:tbl>
    <w:p w14:paraId="169720DE" w14:textId="77777777" w:rsidR="00465964" w:rsidRPr="00465964" w:rsidRDefault="00465964" w:rsidP="00465964">
      <w:pPr>
        <w:rPr>
          <w:lang w:val="pt-PT"/>
        </w:rPr>
      </w:pPr>
      <w:r w:rsidRPr="00465964">
        <w:rPr>
          <w:lang w:val="pt-PT"/>
        </w:rPr>
        <w:t>2.   Os prestadores de serviços de criptoativos que tenham sido autorizados nos termos do artigo 63.</w:t>
      </w:r>
      <w:r w:rsidRPr="00465964">
        <w:rPr>
          <w:vertAlign w:val="superscript"/>
          <w:lang w:val="pt-PT"/>
        </w:rPr>
        <w:t>o</w:t>
      </w:r>
      <w:r w:rsidRPr="00465964">
        <w:rPr>
          <w:lang w:val="pt-PT"/>
        </w:rPr>
        <w:t> devem ter sede social num Estado-Membro em que exerçam pelo menos parte da sua atividade de prestação de serviços de criptoativos. Devem ter o seu local de direção efetiva na União e pelo menos um dos membros do seu órgão de administração deve ser residente na União.</w:t>
      </w:r>
    </w:p>
    <w:p w14:paraId="3ED4AE4E" w14:textId="77777777" w:rsidR="00465964" w:rsidRPr="00465964" w:rsidRDefault="00465964" w:rsidP="00465964">
      <w:pPr>
        <w:rPr>
          <w:lang w:val="pt-PT"/>
        </w:rPr>
      </w:pPr>
      <w:r w:rsidRPr="00465964">
        <w:rPr>
          <w:lang w:val="pt-PT"/>
        </w:rPr>
        <w:t xml:space="preserve">3.   Para efeitos do </w:t>
      </w:r>
      <w:proofErr w:type="spellStart"/>
      <w:r w:rsidRPr="00465964">
        <w:rPr>
          <w:lang w:val="pt-PT"/>
        </w:rPr>
        <w:t>n.</w:t>
      </w:r>
      <w:r w:rsidRPr="00465964">
        <w:rPr>
          <w:vertAlign w:val="superscript"/>
          <w:lang w:val="pt-PT"/>
        </w:rPr>
        <w:t>o</w:t>
      </w:r>
      <w:proofErr w:type="spellEnd"/>
      <w:r w:rsidRPr="00465964">
        <w:rPr>
          <w:lang w:val="pt-PT"/>
        </w:rPr>
        <w:t xml:space="preserve"> 1, alínea a), outras empresas que não sejam pessoas coletivas só podem prestar serviços de criptoativos se a sua forma jurídica garantir um nível de proteção dos interesses de </w:t>
      </w:r>
      <w:proofErr w:type="gramStart"/>
      <w:r w:rsidRPr="00465964">
        <w:rPr>
          <w:lang w:val="pt-PT"/>
        </w:rPr>
        <w:t>terceiros equivalente</w:t>
      </w:r>
      <w:proofErr w:type="gramEnd"/>
      <w:r w:rsidRPr="00465964">
        <w:rPr>
          <w:lang w:val="pt-PT"/>
        </w:rPr>
        <w:t xml:space="preserve"> ao proporcionado pelas pessoas coletivas e se estiverem sujeitas a uma supervisão prudencial equivalente, adequada à sua forma jurídica.</w:t>
      </w:r>
    </w:p>
    <w:p w14:paraId="002FAF05" w14:textId="77777777" w:rsidR="00465964" w:rsidRPr="00465964" w:rsidRDefault="00465964" w:rsidP="00465964">
      <w:pPr>
        <w:rPr>
          <w:lang w:val="pt-PT"/>
        </w:rPr>
      </w:pPr>
      <w:r w:rsidRPr="00465964">
        <w:rPr>
          <w:lang w:val="pt-PT"/>
        </w:rPr>
        <w:t>4.   Os prestadores de serviços de criptoativos autorizados em conformidade com o artigo 63.</w:t>
      </w:r>
      <w:r w:rsidRPr="00465964">
        <w:rPr>
          <w:vertAlign w:val="superscript"/>
          <w:lang w:val="pt-PT"/>
        </w:rPr>
        <w:t>o</w:t>
      </w:r>
      <w:r w:rsidRPr="00465964">
        <w:rPr>
          <w:lang w:val="pt-PT"/>
        </w:rPr>
        <w:t> devem cumprir a todo o tempo as condições necessárias para a respetiva autorização.</w:t>
      </w:r>
    </w:p>
    <w:p w14:paraId="405A0DA3" w14:textId="77777777" w:rsidR="00465964" w:rsidRPr="00465964" w:rsidRDefault="00465964" w:rsidP="00465964">
      <w:pPr>
        <w:rPr>
          <w:lang w:val="pt-PT"/>
        </w:rPr>
      </w:pPr>
      <w:r w:rsidRPr="00465964">
        <w:rPr>
          <w:lang w:val="pt-PT"/>
        </w:rPr>
        <w:t>5.   Uma pessoa que não seja um prestador de serviços de criptoativos autorizado não pode utilizar um nome ou uma firma ou emitir comunicações comerciais ou empreender qualquer outro processo que sugira que essa pessoa seja um prestador de serviços de criptoativos ou que possa criar confusão a esse respeito.</w:t>
      </w:r>
    </w:p>
    <w:p w14:paraId="59C9F03F" w14:textId="77777777" w:rsidR="00465964" w:rsidRPr="00465964" w:rsidRDefault="00465964" w:rsidP="00465964">
      <w:pPr>
        <w:rPr>
          <w:lang w:val="pt-PT"/>
        </w:rPr>
      </w:pPr>
      <w:r w:rsidRPr="00465964">
        <w:rPr>
          <w:lang w:val="pt-PT"/>
        </w:rPr>
        <w:t>6.   As autoridades competentes que concedem autorizações em conformidade com o artigo 63.</w:t>
      </w:r>
      <w:r w:rsidRPr="00465964">
        <w:rPr>
          <w:vertAlign w:val="superscript"/>
          <w:lang w:val="pt-PT"/>
        </w:rPr>
        <w:t>o</w:t>
      </w:r>
      <w:r w:rsidRPr="00465964">
        <w:rPr>
          <w:lang w:val="pt-PT"/>
        </w:rPr>
        <w:t> devem assegurar que essas autorizações especificam os serviços de criptoativos que os prestadores de serviços de criptoativos estão autorizados a prestar.</w:t>
      </w:r>
    </w:p>
    <w:p w14:paraId="3312746F" w14:textId="77777777" w:rsidR="00465964" w:rsidRPr="00465964" w:rsidRDefault="00465964" w:rsidP="00465964">
      <w:pPr>
        <w:rPr>
          <w:lang w:val="pt-PT"/>
        </w:rPr>
      </w:pPr>
      <w:r w:rsidRPr="00465964">
        <w:rPr>
          <w:lang w:val="pt-PT"/>
        </w:rPr>
        <w:lastRenderedPageBreak/>
        <w:t>7.   Os prestadores de serviços de criptoativos devem ser autorizados a prestar serviços de criptoativos em toda a União, quer através do direito de estabelecimento, incluindo através de uma sucursal, quer através da liberdade de prestação de serviços. Os prestadores de serviços de criptoativos que prestam serviços de criptoativos a nível transfronteiriço não são obrigados a ter presença física no território de um Estado-Membro de acolhimento.</w:t>
      </w:r>
    </w:p>
    <w:p w14:paraId="66098E1B" w14:textId="77777777" w:rsidR="00465964" w:rsidRPr="00465964" w:rsidRDefault="00465964" w:rsidP="00465964">
      <w:pPr>
        <w:rPr>
          <w:lang w:val="pt-PT"/>
        </w:rPr>
      </w:pPr>
      <w:r w:rsidRPr="00465964">
        <w:rPr>
          <w:lang w:val="pt-PT"/>
        </w:rPr>
        <w:t>8.   Os prestadores de serviços de criptoativos que procuram acrescentar serviços de criptoativos à sua autorização a que se refere o artigo 63.</w:t>
      </w:r>
      <w:r w:rsidRPr="00465964">
        <w:rPr>
          <w:vertAlign w:val="superscript"/>
          <w:lang w:val="pt-PT"/>
        </w:rPr>
        <w:t>o</w:t>
      </w:r>
      <w:r w:rsidRPr="00465964">
        <w:rPr>
          <w:lang w:val="pt-PT"/>
        </w:rPr>
        <w:t> devem pedir uma extensão da sua autorização às autoridades competentes que a concederam, complementando e atualizando as informações referidas no artigo 62.</w:t>
      </w:r>
      <w:r w:rsidRPr="00465964">
        <w:rPr>
          <w:vertAlign w:val="superscript"/>
          <w:lang w:val="pt-PT"/>
        </w:rPr>
        <w:t>o</w:t>
      </w:r>
      <w:r w:rsidRPr="00465964">
        <w:rPr>
          <w:lang w:val="pt-PT"/>
        </w:rPr>
        <w:t>. O pedido de extensão será processado nos termos do artigo 63.</w:t>
      </w:r>
      <w:r w:rsidRPr="00465964">
        <w:rPr>
          <w:vertAlign w:val="superscript"/>
          <w:lang w:val="pt-PT"/>
        </w:rPr>
        <w:t>o</w:t>
      </w:r>
      <w:r w:rsidRPr="00465964">
        <w:rPr>
          <w:lang w:val="pt-PT"/>
        </w:rPr>
        <w:t>.</w:t>
      </w:r>
    </w:p>
    <w:p w14:paraId="179D7C1A" w14:textId="77777777" w:rsidR="00465964" w:rsidRPr="00465964" w:rsidRDefault="00465964" w:rsidP="00465964">
      <w:pPr>
        <w:rPr>
          <w:i/>
          <w:iCs/>
          <w:lang w:val="pt-PT"/>
        </w:rPr>
      </w:pPr>
      <w:r w:rsidRPr="00465964">
        <w:rPr>
          <w:i/>
          <w:iCs/>
          <w:lang w:val="pt-PT"/>
        </w:rPr>
        <w:t>Artigo 60.</w:t>
      </w:r>
      <w:r w:rsidRPr="00465964">
        <w:rPr>
          <w:i/>
          <w:iCs/>
          <w:vertAlign w:val="superscript"/>
          <w:lang w:val="pt-PT"/>
        </w:rPr>
        <w:t>o</w:t>
      </w:r>
    </w:p>
    <w:p w14:paraId="0FAEA034" w14:textId="77777777" w:rsidR="00465964" w:rsidRPr="00465964" w:rsidRDefault="00465964" w:rsidP="00465964">
      <w:pPr>
        <w:rPr>
          <w:b/>
          <w:bCs/>
          <w:lang w:val="pt-PT"/>
        </w:rPr>
      </w:pPr>
      <w:r w:rsidRPr="00465964">
        <w:rPr>
          <w:b/>
          <w:bCs/>
          <w:lang w:val="pt-PT"/>
        </w:rPr>
        <w:t>Prestação de serviços de criptoativos por determinadas entidades financeiras</w:t>
      </w:r>
    </w:p>
    <w:p w14:paraId="3944AB8E" w14:textId="77777777" w:rsidR="00465964" w:rsidRPr="00465964" w:rsidRDefault="00465964" w:rsidP="00465964">
      <w:pPr>
        <w:rPr>
          <w:lang w:val="pt-PT"/>
        </w:rPr>
      </w:pPr>
      <w:r w:rsidRPr="00465964">
        <w:rPr>
          <w:lang w:val="pt-PT"/>
        </w:rPr>
        <w:t xml:space="preserve">1.   Uma instituição de crédito pode prestar serviços de criptoativos se notificar as informações referidas no </w:t>
      </w:r>
      <w:proofErr w:type="spellStart"/>
      <w:r w:rsidRPr="00465964">
        <w:rPr>
          <w:lang w:val="pt-PT"/>
        </w:rPr>
        <w:t>n.</w:t>
      </w:r>
      <w:r w:rsidRPr="00465964">
        <w:rPr>
          <w:vertAlign w:val="superscript"/>
          <w:lang w:val="pt-PT"/>
        </w:rPr>
        <w:t>o</w:t>
      </w:r>
      <w:proofErr w:type="spellEnd"/>
      <w:r w:rsidRPr="00465964">
        <w:rPr>
          <w:lang w:val="pt-PT"/>
        </w:rPr>
        <w:t> 7 à autoridade competente do seu Estado-Membro de origem pelo menos 40 dias úteis antes de prestar esses serviços pela primeira vez.</w:t>
      </w:r>
    </w:p>
    <w:p w14:paraId="1A763710" w14:textId="77777777" w:rsidR="00465964" w:rsidRPr="00465964" w:rsidRDefault="00465964" w:rsidP="00465964">
      <w:pPr>
        <w:rPr>
          <w:lang w:val="pt-PT"/>
        </w:rPr>
      </w:pPr>
      <w:r w:rsidRPr="00465964">
        <w:rPr>
          <w:lang w:val="pt-PT"/>
        </w:rPr>
        <w:t xml:space="preserve">2.   Uma central de valores mobiliários autorizada ao abrigo do Regulamento (UE) </w:t>
      </w:r>
      <w:proofErr w:type="spellStart"/>
      <w:r w:rsidRPr="00465964">
        <w:rPr>
          <w:lang w:val="pt-PT"/>
        </w:rPr>
        <w:t>n.</w:t>
      </w:r>
      <w:r w:rsidRPr="00465964">
        <w:rPr>
          <w:vertAlign w:val="superscript"/>
          <w:lang w:val="pt-PT"/>
        </w:rPr>
        <w:t>o</w:t>
      </w:r>
      <w:proofErr w:type="spellEnd"/>
      <w:r w:rsidRPr="00465964">
        <w:rPr>
          <w:lang w:val="pt-PT"/>
        </w:rPr>
        <w:t> 909/2014 do Parlamento Europeu e do Conselho </w:t>
      </w:r>
      <w:hyperlink r:id="rId52" w:anchor="ntr45-L_2023150PT.01004001-E0045" w:history="1">
        <w:r w:rsidRPr="00465964">
          <w:rPr>
            <w:rStyle w:val="Hyperlink"/>
            <w:lang w:val="pt-PT"/>
          </w:rPr>
          <w:t>(</w:t>
        </w:r>
        <w:r w:rsidRPr="00465964">
          <w:rPr>
            <w:rStyle w:val="Hyperlink"/>
            <w:vertAlign w:val="superscript"/>
            <w:lang w:val="pt-PT"/>
          </w:rPr>
          <w:t>45</w:t>
        </w:r>
        <w:r w:rsidRPr="00465964">
          <w:rPr>
            <w:rStyle w:val="Hyperlink"/>
            <w:lang w:val="pt-PT"/>
          </w:rPr>
          <w:t>)</w:t>
        </w:r>
      </w:hyperlink>
      <w:r w:rsidRPr="00465964">
        <w:rPr>
          <w:lang w:val="pt-PT"/>
        </w:rPr>
        <w:t xml:space="preserve"> só pode proceder à custódia e administração de criptoativos em nome de clientes se notificar as informações referidas no </w:t>
      </w:r>
      <w:proofErr w:type="spellStart"/>
      <w:r w:rsidRPr="00465964">
        <w:rPr>
          <w:lang w:val="pt-PT"/>
        </w:rPr>
        <w:t>n.</w:t>
      </w:r>
      <w:r w:rsidRPr="00465964">
        <w:rPr>
          <w:vertAlign w:val="superscript"/>
          <w:lang w:val="pt-PT"/>
        </w:rPr>
        <w:t>o</w:t>
      </w:r>
      <w:proofErr w:type="spellEnd"/>
      <w:r w:rsidRPr="00465964">
        <w:rPr>
          <w:lang w:val="pt-PT"/>
        </w:rPr>
        <w:t> 7 do presente ao artigo à autoridade competente do Estado-Membro de origem pelo menos 40 dias úteis antes de prestar esses serviços pela primeira vez.</w:t>
      </w:r>
    </w:p>
    <w:p w14:paraId="442B176F" w14:textId="77777777" w:rsidR="00465964" w:rsidRPr="00465964" w:rsidRDefault="00465964" w:rsidP="00465964">
      <w:pPr>
        <w:rPr>
          <w:lang w:val="pt-PT"/>
        </w:rPr>
      </w:pPr>
      <w:r w:rsidRPr="00465964">
        <w:rPr>
          <w:lang w:val="pt-PT"/>
        </w:rPr>
        <w:t xml:space="preserve">Para efeitos do primeiro parágrafo do presente número, a custódia e administração de criptoativos em nome de clientes é considerada equivalente ao fornecimento, manutenção ou gestão de contas de valores mobiliários em relação com o serviço de liquidação a que se refere a secção B, ponto 3, do anexo do Regulamento (UE) </w:t>
      </w:r>
      <w:proofErr w:type="spellStart"/>
      <w:r w:rsidRPr="00465964">
        <w:rPr>
          <w:lang w:val="pt-PT"/>
        </w:rPr>
        <w:t>n.</w:t>
      </w:r>
      <w:r w:rsidRPr="00465964">
        <w:rPr>
          <w:vertAlign w:val="superscript"/>
          <w:lang w:val="pt-PT"/>
        </w:rPr>
        <w:t>o</w:t>
      </w:r>
      <w:proofErr w:type="spellEnd"/>
      <w:r w:rsidRPr="00465964">
        <w:rPr>
          <w:lang w:val="pt-PT"/>
        </w:rPr>
        <w:t> 909/2014.</w:t>
      </w:r>
    </w:p>
    <w:p w14:paraId="442EE71F" w14:textId="77777777" w:rsidR="00465964" w:rsidRPr="00465964" w:rsidRDefault="00465964" w:rsidP="00465964">
      <w:pPr>
        <w:rPr>
          <w:lang w:val="pt-PT"/>
        </w:rPr>
      </w:pPr>
      <w:r w:rsidRPr="00465964">
        <w:rPr>
          <w:lang w:val="pt-PT"/>
        </w:rPr>
        <w:t xml:space="preserve">3.   Uma empresa de investimento pode prestar, na União, serviços de criptoativos equivalentes aos serviços e atividades de investimento para as quais está especificamente autorizada ao abrigo da Diretiva 2014/65/UE se notificar as informações referidas no </w:t>
      </w:r>
      <w:proofErr w:type="spellStart"/>
      <w:r w:rsidRPr="00465964">
        <w:rPr>
          <w:lang w:val="pt-PT"/>
        </w:rPr>
        <w:t>n.</w:t>
      </w:r>
      <w:r w:rsidRPr="00465964">
        <w:rPr>
          <w:vertAlign w:val="superscript"/>
          <w:lang w:val="pt-PT"/>
        </w:rPr>
        <w:t>o</w:t>
      </w:r>
      <w:proofErr w:type="spellEnd"/>
      <w:r w:rsidRPr="00465964">
        <w:rPr>
          <w:lang w:val="pt-PT"/>
        </w:rPr>
        <w:t> 7 do presente artigo à autoridade competente do Estado-Membro de origem pelo menos 40 dias úteis antes de prestar esses serviços pela primeira vez.</w:t>
      </w:r>
    </w:p>
    <w:p w14:paraId="56657C62" w14:textId="77777777" w:rsidR="00465964" w:rsidRPr="00465964" w:rsidRDefault="00465964" w:rsidP="00465964">
      <w:pPr>
        <w:rPr>
          <w:lang w:val="pt-PT"/>
        </w:rPr>
      </w:pPr>
      <w:r w:rsidRPr="00465964">
        <w:rPr>
          <w:lang w:val="pt-PT"/>
        </w:rPr>
        <w:t>Para efeitos do presente número:</w:t>
      </w:r>
    </w:p>
    <w:tbl>
      <w:tblPr>
        <w:tblW w:w="5000" w:type="pct"/>
        <w:tblCellMar>
          <w:left w:w="0" w:type="dxa"/>
          <w:right w:w="0" w:type="dxa"/>
        </w:tblCellMar>
        <w:tblLook w:val="04A0" w:firstRow="1" w:lastRow="0" w:firstColumn="1" w:lastColumn="0" w:noHBand="0" w:noVBand="1"/>
      </w:tblPr>
      <w:tblGrid>
        <w:gridCol w:w="182"/>
        <w:gridCol w:w="8844"/>
      </w:tblGrid>
      <w:tr w:rsidR="00465964" w:rsidRPr="00465964" w14:paraId="11370F96" w14:textId="77777777" w:rsidTr="00465964">
        <w:tc>
          <w:tcPr>
            <w:tcW w:w="0" w:type="auto"/>
            <w:shd w:val="clear" w:color="auto" w:fill="auto"/>
            <w:hideMark/>
          </w:tcPr>
          <w:p w14:paraId="0E619991" w14:textId="77777777" w:rsidR="00465964" w:rsidRPr="00465964" w:rsidRDefault="00465964" w:rsidP="00465964">
            <w:r w:rsidRPr="00465964">
              <w:t>a)</w:t>
            </w:r>
          </w:p>
        </w:tc>
        <w:tc>
          <w:tcPr>
            <w:tcW w:w="0" w:type="auto"/>
            <w:shd w:val="clear" w:color="auto" w:fill="auto"/>
            <w:hideMark/>
          </w:tcPr>
          <w:p w14:paraId="514CFA9C" w14:textId="77777777" w:rsidR="00465964" w:rsidRPr="00465964" w:rsidRDefault="00465964" w:rsidP="00465964">
            <w:pPr>
              <w:rPr>
                <w:lang w:val="pt-PT"/>
              </w:rPr>
            </w:pPr>
            <w:r w:rsidRPr="00465964">
              <w:rPr>
                <w:lang w:val="pt-PT"/>
              </w:rPr>
              <w:t>A custódia e administração de criptoativos em nome de clientes é considerada equivalente ao serviço auxiliar a que se refere a secção B, ponto 1, do anexo I da Diretiva 2014/65/UE;</w:t>
            </w:r>
          </w:p>
        </w:tc>
      </w:tr>
    </w:tbl>
    <w:p w14:paraId="085DA9F7"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8"/>
        <w:gridCol w:w="8838"/>
      </w:tblGrid>
      <w:tr w:rsidR="00465964" w:rsidRPr="00465964" w14:paraId="7DF0B8C6" w14:textId="77777777" w:rsidTr="00465964">
        <w:tc>
          <w:tcPr>
            <w:tcW w:w="0" w:type="auto"/>
            <w:shd w:val="clear" w:color="auto" w:fill="auto"/>
            <w:hideMark/>
          </w:tcPr>
          <w:p w14:paraId="0C4E0C40" w14:textId="77777777" w:rsidR="00465964" w:rsidRPr="00465964" w:rsidRDefault="00465964" w:rsidP="00465964">
            <w:r w:rsidRPr="00465964">
              <w:t>b)</w:t>
            </w:r>
          </w:p>
        </w:tc>
        <w:tc>
          <w:tcPr>
            <w:tcW w:w="0" w:type="auto"/>
            <w:shd w:val="clear" w:color="auto" w:fill="auto"/>
            <w:hideMark/>
          </w:tcPr>
          <w:p w14:paraId="2938AA79" w14:textId="77777777" w:rsidR="00465964" w:rsidRPr="00465964" w:rsidRDefault="00465964" w:rsidP="00465964">
            <w:pPr>
              <w:rPr>
                <w:lang w:val="pt-PT"/>
              </w:rPr>
            </w:pPr>
            <w:r w:rsidRPr="00465964">
              <w:rPr>
                <w:lang w:val="pt-PT"/>
              </w:rPr>
              <w:t>A operação de uma plataforma de negociação de criptoativos é considerada equivalente à operação de um sistema de negociação multilateral e à operação de um sistema de negociação organizado a que se refere a secção A, pontos 8 e 9, respetivamente, do anexo I da Diretiva 2014/65/UE;</w:t>
            </w:r>
          </w:p>
        </w:tc>
      </w:tr>
    </w:tbl>
    <w:p w14:paraId="16ED7573"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0"/>
        <w:gridCol w:w="8846"/>
      </w:tblGrid>
      <w:tr w:rsidR="00465964" w:rsidRPr="00465964" w14:paraId="3FEA626A" w14:textId="77777777" w:rsidTr="00465964">
        <w:tc>
          <w:tcPr>
            <w:tcW w:w="0" w:type="auto"/>
            <w:shd w:val="clear" w:color="auto" w:fill="auto"/>
            <w:hideMark/>
          </w:tcPr>
          <w:p w14:paraId="2EBF7773" w14:textId="77777777" w:rsidR="00465964" w:rsidRPr="00465964" w:rsidRDefault="00465964" w:rsidP="00465964">
            <w:r w:rsidRPr="00465964">
              <w:t>c)</w:t>
            </w:r>
          </w:p>
        </w:tc>
        <w:tc>
          <w:tcPr>
            <w:tcW w:w="0" w:type="auto"/>
            <w:shd w:val="clear" w:color="auto" w:fill="auto"/>
            <w:hideMark/>
          </w:tcPr>
          <w:p w14:paraId="025632E0" w14:textId="77777777" w:rsidR="00465964" w:rsidRPr="00465964" w:rsidRDefault="00465964" w:rsidP="00465964">
            <w:pPr>
              <w:rPr>
                <w:lang w:val="pt-PT"/>
              </w:rPr>
            </w:pPr>
            <w:r w:rsidRPr="00465964">
              <w:rPr>
                <w:lang w:val="pt-PT"/>
              </w:rPr>
              <w:t>A troca de criptoativos por fundos e por outros criptoativos é considerada equivalente à negociação por conta própria a que se refere a secção A, ponto 3, do anexo I da Diretiva 2014/65/UE;</w:t>
            </w:r>
          </w:p>
        </w:tc>
      </w:tr>
    </w:tbl>
    <w:p w14:paraId="1DCE4857"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8"/>
        <w:gridCol w:w="8838"/>
      </w:tblGrid>
      <w:tr w:rsidR="00465964" w:rsidRPr="00465964" w14:paraId="4BB7D9DB" w14:textId="77777777" w:rsidTr="00465964">
        <w:tc>
          <w:tcPr>
            <w:tcW w:w="0" w:type="auto"/>
            <w:shd w:val="clear" w:color="auto" w:fill="auto"/>
            <w:hideMark/>
          </w:tcPr>
          <w:p w14:paraId="0DB9F532" w14:textId="77777777" w:rsidR="00465964" w:rsidRPr="00465964" w:rsidRDefault="00465964" w:rsidP="00465964">
            <w:r w:rsidRPr="00465964">
              <w:lastRenderedPageBreak/>
              <w:t>d)</w:t>
            </w:r>
          </w:p>
        </w:tc>
        <w:tc>
          <w:tcPr>
            <w:tcW w:w="0" w:type="auto"/>
            <w:shd w:val="clear" w:color="auto" w:fill="auto"/>
            <w:hideMark/>
          </w:tcPr>
          <w:p w14:paraId="32002C7F" w14:textId="77777777" w:rsidR="00465964" w:rsidRPr="00465964" w:rsidRDefault="00465964" w:rsidP="00465964">
            <w:pPr>
              <w:rPr>
                <w:lang w:val="pt-PT"/>
              </w:rPr>
            </w:pPr>
            <w:r w:rsidRPr="00465964">
              <w:rPr>
                <w:lang w:val="pt-PT"/>
              </w:rPr>
              <w:t>A execução de ordens relativas a criptoativos em nome de clientes é considerada equivalente à execução de ordens em nome de clientes a que se refere a secção A, ponto 2, do anexo I da Diretiva 2014/65/UE;</w:t>
            </w:r>
          </w:p>
        </w:tc>
      </w:tr>
    </w:tbl>
    <w:p w14:paraId="672D789A"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1"/>
        <w:gridCol w:w="8845"/>
      </w:tblGrid>
      <w:tr w:rsidR="00465964" w:rsidRPr="00465964" w14:paraId="2B71D882" w14:textId="77777777" w:rsidTr="00465964">
        <w:tc>
          <w:tcPr>
            <w:tcW w:w="0" w:type="auto"/>
            <w:shd w:val="clear" w:color="auto" w:fill="auto"/>
            <w:hideMark/>
          </w:tcPr>
          <w:p w14:paraId="5678A82D" w14:textId="77777777" w:rsidR="00465964" w:rsidRPr="00465964" w:rsidRDefault="00465964" w:rsidP="00465964">
            <w:r w:rsidRPr="00465964">
              <w:t>e)</w:t>
            </w:r>
          </w:p>
        </w:tc>
        <w:tc>
          <w:tcPr>
            <w:tcW w:w="0" w:type="auto"/>
            <w:shd w:val="clear" w:color="auto" w:fill="auto"/>
            <w:hideMark/>
          </w:tcPr>
          <w:p w14:paraId="6DD8A654" w14:textId="77777777" w:rsidR="00465964" w:rsidRPr="00465964" w:rsidRDefault="00465964" w:rsidP="00465964">
            <w:pPr>
              <w:rPr>
                <w:lang w:val="pt-PT"/>
              </w:rPr>
            </w:pPr>
            <w:r w:rsidRPr="00465964">
              <w:rPr>
                <w:lang w:val="pt-PT"/>
              </w:rPr>
              <w:t>A colocação de criptoativos é considerada equivalente à tomada firme ou colocação de instrumentos financeiros com garantia e à colocação de instrumentos financeiros sem garantia a que se refere a secção A, pontos 6 e 7, respetivamente, do anexo I da Diretiva 2014/65/UE;</w:t>
            </w:r>
          </w:p>
        </w:tc>
      </w:tr>
    </w:tbl>
    <w:p w14:paraId="498BAD98"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36"/>
        <w:gridCol w:w="8890"/>
      </w:tblGrid>
      <w:tr w:rsidR="00465964" w:rsidRPr="00465964" w14:paraId="65ECEFC5" w14:textId="77777777" w:rsidTr="00465964">
        <w:tc>
          <w:tcPr>
            <w:tcW w:w="0" w:type="auto"/>
            <w:shd w:val="clear" w:color="auto" w:fill="auto"/>
            <w:hideMark/>
          </w:tcPr>
          <w:p w14:paraId="0E8F8D2B" w14:textId="77777777" w:rsidR="00465964" w:rsidRPr="00465964" w:rsidRDefault="00465964" w:rsidP="00465964">
            <w:r w:rsidRPr="00465964">
              <w:t>f)</w:t>
            </w:r>
          </w:p>
        </w:tc>
        <w:tc>
          <w:tcPr>
            <w:tcW w:w="0" w:type="auto"/>
            <w:shd w:val="clear" w:color="auto" w:fill="auto"/>
            <w:hideMark/>
          </w:tcPr>
          <w:p w14:paraId="34276225" w14:textId="77777777" w:rsidR="00465964" w:rsidRPr="00465964" w:rsidRDefault="00465964" w:rsidP="00465964">
            <w:pPr>
              <w:rPr>
                <w:lang w:val="pt-PT"/>
              </w:rPr>
            </w:pPr>
            <w:r w:rsidRPr="00465964">
              <w:rPr>
                <w:lang w:val="pt-PT"/>
              </w:rPr>
              <w:t>A receção e transmissão de ordens relativas a criptoativos em nome de clientes é considerada equivalente à receção e transmissão de ordens relativas a um ou mais instrumentos financeiros a que se refere a secção A, ponto 1, do anexo I da Diretiva 2014/65/UE;</w:t>
            </w:r>
          </w:p>
        </w:tc>
      </w:tr>
    </w:tbl>
    <w:p w14:paraId="4DB73999"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74"/>
        <w:gridCol w:w="8852"/>
      </w:tblGrid>
      <w:tr w:rsidR="00465964" w:rsidRPr="00465964" w14:paraId="22788B19" w14:textId="77777777" w:rsidTr="00465964">
        <w:tc>
          <w:tcPr>
            <w:tcW w:w="0" w:type="auto"/>
            <w:shd w:val="clear" w:color="auto" w:fill="auto"/>
            <w:hideMark/>
          </w:tcPr>
          <w:p w14:paraId="0929850B" w14:textId="77777777" w:rsidR="00465964" w:rsidRPr="00465964" w:rsidRDefault="00465964" w:rsidP="00465964">
            <w:r w:rsidRPr="00465964">
              <w:t>g)</w:t>
            </w:r>
          </w:p>
        </w:tc>
        <w:tc>
          <w:tcPr>
            <w:tcW w:w="0" w:type="auto"/>
            <w:shd w:val="clear" w:color="auto" w:fill="auto"/>
            <w:hideMark/>
          </w:tcPr>
          <w:p w14:paraId="18E19E09" w14:textId="77777777" w:rsidR="00465964" w:rsidRPr="00465964" w:rsidRDefault="00465964" w:rsidP="00465964">
            <w:pPr>
              <w:rPr>
                <w:lang w:val="pt-PT"/>
              </w:rPr>
            </w:pPr>
            <w:r w:rsidRPr="00465964">
              <w:rPr>
                <w:lang w:val="pt-PT"/>
              </w:rPr>
              <w:t>A consultoria sobre criptoativos é considerada equivalente à consultoria para investimento a que se refere a secção A, ponto 5, do anexo I da Diretiva 2014/65/UE;</w:t>
            </w:r>
          </w:p>
        </w:tc>
      </w:tr>
    </w:tbl>
    <w:p w14:paraId="057D1108"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6"/>
        <w:gridCol w:w="8840"/>
      </w:tblGrid>
      <w:tr w:rsidR="00465964" w:rsidRPr="00465964" w14:paraId="4466408E" w14:textId="77777777" w:rsidTr="00465964">
        <w:tc>
          <w:tcPr>
            <w:tcW w:w="0" w:type="auto"/>
            <w:shd w:val="clear" w:color="auto" w:fill="auto"/>
            <w:hideMark/>
          </w:tcPr>
          <w:p w14:paraId="2A03164E" w14:textId="77777777" w:rsidR="00465964" w:rsidRPr="00465964" w:rsidRDefault="00465964" w:rsidP="00465964">
            <w:r w:rsidRPr="00465964">
              <w:t>h)</w:t>
            </w:r>
          </w:p>
        </w:tc>
        <w:tc>
          <w:tcPr>
            <w:tcW w:w="0" w:type="auto"/>
            <w:shd w:val="clear" w:color="auto" w:fill="auto"/>
            <w:hideMark/>
          </w:tcPr>
          <w:p w14:paraId="537B833B" w14:textId="77777777" w:rsidR="00465964" w:rsidRPr="00465964" w:rsidRDefault="00465964" w:rsidP="00465964">
            <w:pPr>
              <w:rPr>
                <w:lang w:val="pt-PT"/>
              </w:rPr>
            </w:pPr>
            <w:r w:rsidRPr="00465964">
              <w:rPr>
                <w:lang w:val="pt-PT"/>
              </w:rPr>
              <w:t>A prestação de serviços de gestão de criptoativos é considerada equivalente à gestão de carteiras a que se refere a secção A, ponto 4, do anexo I da Diretiva 2014/65/UE.</w:t>
            </w:r>
          </w:p>
        </w:tc>
      </w:tr>
    </w:tbl>
    <w:p w14:paraId="21C7646D" w14:textId="6C1CA03E" w:rsidR="00465964" w:rsidRPr="00465964" w:rsidRDefault="00465964" w:rsidP="00465964">
      <w:pPr>
        <w:rPr>
          <w:lang w:val="pt-PT"/>
        </w:rPr>
      </w:pPr>
      <w:r w:rsidRPr="00465964">
        <w:rPr>
          <w:lang w:val="pt-PT"/>
        </w:rPr>
        <w:t xml:space="preserve">4.   Uma instituição de moeda eletrónica autorizada ao abrigo da Diretiva 2009/110/CE só pode proceder à custódia e administração de criptoativos em nome de clientes e prestar serviços de transferência de criptoativos em nome de clientes no que diz respeito às </w:t>
      </w:r>
      <w:r>
        <w:rPr>
          <w:lang w:val="pt-PT"/>
        </w:rPr>
        <w:t>criptomoedas</w:t>
      </w:r>
      <w:r w:rsidRPr="00465964">
        <w:rPr>
          <w:lang w:val="pt-PT"/>
        </w:rPr>
        <w:t xml:space="preserve"> de moeda eletrónica que emite se notificar as informações referidas no </w:t>
      </w:r>
      <w:proofErr w:type="spellStart"/>
      <w:r w:rsidRPr="00465964">
        <w:rPr>
          <w:lang w:val="pt-PT"/>
        </w:rPr>
        <w:t>n.</w:t>
      </w:r>
      <w:r w:rsidRPr="00465964">
        <w:rPr>
          <w:vertAlign w:val="superscript"/>
          <w:lang w:val="pt-PT"/>
        </w:rPr>
        <w:t>o</w:t>
      </w:r>
      <w:proofErr w:type="spellEnd"/>
      <w:r w:rsidRPr="00465964">
        <w:rPr>
          <w:lang w:val="pt-PT"/>
        </w:rPr>
        <w:t> 7 do presente artigo à autoridade competente do Estado-Membro de origem pelo menos 40 dias úteis antes de prestar esses serviços pela primeira vez.</w:t>
      </w:r>
    </w:p>
    <w:p w14:paraId="79645F18" w14:textId="77777777" w:rsidR="00465964" w:rsidRPr="00465964" w:rsidRDefault="00465964" w:rsidP="00465964">
      <w:pPr>
        <w:rPr>
          <w:lang w:val="pt-PT"/>
        </w:rPr>
      </w:pPr>
      <w:r w:rsidRPr="00465964">
        <w:rPr>
          <w:lang w:val="pt-PT"/>
        </w:rPr>
        <w:t xml:space="preserve">5.   Uma sociedade gestora de OICVM ou um gestor de fundos de investimento alternativos pode prestar serviços de criptoativos equivalentes aos serviços de gestão de carteiras de investimento e a serviços acessórios para os quais está autorizada ao abrigo da Diretiva 2009/65/CE ou da Diretiva 2011/61/UE se notificar as informações referidas no </w:t>
      </w:r>
      <w:proofErr w:type="spellStart"/>
      <w:r w:rsidRPr="00465964">
        <w:rPr>
          <w:lang w:val="pt-PT"/>
        </w:rPr>
        <w:t>n.</w:t>
      </w:r>
      <w:r w:rsidRPr="00465964">
        <w:rPr>
          <w:vertAlign w:val="superscript"/>
          <w:lang w:val="pt-PT"/>
        </w:rPr>
        <w:t>o</w:t>
      </w:r>
      <w:proofErr w:type="spellEnd"/>
      <w:r w:rsidRPr="00465964">
        <w:rPr>
          <w:lang w:val="pt-PT"/>
        </w:rPr>
        <w:t> 7 do presente artigo à autoridade competente do Estado-Membro de origem pelo menos 40 dias úteis antes de prestar esses serviços pela primeira vez.</w:t>
      </w:r>
    </w:p>
    <w:p w14:paraId="1AA11016" w14:textId="77777777" w:rsidR="00465964" w:rsidRPr="00465964" w:rsidRDefault="00465964" w:rsidP="00465964">
      <w:pPr>
        <w:rPr>
          <w:lang w:val="pt-PT"/>
        </w:rPr>
      </w:pPr>
      <w:r w:rsidRPr="00465964">
        <w:rPr>
          <w:lang w:val="pt-PT"/>
        </w:rPr>
        <w:t>Para efeitos do presente número:</w:t>
      </w:r>
    </w:p>
    <w:tbl>
      <w:tblPr>
        <w:tblW w:w="5000" w:type="pct"/>
        <w:tblCellMar>
          <w:left w:w="0" w:type="dxa"/>
          <w:right w:w="0" w:type="dxa"/>
        </w:tblCellMar>
        <w:tblLook w:val="04A0" w:firstRow="1" w:lastRow="0" w:firstColumn="1" w:lastColumn="0" w:noHBand="0" w:noVBand="1"/>
      </w:tblPr>
      <w:tblGrid>
        <w:gridCol w:w="182"/>
        <w:gridCol w:w="8844"/>
      </w:tblGrid>
      <w:tr w:rsidR="00465964" w:rsidRPr="00465964" w14:paraId="31D41110" w14:textId="77777777" w:rsidTr="00465964">
        <w:tc>
          <w:tcPr>
            <w:tcW w:w="0" w:type="auto"/>
            <w:shd w:val="clear" w:color="auto" w:fill="auto"/>
            <w:hideMark/>
          </w:tcPr>
          <w:p w14:paraId="2FF2D2EA" w14:textId="77777777" w:rsidR="00465964" w:rsidRPr="00465964" w:rsidRDefault="00465964" w:rsidP="00465964">
            <w:r w:rsidRPr="00465964">
              <w:t>a)</w:t>
            </w:r>
          </w:p>
        </w:tc>
        <w:tc>
          <w:tcPr>
            <w:tcW w:w="0" w:type="auto"/>
            <w:shd w:val="clear" w:color="auto" w:fill="auto"/>
            <w:hideMark/>
          </w:tcPr>
          <w:p w14:paraId="11923A52" w14:textId="77777777" w:rsidR="00465964" w:rsidRPr="00465964" w:rsidRDefault="00465964" w:rsidP="00465964">
            <w:pPr>
              <w:rPr>
                <w:lang w:val="pt-PT"/>
              </w:rPr>
            </w:pPr>
            <w:r w:rsidRPr="00465964">
              <w:rPr>
                <w:lang w:val="pt-PT"/>
              </w:rPr>
              <w:t>A receção e transmissão de ordens relativas a criptoativos em nome de clientes é considerada equivalente à receção e transmissão de ordens relativas a um ou mais instrumentos financeiros a que se refere o artigo 6.</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xml:space="preserve"> 4, alínea b), subalínea </w:t>
            </w:r>
            <w:proofErr w:type="spellStart"/>
            <w:r w:rsidRPr="00465964">
              <w:rPr>
                <w:lang w:val="pt-PT"/>
              </w:rPr>
              <w:t>iii</w:t>
            </w:r>
            <w:proofErr w:type="spellEnd"/>
            <w:r w:rsidRPr="00465964">
              <w:rPr>
                <w:lang w:val="pt-PT"/>
              </w:rPr>
              <w:t>), da Diretiva 2011/61/UE;</w:t>
            </w:r>
          </w:p>
        </w:tc>
      </w:tr>
    </w:tbl>
    <w:p w14:paraId="2F9F7246"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8"/>
        <w:gridCol w:w="8838"/>
      </w:tblGrid>
      <w:tr w:rsidR="00465964" w:rsidRPr="00465964" w14:paraId="2A2D5212" w14:textId="77777777" w:rsidTr="00465964">
        <w:tc>
          <w:tcPr>
            <w:tcW w:w="0" w:type="auto"/>
            <w:shd w:val="clear" w:color="auto" w:fill="auto"/>
            <w:hideMark/>
          </w:tcPr>
          <w:p w14:paraId="12EFAAA5" w14:textId="77777777" w:rsidR="00465964" w:rsidRPr="00465964" w:rsidRDefault="00465964" w:rsidP="00465964">
            <w:r w:rsidRPr="00465964">
              <w:t>b)</w:t>
            </w:r>
          </w:p>
        </w:tc>
        <w:tc>
          <w:tcPr>
            <w:tcW w:w="0" w:type="auto"/>
            <w:shd w:val="clear" w:color="auto" w:fill="auto"/>
            <w:hideMark/>
          </w:tcPr>
          <w:p w14:paraId="0F722CCC" w14:textId="77777777" w:rsidR="00465964" w:rsidRPr="00465964" w:rsidRDefault="00465964" w:rsidP="00465964">
            <w:pPr>
              <w:rPr>
                <w:lang w:val="pt-PT"/>
              </w:rPr>
            </w:pPr>
            <w:r w:rsidRPr="00465964">
              <w:rPr>
                <w:lang w:val="pt-PT"/>
              </w:rPr>
              <w:t>A consultoria sobre criptoativos é considerada equivalente à consultoria para investimento a que se refere o artigo 6.</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4, alínea b), subalínea i), da Diretiva 2011/61/UE e o artigo 6.</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3, alínea b), subalínea i), da Diretiva 2009/65/CE;</w:t>
            </w:r>
          </w:p>
        </w:tc>
      </w:tr>
    </w:tbl>
    <w:p w14:paraId="27B24CB7"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0"/>
        <w:gridCol w:w="8846"/>
      </w:tblGrid>
      <w:tr w:rsidR="00465964" w:rsidRPr="00465964" w14:paraId="04A34957" w14:textId="77777777" w:rsidTr="00465964">
        <w:tc>
          <w:tcPr>
            <w:tcW w:w="0" w:type="auto"/>
            <w:shd w:val="clear" w:color="auto" w:fill="auto"/>
            <w:hideMark/>
          </w:tcPr>
          <w:p w14:paraId="7E35C997" w14:textId="77777777" w:rsidR="00465964" w:rsidRPr="00465964" w:rsidRDefault="00465964" w:rsidP="00465964">
            <w:r w:rsidRPr="00465964">
              <w:t>c)</w:t>
            </w:r>
          </w:p>
        </w:tc>
        <w:tc>
          <w:tcPr>
            <w:tcW w:w="0" w:type="auto"/>
            <w:shd w:val="clear" w:color="auto" w:fill="auto"/>
            <w:hideMark/>
          </w:tcPr>
          <w:p w14:paraId="7083A023" w14:textId="77777777" w:rsidR="00465964" w:rsidRPr="00465964" w:rsidRDefault="00465964" w:rsidP="00465964">
            <w:pPr>
              <w:rPr>
                <w:lang w:val="pt-PT"/>
              </w:rPr>
            </w:pPr>
            <w:r w:rsidRPr="00465964">
              <w:rPr>
                <w:lang w:val="pt-PT"/>
              </w:rPr>
              <w:t>A prestação de serviços de gestão de carteiras de criptoativos é considerada equivalente aos serviços a que se refere o artigo 6.</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4, alínea a), da Diretiva 2011/61/UE e o artigo 6.</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3, alínea a), da Diretiva 2009/65/CE.</w:t>
            </w:r>
          </w:p>
        </w:tc>
      </w:tr>
    </w:tbl>
    <w:p w14:paraId="0741545E" w14:textId="77777777" w:rsidR="00465964" w:rsidRPr="00465964" w:rsidRDefault="00465964" w:rsidP="00465964">
      <w:pPr>
        <w:rPr>
          <w:lang w:val="pt-PT"/>
        </w:rPr>
      </w:pPr>
      <w:r w:rsidRPr="00465964">
        <w:rPr>
          <w:lang w:val="pt-PT"/>
        </w:rPr>
        <w:t xml:space="preserve">6.   Um operador do mercado autorizado ao abrigo da Diretiva 2014/65/UE pode operar uma plataforma de negociação de criptoativos se notificar as informações referidas no </w:t>
      </w:r>
      <w:proofErr w:type="spellStart"/>
      <w:r w:rsidRPr="00465964">
        <w:rPr>
          <w:lang w:val="pt-PT"/>
        </w:rPr>
        <w:t>n.</w:t>
      </w:r>
      <w:r w:rsidRPr="00465964">
        <w:rPr>
          <w:vertAlign w:val="superscript"/>
          <w:lang w:val="pt-PT"/>
        </w:rPr>
        <w:t>o</w:t>
      </w:r>
      <w:proofErr w:type="spellEnd"/>
      <w:r w:rsidRPr="00465964">
        <w:rPr>
          <w:lang w:val="pt-PT"/>
        </w:rPr>
        <w:t> 7 do presente artigo à autoridade competente do Estado-Membro de origem pelo menos 40 dia úteis antes de prestar esses serviços pela primeira vez.</w:t>
      </w:r>
    </w:p>
    <w:p w14:paraId="704E51BE" w14:textId="77777777" w:rsidR="00465964" w:rsidRPr="00465964" w:rsidRDefault="00465964" w:rsidP="00465964">
      <w:pPr>
        <w:rPr>
          <w:lang w:val="pt-PT"/>
        </w:rPr>
      </w:pPr>
      <w:r w:rsidRPr="00465964">
        <w:rPr>
          <w:lang w:val="pt-PT"/>
        </w:rPr>
        <w:lastRenderedPageBreak/>
        <w:t xml:space="preserve">7.   Para efeitos dos </w:t>
      </w:r>
      <w:proofErr w:type="spellStart"/>
      <w:proofErr w:type="gramStart"/>
      <w:r w:rsidRPr="00465964">
        <w:rPr>
          <w:lang w:val="pt-PT"/>
        </w:rPr>
        <w:t>n.</w:t>
      </w:r>
      <w:r w:rsidRPr="00465964">
        <w:rPr>
          <w:vertAlign w:val="superscript"/>
          <w:lang w:val="pt-PT"/>
        </w:rPr>
        <w:t>os</w:t>
      </w:r>
      <w:proofErr w:type="spellEnd"/>
      <w:proofErr w:type="gramEnd"/>
      <w:r w:rsidRPr="00465964">
        <w:rPr>
          <w:lang w:val="pt-PT"/>
        </w:rPr>
        <w:t> 1 a 6, as seguintes informações são objeto de notificação:</w:t>
      </w:r>
    </w:p>
    <w:tbl>
      <w:tblPr>
        <w:tblW w:w="5000" w:type="pct"/>
        <w:tblCellMar>
          <w:left w:w="0" w:type="dxa"/>
          <w:right w:w="0" w:type="dxa"/>
        </w:tblCellMar>
        <w:tblLook w:val="04A0" w:firstRow="1" w:lastRow="0" w:firstColumn="1" w:lastColumn="0" w:noHBand="0" w:noVBand="1"/>
      </w:tblPr>
      <w:tblGrid>
        <w:gridCol w:w="182"/>
        <w:gridCol w:w="8844"/>
      </w:tblGrid>
      <w:tr w:rsidR="00465964" w:rsidRPr="00465964" w14:paraId="64A1DABF" w14:textId="77777777" w:rsidTr="00465964">
        <w:tc>
          <w:tcPr>
            <w:tcW w:w="0" w:type="auto"/>
            <w:shd w:val="clear" w:color="auto" w:fill="auto"/>
            <w:hideMark/>
          </w:tcPr>
          <w:p w14:paraId="07A2DDB0" w14:textId="77777777" w:rsidR="00465964" w:rsidRPr="00465964" w:rsidRDefault="00465964" w:rsidP="00465964">
            <w:r w:rsidRPr="00465964">
              <w:t>a)</w:t>
            </w:r>
          </w:p>
        </w:tc>
        <w:tc>
          <w:tcPr>
            <w:tcW w:w="0" w:type="auto"/>
            <w:shd w:val="clear" w:color="auto" w:fill="auto"/>
            <w:hideMark/>
          </w:tcPr>
          <w:p w14:paraId="0E1F5F90" w14:textId="77777777" w:rsidR="00465964" w:rsidRPr="00465964" w:rsidRDefault="00465964" w:rsidP="00465964">
            <w:pPr>
              <w:rPr>
                <w:lang w:val="pt-PT"/>
              </w:rPr>
            </w:pPr>
            <w:r w:rsidRPr="00465964">
              <w:rPr>
                <w:lang w:val="pt-PT"/>
              </w:rPr>
              <w:t>Um programa de atividades que indique os tipos de serviços de criptoativos que o prestador de serviços de criptoativos requerente pretende prestar, incluindo onde e como esses serviços serão comercializados;</w:t>
            </w:r>
          </w:p>
        </w:tc>
      </w:tr>
    </w:tbl>
    <w:p w14:paraId="3051BD82"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8"/>
        <w:gridCol w:w="8838"/>
      </w:tblGrid>
      <w:tr w:rsidR="00465964" w:rsidRPr="00465964" w14:paraId="70191BF3" w14:textId="77777777" w:rsidTr="00465964">
        <w:tc>
          <w:tcPr>
            <w:tcW w:w="0" w:type="auto"/>
            <w:shd w:val="clear" w:color="auto" w:fill="auto"/>
            <w:hideMark/>
          </w:tcPr>
          <w:p w14:paraId="4AE00230" w14:textId="77777777" w:rsidR="00465964" w:rsidRPr="00465964" w:rsidRDefault="00465964" w:rsidP="00465964">
            <w:r w:rsidRPr="00465964">
              <w:t>b)</w:t>
            </w:r>
          </w:p>
        </w:tc>
        <w:tc>
          <w:tcPr>
            <w:tcW w:w="0" w:type="auto"/>
            <w:shd w:val="clear" w:color="auto" w:fill="auto"/>
            <w:hideMark/>
          </w:tcPr>
          <w:p w14:paraId="0EC0BCBD" w14:textId="77777777" w:rsidR="00465964" w:rsidRPr="00465964" w:rsidRDefault="00465964" w:rsidP="00465964">
            <w:r w:rsidRPr="00465964">
              <w:t xml:space="preserve">Uma </w:t>
            </w:r>
            <w:proofErr w:type="spellStart"/>
            <w:r w:rsidRPr="00465964">
              <w:t>descrição</w:t>
            </w:r>
            <w:proofErr w:type="spellEnd"/>
            <w:r w:rsidRPr="00465964">
              <w:t>:</w:t>
            </w:r>
          </w:p>
          <w:tbl>
            <w:tblPr>
              <w:tblW w:w="5000" w:type="pct"/>
              <w:tblCellMar>
                <w:left w:w="0" w:type="dxa"/>
                <w:right w:w="0" w:type="dxa"/>
              </w:tblCellMar>
              <w:tblLook w:val="04A0" w:firstRow="1" w:lastRow="0" w:firstColumn="1" w:lastColumn="0" w:noHBand="0" w:noVBand="1"/>
            </w:tblPr>
            <w:tblGrid>
              <w:gridCol w:w="117"/>
              <w:gridCol w:w="8721"/>
            </w:tblGrid>
            <w:tr w:rsidR="00465964" w:rsidRPr="00465964" w14:paraId="2F99D6DF" w14:textId="77777777">
              <w:tc>
                <w:tcPr>
                  <w:tcW w:w="0" w:type="auto"/>
                  <w:shd w:val="clear" w:color="auto" w:fill="auto"/>
                  <w:hideMark/>
                </w:tcPr>
                <w:p w14:paraId="13155536" w14:textId="77777777" w:rsidR="00465964" w:rsidRPr="00465964" w:rsidRDefault="00465964" w:rsidP="00465964">
                  <w:proofErr w:type="spellStart"/>
                  <w:r w:rsidRPr="00465964">
                    <w:t>i</w:t>
                  </w:r>
                  <w:proofErr w:type="spellEnd"/>
                  <w:r w:rsidRPr="00465964">
                    <w:t>)</w:t>
                  </w:r>
                </w:p>
              </w:tc>
              <w:tc>
                <w:tcPr>
                  <w:tcW w:w="0" w:type="auto"/>
                  <w:shd w:val="clear" w:color="auto" w:fill="auto"/>
                  <w:hideMark/>
                </w:tcPr>
                <w:p w14:paraId="3472B516" w14:textId="77777777" w:rsidR="00465964" w:rsidRPr="00465964" w:rsidRDefault="00465964" w:rsidP="00465964">
                  <w:pPr>
                    <w:rPr>
                      <w:lang w:val="pt-PT"/>
                    </w:rPr>
                  </w:pPr>
                  <w:r w:rsidRPr="00465964">
                    <w:rPr>
                      <w:lang w:val="pt-PT"/>
                    </w:rPr>
                    <w:t>dos mecanismos de controlo interno, das políticas e dos procedimentos destinados a assegurar a conformidade com as disposições de direito nacional que transpõem a Diretiva (UE) 2015/849,</w:t>
                  </w:r>
                </w:p>
              </w:tc>
            </w:tr>
          </w:tbl>
          <w:p w14:paraId="3BD50699"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70"/>
              <w:gridCol w:w="8668"/>
            </w:tblGrid>
            <w:tr w:rsidR="00465964" w:rsidRPr="00465964" w14:paraId="22264413" w14:textId="77777777">
              <w:tc>
                <w:tcPr>
                  <w:tcW w:w="0" w:type="auto"/>
                  <w:shd w:val="clear" w:color="auto" w:fill="auto"/>
                  <w:hideMark/>
                </w:tcPr>
                <w:p w14:paraId="766AF066" w14:textId="77777777" w:rsidR="00465964" w:rsidRPr="00465964" w:rsidRDefault="00465964" w:rsidP="00465964">
                  <w:r w:rsidRPr="00465964">
                    <w:t>ii)</w:t>
                  </w:r>
                </w:p>
              </w:tc>
              <w:tc>
                <w:tcPr>
                  <w:tcW w:w="0" w:type="auto"/>
                  <w:shd w:val="clear" w:color="auto" w:fill="auto"/>
                  <w:hideMark/>
                </w:tcPr>
                <w:p w14:paraId="7F956A91" w14:textId="77777777" w:rsidR="00465964" w:rsidRPr="00465964" w:rsidRDefault="00465964" w:rsidP="00465964">
                  <w:pPr>
                    <w:rPr>
                      <w:lang w:val="pt-PT"/>
                    </w:rPr>
                  </w:pPr>
                  <w:r w:rsidRPr="00465964">
                    <w:rPr>
                      <w:lang w:val="pt-PT"/>
                    </w:rPr>
                    <w:t>do quadro de avaliação do risco para a gestão dos riscos de branqueamento de capitais e de financiamento do terrorismo, e</w:t>
                  </w:r>
                </w:p>
              </w:tc>
            </w:tr>
          </w:tbl>
          <w:p w14:paraId="310E4912"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479"/>
              <w:gridCol w:w="8359"/>
            </w:tblGrid>
            <w:tr w:rsidR="00465964" w:rsidRPr="00465964" w14:paraId="08479D05" w14:textId="77777777">
              <w:tc>
                <w:tcPr>
                  <w:tcW w:w="0" w:type="auto"/>
                  <w:shd w:val="clear" w:color="auto" w:fill="auto"/>
                  <w:hideMark/>
                </w:tcPr>
                <w:p w14:paraId="0C160BE9" w14:textId="77777777" w:rsidR="00465964" w:rsidRPr="00465964" w:rsidRDefault="00465964" w:rsidP="00465964">
                  <w:r w:rsidRPr="00465964">
                    <w:t>iii)</w:t>
                  </w:r>
                </w:p>
              </w:tc>
              <w:tc>
                <w:tcPr>
                  <w:tcW w:w="0" w:type="auto"/>
                  <w:shd w:val="clear" w:color="auto" w:fill="auto"/>
                  <w:hideMark/>
                </w:tcPr>
                <w:p w14:paraId="44D3B15A" w14:textId="77777777" w:rsidR="00465964" w:rsidRPr="00465964" w:rsidRDefault="00465964" w:rsidP="00465964">
                  <w:pPr>
                    <w:rPr>
                      <w:lang w:val="pt-PT"/>
                    </w:rPr>
                  </w:pPr>
                  <w:r w:rsidRPr="00465964">
                    <w:rPr>
                      <w:lang w:val="pt-PT"/>
                    </w:rPr>
                    <w:t>do plano de continuidade das atividades;</w:t>
                  </w:r>
                </w:p>
              </w:tc>
            </w:tr>
          </w:tbl>
          <w:p w14:paraId="3E5F7BB1" w14:textId="77777777" w:rsidR="00465964" w:rsidRPr="00465964" w:rsidRDefault="00465964" w:rsidP="00465964">
            <w:pPr>
              <w:rPr>
                <w:lang w:val="pt-PT"/>
              </w:rPr>
            </w:pPr>
          </w:p>
        </w:tc>
      </w:tr>
    </w:tbl>
    <w:p w14:paraId="0E5233A3"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0"/>
        <w:gridCol w:w="8846"/>
      </w:tblGrid>
      <w:tr w:rsidR="00465964" w:rsidRPr="00465964" w14:paraId="6C176D14" w14:textId="77777777" w:rsidTr="00465964">
        <w:tc>
          <w:tcPr>
            <w:tcW w:w="0" w:type="auto"/>
            <w:shd w:val="clear" w:color="auto" w:fill="auto"/>
            <w:hideMark/>
          </w:tcPr>
          <w:p w14:paraId="0293BF86" w14:textId="77777777" w:rsidR="00465964" w:rsidRPr="00465964" w:rsidRDefault="00465964" w:rsidP="00465964">
            <w:r w:rsidRPr="00465964">
              <w:t>c)</w:t>
            </w:r>
          </w:p>
        </w:tc>
        <w:tc>
          <w:tcPr>
            <w:tcW w:w="0" w:type="auto"/>
            <w:shd w:val="clear" w:color="auto" w:fill="auto"/>
            <w:hideMark/>
          </w:tcPr>
          <w:p w14:paraId="792719D8" w14:textId="77777777" w:rsidR="00465964" w:rsidRPr="00465964" w:rsidRDefault="00465964" w:rsidP="00465964">
            <w:pPr>
              <w:rPr>
                <w:lang w:val="pt-PT"/>
              </w:rPr>
            </w:pPr>
            <w:r w:rsidRPr="00465964">
              <w:rPr>
                <w:lang w:val="pt-PT"/>
              </w:rPr>
              <w:t>A documentação técnica dos sistemas TIC e das disposições de segurança, bem como uma descrição da mesma em linguagem não técnica;</w:t>
            </w:r>
          </w:p>
        </w:tc>
      </w:tr>
    </w:tbl>
    <w:p w14:paraId="59C0818A"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93"/>
        <w:gridCol w:w="8833"/>
      </w:tblGrid>
      <w:tr w:rsidR="00465964" w:rsidRPr="00465964" w14:paraId="560481C9" w14:textId="77777777" w:rsidTr="00465964">
        <w:tc>
          <w:tcPr>
            <w:tcW w:w="0" w:type="auto"/>
            <w:shd w:val="clear" w:color="auto" w:fill="auto"/>
            <w:hideMark/>
          </w:tcPr>
          <w:p w14:paraId="49366CEA" w14:textId="77777777" w:rsidR="00465964" w:rsidRPr="00465964" w:rsidRDefault="00465964" w:rsidP="00465964">
            <w:r w:rsidRPr="00465964">
              <w:t>d)</w:t>
            </w:r>
          </w:p>
        </w:tc>
        <w:tc>
          <w:tcPr>
            <w:tcW w:w="0" w:type="auto"/>
            <w:shd w:val="clear" w:color="auto" w:fill="auto"/>
            <w:hideMark/>
          </w:tcPr>
          <w:p w14:paraId="47FD286C" w14:textId="77777777" w:rsidR="00465964" w:rsidRPr="00465964" w:rsidRDefault="00465964" w:rsidP="00465964">
            <w:pPr>
              <w:rPr>
                <w:lang w:val="pt-PT"/>
              </w:rPr>
            </w:pPr>
            <w:r w:rsidRPr="00465964">
              <w:rPr>
                <w:lang w:val="pt-PT"/>
              </w:rPr>
              <w:t>Uma descrição do procedimento de segregação dos criptoativos e dos fundos dos clientes;</w:t>
            </w:r>
          </w:p>
        </w:tc>
      </w:tr>
    </w:tbl>
    <w:p w14:paraId="05F3F1F6"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1"/>
        <w:gridCol w:w="8845"/>
      </w:tblGrid>
      <w:tr w:rsidR="00465964" w:rsidRPr="00465964" w14:paraId="5C21C4EF" w14:textId="77777777" w:rsidTr="00465964">
        <w:tc>
          <w:tcPr>
            <w:tcW w:w="0" w:type="auto"/>
            <w:shd w:val="clear" w:color="auto" w:fill="auto"/>
            <w:hideMark/>
          </w:tcPr>
          <w:p w14:paraId="7A961A18" w14:textId="77777777" w:rsidR="00465964" w:rsidRPr="00465964" w:rsidRDefault="00465964" w:rsidP="00465964">
            <w:r w:rsidRPr="00465964">
              <w:t>e)</w:t>
            </w:r>
          </w:p>
        </w:tc>
        <w:tc>
          <w:tcPr>
            <w:tcW w:w="0" w:type="auto"/>
            <w:shd w:val="clear" w:color="auto" w:fill="auto"/>
            <w:hideMark/>
          </w:tcPr>
          <w:p w14:paraId="6B73FF9B" w14:textId="77777777" w:rsidR="00465964" w:rsidRPr="00465964" w:rsidRDefault="00465964" w:rsidP="00465964">
            <w:pPr>
              <w:rPr>
                <w:lang w:val="pt-PT"/>
              </w:rPr>
            </w:pPr>
            <w:r w:rsidRPr="00465964">
              <w:rPr>
                <w:lang w:val="pt-PT"/>
              </w:rPr>
              <w:t>Uma descrição da política de custódia e administração, caso haja intenção de proceder à custódia e administração de criptoativos em nome de clientes;</w:t>
            </w:r>
          </w:p>
        </w:tc>
      </w:tr>
    </w:tbl>
    <w:p w14:paraId="168CE6C2"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36"/>
        <w:gridCol w:w="8890"/>
      </w:tblGrid>
      <w:tr w:rsidR="00465964" w:rsidRPr="00465964" w14:paraId="37323AD2" w14:textId="77777777" w:rsidTr="00465964">
        <w:tc>
          <w:tcPr>
            <w:tcW w:w="0" w:type="auto"/>
            <w:shd w:val="clear" w:color="auto" w:fill="auto"/>
            <w:hideMark/>
          </w:tcPr>
          <w:p w14:paraId="367D6377" w14:textId="77777777" w:rsidR="00465964" w:rsidRPr="00465964" w:rsidRDefault="00465964" w:rsidP="00465964">
            <w:r w:rsidRPr="00465964">
              <w:t>f)</w:t>
            </w:r>
          </w:p>
        </w:tc>
        <w:tc>
          <w:tcPr>
            <w:tcW w:w="0" w:type="auto"/>
            <w:shd w:val="clear" w:color="auto" w:fill="auto"/>
            <w:hideMark/>
          </w:tcPr>
          <w:p w14:paraId="035D8E8C" w14:textId="77777777" w:rsidR="00465964" w:rsidRPr="00465964" w:rsidRDefault="00465964" w:rsidP="00465964">
            <w:pPr>
              <w:rPr>
                <w:lang w:val="pt-PT"/>
              </w:rPr>
            </w:pPr>
            <w:r w:rsidRPr="00465964">
              <w:rPr>
                <w:lang w:val="pt-PT"/>
              </w:rPr>
              <w:t>Uma descrição das regras de funcionamento da plataforma de negociação, bem como dos procedimentos e do sistema de deteção de abusos de mercado, caso haja intenção de operar uma plataforma de negociação para criptoativos;</w:t>
            </w:r>
          </w:p>
        </w:tc>
      </w:tr>
    </w:tbl>
    <w:p w14:paraId="1D075957"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74"/>
        <w:gridCol w:w="8852"/>
      </w:tblGrid>
      <w:tr w:rsidR="00465964" w:rsidRPr="00465964" w14:paraId="65D1DB0B" w14:textId="77777777" w:rsidTr="00465964">
        <w:tc>
          <w:tcPr>
            <w:tcW w:w="0" w:type="auto"/>
            <w:shd w:val="clear" w:color="auto" w:fill="auto"/>
            <w:hideMark/>
          </w:tcPr>
          <w:p w14:paraId="3DFB2A49" w14:textId="77777777" w:rsidR="00465964" w:rsidRPr="00465964" w:rsidRDefault="00465964" w:rsidP="00465964">
            <w:r w:rsidRPr="00465964">
              <w:t>g)</w:t>
            </w:r>
          </w:p>
        </w:tc>
        <w:tc>
          <w:tcPr>
            <w:tcW w:w="0" w:type="auto"/>
            <w:shd w:val="clear" w:color="auto" w:fill="auto"/>
            <w:hideMark/>
          </w:tcPr>
          <w:p w14:paraId="6791F787" w14:textId="77777777" w:rsidR="00465964" w:rsidRPr="00465964" w:rsidRDefault="00465964" w:rsidP="00465964">
            <w:pPr>
              <w:rPr>
                <w:lang w:val="pt-PT"/>
              </w:rPr>
            </w:pPr>
            <w:r w:rsidRPr="00465964">
              <w:rPr>
                <w:lang w:val="pt-PT"/>
              </w:rPr>
              <w:t>Uma descrição da política comercial não discriminatória que rege a relação com os clientes, bem como uma descrição da metodologia para determinar o preço dos criptoativos que propõem para a troca por fundos ou por outros criptoativos, caso haja intenção de trocar criptoativos por fundos ou por outros criptoativos;</w:t>
            </w:r>
          </w:p>
        </w:tc>
      </w:tr>
    </w:tbl>
    <w:p w14:paraId="3ECD2F81"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6"/>
        <w:gridCol w:w="8840"/>
      </w:tblGrid>
      <w:tr w:rsidR="00465964" w:rsidRPr="00465964" w14:paraId="24204E30" w14:textId="77777777" w:rsidTr="00465964">
        <w:tc>
          <w:tcPr>
            <w:tcW w:w="0" w:type="auto"/>
            <w:shd w:val="clear" w:color="auto" w:fill="auto"/>
            <w:hideMark/>
          </w:tcPr>
          <w:p w14:paraId="60A44107" w14:textId="77777777" w:rsidR="00465964" w:rsidRPr="00465964" w:rsidRDefault="00465964" w:rsidP="00465964">
            <w:r w:rsidRPr="00465964">
              <w:t>h)</w:t>
            </w:r>
          </w:p>
        </w:tc>
        <w:tc>
          <w:tcPr>
            <w:tcW w:w="0" w:type="auto"/>
            <w:shd w:val="clear" w:color="auto" w:fill="auto"/>
            <w:hideMark/>
          </w:tcPr>
          <w:p w14:paraId="185F893B" w14:textId="77777777" w:rsidR="00465964" w:rsidRPr="00465964" w:rsidRDefault="00465964" w:rsidP="00465964">
            <w:pPr>
              <w:rPr>
                <w:lang w:val="pt-PT"/>
              </w:rPr>
            </w:pPr>
            <w:r w:rsidRPr="00465964">
              <w:rPr>
                <w:lang w:val="pt-PT"/>
              </w:rPr>
              <w:t>Uma descrição da política de execução, caso haja intenção de executar ordens sobre criptoativos em nome de clientes;</w:t>
            </w:r>
          </w:p>
        </w:tc>
      </w:tr>
    </w:tbl>
    <w:p w14:paraId="0664524B"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17"/>
        <w:gridCol w:w="8909"/>
      </w:tblGrid>
      <w:tr w:rsidR="00465964" w:rsidRPr="00465964" w14:paraId="5008F16F" w14:textId="77777777" w:rsidTr="00465964">
        <w:tc>
          <w:tcPr>
            <w:tcW w:w="0" w:type="auto"/>
            <w:shd w:val="clear" w:color="auto" w:fill="auto"/>
            <w:hideMark/>
          </w:tcPr>
          <w:p w14:paraId="51B5CC54" w14:textId="77777777" w:rsidR="00465964" w:rsidRPr="00465964" w:rsidRDefault="00465964" w:rsidP="00465964">
            <w:proofErr w:type="spellStart"/>
            <w:r w:rsidRPr="00465964">
              <w:t>i</w:t>
            </w:r>
            <w:proofErr w:type="spellEnd"/>
            <w:r w:rsidRPr="00465964">
              <w:t>)</w:t>
            </w:r>
          </w:p>
        </w:tc>
        <w:tc>
          <w:tcPr>
            <w:tcW w:w="0" w:type="auto"/>
            <w:shd w:val="clear" w:color="auto" w:fill="auto"/>
            <w:hideMark/>
          </w:tcPr>
          <w:p w14:paraId="466C9E7D" w14:textId="77777777" w:rsidR="00465964" w:rsidRPr="00465964" w:rsidRDefault="00465964" w:rsidP="00465964">
            <w:pPr>
              <w:rPr>
                <w:lang w:val="pt-PT"/>
              </w:rPr>
            </w:pPr>
            <w:r w:rsidRPr="00465964">
              <w:rPr>
                <w:lang w:val="pt-PT"/>
              </w:rPr>
              <w:t>Uma prova de que as pessoas singulares que prestam aconselhamento em nome do prestador de serviços de criptoativos requerente ou que gerem carteiras em nome do prestador de serviços de criptoativos requerente dispõem dos conhecimentos e das competências necessários para o cumprimento das suas obrigações, caso haja intenção de prestar serviços de consultoria sobre criptoativos ou serviços de gestão de carteiras de criptoativos;</w:t>
            </w:r>
          </w:p>
        </w:tc>
      </w:tr>
    </w:tbl>
    <w:p w14:paraId="022308DE"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17"/>
        <w:gridCol w:w="8909"/>
      </w:tblGrid>
      <w:tr w:rsidR="00465964" w:rsidRPr="00465964" w14:paraId="38720F9D" w14:textId="77777777" w:rsidTr="00465964">
        <w:tc>
          <w:tcPr>
            <w:tcW w:w="0" w:type="auto"/>
            <w:shd w:val="clear" w:color="auto" w:fill="auto"/>
            <w:hideMark/>
          </w:tcPr>
          <w:p w14:paraId="1517E273" w14:textId="77777777" w:rsidR="00465964" w:rsidRPr="00465964" w:rsidRDefault="00465964" w:rsidP="00465964">
            <w:r w:rsidRPr="00465964">
              <w:t>j)</w:t>
            </w:r>
          </w:p>
        </w:tc>
        <w:tc>
          <w:tcPr>
            <w:tcW w:w="0" w:type="auto"/>
            <w:shd w:val="clear" w:color="auto" w:fill="auto"/>
            <w:hideMark/>
          </w:tcPr>
          <w:p w14:paraId="5057194A" w14:textId="25BD48B1" w:rsidR="00465964" w:rsidRPr="00465964" w:rsidRDefault="00465964" w:rsidP="00465964">
            <w:pPr>
              <w:rPr>
                <w:lang w:val="pt-PT"/>
              </w:rPr>
            </w:pPr>
            <w:r w:rsidRPr="00465964">
              <w:rPr>
                <w:lang w:val="pt-PT"/>
              </w:rPr>
              <w:t xml:space="preserve">Indicação sobre se o serviço de criptoativos está relacionado com </w:t>
            </w:r>
            <w:r>
              <w:rPr>
                <w:lang w:val="pt-PT"/>
              </w:rPr>
              <w:t>criptomoedas</w:t>
            </w:r>
            <w:r w:rsidRPr="00465964">
              <w:rPr>
                <w:lang w:val="pt-PT"/>
              </w:rPr>
              <w:t xml:space="preserve"> referenciadas a ativos, </w:t>
            </w:r>
            <w:r>
              <w:rPr>
                <w:lang w:val="pt-PT"/>
              </w:rPr>
              <w:t>criptomoedas</w:t>
            </w:r>
            <w:r w:rsidRPr="00465964">
              <w:rPr>
                <w:lang w:val="pt-PT"/>
              </w:rPr>
              <w:t xml:space="preserve"> de moeda eletrónica ou outros criptoativos;</w:t>
            </w:r>
          </w:p>
        </w:tc>
      </w:tr>
    </w:tbl>
    <w:p w14:paraId="0ACDCAD0"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72"/>
        <w:gridCol w:w="8854"/>
      </w:tblGrid>
      <w:tr w:rsidR="00465964" w:rsidRPr="00465964" w14:paraId="6C477670" w14:textId="77777777" w:rsidTr="00465964">
        <w:tc>
          <w:tcPr>
            <w:tcW w:w="0" w:type="auto"/>
            <w:shd w:val="clear" w:color="auto" w:fill="auto"/>
            <w:hideMark/>
          </w:tcPr>
          <w:p w14:paraId="13EA39B3" w14:textId="77777777" w:rsidR="00465964" w:rsidRPr="00465964" w:rsidRDefault="00465964" w:rsidP="00465964">
            <w:r w:rsidRPr="00465964">
              <w:t>k)</w:t>
            </w:r>
          </w:p>
        </w:tc>
        <w:tc>
          <w:tcPr>
            <w:tcW w:w="0" w:type="auto"/>
            <w:shd w:val="clear" w:color="auto" w:fill="auto"/>
            <w:hideMark/>
          </w:tcPr>
          <w:p w14:paraId="1BB43AFB" w14:textId="77777777" w:rsidR="00465964" w:rsidRPr="00465964" w:rsidRDefault="00465964" w:rsidP="00465964">
            <w:pPr>
              <w:rPr>
                <w:lang w:val="pt-PT"/>
              </w:rPr>
            </w:pPr>
            <w:r w:rsidRPr="00465964">
              <w:rPr>
                <w:lang w:val="pt-PT"/>
              </w:rPr>
              <w:t>Informação sobre a forma como os serviços de transferência serão prestados, caso haja intenção de prestar serviços de transferência de criptoativos em nome de clientes.</w:t>
            </w:r>
          </w:p>
        </w:tc>
      </w:tr>
    </w:tbl>
    <w:p w14:paraId="0C979CEE" w14:textId="77777777" w:rsidR="00465964" w:rsidRPr="00465964" w:rsidRDefault="00465964" w:rsidP="00465964">
      <w:pPr>
        <w:rPr>
          <w:lang w:val="pt-PT"/>
        </w:rPr>
      </w:pPr>
      <w:r w:rsidRPr="00465964">
        <w:rPr>
          <w:lang w:val="pt-PT"/>
        </w:rPr>
        <w:t xml:space="preserve">8.   Uma autoridade competente que receba uma notificação a que se referem os </w:t>
      </w:r>
      <w:proofErr w:type="spellStart"/>
      <w:proofErr w:type="gramStart"/>
      <w:r w:rsidRPr="00465964">
        <w:rPr>
          <w:lang w:val="pt-PT"/>
        </w:rPr>
        <w:t>n.</w:t>
      </w:r>
      <w:r w:rsidRPr="00465964">
        <w:rPr>
          <w:vertAlign w:val="superscript"/>
          <w:lang w:val="pt-PT"/>
        </w:rPr>
        <w:t>os</w:t>
      </w:r>
      <w:proofErr w:type="spellEnd"/>
      <w:proofErr w:type="gramEnd"/>
      <w:r w:rsidRPr="00465964">
        <w:rPr>
          <w:lang w:val="pt-PT"/>
        </w:rPr>
        <w:t xml:space="preserve"> 1 a 6 verifica, no prazo de 20 dias úteis a contar da sua receção, se a informação exigida foi prestada na sua totalidade. Caso a autoridade competente conclua que uma notificação está </w:t>
      </w:r>
      <w:r w:rsidRPr="00465964">
        <w:rPr>
          <w:lang w:val="pt-PT"/>
        </w:rPr>
        <w:lastRenderedPageBreak/>
        <w:t>incompleta, deve informar imediatamente a entidade notificante desse facto e fixar um prazo para a prestação da informação em falta.</w:t>
      </w:r>
    </w:p>
    <w:p w14:paraId="2F6BFBDA" w14:textId="77777777" w:rsidR="00465964" w:rsidRPr="00465964" w:rsidRDefault="00465964" w:rsidP="00465964">
      <w:pPr>
        <w:rPr>
          <w:lang w:val="pt-PT"/>
        </w:rPr>
      </w:pPr>
      <w:r w:rsidRPr="00465964">
        <w:rPr>
          <w:lang w:val="pt-PT"/>
        </w:rPr>
        <w:t xml:space="preserve">O prazo para a comunicação da informação em falta não pode exceder 20 dias úteis a contar da data do pedido. Até ao termo desse prazo, os prazos previstos nos </w:t>
      </w:r>
      <w:proofErr w:type="spellStart"/>
      <w:proofErr w:type="gramStart"/>
      <w:r w:rsidRPr="00465964">
        <w:rPr>
          <w:lang w:val="pt-PT"/>
        </w:rPr>
        <w:t>n.</w:t>
      </w:r>
      <w:r w:rsidRPr="00465964">
        <w:rPr>
          <w:vertAlign w:val="superscript"/>
          <w:lang w:val="pt-PT"/>
        </w:rPr>
        <w:t>os</w:t>
      </w:r>
      <w:proofErr w:type="spellEnd"/>
      <w:proofErr w:type="gramEnd"/>
      <w:r w:rsidRPr="00465964">
        <w:rPr>
          <w:lang w:val="pt-PT"/>
        </w:rPr>
        <w:t xml:space="preserve"> 1 a 6 ficam suspensos. Quaisquer outros pedidos da autoridade competente no sentido de completar ou clarificar as informações ficam ao critério dessa autoridade, mas não podem dar lugar à suspensão dos prazos previstos nos </w:t>
      </w:r>
      <w:proofErr w:type="spellStart"/>
      <w:proofErr w:type="gramStart"/>
      <w:r w:rsidRPr="00465964">
        <w:rPr>
          <w:lang w:val="pt-PT"/>
        </w:rPr>
        <w:t>n.</w:t>
      </w:r>
      <w:r w:rsidRPr="00465964">
        <w:rPr>
          <w:vertAlign w:val="superscript"/>
          <w:lang w:val="pt-PT"/>
        </w:rPr>
        <w:t>os</w:t>
      </w:r>
      <w:proofErr w:type="spellEnd"/>
      <w:proofErr w:type="gramEnd"/>
      <w:r w:rsidRPr="00465964">
        <w:rPr>
          <w:lang w:val="pt-PT"/>
        </w:rPr>
        <w:t> 1 a 6.</w:t>
      </w:r>
    </w:p>
    <w:p w14:paraId="5CA9A62C" w14:textId="77777777" w:rsidR="00465964" w:rsidRPr="00465964" w:rsidRDefault="00465964" w:rsidP="00465964">
      <w:pPr>
        <w:rPr>
          <w:lang w:val="pt-PT"/>
        </w:rPr>
      </w:pPr>
      <w:r w:rsidRPr="00465964">
        <w:rPr>
          <w:lang w:val="pt-PT"/>
        </w:rPr>
        <w:t>O prestador de serviços de criptoativos não pode dar início à prestação dos serviços de criptoativos enquanto a notificação estiver incompleta.</w:t>
      </w:r>
    </w:p>
    <w:p w14:paraId="7358C6DD" w14:textId="77777777" w:rsidR="00465964" w:rsidRPr="00465964" w:rsidRDefault="00465964" w:rsidP="00465964">
      <w:pPr>
        <w:rPr>
          <w:lang w:val="pt-PT"/>
        </w:rPr>
      </w:pPr>
      <w:r w:rsidRPr="00465964">
        <w:rPr>
          <w:lang w:val="pt-PT"/>
        </w:rPr>
        <w:t xml:space="preserve">9.   As entidades a que se referem os </w:t>
      </w:r>
      <w:proofErr w:type="spellStart"/>
      <w:proofErr w:type="gramStart"/>
      <w:r w:rsidRPr="00465964">
        <w:rPr>
          <w:lang w:val="pt-PT"/>
        </w:rPr>
        <w:t>n.</w:t>
      </w:r>
      <w:r w:rsidRPr="00465964">
        <w:rPr>
          <w:vertAlign w:val="superscript"/>
          <w:lang w:val="pt-PT"/>
        </w:rPr>
        <w:t>os</w:t>
      </w:r>
      <w:proofErr w:type="spellEnd"/>
      <w:proofErr w:type="gramEnd"/>
      <w:r w:rsidRPr="00465964">
        <w:rPr>
          <w:lang w:val="pt-PT"/>
        </w:rPr>
        <w:t xml:space="preserve"> 1 a 6 não são obrigadas a apresentar à autoridade competente quaisquer informações a que se refere o </w:t>
      </w:r>
      <w:proofErr w:type="spellStart"/>
      <w:r w:rsidRPr="00465964">
        <w:rPr>
          <w:lang w:val="pt-PT"/>
        </w:rPr>
        <w:t>n.</w:t>
      </w:r>
      <w:r w:rsidRPr="00465964">
        <w:rPr>
          <w:vertAlign w:val="superscript"/>
          <w:lang w:val="pt-PT"/>
        </w:rPr>
        <w:t>o</w:t>
      </w:r>
      <w:proofErr w:type="spellEnd"/>
      <w:r w:rsidRPr="00465964">
        <w:rPr>
          <w:lang w:val="pt-PT"/>
        </w:rPr>
        <w:t xml:space="preserve"> 7 que tenham previamente apresentado à autoridade competente nos casos em que essas informações se afigurassem idênticas. Ao apresentarem as informações a que se refere o </w:t>
      </w:r>
      <w:proofErr w:type="spellStart"/>
      <w:proofErr w:type="gramStart"/>
      <w:r w:rsidRPr="00465964">
        <w:rPr>
          <w:lang w:val="pt-PT"/>
        </w:rPr>
        <w:t>n.</w:t>
      </w:r>
      <w:r w:rsidRPr="00465964">
        <w:rPr>
          <w:vertAlign w:val="superscript"/>
          <w:lang w:val="pt-PT"/>
        </w:rPr>
        <w:t>o</w:t>
      </w:r>
      <w:proofErr w:type="spellEnd"/>
      <w:proofErr w:type="gramEnd"/>
      <w:r w:rsidRPr="00465964">
        <w:rPr>
          <w:lang w:val="pt-PT"/>
        </w:rPr>
        <w:t xml:space="preserve"> 7, as entidades a que se referem os </w:t>
      </w:r>
      <w:proofErr w:type="spellStart"/>
      <w:r w:rsidRPr="00465964">
        <w:rPr>
          <w:lang w:val="pt-PT"/>
        </w:rPr>
        <w:t>n.</w:t>
      </w:r>
      <w:r w:rsidRPr="00465964">
        <w:rPr>
          <w:vertAlign w:val="superscript"/>
          <w:lang w:val="pt-PT"/>
        </w:rPr>
        <w:t>os</w:t>
      </w:r>
      <w:proofErr w:type="spellEnd"/>
      <w:r w:rsidRPr="00465964">
        <w:rPr>
          <w:lang w:val="pt-PT"/>
        </w:rPr>
        <w:t> 1 a 6 devem declarar expressamente que qualquer informação anteriormente apresentada se mantém atualizada.</w:t>
      </w:r>
    </w:p>
    <w:p w14:paraId="2FD2072B" w14:textId="77777777" w:rsidR="00465964" w:rsidRPr="00465964" w:rsidRDefault="00465964" w:rsidP="00465964">
      <w:pPr>
        <w:rPr>
          <w:lang w:val="pt-PT"/>
        </w:rPr>
      </w:pPr>
      <w:r w:rsidRPr="00465964">
        <w:rPr>
          <w:lang w:val="pt-PT"/>
        </w:rPr>
        <w:t xml:space="preserve">10.   Caso as entidades a que se referem os </w:t>
      </w:r>
      <w:proofErr w:type="spellStart"/>
      <w:proofErr w:type="gramStart"/>
      <w:r w:rsidRPr="00465964">
        <w:rPr>
          <w:lang w:val="pt-PT"/>
        </w:rPr>
        <w:t>n.</w:t>
      </w:r>
      <w:r w:rsidRPr="00465964">
        <w:rPr>
          <w:vertAlign w:val="superscript"/>
          <w:lang w:val="pt-PT"/>
        </w:rPr>
        <w:t>os</w:t>
      </w:r>
      <w:proofErr w:type="spellEnd"/>
      <w:proofErr w:type="gramEnd"/>
      <w:r w:rsidRPr="00465964">
        <w:rPr>
          <w:lang w:val="pt-PT"/>
        </w:rPr>
        <w:t> 1 a 6 do presente artigo prestem serviços de criptoativos, não ficam sujeitas aos artigos 62.</w:t>
      </w:r>
      <w:r w:rsidRPr="00465964">
        <w:rPr>
          <w:vertAlign w:val="superscript"/>
          <w:lang w:val="pt-PT"/>
        </w:rPr>
        <w:t>o</w:t>
      </w:r>
      <w:r w:rsidRPr="00465964">
        <w:rPr>
          <w:lang w:val="pt-PT"/>
        </w:rPr>
        <w:t>, 63.</w:t>
      </w:r>
      <w:r w:rsidRPr="00465964">
        <w:rPr>
          <w:vertAlign w:val="superscript"/>
          <w:lang w:val="pt-PT"/>
        </w:rPr>
        <w:t>o</w:t>
      </w:r>
      <w:r w:rsidRPr="00465964">
        <w:rPr>
          <w:lang w:val="pt-PT"/>
        </w:rPr>
        <w:t>, 64.</w:t>
      </w:r>
      <w:r w:rsidRPr="00465964">
        <w:rPr>
          <w:vertAlign w:val="superscript"/>
          <w:lang w:val="pt-PT"/>
        </w:rPr>
        <w:t>o</w:t>
      </w:r>
      <w:r w:rsidRPr="00465964">
        <w:rPr>
          <w:lang w:val="pt-PT"/>
        </w:rPr>
        <w:t>, 67.</w:t>
      </w:r>
      <w:r w:rsidRPr="00465964">
        <w:rPr>
          <w:vertAlign w:val="superscript"/>
          <w:lang w:val="pt-PT"/>
        </w:rPr>
        <w:t>o</w:t>
      </w:r>
      <w:r w:rsidRPr="00465964">
        <w:rPr>
          <w:lang w:val="pt-PT"/>
        </w:rPr>
        <w:t>, 83.</w:t>
      </w:r>
      <w:r w:rsidRPr="00465964">
        <w:rPr>
          <w:vertAlign w:val="superscript"/>
          <w:lang w:val="pt-PT"/>
        </w:rPr>
        <w:t>o</w:t>
      </w:r>
      <w:r w:rsidRPr="00465964">
        <w:rPr>
          <w:lang w:val="pt-PT"/>
        </w:rPr>
        <w:t> e 84.</w:t>
      </w:r>
      <w:r w:rsidRPr="00465964">
        <w:rPr>
          <w:vertAlign w:val="superscript"/>
          <w:lang w:val="pt-PT"/>
        </w:rPr>
        <w:t>o</w:t>
      </w:r>
      <w:r w:rsidRPr="00465964">
        <w:rPr>
          <w:lang w:val="pt-PT"/>
        </w:rPr>
        <w:t>.</w:t>
      </w:r>
    </w:p>
    <w:p w14:paraId="2769D244" w14:textId="77777777" w:rsidR="00465964" w:rsidRPr="00465964" w:rsidRDefault="00465964" w:rsidP="00465964">
      <w:pPr>
        <w:rPr>
          <w:lang w:val="pt-PT"/>
        </w:rPr>
      </w:pPr>
      <w:r w:rsidRPr="00465964">
        <w:rPr>
          <w:lang w:val="pt-PT"/>
        </w:rPr>
        <w:t xml:space="preserve">11.   O direito de prestar serviços de criptoativos a que se referem os </w:t>
      </w:r>
      <w:proofErr w:type="spellStart"/>
      <w:proofErr w:type="gramStart"/>
      <w:r w:rsidRPr="00465964">
        <w:rPr>
          <w:lang w:val="pt-PT"/>
        </w:rPr>
        <w:t>n.</w:t>
      </w:r>
      <w:r w:rsidRPr="00465964">
        <w:rPr>
          <w:vertAlign w:val="superscript"/>
          <w:lang w:val="pt-PT"/>
        </w:rPr>
        <w:t>os</w:t>
      </w:r>
      <w:proofErr w:type="spellEnd"/>
      <w:proofErr w:type="gramEnd"/>
      <w:r w:rsidRPr="00465964">
        <w:rPr>
          <w:lang w:val="pt-PT"/>
        </w:rPr>
        <w:t> 1 a 6 do presente artigo é revogado no momento da revogação da autorização relevante que permitiu à respetiva entidade prestar os serviços de criptoativos sem ser obrigada a obter uma autorização nos termos do artigo 59.</w:t>
      </w:r>
      <w:r w:rsidRPr="00465964">
        <w:rPr>
          <w:vertAlign w:val="superscript"/>
          <w:lang w:val="pt-PT"/>
        </w:rPr>
        <w:t>o</w:t>
      </w:r>
      <w:r w:rsidRPr="00465964">
        <w:rPr>
          <w:lang w:val="pt-PT"/>
        </w:rPr>
        <w:t>.</w:t>
      </w:r>
    </w:p>
    <w:p w14:paraId="21B445C9" w14:textId="77777777" w:rsidR="00465964" w:rsidRPr="00465964" w:rsidRDefault="00465964" w:rsidP="00465964">
      <w:pPr>
        <w:rPr>
          <w:lang w:val="pt-PT"/>
        </w:rPr>
      </w:pPr>
      <w:r w:rsidRPr="00465964">
        <w:rPr>
          <w:lang w:val="pt-PT"/>
        </w:rPr>
        <w:t>12.   As autoridades competentes comunicam à ESMA as informações especificadas no artigo 109.</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xml:space="preserve"> 5, depois de verificar se as informações a que se refere o </w:t>
      </w:r>
      <w:proofErr w:type="spellStart"/>
      <w:r w:rsidRPr="00465964">
        <w:rPr>
          <w:lang w:val="pt-PT"/>
        </w:rPr>
        <w:t>n.</w:t>
      </w:r>
      <w:r w:rsidRPr="00465964">
        <w:rPr>
          <w:vertAlign w:val="superscript"/>
          <w:lang w:val="pt-PT"/>
        </w:rPr>
        <w:t>o</w:t>
      </w:r>
      <w:proofErr w:type="spellEnd"/>
      <w:r w:rsidRPr="00465964">
        <w:rPr>
          <w:lang w:val="pt-PT"/>
        </w:rPr>
        <w:t> 7 estão completas.</w:t>
      </w:r>
    </w:p>
    <w:p w14:paraId="1BE5E3A6" w14:textId="77777777" w:rsidR="00465964" w:rsidRPr="00465964" w:rsidRDefault="00465964" w:rsidP="00465964">
      <w:pPr>
        <w:rPr>
          <w:lang w:val="pt-PT"/>
        </w:rPr>
      </w:pPr>
      <w:r w:rsidRPr="00465964">
        <w:rPr>
          <w:lang w:val="pt-PT"/>
        </w:rPr>
        <w:t>A ESMA torna essas informações disponíveis no registo a que se refere o artigo 109.</w:t>
      </w:r>
      <w:r w:rsidRPr="00465964">
        <w:rPr>
          <w:vertAlign w:val="superscript"/>
          <w:lang w:val="pt-PT"/>
        </w:rPr>
        <w:t>o</w:t>
      </w:r>
      <w:r w:rsidRPr="00465964">
        <w:rPr>
          <w:lang w:val="pt-PT"/>
        </w:rPr>
        <w:t> na data de início da pretendida prestação de serviços de criptoativos.</w:t>
      </w:r>
    </w:p>
    <w:p w14:paraId="5D5B108C" w14:textId="77777777" w:rsidR="00465964" w:rsidRPr="00465964" w:rsidRDefault="00465964" w:rsidP="00465964">
      <w:pPr>
        <w:rPr>
          <w:lang w:val="pt-PT"/>
        </w:rPr>
      </w:pPr>
      <w:r w:rsidRPr="00465964">
        <w:rPr>
          <w:lang w:val="pt-PT"/>
        </w:rPr>
        <w:t xml:space="preserve">13.   A ESMA, em estreita cooperação com a EBA, elabora projetos de normas técnicas de regulamentação a fim de especificar com maior pormenor as informações a que se refere o </w:t>
      </w:r>
      <w:proofErr w:type="spellStart"/>
      <w:r w:rsidRPr="00465964">
        <w:rPr>
          <w:lang w:val="pt-PT"/>
        </w:rPr>
        <w:t>n.</w:t>
      </w:r>
      <w:r w:rsidRPr="00465964">
        <w:rPr>
          <w:vertAlign w:val="superscript"/>
          <w:lang w:val="pt-PT"/>
        </w:rPr>
        <w:t>o</w:t>
      </w:r>
      <w:proofErr w:type="spellEnd"/>
      <w:r w:rsidRPr="00465964">
        <w:rPr>
          <w:lang w:val="pt-PT"/>
        </w:rPr>
        <w:t> 7.</w:t>
      </w:r>
    </w:p>
    <w:p w14:paraId="0996C260" w14:textId="77777777" w:rsidR="00465964" w:rsidRPr="00465964" w:rsidRDefault="00465964" w:rsidP="00465964">
      <w:pPr>
        <w:rPr>
          <w:lang w:val="pt-PT"/>
        </w:rPr>
      </w:pPr>
      <w:r w:rsidRPr="00465964">
        <w:rPr>
          <w:lang w:val="pt-PT"/>
        </w:rPr>
        <w:t>A ESMA apresenta à Comissão os projetos de normas técnicas de regulamentação referidos no primeiro parágrafo até 30 de junho de 2024.</w:t>
      </w:r>
    </w:p>
    <w:p w14:paraId="77AB857C" w14:textId="77777777" w:rsidR="00465964" w:rsidRPr="00465964" w:rsidRDefault="00465964" w:rsidP="00465964">
      <w:pPr>
        <w:rPr>
          <w:lang w:val="pt-PT"/>
        </w:rPr>
      </w:pPr>
      <w:r w:rsidRPr="00465964">
        <w:rPr>
          <w:lang w:val="pt-PT"/>
        </w:rPr>
        <w:t>É delegado na Comissão o poder de completar o presente regulamento através da adoção das normas técnicas de regulamentação a que se refere o primeiro parágrafo do presente número em conformidade com os artigos 10.</w:t>
      </w:r>
      <w:r w:rsidRPr="00465964">
        <w:rPr>
          <w:vertAlign w:val="superscript"/>
          <w:lang w:val="pt-PT"/>
        </w:rPr>
        <w:t>o</w:t>
      </w:r>
      <w:r w:rsidRPr="00465964">
        <w:rPr>
          <w:lang w:val="pt-PT"/>
        </w:rPr>
        <w:t> a 14.</w:t>
      </w:r>
      <w:r w:rsidRPr="00465964">
        <w:rPr>
          <w:vertAlign w:val="superscript"/>
          <w:lang w:val="pt-PT"/>
        </w:rPr>
        <w:t>o</w:t>
      </w:r>
      <w:r w:rsidRPr="00465964">
        <w:rPr>
          <w:lang w:val="pt-PT"/>
        </w:rPr>
        <w:t xml:space="preserve"> do Regulamento (UE) </w:t>
      </w:r>
      <w:proofErr w:type="spellStart"/>
      <w:r w:rsidRPr="00465964">
        <w:rPr>
          <w:lang w:val="pt-PT"/>
        </w:rPr>
        <w:t>n.</w:t>
      </w:r>
      <w:r w:rsidRPr="00465964">
        <w:rPr>
          <w:vertAlign w:val="superscript"/>
          <w:lang w:val="pt-PT"/>
        </w:rPr>
        <w:t>o</w:t>
      </w:r>
      <w:proofErr w:type="spellEnd"/>
      <w:r w:rsidRPr="00465964">
        <w:rPr>
          <w:lang w:val="pt-PT"/>
        </w:rPr>
        <w:t> 1095/2010.</w:t>
      </w:r>
    </w:p>
    <w:p w14:paraId="0A2CD11F" w14:textId="77777777" w:rsidR="00465964" w:rsidRPr="00465964" w:rsidRDefault="00465964" w:rsidP="00465964">
      <w:pPr>
        <w:rPr>
          <w:lang w:val="pt-PT"/>
        </w:rPr>
      </w:pPr>
      <w:r w:rsidRPr="00465964">
        <w:rPr>
          <w:lang w:val="pt-PT"/>
        </w:rPr>
        <w:t xml:space="preserve">14.   A ESMA, em estreita cooperação com a EBA, elabora projetos de normas técnicas de execução para criar formulários, modelos e procedimentos normalizados para a notificação prevista no </w:t>
      </w:r>
      <w:proofErr w:type="spellStart"/>
      <w:r w:rsidRPr="00465964">
        <w:rPr>
          <w:lang w:val="pt-PT"/>
        </w:rPr>
        <w:t>n.</w:t>
      </w:r>
      <w:r w:rsidRPr="00465964">
        <w:rPr>
          <w:vertAlign w:val="superscript"/>
          <w:lang w:val="pt-PT"/>
        </w:rPr>
        <w:t>o</w:t>
      </w:r>
      <w:proofErr w:type="spellEnd"/>
      <w:r w:rsidRPr="00465964">
        <w:rPr>
          <w:lang w:val="pt-PT"/>
        </w:rPr>
        <w:t> 7.</w:t>
      </w:r>
    </w:p>
    <w:p w14:paraId="745F5B77" w14:textId="77777777" w:rsidR="00465964" w:rsidRPr="00465964" w:rsidRDefault="00465964" w:rsidP="00465964">
      <w:pPr>
        <w:rPr>
          <w:lang w:val="pt-PT"/>
        </w:rPr>
      </w:pPr>
      <w:r w:rsidRPr="00465964">
        <w:rPr>
          <w:lang w:val="pt-PT"/>
        </w:rPr>
        <w:t>A ESMA apresenta à Comissão os projetos de normas técnicas de execução referidos no primeiro parágrafo até 30 de junho de 2024.</w:t>
      </w:r>
    </w:p>
    <w:p w14:paraId="0944CFD5" w14:textId="77777777" w:rsidR="00465964" w:rsidRPr="00465964" w:rsidRDefault="00465964" w:rsidP="00465964">
      <w:pPr>
        <w:rPr>
          <w:lang w:val="pt-PT"/>
        </w:rPr>
      </w:pPr>
      <w:r w:rsidRPr="00465964">
        <w:rPr>
          <w:lang w:val="pt-PT"/>
        </w:rPr>
        <w:t>É conferido à Comissão o poder de adotar as normas técnicas de execução a que se refere o primeiro parágrafo do presente número em conformidade com o artigo 15.</w:t>
      </w:r>
      <w:r w:rsidRPr="00465964">
        <w:rPr>
          <w:vertAlign w:val="superscript"/>
          <w:lang w:val="pt-PT"/>
        </w:rPr>
        <w:t>o</w:t>
      </w:r>
      <w:r w:rsidRPr="00465964">
        <w:rPr>
          <w:lang w:val="pt-PT"/>
        </w:rPr>
        <w:t xml:space="preserve"> do Regulamento (UE) </w:t>
      </w:r>
      <w:proofErr w:type="spellStart"/>
      <w:r w:rsidRPr="00465964">
        <w:rPr>
          <w:lang w:val="pt-PT"/>
        </w:rPr>
        <w:t>n.</w:t>
      </w:r>
      <w:r w:rsidRPr="00465964">
        <w:rPr>
          <w:vertAlign w:val="superscript"/>
          <w:lang w:val="pt-PT"/>
        </w:rPr>
        <w:t>o</w:t>
      </w:r>
      <w:proofErr w:type="spellEnd"/>
      <w:r w:rsidRPr="00465964">
        <w:rPr>
          <w:lang w:val="pt-PT"/>
        </w:rPr>
        <w:t> 1095/2010.</w:t>
      </w:r>
    </w:p>
    <w:p w14:paraId="2FE5CB90" w14:textId="77777777" w:rsidR="00465964" w:rsidRPr="00465964" w:rsidRDefault="00465964" w:rsidP="00465964">
      <w:pPr>
        <w:rPr>
          <w:i/>
          <w:iCs/>
          <w:lang w:val="pt-PT"/>
        </w:rPr>
      </w:pPr>
      <w:r w:rsidRPr="00465964">
        <w:rPr>
          <w:i/>
          <w:iCs/>
          <w:lang w:val="pt-PT"/>
        </w:rPr>
        <w:lastRenderedPageBreak/>
        <w:t>Artigo 61.</w:t>
      </w:r>
      <w:r w:rsidRPr="00465964">
        <w:rPr>
          <w:i/>
          <w:iCs/>
          <w:vertAlign w:val="superscript"/>
          <w:lang w:val="pt-PT"/>
        </w:rPr>
        <w:t>o</w:t>
      </w:r>
    </w:p>
    <w:p w14:paraId="1DBF1B19" w14:textId="77777777" w:rsidR="00465964" w:rsidRPr="00465964" w:rsidRDefault="00465964" w:rsidP="00465964">
      <w:pPr>
        <w:rPr>
          <w:b/>
          <w:bCs/>
          <w:lang w:val="pt-PT"/>
        </w:rPr>
      </w:pPr>
      <w:r w:rsidRPr="00465964">
        <w:rPr>
          <w:b/>
          <w:bCs/>
          <w:lang w:val="pt-PT"/>
        </w:rPr>
        <w:t>Prestação de serviços de criptoativos por iniciativa exclusiva do cliente</w:t>
      </w:r>
    </w:p>
    <w:p w14:paraId="477F4202" w14:textId="77777777" w:rsidR="00465964" w:rsidRPr="00465964" w:rsidRDefault="00465964" w:rsidP="00465964">
      <w:pPr>
        <w:rPr>
          <w:lang w:val="pt-PT"/>
        </w:rPr>
      </w:pPr>
      <w:r w:rsidRPr="00465964">
        <w:rPr>
          <w:lang w:val="pt-PT"/>
        </w:rPr>
        <w:t>1.   Caso um cliente estabelecido ou situado na União dê início, por sua própria e exclusiva iniciativa, à prestação de um serviço ou atividade de criptoativos por uma empresa de um país terceiro, o pedido de autorização ao abrigo do artigo 59.</w:t>
      </w:r>
      <w:r w:rsidRPr="00465964">
        <w:rPr>
          <w:vertAlign w:val="superscript"/>
          <w:lang w:val="pt-PT"/>
        </w:rPr>
        <w:t>o</w:t>
      </w:r>
      <w:r w:rsidRPr="00465964">
        <w:rPr>
          <w:lang w:val="pt-PT"/>
        </w:rPr>
        <w:t> não se aplica à prestação, pela empresa do país terceiro, desse serviço ou atividade a esse cliente, nem a uma relação especificamente relacionada com a prestação desse serviço ou atividade de criptoativos.</w:t>
      </w:r>
    </w:p>
    <w:p w14:paraId="78141BD8" w14:textId="77777777" w:rsidR="00465964" w:rsidRPr="00465964" w:rsidRDefault="00465964" w:rsidP="00465964">
      <w:pPr>
        <w:rPr>
          <w:lang w:val="pt-PT"/>
        </w:rPr>
      </w:pPr>
      <w:r w:rsidRPr="00465964">
        <w:rPr>
          <w:lang w:val="pt-PT"/>
        </w:rPr>
        <w:t xml:space="preserve">Sem prejuízo das relações </w:t>
      </w:r>
      <w:proofErr w:type="spellStart"/>
      <w:r w:rsidRPr="00465964">
        <w:rPr>
          <w:lang w:val="pt-PT"/>
        </w:rPr>
        <w:t>intragrupo</w:t>
      </w:r>
      <w:proofErr w:type="spellEnd"/>
      <w:r w:rsidRPr="00465964">
        <w:rPr>
          <w:lang w:val="pt-PT"/>
        </w:rPr>
        <w:t>, caso uma empresa de um país terceiro, inclusive através de uma entidade que atue em seu nome ou que tenha uma relação estreita com essa empresa de um país terceiro ou com qualquer outra pessoa que atue em nome de tal entidade, angarie clientes ou potenciais clientes na União, independentemente do meio de comunicação utilizado para a angariação, promoção ou publicidade na União, o serviço não pode ser considerado um serviço prestado por iniciativa própria e exclusiva do cliente.</w:t>
      </w:r>
    </w:p>
    <w:p w14:paraId="367D147F" w14:textId="77777777" w:rsidR="00465964" w:rsidRPr="00465964" w:rsidRDefault="00465964" w:rsidP="00465964">
      <w:pPr>
        <w:rPr>
          <w:lang w:val="pt-PT"/>
        </w:rPr>
      </w:pPr>
      <w:r w:rsidRPr="00465964">
        <w:rPr>
          <w:lang w:val="pt-PT"/>
        </w:rPr>
        <w:t>O segundo parágrafo aplica-se não obstante o disposto em eventuais cláusulas contratuais ou de exoneração da responsabilidade que afirmem o contrário, nomeadamente cláusulas contratuais ou de exoneração da responsabilidade que afirmem que a prestação de serviços por uma empresa do país terceiro deve ser considerada uma prestação de serviços de criptoativos por iniciativa própria e exclusiva do cliente.</w:t>
      </w:r>
    </w:p>
    <w:p w14:paraId="77881CAE" w14:textId="77777777" w:rsidR="00465964" w:rsidRPr="00465964" w:rsidRDefault="00465964" w:rsidP="00465964">
      <w:pPr>
        <w:rPr>
          <w:lang w:val="pt-PT"/>
        </w:rPr>
      </w:pPr>
      <w:r w:rsidRPr="00465964">
        <w:rPr>
          <w:lang w:val="pt-PT"/>
        </w:rPr>
        <w:t xml:space="preserve">2.   A iniciativa própria e exclusiva de um cliente a que se refere o </w:t>
      </w:r>
      <w:proofErr w:type="spellStart"/>
      <w:r w:rsidRPr="00465964">
        <w:rPr>
          <w:lang w:val="pt-PT"/>
        </w:rPr>
        <w:t>n.</w:t>
      </w:r>
      <w:r w:rsidRPr="00465964">
        <w:rPr>
          <w:vertAlign w:val="superscript"/>
          <w:lang w:val="pt-PT"/>
        </w:rPr>
        <w:t>o</w:t>
      </w:r>
      <w:proofErr w:type="spellEnd"/>
      <w:r w:rsidRPr="00465964">
        <w:rPr>
          <w:lang w:val="pt-PT"/>
        </w:rPr>
        <w:t> 1 não confere à empresa de um país terceiro o direito de comercializar novos tipos de criptoativos ou serviços de criptoativos junto desse cliente.</w:t>
      </w:r>
    </w:p>
    <w:p w14:paraId="3BC14987" w14:textId="77777777" w:rsidR="00465964" w:rsidRPr="00465964" w:rsidRDefault="00465964" w:rsidP="00465964">
      <w:pPr>
        <w:rPr>
          <w:lang w:val="pt-PT"/>
        </w:rPr>
      </w:pPr>
      <w:r w:rsidRPr="00465964">
        <w:rPr>
          <w:lang w:val="pt-PT"/>
        </w:rPr>
        <w:t>3.   Até 30 de dezembro de 2024, a ESMA emite orientações em conformidade com o artigo 16.</w:t>
      </w:r>
      <w:r w:rsidRPr="00465964">
        <w:rPr>
          <w:vertAlign w:val="superscript"/>
          <w:lang w:val="pt-PT"/>
        </w:rPr>
        <w:t>o</w:t>
      </w:r>
      <w:r w:rsidRPr="00465964">
        <w:rPr>
          <w:lang w:val="pt-PT"/>
        </w:rPr>
        <w:t xml:space="preserve"> do Regulamento (UE) </w:t>
      </w:r>
      <w:proofErr w:type="spellStart"/>
      <w:r w:rsidRPr="00465964">
        <w:rPr>
          <w:lang w:val="pt-PT"/>
        </w:rPr>
        <w:t>n.</w:t>
      </w:r>
      <w:r w:rsidRPr="00465964">
        <w:rPr>
          <w:vertAlign w:val="superscript"/>
          <w:lang w:val="pt-PT"/>
        </w:rPr>
        <w:t>o</w:t>
      </w:r>
      <w:proofErr w:type="spellEnd"/>
      <w:r w:rsidRPr="00465964">
        <w:rPr>
          <w:lang w:val="pt-PT"/>
        </w:rPr>
        <w:t> 1095/2010 para especificar as situações em que se considera que uma empresa de um país terceiro angaria clientes estabelecidos ou situados na União.</w:t>
      </w:r>
    </w:p>
    <w:p w14:paraId="012EA5E0" w14:textId="77777777" w:rsidR="00465964" w:rsidRPr="00465964" w:rsidRDefault="00465964" w:rsidP="00465964">
      <w:pPr>
        <w:rPr>
          <w:lang w:val="pt-PT"/>
        </w:rPr>
      </w:pPr>
      <w:r w:rsidRPr="00465964">
        <w:rPr>
          <w:lang w:val="pt-PT"/>
        </w:rPr>
        <w:t>A fim de fomentar a convergência e promover uma supervisão coerente no que respeita ao risco de abuso do presente artigo, a ESMA emite igualmente orientações em conformidade com o artigo 16.</w:t>
      </w:r>
      <w:r w:rsidRPr="00465964">
        <w:rPr>
          <w:vertAlign w:val="superscript"/>
          <w:lang w:val="pt-PT"/>
        </w:rPr>
        <w:t>o</w:t>
      </w:r>
      <w:r w:rsidRPr="00465964">
        <w:rPr>
          <w:lang w:val="pt-PT"/>
        </w:rPr>
        <w:t xml:space="preserve"> do Regulamento (UE) </w:t>
      </w:r>
      <w:proofErr w:type="spellStart"/>
      <w:r w:rsidRPr="00465964">
        <w:rPr>
          <w:lang w:val="pt-PT"/>
        </w:rPr>
        <w:t>n.</w:t>
      </w:r>
      <w:r w:rsidRPr="00465964">
        <w:rPr>
          <w:vertAlign w:val="superscript"/>
          <w:lang w:val="pt-PT"/>
        </w:rPr>
        <w:t>o</w:t>
      </w:r>
      <w:proofErr w:type="spellEnd"/>
      <w:r w:rsidRPr="00465964">
        <w:rPr>
          <w:lang w:val="pt-PT"/>
        </w:rPr>
        <w:t> 1095/2010 sobre as práticas de supervisão para detetar e prevenir a evasão ao presente regulamento.</w:t>
      </w:r>
    </w:p>
    <w:p w14:paraId="759E3014" w14:textId="77777777" w:rsidR="00465964" w:rsidRPr="00465964" w:rsidRDefault="00465964" w:rsidP="00465964">
      <w:pPr>
        <w:rPr>
          <w:i/>
          <w:iCs/>
          <w:lang w:val="pt-PT"/>
        </w:rPr>
      </w:pPr>
      <w:r w:rsidRPr="00465964">
        <w:rPr>
          <w:i/>
          <w:iCs/>
          <w:lang w:val="pt-PT"/>
        </w:rPr>
        <w:t>Artigo 62.</w:t>
      </w:r>
      <w:r w:rsidRPr="00465964">
        <w:rPr>
          <w:i/>
          <w:iCs/>
          <w:vertAlign w:val="superscript"/>
          <w:lang w:val="pt-PT"/>
        </w:rPr>
        <w:t>o</w:t>
      </w:r>
    </w:p>
    <w:p w14:paraId="50A767D3" w14:textId="77777777" w:rsidR="00465964" w:rsidRPr="00465964" w:rsidRDefault="00465964" w:rsidP="00465964">
      <w:pPr>
        <w:rPr>
          <w:b/>
          <w:bCs/>
          <w:lang w:val="pt-PT"/>
        </w:rPr>
      </w:pPr>
      <w:r w:rsidRPr="00465964">
        <w:rPr>
          <w:b/>
          <w:bCs/>
          <w:lang w:val="pt-PT"/>
        </w:rPr>
        <w:t>Pedido de autorização como prestador de serviços de criptoativos</w:t>
      </w:r>
    </w:p>
    <w:p w14:paraId="4146F912" w14:textId="77777777" w:rsidR="00465964" w:rsidRPr="00465964" w:rsidRDefault="00465964" w:rsidP="00465964">
      <w:pPr>
        <w:rPr>
          <w:lang w:val="pt-PT"/>
        </w:rPr>
      </w:pPr>
      <w:r w:rsidRPr="00465964">
        <w:rPr>
          <w:lang w:val="pt-PT"/>
        </w:rPr>
        <w:t>1.   As pessoas coletivas ou outras empresas que pretendam prestar serviços de criptoativos devem apresentar o seu pedido de autorização como prestador de serviços de criptoativos à autoridade competente do seu Estado-Membro de origem.</w:t>
      </w:r>
    </w:p>
    <w:p w14:paraId="5ACE0533" w14:textId="77777777" w:rsidR="00465964" w:rsidRPr="00465964" w:rsidRDefault="00465964" w:rsidP="00465964">
      <w:pPr>
        <w:rPr>
          <w:lang w:val="pt-PT"/>
        </w:rPr>
      </w:pPr>
      <w:r w:rsidRPr="00465964">
        <w:rPr>
          <w:lang w:val="pt-PT"/>
        </w:rPr>
        <w:t xml:space="preserve">2.   O pedido a que se refere o </w:t>
      </w:r>
      <w:proofErr w:type="spellStart"/>
      <w:r w:rsidRPr="00465964">
        <w:rPr>
          <w:lang w:val="pt-PT"/>
        </w:rPr>
        <w:t>n.</w:t>
      </w:r>
      <w:r w:rsidRPr="00465964">
        <w:rPr>
          <w:vertAlign w:val="superscript"/>
          <w:lang w:val="pt-PT"/>
        </w:rPr>
        <w:t>o</w:t>
      </w:r>
      <w:proofErr w:type="spellEnd"/>
      <w:r w:rsidRPr="00465964">
        <w:rPr>
          <w:lang w:val="pt-PT"/>
        </w:rPr>
        <w:t> 1 deve incluir todas as seguintes informações:</w:t>
      </w:r>
    </w:p>
    <w:tbl>
      <w:tblPr>
        <w:tblW w:w="5000" w:type="pct"/>
        <w:tblCellMar>
          <w:left w:w="0" w:type="dxa"/>
          <w:right w:w="0" w:type="dxa"/>
        </w:tblCellMar>
        <w:tblLook w:val="04A0" w:firstRow="1" w:lastRow="0" w:firstColumn="1" w:lastColumn="0" w:noHBand="0" w:noVBand="1"/>
      </w:tblPr>
      <w:tblGrid>
        <w:gridCol w:w="182"/>
        <w:gridCol w:w="8844"/>
      </w:tblGrid>
      <w:tr w:rsidR="00465964" w:rsidRPr="00465964" w14:paraId="646E04D5" w14:textId="77777777" w:rsidTr="00465964">
        <w:tc>
          <w:tcPr>
            <w:tcW w:w="0" w:type="auto"/>
            <w:shd w:val="clear" w:color="auto" w:fill="auto"/>
            <w:hideMark/>
          </w:tcPr>
          <w:p w14:paraId="2CAA5151" w14:textId="77777777" w:rsidR="00465964" w:rsidRPr="00465964" w:rsidRDefault="00465964" w:rsidP="00465964">
            <w:r w:rsidRPr="00465964">
              <w:t>a)</w:t>
            </w:r>
          </w:p>
        </w:tc>
        <w:tc>
          <w:tcPr>
            <w:tcW w:w="0" w:type="auto"/>
            <w:shd w:val="clear" w:color="auto" w:fill="auto"/>
            <w:hideMark/>
          </w:tcPr>
          <w:p w14:paraId="1CFE5776" w14:textId="77777777" w:rsidR="00465964" w:rsidRPr="00465964" w:rsidRDefault="00465964" w:rsidP="00465964">
            <w:pPr>
              <w:rPr>
                <w:lang w:val="pt-PT"/>
              </w:rPr>
            </w:pPr>
            <w:r w:rsidRPr="00465964">
              <w:rPr>
                <w:lang w:val="pt-PT"/>
              </w:rPr>
              <w:t>O nome, incluindo a denominação jurídica e qualquer outra denominação comercial a utilizar, o identificador de entidade jurídica do prestador de serviços de criptoativos requerente, o endereço do sítio Web operado por esse prestador, um endereço de correio eletrónico de contacto, um contacto telefónico e o seu endereço físico;</w:t>
            </w:r>
          </w:p>
        </w:tc>
      </w:tr>
    </w:tbl>
    <w:p w14:paraId="6BBC5DB5"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255"/>
        <w:gridCol w:w="8771"/>
      </w:tblGrid>
      <w:tr w:rsidR="00465964" w:rsidRPr="00465964" w14:paraId="0CE58C51" w14:textId="77777777" w:rsidTr="00465964">
        <w:tc>
          <w:tcPr>
            <w:tcW w:w="0" w:type="auto"/>
            <w:shd w:val="clear" w:color="auto" w:fill="auto"/>
            <w:hideMark/>
          </w:tcPr>
          <w:p w14:paraId="3463CC09" w14:textId="77777777" w:rsidR="00465964" w:rsidRPr="00465964" w:rsidRDefault="00465964" w:rsidP="00465964">
            <w:r w:rsidRPr="00465964">
              <w:t>b)</w:t>
            </w:r>
          </w:p>
        </w:tc>
        <w:tc>
          <w:tcPr>
            <w:tcW w:w="0" w:type="auto"/>
            <w:shd w:val="clear" w:color="auto" w:fill="auto"/>
            <w:hideMark/>
          </w:tcPr>
          <w:p w14:paraId="739742AB" w14:textId="77777777" w:rsidR="00465964" w:rsidRPr="00465964" w:rsidRDefault="00465964" w:rsidP="00465964">
            <w:pPr>
              <w:rPr>
                <w:lang w:val="pt-PT"/>
              </w:rPr>
            </w:pPr>
            <w:r w:rsidRPr="00465964">
              <w:rPr>
                <w:lang w:val="pt-PT"/>
              </w:rPr>
              <w:t>A forma jurídica do prestador de serviços de criptoativos requerente;</w:t>
            </w:r>
          </w:p>
        </w:tc>
      </w:tr>
    </w:tbl>
    <w:p w14:paraId="5D44AC02"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201"/>
        <w:gridCol w:w="8825"/>
      </w:tblGrid>
      <w:tr w:rsidR="00465964" w:rsidRPr="00465964" w14:paraId="6D415F74" w14:textId="77777777" w:rsidTr="00465964">
        <w:tc>
          <w:tcPr>
            <w:tcW w:w="0" w:type="auto"/>
            <w:shd w:val="clear" w:color="auto" w:fill="auto"/>
            <w:hideMark/>
          </w:tcPr>
          <w:p w14:paraId="2E87A57D" w14:textId="77777777" w:rsidR="00465964" w:rsidRPr="00465964" w:rsidRDefault="00465964" w:rsidP="00465964">
            <w:r w:rsidRPr="00465964">
              <w:lastRenderedPageBreak/>
              <w:t>c)</w:t>
            </w:r>
          </w:p>
        </w:tc>
        <w:tc>
          <w:tcPr>
            <w:tcW w:w="0" w:type="auto"/>
            <w:shd w:val="clear" w:color="auto" w:fill="auto"/>
            <w:hideMark/>
          </w:tcPr>
          <w:p w14:paraId="24E4814E" w14:textId="77777777" w:rsidR="00465964" w:rsidRPr="00465964" w:rsidRDefault="00465964" w:rsidP="00465964">
            <w:pPr>
              <w:rPr>
                <w:lang w:val="pt-PT"/>
              </w:rPr>
            </w:pPr>
            <w:r w:rsidRPr="00465964">
              <w:rPr>
                <w:lang w:val="pt-PT"/>
              </w:rPr>
              <w:t>Os estatutos do prestador de serviços de criptoativos requerente, quando aplicável;</w:t>
            </w:r>
          </w:p>
        </w:tc>
      </w:tr>
    </w:tbl>
    <w:p w14:paraId="7FF7E856"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8"/>
        <w:gridCol w:w="8838"/>
      </w:tblGrid>
      <w:tr w:rsidR="00465964" w:rsidRPr="00465964" w14:paraId="1AEF4832" w14:textId="77777777" w:rsidTr="00465964">
        <w:tc>
          <w:tcPr>
            <w:tcW w:w="0" w:type="auto"/>
            <w:shd w:val="clear" w:color="auto" w:fill="auto"/>
            <w:hideMark/>
          </w:tcPr>
          <w:p w14:paraId="64992D8A" w14:textId="77777777" w:rsidR="00465964" w:rsidRPr="00465964" w:rsidRDefault="00465964" w:rsidP="00465964">
            <w:r w:rsidRPr="00465964">
              <w:t>d)</w:t>
            </w:r>
          </w:p>
        </w:tc>
        <w:tc>
          <w:tcPr>
            <w:tcW w:w="0" w:type="auto"/>
            <w:shd w:val="clear" w:color="auto" w:fill="auto"/>
            <w:hideMark/>
          </w:tcPr>
          <w:p w14:paraId="6375028A" w14:textId="77777777" w:rsidR="00465964" w:rsidRPr="00465964" w:rsidRDefault="00465964" w:rsidP="00465964">
            <w:pPr>
              <w:rPr>
                <w:lang w:val="pt-PT"/>
              </w:rPr>
            </w:pPr>
            <w:r w:rsidRPr="00465964">
              <w:rPr>
                <w:lang w:val="pt-PT"/>
              </w:rPr>
              <w:t>Um programa de atividades que indique os tipos de serviços de criptoativos que o prestador de serviços de criptoativos requerente pretende prestar, incluindo onde e como esses serviços serão comercializados;</w:t>
            </w:r>
          </w:p>
        </w:tc>
      </w:tr>
    </w:tbl>
    <w:p w14:paraId="68B15465"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1"/>
        <w:gridCol w:w="8845"/>
      </w:tblGrid>
      <w:tr w:rsidR="00465964" w:rsidRPr="00465964" w14:paraId="1AFA2DB0" w14:textId="77777777" w:rsidTr="00465964">
        <w:tc>
          <w:tcPr>
            <w:tcW w:w="0" w:type="auto"/>
            <w:shd w:val="clear" w:color="auto" w:fill="auto"/>
            <w:hideMark/>
          </w:tcPr>
          <w:p w14:paraId="75FF834D" w14:textId="77777777" w:rsidR="00465964" w:rsidRPr="00465964" w:rsidRDefault="00465964" w:rsidP="00465964">
            <w:r w:rsidRPr="00465964">
              <w:t>e)</w:t>
            </w:r>
          </w:p>
        </w:tc>
        <w:tc>
          <w:tcPr>
            <w:tcW w:w="0" w:type="auto"/>
            <w:shd w:val="clear" w:color="auto" w:fill="auto"/>
            <w:hideMark/>
          </w:tcPr>
          <w:p w14:paraId="665D0E4B" w14:textId="77777777" w:rsidR="00465964" w:rsidRPr="00465964" w:rsidRDefault="00465964" w:rsidP="00465964">
            <w:pPr>
              <w:rPr>
                <w:lang w:val="pt-PT"/>
              </w:rPr>
            </w:pPr>
            <w:r w:rsidRPr="00465964">
              <w:rPr>
                <w:lang w:val="pt-PT"/>
              </w:rPr>
              <w:t>Prova de que o prestador de serviços de criptoativos requerente cumpre os requisitos em matéria de garantias prudenciais estabelecidos no artigo 67.</w:t>
            </w:r>
            <w:r w:rsidRPr="00465964">
              <w:rPr>
                <w:vertAlign w:val="superscript"/>
                <w:lang w:val="pt-PT"/>
              </w:rPr>
              <w:t>o</w:t>
            </w:r>
            <w:r w:rsidRPr="00465964">
              <w:rPr>
                <w:lang w:val="pt-PT"/>
              </w:rPr>
              <w:t>;</w:t>
            </w:r>
          </w:p>
        </w:tc>
      </w:tr>
    </w:tbl>
    <w:p w14:paraId="0AB775A2"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36"/>
        <w:gridCol w:w="8890"/>
      </w:tblGrid>
      <w:tr w:rsidR="00465964" w:rsidRPr="00465964" w14:paraId="417DB29C" w14:textId="77777777" w:rsidTr="00465964">
        <w:tc>
          <w:tcPr>
            <w:tcW w:w="0" w:type="auto"/>
            <w:shd w:val="clear" w:color="auto" w:fill="auto"/>
            <w:hideMark/>
          </w:tcPr>
          <w:p w14:paraId="3B288046" w14:textId="77777777" w:rsidR="00465964" w:rsidRPr="00465964" w:rsidRDefault="00465964" w:rsidP="00465964">
            <w:r w:rsidRPr="00465964">
              <w:t>f)</w:t>
            </w:r>
          </w:p>
        </w:tc>
        <w:tc>
          <w:tcPr>
            <w:tcW w:w="0" w:type="auto"/>
            <w:shd w:val="clear" w:color="auto" w:fill="auto"/>
            <w:hideMark/>
          </w:tcPr>
          <w:p w14:paraId="1BCDCEA8" w14:textId="77777777" w:rsidR="00465964" w:rsidRPr="00465964" w:rsidRDefault="00465964" w:rsidP="00465964">
            <w:pPr>
              <w:rPr>
                <w:lang w:val="pt-PT"/>
              </w:rPr>
            </w:pPr>
            <w:r w:rsidRPr="00465964">
              <w:rPr>
                <w:lang w:val="pt-PT"/>
              </w:rPr>
              <w:t>Uma descrição dos mecanismos de governação do prestador de serviços de criptoativos requerente;</w:t>
            </w:r>
          </w:p>
        </w:tc>
      </w:tr>
    </w:tbl>
    <w:p w14:paraId="0E39F1A0"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74"/>
        <w:gridCol w:w="8852"/>
      </w:tblGrid>
      <w:tr w:rsidR="00465964" w:rsidRPr="00465964" w14:paraId="14F8DDA5" w14:textId="77777777" w:rsidTr="00465964">
        <w:tc>
          <w:tcPr>
            <w:tcW w:w="0" w:type="auto"/>
            <w:shd w:val="clear" w:color="auto" w:fill="auto"/>
            <w:hideMark/>
          </w:tcPr>
          <w:p w14:paraId="5FF750A1" w14:textId="77777777" w:rsidR="00465964" w:rsidRPr="00465964" w:rsidRDefault="00465964" w:rsidP="00465964">
            <w:r w:rsidRPr="00465964">
              <w:t>g)</w:t>
            </w:r>
          </w:p>
        </w:tc>
        <w:tc>
          <w:tcPr>
            <w:tcW w:w="0" w:type="auto"/>
            <w:shd w:val="clear" w:color="auto" w:fill="auto"/>
            <w:hideMark/>
          </w:tcPr>
          <w:p w14:paraId="2DDD1199" w14:textId="77777777" w:rsidR="00465964" w:rsidRPr="00465964" w:rsidRDefault="00465964" w:rsidP="00465964">
            <w:pPr>
              <w:rPr>
                <w:lang w:val="pt-PT"/>
              </w:rPr>
            </w:pPr>
            <w:r w:rsidRPr="00465964">
              <w:rPr>
                <w:lang w:val="pt-PT"/>
              </w:rPr>
              <w:t>Prova de que os membros do órgão de administração do prestador de serviços de criptoativos requerente têm idoneidade suficiente e possuem os conhecimentos, competências e experiência adequados para assumir a direção desse prestador;</w:t>
            </w:r>
          </w:p>
        </w:tc>
      </w:tr>
    </w:tbl>
    <w:p w14:paraId="2A5BCC39"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6"/>
        <w:gridCol w:w="8840"/>
      </w:tblGrid>
      <w:tr w:rsidR="00465964" w:rsidRPr="00465964" w14:paraId="6E6B8EB1" w14:textId="77777777" w:rsidTr="00465964">
        <w:tc>
          <w:tcPr>
            <w:tcW w:w="0" w:type="auto"/>
            <w:shd w:val="clear" w:color="auto" w:fill="auto"/>
            <w:hideMark/>
          </w:tcPr>
          <w:p w14:paraId="1EB672E9" w14:textId="77777777" w:rsidR="00465964" w:rsidRPr="00465964" w:rsidRDefault="00465964" w:rsidP="00465964">
            <w:r w:rsidRPr="00465964">
              <w:t>h)</w:t>
            </w:r>
          </w:p>
        </w:tc>
        <w:tc>
          <w:tcPr>
            <w:tcW w:w="0" w:type="auto"/>
            <w:shd w:val="clear" w:color="auto" w:fill="auto"/>
            <w:hideMark/>
          </w:tcPr>
          <w:p w14:paraId="58632411" w14:textId="77777777" w:rsidR="00465964" w:rsidRPr="00465964" w:rsidRDefault="00465964" w:rsidP="00465964">
            <w:pPr>
              <w:rPr>
                <w:lang w:val="pt-PT"/>
              </w:rPr>
            </w:pPr>
            <w:r w:rsidRPr="00465964">
              <w:rPr>
                <w:lang w:val="pt-PT"/>
              </w:rPr>
              <w:t>A identidade dos acionistas e sócios, diretos ou indiretos, que detêm participações qualificadas no prestador de serviços de criptoativos requerente e o montante dessas participações, bem como a prova de que essas pessoas têm idoneidade suficiente;</w:t>
            </w:r>
          </w:p>
        </w:tc>
      </w:tr>
    </w:tbl>
    <w:p w14:paraId="2F4E196F"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17"/>
        <w:gridCol w:w="8909"/>
      </w:tblGrid>
      <w:tr w:rsidR="00465964" w:rsidRPr="00465964" w14:paraId="289F8D97" w14:textId="77777777" w:rsidTr="00465964">
        <w:tc>
          <w:tcPr>
            <w:tcW w:w="0" w:type="auto"/>
            <w:shd w:val="clear" w:color="auto" w:fill="auto"/>
            <w:hideMark/>
          </w:tcPr>
          <w:p w14:paraId="623277FC" w14:textId="77777777" w:rsidR="00465964" w:rsidRPr="00465964" w:rsidRDefault="00465964" w:rsidP="00465964">
            <w:proofErr w:type="spellStart"/>
            <w:r w:rsidRPr="00465964">
              <w:t>i</w:t>
            </w:r>
            <w:proofErr w:type="spellEnd"/>
            <w:r w:rsidRPr="00465964">
              <w:t>)</w:t>
            </w:r>
          </w:p>
        </w:tc>
        <w:tc>
          <w:tcPr>
            <w:tcW w:w="0" w:type="auto"/>
            <w:shd w:val="clear" w:color="auto" w:fill="auto"/>
            <w:hideMark/>
          </w:tcPr>
          <w:p w14:paraId="4531F562" w14:textId="77777777" w:rsidR="00465964" w:rsidRPr="00465964" w:rsidRDefault="00465964" w:rsidP="00465964">
            <w:pPr>
              <w:rPr>
                <w:lang w:val="pt-PT"/>
              </w:rPr>
            </w:pPr>
            <w:r w:rsidRPr="00465964">
              <w:rPr>
                <w:lang w:val="pt-PT"/>
              </w:rPr>
              <w:t>Uma descrição dos mecanismos de controlo interno, das políticas e dos procedimentos para identificar, avaliar e gerir os riscos, nomeadamente de branqueamento de capitais e de financiamento do terrorismo, do prestador de serviços de criptoativos requerente, bem como do plano de continuidade das atividades;</w:t>
            </w:r>
          </w:p>
        </w:tc>
      </w:tr>
    </w:tbl>
    <w:p w14:paraId="0C079D4B"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17"/>
        <w:gridCol w:w="8909"/>
      </w:tblGrid>
      <w:tr w:rsidR="00465964" w:rsidRPr="00465964" w14:paraId="304B2173" w14:textId="77777777" w:rsidTr="00465964">
        <w:tc>
          <w:tcPr>
            <w:tcW w:w="0" w:type="auto"/>
            <w:shd w:val="clear" w:color="auto" w:fill="auto"/>
            <w:hideMark/>
          </w:tcPr>
          <w:p w14:paraId="1B2A0C02" w14:textId="77777777" w:rsidR="00465964" w:rsidRPr="00465964" w:rsidRDefault="00465964" w:rsidP="00465964">
            <w:r w:rsidRPr="00465964">
              <w:t>j)</w:t>
            </w:r>
          </w:p>
        </w:tc>
        <w:tc>
          <w:tcPr>
            <w:tcW w:w="0" w:type="auto"/>
            <w:shd w:val="clear" w:color="auto" w:fill="auto"/>
            <w:hideMark/>
          </w:tcPr>
          <w:p w14:paraId="371B6053" w14:textId="77777777" w:rsidR="00465964" w:rsidRPr="00465964" w:rsidRDefault="00465964" w:rsidP="00465964">
            <w:pPr>
              <w:rPr>
                <w:lang w:val="pt-PT"/>
              </w:rPr>
            </w:pPr>
            <w:r w:rsidRPr="00465964">
              <w:rPr>
                <w:lang w:val="pt-PT"/>
              </w:rPr>
              <w:t>A documentação técnica dos sistemas TIC e das disposições de segurança, bem como uma descrição da mesma em linguagem não técnica;</w:t>
            </w:r>
          </w:p>
        </w:tc>
      </w:tr>
    </w:tbl>
    <w:p w14:paraId="4D4F15B0"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77"/>
        <w:gridCol w:w="8849"/>
      </w:tblGrid>
      <w:tr w:rsidR="00465964" w:rsidRPr="00465964" w14:paraId="66B6E126" w14:textId="77777777" w:rsidTr="00465964">
        <w:tc>
          <w:tcPr>
            <w:tcW w:w="0" w:type="auto"/>
            <w:shd w:val="clear" w:color="auto" w:fill="auto"/>
            <w:hideMark/>
          </w:tcPr>
          <w:p w14:paraId="6DFFE3C4" w14:textId="77777777" w:rsidR="00465964" w:rsidRPr="00465964" w:rsidRDefault="00465964" w:rsidP="00465964">
            <w:r w:rsidRPr="00465964">
              <w:t>k)</w:t>
            </w:r>
          </w:p>
        </w:tc>
        <w:tc>
          <w:tcPr>
            <w:tcW w:w="0" w:type="auto"/>
            <w:shd w:val="clear" w:color="auto" w:fill="auto"/>
            <w:hideMark/>
          </w:tcPr>
          <w:p w14:paraId="0CD1C673" w14:textId="77777777" w:rsidR="00465964" w:rsidRPr="00465964" w:rsidRDefault="00465964" w:rsidP="00465964">
            <w:pPr>
              <w:rPr>
                <w:lang w:val="pt-PT"/>
              </w:rPr>
            </w:pPr>
            <w:r w:rsidRPr="00465964">
              <w:rPr>
                <w:lang w:val="pt-PT"/>
              </w:rPr>
              <w:t>Uma descrição do procedimento de segregação dos criptoativos e dos fundos dos clientes;</w:t>
            </w:r>
          </w:p>
        </w:tc>
      </w:tr>
    </w:tbl>
    <w:p w14:paraId="10E85190"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22"/>
        <w:gridCol w:w="8904"/>
      </w:tblGrid>
      <w:tr w:rsidR="00465964" w:rsidRPr="00465964" w14:paraId="47EFD6F4" w14:textId="77777777" w:rsidTr="00465964">
        <w:tc>
          <w:tcPr>
            <w:tcW w:w="0" w:type="auto"/>
            <w:shd w:val="clear" w:color="auto" w:fill="auto"/>
            <w:hideMark/>
          </w:tcPr>
          <w:p w14:paraId="3B8DC439" w14:textId="77777777" w:rsidR="00465964" w:rsidRPr="00465964" w:rsidRDefault="00465964" w:rsidP="00465964">
            <w:r w:rsidRPr="00465964">
              <w:t>l)</w:t>
            </w:r>
          </w:p>
        </w:tc>
        <w:tc>
          <w:tcPr>
            <w:tcW w:w="0" w:type="auto"/>
            <w:shd w:val="clear" w:color="auto" w:fill="auto"/>
            <w:hideMark/>
          </w:tcPr>
          <w:p w14:paraId="48ADA06A" w14:textId="77777777" w:rsidR="00465964" w:rsidRPr="00465964" w:rsidRDefault="00465964" w:rsidP="00465964">
            <w:pPr>
              <w:rPr>
                <w:lang w:val="pt-PT"/>
              </w:rPr>
            </w:pPr>
            <w:r w:rsidRPr="00465964">
              <w:rPr>
                <w:lang w:val="pt-PT"/>
              </w:rPr>
              <w:t>Uma descrição dos procedimentos de tratamento das reclamações estabelecidos pelo prestador de serviços de criptoativos requerente;</w:t>
            </w:r>
          </w:p>
        </w:tc>
      </w:tr>
    </w:tbl>
    <w:p w14:paraId="57161D50"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253"/>
        <w:gridCol w:w="8773"/>
      </w:tblGrid>
      <w:tr w:rsidR="00465964" w:rsidRPr="00465964" w14:paraId="0F326FCB" w14:textId="77777777" w:rsidTr="00465964">
        <w:tc>
          <w:tcPr>
            <w:tcW w:w="0" w:type="auto"/>
            <w:shd w:val="clear" w:color="auto" w:fill="auto"/>
            <w:hideMark/>
          </w:tcPr>
          <w:p w14:paraId="066F7BA1" w14:textId="77777777" w:rsidR="00465964" w:rsidRPr="00465964" w:rsidRDefault="00465964" w:rsidP="00465964">
            <w:r w:rsidRPr="00465964">
              <w:t>m)</w:t>
            </w:r>
          </w:p>
        </w:tc>
        <w:tc>
          <w:tcPr>
            <w:tcW w:w="0" w:type="auto"/>
            <w:shd w:val="clear" w:color="auto" w:fill="auto"/>
            <w:hideMark/>
          </w:tcPr>
          <w:p w14:paraId="7DE682BC" w14:textId="77777777" w:rsidR="00465964" w:rsidRPr="00465964" w:rsidRDefault="00465964" w:rsidP="00465964">
            <w:pPr>
              <w:rPr>
                <w:lang w:val="pt-PT"/>
              </w:rPr>
            </w:pPr>
            <w:r w:rsidRPr="00465964">
              <w:rPr>
                <w:lang w:val="pt-PT"/>
              </w:rPr>
              <w:t>Caso o prestador de serviços de criptoativos requerente pretenda proceder à custódia e administração de criptoativos em nome de clientes, uma descrição da política de custódia e de administração;</w:t>
            </w:r>
          </w:p>
        </w:tc>
      </w:tr>
    </w:tbl>
    <w:p w14:paraId="1CF77E36"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6"/>
        <w:gridCol w:w="8840"/>
      </w:tblGrid>
      <w:tr w:rsidR="00465964" w:rsidRPr="00465964" w14:paraId="18EC1F29" w14:textId="77777777" w:rsidTr="00465964">
        <w:tc>
          <w:tcPr>
            <w:tcW w:w="0" w:type="auto"/>
            <w:shd w:val="clear" w:color="auto" w:fill="auto"/>
            <w:hideMark/>
          </w:tcPr>
          <w:p w14:paraId="5DB1B1AF" w14:textId="77777777" w:rsidR="00465964" w:rsidRPr="00465964" w:rsidRDefault="00465964" w:rsidP="00465964">
            <w:r w:rsidRPr="00465964">
              <w:t>n)</w:t>
            </w:r>
          </w:p>
        </w:tc>
        <w:tc>
          <w:tcPr>
            <w:tcW w:w="0" w:type="auto"/>
            <w:shd w:val="clear" w:color="auto" w:fill="auto"/>
            <w:hideMark/>
          </w:tcPr>
          <w:p w14:paraId="04FA7F23" w14:textId="77777777" w:rsidR="00465964" w:rsidRPr="00465964" w:rsidRDefault="00465964" w:rsidP="00465964">
            <w:pPr>
              <w:rPr>
                <w:lang w:val="pt-PT"/>
              </w:rPr>
            </w:pPr>
            <w:r w:rsidRPr="00465964">
              <w:rPr>
                <w:lang w:val="pt-PT"/>
              </w:rPr>
              <w:t>Caso o prestador de serviços de criptoativos requerente pretenda operar uma plataforma de negociação para criptoativos, uma descrição das regras de funcionamento da plataforma de negociação, bem como dos procedimentos e do sistema de deteção de abusos de mercado;</w:t>
            </w:r>
          </w:p>
        </w:tc>
      </w:tr>
    </w:tbl>
    <w:p w14:paraId="35741946"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6"/>
        <w:gridCol w:w="8840"/>
      </w:tblGrid>
      <w:tr w:rsidR="00465964" w:rsidRPr="00465964" w14:paraId="3DC836C7" w14:textId="77777777" w:rsidTr="00465964">
        <w:tc>
          <w:tcPr>
            <w:tcW w:w="0" w:type="auto"/>
            <w:shd w:val="clear" w:color="auto" w:fill="auto"/>
            <w:hideMark/>
          </w:tcPr>
          <w:p w14:paraId="41FA60CE" w14:textId="77777777" w:rsidR="00465964" w:rsidRPr="00465964" w:rsidRDefault="00465964" w:rsidP="00465964">
            <w:r w:rsidRPr="00465964">
              <w:t>o)</w:t>
            </w:r>
          </w:p>
        </w:tc>
        <w:tc>
          <w:tcPr>
            <w:tcW w:w="0" w:type="auto"/>
            <w:shd w:val="clear" w:color="auto" w:fill="auto"/>
            <w:hideMark/>
          </w:tcPr>
          <w:p w14:paraId="3D609887" w14:textId="77777777" w:rsidR="00465964" w:rsidRPr="00465964" w:rsidRDefault="00465964" w:rsidP="00465964">
            <w:pPr>
              <w:rPr>
                <w:lang w:val="pt-PT"/>
              </w:rPr>
            </w:pPr>
            <w:r w:rsidRPr="00465964">
              <w:rPr>
                <w:lang w:val="pt-PT"/>
              </w:rPr>
              <w:t>Caso o prestador de serviços de criptoativos requerente pretenda trocar criptoativos por fundos ou por outros criptoativos, uma descrição da política comercial, que não pode ser discriminatória, que rege a relação com os clientes, bem como uma descrição da metodologia para determinar o preço dos criptoativos que o prestador de serviços de criptoativos requerente propõe para troca por fundos ou por outros criptoativos;</w:t>
            </w:r>
          </w:p>
        </w:tc>
      </w:tr>
    </w:tbl>
    <w:p w14:paraId="44EA51ED"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8"/>
        <w:gridCol w:w="8838"/>
      </w:tblGrid>
      <w:tr w:rsidR="00465964" w:rsidRPr="00465964" w14:paraId="41B1D36D" w14:textId="77777777" w:rsidTr="00465964">
        <w:tc>
          <w:tcPr>
            <w:tcW w:w="0" w:type="auto"/>
            <w:shd w:val="clear" w:color="auto" w:fill="auto"/>
            <w:hideMark/>
          </w:tcPr>
          <w:p w14:paraId="6C55BE92" w14:textId="77777777" w:rsidR="00465964" w:rsidRPr="00465964" w:rsidRDefault="00465964" w:rsidP="00465964">
            <w:r w:rsidRPr="00465964">
              <w:t>p)</w:t>
            </w:r>
          </w:p>
        </w:tc>
        <w:tc>
          <w:tcPr>
            <w:tcW w:w="0" w:type="auto"/>
            <w:shd w:val="clear" w:color="auto" w:fill="auto"/>
            <w:hideMark/>
          </w:tcPr>
          <w:p w14:paraId="307CE033" w14:textId="77777777" w:rsidR="00465964" w:rsidRPr="00465964" w:rsidRDefault="00465964" w:rsidP="00465964">
            <w:pPr>
              <w:rPr>
                <w:lang w:val="pt-PT"/>
              </w:rPr>
            </w:pPr>
            <w:r w:rsidRPr="00465964">
              <w:rPr>
                <w:lang w:val="pt-PT"/>
              </w:rPr>
              <w:t>Caso o prestador de serviços de criptoativos requerente pretenda executar ordens sobre criptoativos em nome de clientes, uma descrição da política de execução;</w:t>
            </w:r>
          </w:p>
        </w:tc>
      </w:tr>
    </w:tbl>
    <w:p w14:paraId="5E08E0B3"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8"/>
        <w:gridCol w:w="8838"/>
      </w:tblGrid>
      <w:tr w:rsidR="00465964" w:rsidRPr="00465964" w14:paraId="5607D791" w14:textId="77777777" w:rsidTr="00465964">
        <w:tc>
          <w:tcPr>
            <w:tcW w:w="0" w:type="auto"/>
            <w:shd w:val="clear" w:color="auto" w:fill="auto"/>
            <w:hideMark/>
          </w:tcPr>
          <w:p w14:paraId="15A126A5" w14:textId="77777777" w:rsidR="00465964" w:rsidRPr="00465964" w:rsidRDefault="00465964" w:rsidP="00465964">
            <w:r w:rsidRPr="00465964">
              <w:t>q)</w:t>
            </w:r>
          </w:p>
        </w:tc>
        <w:tc>
          <w:tcPr>
            <w:tcW w:w="0" w:type="auto"/>
            <w:shd w:val="clear" w:color="auto" w:fill="auto"/>
            <w:hideMark/>
          </w:tcPr>
          <w:p w14:paraId="625445D5" w14:textId="77777777" w:rsidR="00465964" w:rsidRPr="00465964" w:rsidRDefault="00465964" w:rsidP="00465964">
            <w:pPr>
              <w:rPr>
                <w:lang w:val="pt-PT"/>
              </w:rPr>
            </w:pPr>
            <w:r w:rsidRPr="00465964">
              <w:rPr>
                <w:lang w:val="pt-PT"/>
              </w:rPr>
              <w:t xml:space="preserve">Caso o prestador de serviços de criptoativos requerente pretenda prestar consultoria sobre criptoativos ou serviços de gestão de carteiras de criptoativos, uma prova de que as pessoas singulares que prestam consultoria em nome do prestador de serviços de criptoativos requerente ou que gerem carteiras em nome do prestador de serviços de criptoativos </w:t>
            </w:r>
            <w:r w:rsidRPr="00465964">
              <w:rPr>
                <w:lang w:val="pt-PT"/>
              </w:rPr>
              <w:lastRenderedPageBreak/>
              <w:t>requerente dispõem dos conhecimentos e das competências necessários para o cumprimento das suas obrigações;</w:t>
            </w:r>
          </w:p>
        </w:tc>
      </w:tr>
    </w:tbl>
    <w:p w14:paraId="05E5B1B1"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39"/>
        <w:gridCol w:w="8887"/>
      </w:tblGrid>
      <w:tr w:rsidR="00465964" w:rsidRPr="00465964" w14:paraId="1E39DF10" w14:textId="77777777" w:rsidTr="00465964">
        <w:tc>
          <w:tcPr>
            <w:tcW w:w="0" w:type="auto"/>
            <w:shd w:val="clear" w:color="auto" w:fill="auto"/>
            <w:hideMark/>
          </w:tcPr>
          <w:p w14:paraId="57DE88E0" w14:textId="77777777" w:rsidR="00465964" w:rsidRPr="00465964" w:rsidRDefault="00465964" w:rsidP="00465964">
            <w:r w:rsidRPr="00465964">
              <w:t>r)</w:t>
            </w:r>
          </w:p>
        </w:tc>
        <w:tc>
          <w:tcPr>
            <w:tcW w:w="0" w:type="auto"/>
            <w:shd w:val="clear" w:color="auto" w:fill="auto"/>
            <w:hideMark/>
          </w:tcPr>
          <w:p w14:paraId="0F35CE59" w14:textId="77777777" w:rsidR="00465964" w:rsidRPr="00465964" w:rsidRDefault="00465964" w:rsidP="00465964">
            <w:pPr>
              <w:rPr>
                <w:lang w:val="pt-PT"/>
              </w:rPr>
            </w:pPr>
            <w:r w:rsidRPr="00465964">
              <w:rPr>
                <w:lang w:val="pt-PT"/>
              </w:rPr>
              <w:t>Caso o prestador de serviços de criptoativos requerente pretenda prestar serviços de transferência de criptoativos em nome de clientes, informações sobre a forma como esses serviços de transferência serão prestados;</w:t>
            </w:r>
          </w:p>
        </w:tc>
      </w:tr>
    </w:tbl>
    <w:p w14:paraId="2D2F1B2A"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262"/>
        <w:gridCol w:w="8764"/>
      </w:tblGrid>
      <w:tr w:rsidR="00465964" w:rsidRPr="00465964" w14:paraId="1DB7E602" w14:textId="77777777" w:rsidTr="00465964">
        <w:tc>
          <w:tcPr>
            <w:tcW w:w="0" w:type="auto"/>
            <w:shd w:val="clear" w:color="auto" w:fill="auto"/>
            <w:hideMark/>
          </w:tcPr>
          <w:p w14:paraId="0331F680" w14:textId="77777777" w:rsidR="00465964" w:rsidRPr="00465964" w:rsidRDefault="00465964" w:rsidP="00465964">
            <w:r w:rsidRPr="00465964">
              <w:t>s)</w:t>
            </w:r>
          </w:p>
        </w:tc>
        <w:tc>
          <w:tcPr>
            <w:tcW w:w="0" w:type="auto"/>
            <w:shd w:val="clear" w:color="auto" w:fill="auto"/>
            <w:hideMark/>
          </w:tcPr>
          <w:p w14:paraId="2ECA309E" w14:textId="77777777" w:rsidR="00465964" w:rsidRPr="00465964" w:rsidRDefault="00465964" w:rsidP="00465964">
            <w:pPr>
              <w:rPr>
                <w:lang w:val="pt-PT"/>
              </w:rPr>
            </w:pPr>
            <w:r w:rsidRPr="00465964">
              <w:rPr>
                <w:lang w:val="pt-PT"/>
              </w:rPr>
              <w:t>O tipo de criptoativo a que se refere o serviço de criptoativos.</w:t>
            </w:r>
          </w:p>
        </w:tc>
      </w:tr>
    </w:tbl>
    <w:p w14:paraId="32FFA595" w14:textId="77777777" w:rsidR="00465964" w:rsidRPr="00465964" w:rsidRDefault="00465964" w:rsidP="00465964">
      <w:pPr>
        <w:rPr>
          <w:lang w:val="pt-PT"/>
        </w:rPr>
      </w:pPr>
      <w:r w:rsidRPr="00465964">
        <w:rPr>
          <w:lang w:val="pt-PT"/>
        </w:rPr>
        <w:t xml:space="preserve">3.   Para efeitos do </w:t>
      </w:r>
      <w:proofErr w:type="spellStart"/>
      <w:r w:rsidRPr="00465964">
        <w:rPr>
          <w:lang w:val="pt-PT"/>
        </w:rPr>
        <w:t>n.</w:t>
      </w:r>
      <w:r w:rsidRPr="00465964">
        <w:rPr>
          <w:vertAlign w:val="superscript"/>
          <w:lang w:val="pt-PT"/>
        </w:rPr>
        <w:t>o</w:t>
      </w:r>
      <w:proofErr w:type="spellEnd"/>
      <w:r w:rsidRPr="00465964">
        <w:rPr>
          <w:lang w:val="pt-PT"/>
        </w:rPr>
        <w:t> 2, alíneas g) e h), o prestador de serviços de criptoativos requerente apresenta comprovativos de todos os elementos que se seguem:</w:t>
      </w:r>
    </w:p>
    <w:tbl>
      <w:tblPr>
        <w:tblW w:w="5000" w:type="pct"/>
        <w:tblCellMar>
          <w:left w:w="0" w:type="dxa"/>
          <w:right w:w="0" w:type="dxa"/>
        </w:tblCellMar>
        <w:tblLook w:val="04A0" w:firstRow="1" w:lastRow="0" w:firstColumn="1" w:lastColumn="0" w:noHBand="0" w:noVBand="1"/>
      </w:tblPr>
      <w:tblGrid>
        <w:gridCol w:w="182"/>
        <w:gridCol w:w="8844"/>
      </w:tblGrid>
      <w:tr w:rsidR="00465964" w:rsidRPr="00465964" w14:paraId="262161E1" w14:textId="77777777" w:rsidTr="00465964">
        <w:tc>
          <w:tcPr>
            <w:tcW w:w="0" w:type="auto"/>
            <w:shd w:val="clear" w:color="auto" w:fill="auto"/>
            <w:hideMark/>
          </w:tcPr>
          <w:p w14:paraId="14800A37" w14:textId="77777777" w:rsidR="00465964" w:rsidRPr="00465964" w:rsidRDefault="00465964" w:rsidP="00465964">
            <w:r w:rsidRPr="00465964">
              <w:t>a)</w:t>
            </w:r>
          </w:p>
        </w:tc>
        <w:tc>
          <w:tcPr>
            <w:tcW w:w="0" w:type="auto"/>
            <w:shd w:val="clear" w:color="auto" w:fill="auto"/>
            <w:hideMark/>
          </w:tcPr>
          <w:p w14:paraId="0F14A598" w14:textId="77777777" w:rsidR="00465964" w:rsidRPr="00465964" w:rsidRDefault="00465964" w:rsidP="00465964">
            <w:pPr>
              <w:rPr>
                <w:lang w:val="pt-PT"/>
              </w:rPr>
            </w:pPr>
            <w:r w:rsidRPr="00465964">
              <w:rPr>
                <w:lang w:val="pt-PT"/>
              </w:rPr>
              <w:t>Para todos os membros do órgão de administração do prestador de serviços de criptoativos requerente, um registo criminal no qual não constam, e ausência de sanções impostas, por força do direito comercial aplicável, incluindo o direito da insolvência e a legislação relativa aos serviços financeiros, ou no que diz respeito à luta contra o branqueamento de capitais e o financiamento do terrorismo, à fraude ou à responsabilidade profissional;</w:t>
            </w:r>
          </w:p>
        </w:tc>
      </w:tr>
    </w:tbl>
    <w:p w14:paraId="69B4CE46"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8"/>
        <w:gridCol w:w="8838"/>
      </w:tblGrid>
      <w:tr w:rsidR="00465964" w:rsidRPr="00465964" w14:paraId="4EE3A3AE" w14:textId="77777777" w:rsidTr="00465964">
        <w:tc>
          <w:tcPr>
            <w:tcW w:w="0" w:type="auto"/>
            <w:shd w:val="clear" w:color="auto" w:fill="auto"/>
            <w:hideMark/>
          </w:tcPr>
          <w:p w14:paraId="585A55F4" w14:textId="77777777" w:rsidR="00465964" w:rsidRPr="00465964" w:rsidRDefault="00465964" w:rsidP="00465964">
            <w:r w:rsidRPr="00465964">
              <w:t>b)</w:t>
            </w:r>
          </w:p>
        </w:tc>
        <w:tc>
          <w:tcPr>
            <w:tcW w:w="0" w:type="auto"/>
            <w:shd w:val="clear" w:color="auto" w:fill="auto"/>
            <w:hideMark/>
          </w:tcPr>
          <w:p w14:paraId="1CA05B84" w14:textId="77777777" w:rsidR="00465964" w:rsidRPr="00465964" w:rsidRDefault="00465964" w:rsidP="00465964">
            <w:pPr>
              <w:rPr>
                <w:lang w:val="pt-PT"/>
              </w:rPr>
            </w:pPr>
            <w:r w:rsidRPr="00465964">
              <w:rPr>
                <w:lang w:val="pt-PT"/>
              </w:rPr>
              <w:t>Os membros do órgão de administração do prestador de serviços de criptoativos requerente possuem, no seu conjunto, os conhecimentos, competências e experiência adequados para assumir a administração do prestador de serviços de criptoativos, e de que essas pessoas são obrigadas a consagrar tempo suficiente ao desempenho das suas funções;</w:t>
            </w:r>
          </w:p>
        </w:tc>
      </w:tr>
    </w:tbl>
    <w:p w14:paraId="0E0B240E"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0"/>
        <w:gridCol w:w="8846"/>
      </w:tblGrid>
      <w:tr w:rsidR="00465964" w:rsidRPr="00465964" w14:paraId="234617DB" w14:textId="77777777" w:rsidTr="00465964">
        <w:tc>
          <w:tcPr>
            <w:tcW w:w="0" w:type="auto"/>
            <w:shd w:val="clear" w:color="auto" w:fill="auto"/>
            <w:hideMark/>
          </w:tcPr>
          <w:p w14:paraId="5C72D865" w14:textId="77777777" w:rsidR="00465964" w:rsidRPr="00465964" w:rsidRDefault="00465964" w:rsidP="00465964">
            <w:r w:rsidRPr="00465964">
              <w:t>c)</w:t>
            </w:r>
          </w:p>
        </w:tc>
        <w:tc>
          <w:tcPr>
            <w:tcW w:w="0" w:type="auto"/>
            <w:shd w:val="clear" w:color="auto" w:fill="auto"/>
            <w:hideMark/>
          </w:tcPr>
          <w:p w14:paraId="3CE47415" w14:textId="77777777" w:rsidR="00465964" w:rsidRPr="00465964" w:rsidRDefault="00465964" w:rsidP="00465964">
            <w:pPr>
              <w:rPr>
                <w:lang w:val="pt-PT"/>
              </w:rPr>
            </w:pPr>
            <w:r w:rsidRPr="00465964">
              <w:rPr>
                <w:lang w:val="pt-PT"/>
              </w:rPr>
              <w:t>Para todos os acionistas ou sócios, diretos ou indiretos, que detenham participações qualificadas no prestador de serviços de criptoativos requerente, um registo criminal no qual não constem condenações, ou a ausência de sanções impostas, por força do direito comercial aplicável, incluindo o direito da insolvência e a legislação relativa aos serviços financeiros, ou no que diz respeito à luta contra o branqueamento de capitais e o financiamento do terrorismo, à fraude ou à responsabilidade profissional.</w:t>
            </w:r>
          </w:p>
        </w:tc>
      </w:tr>
    </w:tbl>
    <w:p w14:paraId="530DF84F" w14:textId="77777777" w:rsidR="00465964" w:rsidRPr="00465964" w:rsidRDefault="00465964" w:rsidP="00465964">
      <w:pPr>
        <w:rPr>
          <w:lang w:val="pt-PT"/>
        </w:rPr>
      </w:pPr>
      <w:r w:rsidRPr="00465964">
        <w:rPr>
          <w:lang w:val="pt-PT"/>
        </w:rPr>
        <w:t xml:space="preserve">4.   As autoridades competentes não podem exigir a um prestador de serviços de criptoativos requerente que forneça as informações a que se referem os </w:t>
      </w:r>
      <w:proofErr w:type="spellStart"/>
      <w:r w:rsidRPr="00465964">
        <w:rPr>
          <w:lang w:val="pt-PT"/>
        </w:rPr>
        <w:t>n.</w:t>
      </w:r>
      <w:r w:rsidRPr="00465964">
        <w:rPr>
          <w:vertAlign w:val="superscript"/>
          <w:lang w:val="pt-PT"/>
        </w:rPr>
        <w:t>os</w:t>
      </w:r>
      <w:proofErr w:type="spellEnd"/>
      <w:r w:rsidRPr="00465964">
        <w:rPr>
          <w:lang w:val="pt-PT"/>
        </w:rPr>
        <w:t> 2 e 3 do presente artigo que estas já tenham recebido ao abrigo dos respetivos procedimentos de autorização nos termos das Diretivas 2009/110/CE, 2014/65/UE ou (UE) 2015/2366, ou do direito nacional aplicável aos serviços de criptoativos antes de 29 de junho de 2023, desde que essas informações tenham sido anteriormente apresentadas ou que os documentos continuem atualizados.</w:t>
      </w:r>
    </w:p>
    <w:p w14:paraId="59FBE10A" w14:textId="77777777" w:rsidR="00465964" w:rsidRPr="00465964" w:rsidRDefault="00465964" w:rsidP="00465964">
      <w:pPr>
        <w:rPr>
          <w:lang w:val="pt-PT"/>
        </w:rPr>
      </w:pPr>
      <w:r w:rsidRPr="00465964">
        <w:rPr>
          <w:lang w:val="pt-PT"/>
        </w:rPr>
        <w:t xml:space="preserve">5.   A ESMA, em estreita cooperação com a EBA, elabora projetos de normas técnicas de regulamentação a fim de especificar com maior pormenor as informações a que se referem os </w:t>
      </w:r>
      <w:proofErr w:type="spellStart"/>
      <w:proofErr w:type="gramStart"/>
      <w:r w:rsidRPr="00465964">
        <w:rPr>
          <w:lang w:val="pt-PT"/>
        </w:rPr>
        <w:t>n.</w:t>
      </w:r>
      <w:r w:rsidRPr="00465964">
        <w:rPr>
          <w:vertAlign w:val="superscript"/>
          <w:lang w:val="pt-PT"/>
        </w:rPr>
        <w:t>os</w:t>
      </w:r>
      <w:proofErr w:type="spellEnd"/>
      <w:proofErr w:type="gramEnd"/>
      <w:r w:rsidRPr="00465964">
        <w:rPr>
          <w:lang w:val="pt-PT"/>
        </w:rPr>
        <w:t> 2 e 3.</w:t>
      </w:r>
    </w:p>
    <w:p w14:paraId="2EF51D84" w14:textId="77777777" w:rsidR="00465964" w:rsidRPr="00465964" w:rsidRDefault="00465964" w:rsidP="00465964">
      <w:pPr>
        <w:rPr>
          <w:lang w:val="pt-PT"/>
        </w:rPr>
      </w:pPr>
      <w:r w:rsidRPr="00465964">
        <w:rPr>
          <w:lang w:val="pt-PT"/>
        </w:rPr>
        <w:t>A ESMA apresenta à Comissão os projetos de normas técnicas de regulamentação referidos no primeiro parágrafo até 30 de junho de 2024.</w:t>
      </w:r>
    </w:p>
    <w:p w14:paraId="0C7A257A" w14:textId="77777777" w:rsidR="00465964" w:rsidRPr="00465964" w:rsidRDefault="00465964" w:rsidP="00465964">
      <w:pPr>
        <w:rPr>
          <w:lang w:val="pt-PT"/>
        </w:rPr>
      </w:pPr>
      <w:r w:rsidRPr="00465964">
        <w:rPr>
          <w:lang w:val="pt-PT"/>
        </w:rPr>
        <w:t>É delegado na Comissão o poder de completar o presente regulamento através da adoção das normas técnicas de regulamentação a que se refere o primeiro parágrafo do presente número em conformidade com os artigos 10.</w:t>
      </w:r>
      <w:r w:rsidRPr="00465964">
        <w:rPr>
          <w:vertAlign w:val="superscript"/>
          <w:lang w:val="pt-PT"/>
        </w:rPr>
        <w:t>o</w:t>
      </w:r>
      <w:r w:rsidRPr="00465964">
        <w:rPr>
          <w:lang w:val="pt-PT"/>
        </w:rPr>
        <w:t> a 14.</w:t>
      </w:r>
      <w:r w:rsidRPr="00465964">
        <w:rPr>
          <w:vertAlign w:val="superscript"/>
          <w:lang w:val="pt-PT"/>
        </w:rPr>
        <w:t>o</w:t>
      </w:r>
      <w:r w:rsidRPr="00465964">
        <w:rPr>
          <w:lang w:val="pt-PT"/>
        </w:rPr>
        <w:t xml:space="preserve"> do Regulamento (UE) </w:t>
      </w:r>
      <w:proofErr w:type="spellStart"/>
      <w:r w:rsidRPr="00465964">
        <w:rPr>
          <w:lang w:val="pt-PT"/>
        </w:rPr>
        <w:t>n.</w:t>
      </w:r>
      <w:r w:rsidRPr="00465964">
        <w:rPr>
          <w:vertAlign w:val="superscript"/>
          <w:lang w:val="pt-PT"/>
        </w:rPr>
        <w:t>o</w:t>
      </w:r>
      <w:proofErr w:type="spellEnd"/>
      <w:r w:rsidRPr="00465964">
        <w:rPr>
          <w:lang w:val="pt-PT"/>
        </w:rPr>
        <w:t> 1095/2010.</w:t>
      </w:r>
    </w:p>
    <w:p w14:paraId="44FC689A" w14:textId="77777777" w:rsidR="00465964" w:rsidRPr="00465964" w:rsidRDefault="00465964" w:rsidP="00465964">
      <w:pPr>
        <w:rPr>
          <w:lang w:val="pt-PT"/>
        </w:rPr>
      </w:pPr>
      <w:r w:rsidRPr="00465964">
        <w:rPr>
          <w:lang w:val="pt-PT"/>
        </w:rPr>
        <w:t>6.   A ESMA, em estreita cooperação com a EBA, elabora projetos de normas técnicas de execução para criar formulários, modelos e procedimentos normalizados para a informação a incluir no pedido de autorização como prestador de serviços de criptoativos.</w:t>
      </w:r>
    </w:p>
    <w:p w14:paraId="2245A707" w14:textId="77777777" w:rsidR="00465964" w:rsidRPr="00465964" w:rsidRDefault="00465964" w:rsidP="00465964">
      <w:pPr>
        <w:rPr>
          <w:lang w:val="pt-PT"/>
        </w:rPr>
      </w:pPr>
      <w:r w:rsidRPr="00465964">
        <w:rPr>
          <w:lang w:val="pt-PT"/>
        </w:rPr>
        <w:lastRenderedPageBreak/>
        <w:t>A ESMA apresenta à Comissão os projetos de normas técnicas de execução referidos no primeiro parágrafo até 30 de junho de 2024.</w:t>
      </w:r>
    </w:p>
    <w:p w14:paraId="65256B2B" w14:textId="77777777" w:rsidR="00465964" w:rsidRPr="00465964" w:rsidRDefault="00465964" w:rsidP="00465964">
      <w:pPr>
        <w:rPr>
          <w:lang w:val="pt-PT"/>
        </w:rPr>
      </w:pPr>
      <w:r w:rsidRPr="00465964">
        <w:rPr>
          <w:lang w:val="pt-PT"/>
        </w:rPr>
        <w:t>É conferido à Comissão o poder de adotar as normas técnicas de execução a que se refere o primeiro parágrafo do presente número em conformidade com o artigo 15.</w:t>
      </w:r>
      <w:r w:rsidRPr="00465964">
        <w:rPr>
          <w:vertAlign w:val="superscript"/>
          <w:lang w:val="pt-PT"/>
        </w:rPr>
        <w:t>o</w:t>
      </w:r>
      <w:r w:rsidRPr="00465964">
        <w:rPr>
          <w:lang w:val="pt-PT"/>
        </w:rPr>
        <w:t xml:space="preserve"> do Regulamento (UE) </w:t>
      </w:r>
      <w:proofErr w:type="spellStart"/>
      <w:r w:rsidRPr="00465964">
        <w:rPr>
          <w:lang w:val="pt-PT"/>
        </w:rPr>
        <w:t>n.</w:t>
      </w:r>
      <w:r w:rsidRPr="00465964">
        <w:rPr>
          <w:vertAlign w:val="superscript"/>
          <w:lang w:val="pt-PT"/>
        </w:rPr>
        <w:t>o</w:t>
      </w:r>
      <w:proofErr w:type="spellEnd"/>
      <w:r w:rsidRPr="00465964">
        <w:rPr>
          <w:lang w:val="pt-PT"/>
        </w:rPr>
        <w:t> 1095/2010.</w:t>
      </w:r>
    </w:p>
    <w:p w14:paraId="678D303A" w14:textId="77777777" w:rsidR="00465964" w:rsidRPr="00465964" w:rsidRDefault="00465964" w:rsidP="00465964">
      <w:pPr>
        <w:rPr>
          <w:i/>
          <w:iCs/>
          <w:lang w:val="pt-PT"/>
        </w:rPr>
      </w:pPr>
      <w:r w:rsidRPr="00465964">
        <w:rPr>
          <w:i/>
          <w:iCs/>
          <w:lang w:val="pt-PT"/>
        </w:rPr>
        <w:t>Artigo 63.</w:t>
      </w:r>
      <w:r w:rsidRPr="00465964">
        <w:rPr>
          <w:i/>
          <w:iCs/>
          <w:vertAlign w:val="superscript"/>
          <w:lang w:val="pt-PT"/>
        </w:rPr>
        <w:t>o</w:t>
      </w:r>
    </w:p>
    <w:p w14:paraId="2E801895" w14:textId="77777777" w:rsidR="00465964" w:rsidRPr="00465964" w:rsidRDefault="00465964" w:rsidP="00465964">
      <w:pPr>
        <w:rPr>
          <w:b/>
          <w:bCs/>
          <w:lang w:val="pt-PT"/>
        </w:rPr>
      </w:pPr>
      <w:r w:rsidRPr="00465964">
        <w:rPr>
          <w:b/>
          <w:bCs/>
          <w:lang w:val="pt-PT"/>
        </w:rPr>
        <w:t>Avaliação do pedido de autorização e concessão ou recusa da autorização</w:t>
      </w:r>
    </w:p>
    <w:p w14:paraId="033BDB1B" w14:textId="77777777" w:rsidR="00465964" w:rsidRPr="00465964" w:rsidRDefault="00465964" w:rsidP="00465964">
      <w:pPr>
        <w:rPr>
          <w:lang w:val="pt-PT"/>
        </w:rPr>
      </w:pPr>
      <w:r w:rsidRPr="00465964">
        <w:rPr>
          <w:lang w:val="pt-PT"/>
        </w:rPr>
        <w:t>1.   As autoridades competentes acusam por escrito ao prestador de serviços de criptoativos requerente a receção do pedido ao abrigo do artigo 62.</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1, com a maior brevidade e em qualquer caso no prazo de cinco dias úteis a contar da data de receção do pedido.</w:t>
      </w:r>
    </w:p>
    <w:p w14:paraId="2A515F85" w14:textId="77777777" w:rsidR="00465964" w:rsidRPr="00465964" w:rsidRDefault="00465964" w:rsidP="00465964">
      <w:pPr>
        <w:rPr>
          <w:lang w:val="pt-PT"/>
        </w:rPr>
      </w:pPr>
      <w:r w:rsidRPr="00465964">
        <w:rPr>
          <w:lang w:val="pt-PT"/>
        </w:rPr>
        <w:t>2.   As autoridades competentes avaliam, no prazo de 25 dias úteis a contar da receção de um pedido apresentado ao abrigo do artigo 62.</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1, se esse pedido está completo, verificando se as informações enumeradas no artigo 62.</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2, foram apresentadas.</w:t>
      </w:r>
    </w:p>
    <w:p w14:paraId="0ECA3A74" w14:textId="77777777" w:rsidR="00465964" w:rsidRPr="00465964" w:rsidRDefault="00465964" w:rsidP="00465964">
      <w:pPr>
        <w:rPr>
          <w:lang w:val="pt-PT"/>
        </w:rPr>
      </w:pPr>
      <w:r w:rsidRPr="00465964">
        <w:rPr>
          <w:lang w:val="pt-PT"/>
        </w:rPr>
        <w:t>Caso o pedido não esteja completo, as autoridades competentes fixam um prazo para os prestadores de serviços de criptoativos requerentes prestarem as informações em falta.</w:t>
      </w:r>
    </w:p>
    <w:p w14:paraId="7F31230B" w14:textId="77777777" w:rsidR="00465964" w:rsidRPr="00465964" w:rsidRDefault="00465964" w:rsidP="00465964">
      <w:pPr>
        <w:rPr>
          <w:lang w:val="pt-PT"/>
        </w:rPr>
      </w:pPr>
      <w:r w:rsidRPr="00465964">
        <w:rPr>
          <w:lang w:val="pt-PT"/>
        </w:rPr>
        <w:t xml:space="preserve">3.   As autoridades competentes podem recusar a análise dos pedidos, caso estes continuem incompletos findo o prazo a que se refere o </w:t>
      </w:r>
      <w:proofErr w:type="spellStart"/>
      <w:r w:rsidRPr="00465964">
        <w:rPr>
          <w:lang w:val="pt-PT"/>
        </w:rPr>
        <w:t>n.</w:t>
      </w:r>
      <w:r w:rsidRPr="00465964">
        <w:rPr>
          <w:vertAlign w:val="superscript"/>
          <w:lang w:val="pt-PT"/>
        </w:rPr>
        <w:t>o</w:t>
      </w:r>
      <w:proofErr w:type="spellEnd"/>
      <w:r w:rsidRPr="00465964">
        <w:rPr>
          <w:lang w:val="pt-PT"/>
        </w:rPr>
        <w:t> 2, segundo parágrafo.</w:t>
      </w:r>
    </w:p>
    <w:p w14:paraId="1B1A51F6" w14:textId="77777777" w:rsidR="00465964" w:rsidRPr="00465964" w:rsidRDefault="00465964" w:rsidP="00465964">
      <w:pPr>
        <w:rPr>
          <w:lang w:val="pt-PT"/>
        </w:rPr>
      </w:pPr>
      <w:r w:rsidRPr="00465964">
        <w:rPr>
          <w:lang w:val="pt-PT"/>
        </w:rPr>
        <w:t>4.   Logo que um pedido esteja completo, as autoridades competentes notificam rapidamente o prestador de serviços de criptoativos requerente desse facto.</w:t>
      </w:r>
    </w:p>
    <w:p w14:paraId="5BC712AC" w14:textId="77777777" w:rsidR="00465964" w:rsidRPr="00465964" w:rsidRDefault="00465964" w:rsidP="00465964">
      <w:pPr>
        <w:rPr>
          <w:lang w:val="pt-PT"/>
        </w:rPr>
      </w:pPr>
      <w:r w:rsidRPr="00465964">
        <w:rPr>
          <w:lang w:val="pt-PT"/>
        </w:rPr>
        <w:t>5.   Antes de concederem ou recusarem uma autorização como prestador de serviços de criptoativos, as autoridades competentes consultam as autoridades competentes de outro Estado-Membro caso o prestador de serviços de criptoativos requerente se encontre numa das seguintes posições relativamente a uma instituição de crédito, uma central de valores mobiliários, uma empresa de investimento, um operador de mercado, uma sociedade gestora de OICVM, um gestor de fundos de investimento alternativos, de uma instituição de pagamento, uma companhia de seguros, uma instituição de moeda eletrónica ou uma instituição de realização de planos de pensões profissionais, autorizados nesse outro Estado-Membro:</w:t>
      </w:r>
    </w:p>
    <w:tbl>
      <w:tblPr>
        <w:tblW w:w="5000" w:type="pct"/>
        <w:tblCellMar>
          <w:left w:w="0" w:type="dxa"/>
          <w:right w:w="0" w:type="dxa"/>
        </w:tblCellMar>
        <w:tblLook w:val="04A0" w:firstRow="1" w:lastRow="0" w:firstColumn="1" w:lastColumn="0" w:noHBand="0" w:noVBand="1"/>
      </w:tblPr>
      <w:tblGrid>
        <w:gridCol w:w="405"/>
        <w:gridCol w:w="8621"/>
      </w:tblGrid>
      <w:tr w:rsidR="00465964" w:rsidRPr="00465964" w14:paraId="05480944" w14:textId="77777777" w:rsidTr="00465964">
        <w:tc>
          <w:tcPr>
            <w:tcW w:w="0" w:type="auto"/>
            <w:shd w:val="clear" w:color="auto" w:fill="auto"/>
            <w:hideMark/>
          </w:tcPr>
          <w:p w14:paraId="7F24352F" w14:textId="77777777" w:rsidR="00465964" w:rsidRPr="00465964" w:rsidRDefault="00465964" w:rsidP="00465964">
            <w:r w:rsidRPr="00465964">
              <w:t>a)</w:t>
            </w:r>
          </w:p>
        </w:tc>
        <w:tc>
          <w:tcPr>
            <w:tcW w:w="0" w:type="auto"/>
            <w:shd w:val="clear" w:color="auto" w:fill="auto"/>
            <w:hideMark/>
          </w:tcPr>
          <w:p w14:paraId="2B195113" w14:textId="77777777" w:rsidR="00465964" w:rsidRPr="00465964" w:rsidRDefault="00465964" w:rsidP="00465964">
            <w:pPr>
              <w:rPr>
                <w:lang w:val="pt-PT"/>
              </w:rPr>
            </w:pPr>
            <w:r w:rsidRPr="00465964">
              <w:rPr>
                <w:lang w:val="pt-PT"/>
              </w:rPr>
              <w:t>Filial de qualquer uma dessas entidades;</w:t>
            </w:r>
          </w:p>
        </w:tc>
      </w:tr>
    </w:tbl>
    <w:p w14:paraId="3798347E"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297"/>
        <w:gridCol w:w="8729"/>
      </w:tblGrid>
      <w:tr w:rsidR="00465964" w:rsidRPr="00465964" w14:paraId="573F481D" w14:textId="77777777" w:rsidTr="00465964">
        <w:tc>
          <w:tcPr>
            <w:tcW w:w="0" w:type="auto"/>
            <w:shd w:val="clear" w:color="auto" w:fill="auto"/>
            <w:hideMark/>
          </w:tcPr>
          <w:p w14:paraId="6522A7DA" w14:textId="77777777" w:rsidR="00465964" w:rsidRPr="00465964" w:rsidRDefault="00465964" w:rsidP="00465964">
            <w:r w:rsidRPr="00465964">
              <w:t>b)</w:t>
            </w:r>
          </w:p>
        </w:tc>
        <w:tc>
          <w:tcPr>
            <w:tcW w:w="0" w:type="auto"/>
            <w:shd w:val="clear" w:color="auto" w:fill="auto"/>
            <w:hideMark/>
          </w:tcPr>
          <w:p w14:paraId="7D8E4D7A" w14:textId="77777777" w:rsidR="00465964" w:rsidRPr="00465964" w:rsidRDefault="00465964" w:rsidP="00465964">
            <w:pPr>
              <w:rPr>
                <w:lang w:val="pt-PT"/>
              </w:rPr>
            </w:pPr>
            <w:r w:rsidRPr="00465964">
              <w:rPr>
                <w:lang w:val="pt-PT"/>
              </w:rPr>
              <w:t>Filial da empresa-mãe de qualquer uma dessas entidades;</w:t>
            </w:r>
          </w:p>
        </w:tc>
      </w:tr>
    </w:tbl>
    <w:p w14:paraId="31BE780C"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0"/>
        <w:gridCol w:w="8846"/>
      </w:tblGrid>
      <w:tr w:rsidR="00465964" w:rsidRPr="00465964" w14:paraId="1CAC0FD9" w14:textId="77777777" w:rsidTr="00465964">
        <w:tc>
          <w:tcPr>
            <w:tcW w:w="0" w:type="auto"/>
            <w:shd w:val="clear" w:color="auto" w:fill="auto"/>
            <w:hideMark/>
          </w:tcPr>
          <w:p w14:paraId="73103355" w14:textId="77777777" w:rsidR="00465964" w:rsidRPr="00465964" w:rsidRDefault="00465964" w:rsidP="00465964">
            <w:r w:rsidRPr="00465964">
              <w:t>c)</w:t>
            </w:r>
          </w:p>
        </w:tc>
        <w:tc>
          <w:tcPr>
            <w:tcW w:w="0" w:type="auto"/>
            <w:shd w:val="clear" w:color="auto" w:fill="auto"/>
            <w:hideMark/>
          </w:tcPr>
          <w:p w14:paraId="4F8E2EF3" w14:textId="77777777" w:rsidR="00465964" w:rsidRPr="00465964" w:rsidRDefault="00465964" w:rsidP="00465964">
            <w:pPr>
              <w:rPr>
                <w:lang w:val="pt-PT"/>
              </w:rPr>
            </w:pPr>
            <w:r w:rsidRPr="00465964">
              <w:rPr>
                <w:lang w:val="pt-PT"/>
              </w:rPr>
              <w:t>Controlado pelas mesmas pessoas singulares ou coletivas que controlam qualquer uma dessas entidades.</w:t>
            </w:r>
          </w:p>
        </w:tc>
      </w:tr>
    </w:tbl>
    <w:p w14:paraId="0FE8BD12" w14:textId="77777777" w:rsidR="00465964" w:rsidRPr="00465964" w:rsidRDefault="00465964" w:rsidP="00465964">
      <w:pPr>
        <w:rPr>
          <w:lang w:val="pt-PT"/>
        </w:rPr>
      </w:pPr>
      <w:r w:rsidRPr="00465964">
        <w:rPr>
          <w:lang w:val="pt-PT"/>
        </w:rPr>
        <w:t>6.   Antes de concederem ou recusarem uma autorização como prestador de serviços de criptoativos, as autoridades competentes:</w:t>
      </w:r>
    </w:p>
    <w:tbl>
      <w:tblPr>
        <w:tblW w:w="5000" w:type="pct"/>
        <w:tblCellMar>
          <w:left w:w="0" w:type="dxa"/>
          <w:right w:w="0" w:type="dxa"/>
        </w:tblCellMar>
        <w:tblLook w:val="04A0" w:firstRow="1" w:lastRow="0" w:firstColumn="1" w:lastColumn="0" w:noHBand="0" w:noVBand="1"/>
      </w:tblPr>
      <w:tblGrid>
        <w:gridCol w:w="182"/>
        <w:gridCol w:w="8844"/>
      </w:tblGrid>
      <w:tr w:rsidR="00465964" w:rsidRPr="00465964" w14:paraId="5F518C59" w14:textId="77777777" w:rsidTr="00465964">
        <w:tc>
          <w:tcPr>
            <w:tcW w:w="0" w:type="auto"/>
            <w:shd w:val="clear" w:color="auto" w:fill="auto"/>
            <w:hideMark/>
          </w:tcPr>
          <w:p w14:paraId="6EAA08B8" w14:textId="77777777" w:rsidR="00465964" w:rsidRPr="00465964" w:rsidRDefault="00465964" w:rsidP="00465964">
            <w:r w:rsidRPr="00465964">
              <w:t>a)</w:t>
            </w:r>
          </w:p>
        </w:tc>
        <w:tc>
          <w:tcPr>
            <w:tcW w:w="0" w:type="auto"/>
            <w:shd w:val="clear" w:color="auto" w:fill="auto"/>
            <w:hideMark/>
          </w:tcPr>
          <w:p w14:paraId="0C1D68FE" w14:textId="77777777" w:rsidR="00465964" w:rsidRPr="00465964" w:rsidRDefault="00465964" w:rsidP="00465964">
            <w:pPr>
              <w:rPr>
                <w:lang w:val="pt-PT"/>
              </w:rPr>
            </w:pPr>
            <w:r w:rsidRPr="00465964">
              <w:rPr>
                <w:lang w:val="pt-PT"/>
              </w:rPr>
              <w:t>Podem consultar as autoridades competentes em matéria de luta contra o branqueamento de capitais e o financiamento do terrorismo e as unidades de informação financeira, a fim de verificar se o prestador de serviços de criptoativos requerente não foi objeto de um inquérito sobre práticas relacionadas com o branqueamento de capitais ou o financiamento do terrorismo;</w:t>
            </w:r>
          </w:p>
        </w:tc>
      </w:tr>
    </w:tbl>
    <w:p w14:paraId="56821563"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8"/>
        <w:gridCol w:w="8838"/>
      </w:tblGrid>
      <w:tr w:rsidR="00465964" w:rsidRPr="00465964" w14:paraId="4E286166" w14:textId="77777777" w:rsidTr="00465964">
        <w:tc>
          <w:tcPr>
            <w:tcW w:w="0" w:type="auto"/>
            <w:shd w:val="clear" w:color="auto" w:fill="auto"/>
            <w:hideMark/>
          </w:tcPr>
          <w:p w14:paraId="577B55BF" w14:textId="77777777" w:rsidR="00465964" w:rsidRPr="00465964" w:rsidRDefault="00465964" w:rsidP="00465964">
            <w:r w:rsidRPr="00465964">
              <w:lastRenderedPageBreak/>
              <w:t>b)</w:t>
            </w:r>
          </w:p>
        </w:tc>
        <w:tc>
          <w:tcPr>
            <w:tcW w:w="0" w:type="auto"/>
            <w:shd w:val="clear" w:color="auto" w:fill="auto"/>
            <w:hideMark/>
          </w:tcPr>
          <w:p w14:paraId="319577F9" w14:textId="77777777" w:rsidR="00465964" w:rsidRPr="00465964" w:rsidRDefault="00465964" w:rsidP="00465964">
            <w:pPr>
              <w:rPr>
                <w:lang w:val="pt-PT"/>
              </w:rPr>
            </w:pPr>
            <w:r w:rsidRPr="00465964">
              <w:rPr>
                <w:lang w:val="pt-PT"/>
              </w:rPr>
              <w:t>Asseguram que o prestador de serviços de criptoativos requerente que explora estabelecimentos ou recorre a terceiros estabelecidos em países terceiros de risco elevado identificados nos termos do artigo 9.</w:t>
            </w:r>
            <w:r w:rsidRPr="00465964">
              <w:rPr>
                <w:vertAlign w:val="superscript"/>
                <w:lang w:val="pt-PT"/>
              </w:rPr>
              <w:t>o</w:t>
            </w:r>
            <w:r w:rsidRPr="00465964">
              <w:rPr>
                <w:lang w:val="pt-PT"/>
              </w:rPr>
              <w:t> da Diretiva (UE) 2015/849 cumpre as disposições de direito nacional que transpõem o artigo 26.</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2 e o artigo 45.</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xml:space="preserve"> 3 e </w:t>
            </w:r>
            <w:proofErr w:type="spellStart"/>
            <w:r w:rsidRPr="00465964">
              <w:rPr>
                <w:lang w:val="pt-PT"/>
              </w:rPr>
              <w:t>n.</w:t>
            </w:r>
            <w:r w:rsidRPr="00465964">
              <w:rPr>
                <w:vertAlign w:val="superscript"/>
                <w:lang w:val="pt-PT"/>
              </w:rPr>
              <w:t>o</w:t>
            </w:r>
            <w:proofErr w:type="spellEnd"/>
            <w:r w:rsidRPr="00465964">
              <w:rPr>
                <w:lang w:val="pt-PT"/>
              </w:rPr>
              <w:t> 5 da referida diretiva;</w:t>
            </w:r>
          </w:p>
        </w:tc>
      </w:tr>
    </w:tbl>
    <w:p w14:paraId="7E2D6D01"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0"/>
        <w:gridCol w:w="8846"/>
      </w:tblGrid>
      <w:tr w:rsidR="00465964" w:rsidRPr="00465964" w14:paraId="46E7B66D" w14:textId="77777777" w:rsidTr="00465964">
        <w:tc>
          <w:tcPr>
            <w:tcW w:w="0" w:type="auto"/>
            <w:shd w:val="clear" w:color="auto" w:fill="auto"/>
            <w:hideMark/>
          </w:tcPr>
          <w:p w14:paraId="2FBBAF3C" w14:textId="77777777" w:rsidR="00465964" w:rsidRPr="00465964" w:rsidRDefault="00465964" w:rsidP="00465964">
            <w:r w:rsidRPr="00465964">
              <w:t>c)</w:t>
            </w:r>
          </w:p>
        </w:tc>
        <w:tc>
          <w:tcPr>
            <w:tcW w:w="0" w:type="auto"/>
            <w:shd w:val="clear" w:color="auto" w:fill="auto"/>
            <w:hideMark/>
          </w:tcPr>
          <w:p w14:paraId="4E3E4B9D" w14:textId="77777777" w:rsidR="00465964" w:rsidRPr="00465964" w:rsidRDefault="00465964" w:rsidP="00465964">
            <w:pPr>
              <w:rPr>
                <w:lang w:val="pt-PT"/>
              </w:rPr>
            </w:pPr>
            <w:r w:rsidRPr="00465964">
              <w:rPr>
                <w:lang w:val="pt-PT"/>
              </w:rPr>
              <w:t>Asseguram, se for caso disso, que o prestador de serviços de criptoativos requerente instituiu procedimentos adequados para cumprir as disposições do direito nacional que transpõem o artigo 18.</w:t>
            </w:r>
            <w:r w:rsidRPr="00465964">
              <w:rPr>
                <w:vertAlign w:val="superscript"/>
                <w:lang w:val="pt-PT"/>
              </w:rPr>
              <w:t>o</w:t>
            </w:r>
            <w:r w:rsidRPr="00465964">
              <w:rPr>
                <w:lang w:val="pt-PT"/>
              </w:rPr>
              <w:t xml:space="preserve">-A, </w:t>
            </w:r>
            <w:proofErr w:type="spellStart"/>
            <w:r w:rsidRPr="00465964">
              <w:rPr>
                <w:lang w:val="pt-PT"/>
              </w:rPr>
              <w:t>n.</w:t>
            </w:r>
            <w:r w:rsidRPr="00465964">
              <w:rPr>
                <w:vertAlign w:val="superscript"/>
                <w:lang w:val="pt-PT"/>
              </w:rPr>
              <w:t>o</w:t>
            </w:r>
            <w:proofErr w:type="spellEnd"/>
            <w:r w:rsidRPr="00465964">
              <w:rPr>
                <w:lang w:val="pt-PT"/>
              </w:rPr>
              <w:t xml:space="preserve"> 1, e </w:t>
            </w:r>
            <w:proofErr w:type="spellStart"/>
            <w:r w:rsidRPr="00465964">
              <w:rPr>
                <w:lang w:val="pt-PT"/>
              </w:rPr>
              <w:t>n.</w:t>
            </w:r>
            <w:r w:rsidRPr="00465964">
              <w:rPr>
                <w:vertAlign w:val="superscript"/>
                <w:lang w:val="pt-PT"/>
              </w:rPr>
              <w:t>o</w:t>
            </w:r>
            <w:proofErr w:type="spellEnd"/>
            <w:r w:rsidRPr="00465964">
              <w:rPr>
                <w:lang w:val="pt-PT"/>
              </w:rPr>
              <w:t> 3, da Diretiva (UE) 2015/849.</w:t>
            </w:r>
          </w:p>
        </w:tc>
      </w:tr>
    </w:tbl>
    <w:p w14:paraId="424E5F1F" w14:textId="77777777" w:rsidR="00465964" w:rsidRPr="00465964" w:rsidRDefault="00465964" w:rsidP="00465964">
      <w:pPr>
        <w:rPr>
          <w:lang w:val="pt-PT"/>
        </w:rPr>
      </w:pPr>
      <w:r w:rsidRPr="00465964">
        <w:rPr>
          <w:lang w:val="pt-PT"/>
        </w:rPr>
        <w:t>7.   Caso exista uma relação estreita entre o prestador de serviços de criptoativos requerente e outras pessoas singulares ou coletivas, as autoridades competentes só concedem a autorização se essa relação não entravar o exercício efetivo das suas funções de supervisão.</w:t>
      </w:r>
    </w:p>
    <w:p w14:paraId="53A3F4D6" w14:textId="77777777" w:rsidR="00465964" w:rsidRPr="00465964" w:rsidRDefault="00465964" w:rsidP="00465964">
      <w:pPr>
        <w:rPr>
          <w:lang w:val="pt-PT"/>
        </w:rPr>
      </w:pPr>
      <w:r w:rsidRPr="00465964">
        <w:rPr>
          <w:lang w:val="pt-PT"/>
        </w:rPr>
        <w:t>8.   As autoridades competentes recusam a autorização caso disposições legislativas, regulamentares ou administrativas de um país terceiro a que estejam sujeitas uma ou mais pessoas singulares ou coletivas com as quais o prestador de serviços de criptoativos requerente tem uma relação estreita – ou dificuldades relacionadas com a sua execução – impeçam o exercício efetivo das suas funções de supervisão.</w:t>
      </w:r>
    </w:p>
    <w:p w14:paraId="53F4A802" w14:textId="77777777" w:rsidR="00465964" w:rsidRPr="00465964" w:rsidRDefault="00465964" w:rsidP="00465964">
      <w:pPr>
        <w:rPr>
          <w:lang w:val="pt-PT"/>
        </w:rPr>
      </w:pPr>
      <w:r w:rsidRPr="00465964">
        <w:rPr>
          <w:lang w:val="pt-PT"/>
        </w:rPr>
        <w:t>9.   As autoridades competentes avaliam, no prazo de 40 dias úteis a contar da data de receção de um pedido completo, se o prestador de serviços de criptoativos requerente cumpre o disposto no presente título e adotam uma decisão devidamente fundamentada no sentido de conceder ou recusar uma autorização como prestador de serviços de criptoativos. As autoridades competentes notificam o requerente da sua decisão no prazo de cinco dias úteis a contar da data da referida decisão. Essa avaliação tem em conta a natureza, a escala e a complexidade dos serviços de criptoativos que o prestador de serviços de criptoativos requerente pretende prestar.</w:t>
      </w:r>
    </w:p>
    <w:p w14:paraId="6BDE2EA3" w14:textId="77777777" w:rsidR="00465964" w:rsidRPr="00465964" w:rsidRDefault="00465964" w:rsidP="00465964">
      <w:pPr>
        <w:rPr>
          <w:lang w:val="pt-PT"/>
        </w:rPr>
      </w:pPr>
      <w:r w:rsidRPr="00465964">
        <w:rPr>
          <w:lang w:val="pt-PT"/>
        </w:rPr>
        <w:t>10.   As autoridades competentes recusam a autorização como prestador de serviços de criptoativos se existirem motivos objetivos e comprovados para considerar que:</w:t>
      </w:r>
    </w:p>
    <w:tbl>
      <w:tblPr>
        <w:tblW w:w="5000" w:type="pct"/>
        <w:tblCellMar>
          <w:left w:w="0" w:type="dxa"/>
          <w:right w:w="0" w:type="dxa"/>
        </w:tblCellMar>
        <w:tblLook w:val="04A0" w:firstRow="1" w:lastRow="0" w:firstColumn="1" w:lastColumn="0" w:noHBand="0" w:noVBand="1"/>
      </w:tblPr>
      <w:tblGrid>
        <w:gridCol w:w="182"/>
        <w:gridCol w:w="8844"/>
      </w:tblGrid>
      <w:tr w:rsidR="00465964" w:rsidRPr="00465964" w14:paraId="36B79C82" w14:textId="77777777" w:rsidTr="00465964">
        <w:tc>
          <w:tcPr>
            <w:tcW w:w="0" w:type="auto"/>
            <w:shd w:val="clear" w:color="auto" w:fill="auto"/>
            <w:hideMark/>
          </w:tcPr>
          <w:p w14:paraId="45B02238" w14:textId="77777777" w:rsidR="00465964" w:rsidRPr="00465964" w:rsidRDefault="00465964" w:rsidP="00465964">
            <w:r w:rsidRPr="00465964">
              <w:t>a)</w:t>
            </w:r>
          </w:p>
        </w:tc>
        <w:tc>
          <w:tcPr>
            <w:tcW w:w="0" w:type="auto"/>
            <w:shd w:val="clear" w:color="auto" w:fill="auto"/>
            <w:hideMark/>
          </w:tcPr>
          <w:p w14:paraId="111D93B1" w14:textId="77777777" w:rsidR="00465964" w:rsidRPr="00465964" w:rsidRDefault="00465964" w:rsidP="00465964">
            <w:pPr>
              <w:rPr>
                <w:lang w:val="pt-PT"/>
              </w:rPr>
            </w:pPr>
            <w:r w:rsidRPr="00465964">
              <w:rPr>
                <w:lang w:val="pt-PT"/>
              </w:rPr>
              <w:t>O órgão de administração do prestador de serviços de criptoativos requerente constitui uma ameaça para a sua gestão eficaz, sã e prudente e para a continuidade das atividades, bem como para a devida consideração dos interesses dos respetivos clientes e da integridade do mercado, ou expõe o prestador de serviços de criptoativos requerente a um risco grave de branqueamento de capitais ou de financiamento do terrorismo;</w:t>
            </w:r>
          </w:p>
        </w:tc>
      </w:tr>
    </w:tbl>
    <w:p w14:paraId="3CFBEB56"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8"/>
        <w:gridCol w:w="8838"/>
      </w:tblGrid>
      <w:tr w:rsidR="00465964" w:rsidRPr="00465964" w14:paraId="587EAE21" w14:textId="77777777" w:rsidTr="00465964">
        <w:tc>
          <w:tcPr>
            <w:tcW w:w="0" w:type="auto"/>
            <w:shd w:val="clear" w:color="auto" w:fill="auto"/>
            <w:hideMark/>
          </w:tcPr>
          <w:p w14:paraId="2780205B" w14:textId="77777777" w:rsidR="00465964" w:rsidRPr="00465964" w:rsidRDefault="00465964" w:rsidP="00465964">
            <w:r w:rsidRPr="00465964">
              <w:t>b)</w:t>
            </w:r>
          </w:p>
        </w:tc>
        <w:tc>
          <w:tcPr>
            <w:tcW w:w="0" w:type="auto"/>
            <w:shd w:val="clear" w:color="auto" w:fill="auto"/>
            <w:hideMark/>
          </w:tcPr>
          <w:p w14:paraId="7965FBED" w14:textId="77777777" w:rsidR="00465964" w:rsidRPr="00465964" w:rsidRDefault="00465964" w:rsidP="00465964">
            <w:pPr>
              <w:rPr>
                <w:lang w:val="pt-PT"/>
              </w:rPr>
            </w:pPr>
            <w:r w:rsidRPr="00465964">
              <w:rPr>
                <w:lang w:val="pt-PT"/>
              </w:rPr>
              <w:t>Os membros do órgão de administração do prestador de serviços de criptoativos requerente não preenchem os critérios estabelecidos no artigo 68.</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1;</w:t>
            </w:r>
          </w:p>
        </w:tc>
      </w:tr>
    </w:tbl>
    <w:p w14:paraId="0EEB0BB9"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0"/>
        <w:gridCol w:w="8846"/>
      </w:tblGrid>
      <w:tr w:rsidR="00465964" w:rsidRPr="00465964" w14:paraId="5F473F81" w14:textId="77777777" w:rsidTr="00465964">
        <w:tc>
          <w:tcPr>
            <w:tcW w:w="0" w:type="auto"/>
            <w:shd w:val="clear" w:color="auto" w:fill="auto"/>
            <w:hideMark/>
          </w:tcPr>
          <w:p w14:paraId="6A2D629D" w14:textId="77777777" w:rsidR="00465964" w:rsidRPr="00465964" w:rsidRDefault="00465964" w:rsidP="00465964">
            <w:r w:rsidRPr="00465964">
              <w:t>c)</w:t>
            </w:r>
          </w:p>
        </w:tc>
        <w:tc>
          <w:tcPr>
            <w:tcW w:w="0" w:type="auto"/>
            <w:shd w:val="clear" w:color="auto" w:fill="auto"/>
            <w:hideMark/>
          </w:tcPr>
          <w:p w14:paraId="6A2D19E4" w14:textId="77777777" w:rsidR="00465964" w:rsidRPr="00465964" w:rsidRDefault="00465964" w:rsidP="00465964">
            <w:pPr>
              <w:rPr>
                <w:lang w:val="pt-PT"/>
              </w:rPr>
            </w:pPr>
            <w:r w:rsidRPr="00465964">
              <w:rPr>
                <w:lang w:val="pt-PT"/>
              </w:rPr>
              <w:t>Os acionistas ou sócios, diretos ou indiretos, que detêm participações qualificadas no prestador de serviços de criptoativos requerente não preenchem os critérios de idoneidade estabelecidos no artigo 68.</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2;</w:t>
            </w:r>
          </w:p>
        </w:tc>
      </w:tr>
    </w:tbl>
    <w:p w14:paraId="4B5C257C"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8"/>
        <w:gridCol w:w="8838"/>
      </w:tblGrid>
      <w:tr w:rsidR="00465964" w:rsidRPr="00465964" w14:paraId="2ADCE9A6" w14:textId="77777777" w:rsidTr="00465964">
        <w:tc>
          <w:tcPr>
            <w:tcW w:w="0" w:type="auto"/>
            <w:shd w:val="clear" w:color="auto" w:fill="auto"/>
            <w:hideMark/>
          </w:tcPr>
          <w:p w14:paraId="2916D5EC" w14:textId="77777777" w:rsidR="00465964" w:rsidRPr="00465964" w:rsidRDefault="00465964" w:rsidP="00465964">
            <w:r w:rsidRPr="00465964">
              <w:t>d)</w:t>
            </w:r>
          </w:p>
        </w:tc>
        <w:tc>
          <w:tcPr>
            <w:tcW w:w="0" w:type="auto"/>
            <w:shd w:val="clear" w:color="auto" w:fill="auto"/>
            <w:hideMark/>
          </w:tcPr>
          <w:p w14:paraId="6C198A56" w14:textId="77777777" w:rsidR="00465964" w:rsidRPr="00465964" w:rsidRDefault="00465964" w:rsidP="00465964">
            <w:pPr>
              <w:rPr>
                <w:lang w:val="pt-PT"/>
              </w:rPr>
            </w:pPr>
            <w:r w:rsidRPr="00465964">
              <w:rPr>
                <w:lang w:val="pt-PT"/>
              </w:rPr>
              <w:t>O prestador de serviços de criptoativos requerente não preenche ou está em risco de não preencher qualquer um dos requisitos previstos no presente título.</w:t>
            </w:r>
          </w:p>
        </w:tc>
      </w:tr>
    </w:tbl>
    <w:p w14:paraId="77FC4810" w14:textId="77777777" w:rsidR="00465964" w:rsidRPr="00465964" w:rsidRDefault="00465964" w:rsidP="00465964">
      <w:pPr>
        <w:rPr>
          <w:lang w:val="pt-PT"/>
        </w:rPr>
      </w:pPr>
      <w:r w:rsidRPr="00465964">
        <w:rPr>
          <w:lang w:val="pt-PT"/>
        </w:rPr>
        <w:t>11.   A ESMA e a EBA emitem, conjuntamente, em conformidade com o artigo 16.</w:t>
      </w:r>
      <w:r w:rsidRPr="00465964">
        <w:rPr>
          <w:vertAlign w:val="superscript"/>
          <w:lang w:val="pt-PT"/>
        </w:rPr>
        <w:t>o</w:t>
      </w:r>
      <w:r w:rsidRPr="00465964">
        <w:rPr>
          <w:lang w:val="pt-PT"/>
        </w:rPr>
        <w:t xml:space="preserve"> do Regulamento (UE) </w:t>
      </w:r>
      <w:proofErr w:type="spellStart"/>
      <w:r w:rsidRPr="00465964">
        <w:rPr>
          <w:lang w:val="pt-PT"/>
        </w:rPr>
        <w:t>n.</w:t>
      </w:r>
      <w:r w:rsidRPr="00465964">
        <w:rPr>
          <w:vertAlign w:val="superscript"/>
          <w:lang w:val="pt-PT"/>
        </w:rPr>
        <w:t>o</w:t>
      </w:r>
      <w:proofErr w:type="spellEnd"/>
      <w:r w:rsidRPr="00465964">
        <w:rPr>
          <w:lang w:val="pt-PT"/>
        </w:rPr>
        <w:t> 1095/2010 e com o artigo 16.</w:t>
      </w:r>
      <w:r w:rsidRPr="00465964">
        <w:rPr>
          <w:vertAlign w:val="superscript"/>
          <w:lang w:val="pt-PT"/>
        </w:rPr>
        <w:t>o</w:t>
      </w:r>
      <w:r w:rsidRPr="00465964">
        <w:rPr>
          <w:lang w:val="pt-PT"/>
        </w:rPr>
        <w:t xml:space="preserve"> do Regulamento (UE) </w:t>
      </w:r>
      <w:proofErr w:type="spellStart"/>
      <w:r w:rsidRPr="00465964">
        <w:rPr>
          <w:lang w:val="pt-PT"/>
        </w:rPr>
        <w:t>n.</w:t>
      </w:r>
      <w:r w:rsidRPr="00465964">
        <w:rPr>
          <w:vertAlign w:val="superscript"/>
          <w:lang w:val="pt-PT"/>
        </w:rPr>
        <w:t>o</w:t>
      </w:r>
      <w:proofErr w:type="spellEnd"/>
      <w:r w:rsidRPr="00465964">
        <w:rPr>
          <w:lang w:val="pt-PT"/>
        </w:rPr>
        <w:t xml:space="preserve"> 1093/2010, respetivamente, orientações sobre a avaliação da aptidão dos membros do órgão de administração do prestador de serviços de criptoativos requerente e dos acionistas ou sócios, </w:t>
      </w:r>
      <w:r w:rsidRPr="00465964">
        <w:rPr>
          <w:lang w:val="pt-PT"/>
        </w:rPr>
        <w:lastRenderedPageBreak/>
        <w:t>diretos ou indiretos, que detêm participações qualificadas no prestador de serviços de criptoativos requerente.</w:t>
      </w:r>
    </w:p>
    <w:p w14:paraId="246587F3" w14:textId="77777777" w:rsidR="00465964" w:rsidRPr="00465964" w:rsidRDefault="00465964" w:rsidP="00465964">
      <w:pPr>
        <w:rPr>
          <w:lang w:val="pt-PT"/>
        </w:rPr>
      </w:pPr>
      <w:r w:rsidRPr="00465964">
        <w:rPr>
          <w:lang w:val="pt-PT"/>
        </w:rPr>
        <w:t>A ESMA e a EBA emitem as orientações a que se refere o primeiro parágrafo até 30 de junho de 2024.</w:t>
      </w:r>
    </w:p>
    <w:p w14:paraId="661D2BC0" w14:textId="77777777" w:rsidR="00465964" w:rsidRPr="00465964" w:rsidRDefault="00465964" w:rsidP="00465964">
      <w:pPr>
        <w:rPr>
          <w:lang w:val="pt-PT"/>
        </w:rPr>
      </w:pPr>
      <w:r w:rsidRPr="00465964">
        <w:rPr>
          <w:lang w:val="pt-PT"/>
        </w:rPr>
        <w:t xml:space="preserve">12.   Durante o prazo de avaliação previsto no </w:t>
      </w:r>
      <w:proofErr w:type="spellStart"/>
      <w:r w:rsidRPr="00465964">
        <w:rPr>
          <w:lang w:val="pt-PT"/>
        </w:rPr>
        <w:t>n.</w:t>
      </w:r>
      <w:r w:rsidRPr="00465964">
        <w:rPr>
          <w:vertAlign w:val="superscript"/>
          <w:lang w:val="pt-PT"/>
        </w:rPr>
        <w:t>o</w:t>
      </w:r>
      <w:proofErr w:type="spellEnd"/>
      <w:r w:rsidRPr="00465964">
        <w:rPr>
          <w:lang w:val="pt-PT"/>
        </w:rPr>
        <w:t> 9, mas nunca depois do vigésimo dia útil desse prazo, as autoridades competentes podem solicitar informações adicionais que sejam necessárias para completar a avaliação. Esse pedido deve ser apresentado por escrito ao prestador de serviços de criptoativos requerente e especificar as informações adicionais necessárias.</w:t>
      </w:r>
    </w:p>
    <w:p w14:paraId="0824409E" w14:textId="77777777" w:rsidR="00465964" w:rsidRPr="00465964" w:rsidRDefault="00465964" w:rsidP="00465964">
      <w:pPr>
        <w:rPr>
          <w:lang w:val="pt-PT"/>
        </w:rPr>
      </w:pPr>
      <w:r w:rsidRPr="00465964">
        <w:rPr>
          <w:lang w:val="pt-PT"/>
        </w:rPr>
        <w:t xml:space="preserve">O prazo de avaliação previsto no </w:t>
      </w:r>
      <w:proofErr w:type="spellStart"/>
      <w:r w:rsidRPr="00465964">
        <w:rPr>
          <w:lang w:val="pt-PT"/>
        </w:rPr>
        <w:t>n.</w:t>
      </w:r>
      <w:r w:rsidRPr="00465964">
        <w:rPr>
          <w:vertAlign w:val="superscript"/>
          <w:lang w:val="pt-PT"/>
        </w:rPr>
        <w:t>o</w:t>
      </w:r>
      <w:proofErr w:type="spellEnd"/>
      <w:r w:rsidRPr="00465964">
        <w:rPr>
          <w:lang w:val="pt-PT"/>
        </w:rPr>
        <w:t xml:space="preserve"> 9 ficará suspenso durante o período compreendido entre a data do pedido das informações em falta apresentado pelas autoridades competentes e a receção de uma resposta a esse pedido pelo prestador de serviços de criptoativos requerente. A suspensão não pode ser superior a 20 dias úteis. É deixado ao critério das autoridades competentes formular mais pedidos com vista a completar ou clarificar as informações, mas esses pedidos não dão lugar à suspensão do prazo de apreciação previsto no </w:t>
      </w:r>
      <w:proofErr w:type="spellStart"/>
      <w:r w:rsidRPr="00465964">
        <w:rPr>
          <w:lang w:val="pt-PT"/>
        </w:rPr>
        <w:t>n.</w:t>
      </w:r>
      <w:r w:rsidRPr="00465964">
        <w:rPr>
          <w:vertAlign w:val="superscript"/>
          <w:lang w:val="pt-PT"/>
        </w:rPr>
        <w:t>o</w:t>
      </w:r>
      <w:proofErr w:type="spellEnd"/>
      <w:r w:rsidRPr="00465964">
        <w:rPr>
          <w:lang w:val="pt-PT"/>
        </w:rPr>
        <w:t> 9.</w:t>
      </w:r>
    </w:p>
    <w:p w14:paraId="71CF9508" w14:textId="77777777" w:rsidR="00465964" w:rsidRPr="00465964" w:rsidRDefault="00465964" w:rsidP="00465964">
      <w:pPr>
        <w:rPr>
          <w:lang w:val="pt-PT"/>
        </w:rPr>
      </w:pPr>
      <w:r w:rsidRPr="00465964">
        <w:rPr>
          <w:lang w:val="pt-PT"/>
        </w:rPr>
        <w:t>13.   As autoridades competentes comunicam à ESMA, no prazo de dois dias úteis a contar da concessão da autorização, as informações especificadas no artigo 109.</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5. As autoridades competentes informam igualmente a ESMA de quaisquer recusas de autorização. A ESMA disponibiliza as informações a que se refere o artigo 109.</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5, no registo a que se refere esse artigo, na data de início da prestação de serviços de criptoativos.</w:t>
      </w:r>
    </w:p>
    <w:p w14:paraId="4395577B" w14:textId="77777777" w:rsidR="00465964" w:rsidRPr="00465964" w:rsidRDefault="00465964" w:rsidP="00465964">
      <w:pPr>
        <w:rPr>
          <w:i/>
          <w:iCs/>
          <w:lang w:val="pt-PT"/>
        </w:rPr>
      </w:pPr>
      <w:r w:rsidRPr="00465964">
        <w:rPr>
          <w:i/>
          <w:iCs/>
          <w:lang w:val="pt-PT"/>
        </w:rPr>
        <w:t>Artigo 64.</w:t>
      </w:r>
      <w:r w:rsidRPr="00465964">
        <w:rPr>
          <w:i/>
          <w:iCs/>
          <w:vertAlign w:val="superscript"/>
          <w:lang w:val="pt-PT"/>
        </w:rPr>
        <w:t>o</w:t>
      </w:r>
    </w:p>
    <w:p w14:paraId="5349E206" w14:textId="77777777" w:rsidR="00465964" w:rsidRPr="00465964" w:rsidRDefault="00465964" w:rsidP="00465964">
      <w:pPr>
        <w:rPr>
          <w:b/>
          <w:bCs/>
          <w:lang w:val="pt-PT"/>
        </w:rPr>
      </w:pPr>
      <w:r w:rsidRPr="00465964">
        <w:rPr>
          <w:b/>
          <w:bCs/>
          <w:lang w:val="pt-PT"/>
        </w:rPr>
        <w:t>Revogação da autorização de um prestador de serviços de criptoativos</w:t>
      </w:r>
    </w:p>
    <w:p w14:paraId="5470DFF0" w14:textId="77777777" w:rsidR="00465964" w:rsidRPr="00465964" w:rsidRDefault="00465964" w:rsidP="00465964">
      <w:pPr>
        <w:rPr>
          <w:lang w:val="pt-PT"/>
        </w:rPr>
      </w:pPr>
      <w:r w:rsidRPr="00465964">
        <w:rPr>
          <w:lang w:val="pt-PT"/>
        </w:rPr>
        <w:t>1.   As autoridades competentes revogam a autorização de um prestador de serviços de criptoativos se o prestador de serviços de criptoativos:</w:t>
      </w:r>
    </w:p>
    <w:tbl>
      <w:tblPr>
        <w:tblW w:w="5000" w:type="pct"/>
        <w:tblCellMar>
          <w:left w:w="0" w:type="dxa"/>
          <w:right w:w="0" w:type="dxa"/>
        </w:tblCellMar>
        <w:tblLook w:val="04A0" w:firstRow="1" w:lastRow="0" w:firstColumn="1" w:lastColumn="0" w:noHBand="0" w:noVBand="1"/>
      </w:tblPr>
      <w:tblGrid>
        <w:gridCol w:w="182"/>
        <w:gridCol w:w="8844"/>
      </w:tblGrid>
      <w:tr w:rsidR="00465964" w:rsidRPr="00465964" w14:paraId="196125B8" w14:textId="77777777" w:rsidTr="00465964">
        <w:tc>
          <w:tcPr>
            <w:tcW w:w="0" w:type="auto"/>
            <w:shd w:val="clear" w:color="auto" w:fill="auto"/>
            <w:hideMark/>
          </w:tcPr>
          <w:p w14:paraId="094BD946" w14:textId="77777777" w:rsidR="00465964" w:rsidRPr="00465964" w:rsidRDefault="00465964" w:rsidP="00465964">
            <w:r w:rsidRPr="00465964">
              <w:t>a)</w:t>
            </w:r>
          </w:p>
        </w:tc>
        <w:tc>
          <w:tcPr>
            <w:tcW w:w="0" w:type="auto"/>
            <w:shd w:val="clear" w:color="auto" w:fill="auto"/>
            <w:hideMark/>
          </w:tcPr>
          <w:p w14:paraId="3DDB192A" w14:textId="77777777" w:rsidR="00465964" w:rsidRPr="00465964" w:rsidRDefault="00465964" w:rsidP="00465964">
            <w:pPr>
              <w:rPr>
                <w:lang w:val="pt-PT"/>
              </w:rPr>
            </w:pPr>
            <w:r w:rsidRPr="00465964">
              <w:rPr>
                <w:lang w:val="pt-PT"/>
              </w:rPr>
              <w:t>Não tiver utilizado a sua autorização no prazo de 12 meses a contar da data de concessão da mesma;</w:t>
            </w:r>
          </w:p>
        </w:tc>
      </w:tr>
    </w:tbl>
    <w:p w14:paraId="3EF0C5EE"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337"/>
        <w:gridCol w:w="8689"/>
      </w:tblGrid>
      <w:tr w:rsidR="00465964" w:rsidRPr="00465964" w14:paraId="13CFF7BF" w14:textId="77777777" w:rsidTr="00465964">
        <w:tc>
          <w:tcPr>
            <w:tcW w:w="0" w:type="auto"/>
            <w:shd w:val="clear" w:color="auto" w:fill="auto"/>
            <w:hideMark/>
          </w:tcPr>
          <w:p w14:paraId="35E61D3E" w14:textId="77777777" w:rsidR="00465964" w:rsidRPr="00465964" w:rsidRDefault="00465964" w:rsidP="00465964">
            <w:r w:rsidRPr="00465964">
              <w:t>b)</w:t>
            </w:r>
          </w:p>
        </w:tc>
        <w:tc>
          <w:tcPr>
            <w:tcW w:w="0" w:type="auto"/>
            <w:shd w:val="clear" w:color="auto" w:fill="auto"/>
            <w:hideMark/>
          </w:tcPr>
          <w:p w14:paraId="57FCAEEF" w14:textId="77777777" w:rsidR="00465964" w:rsidRPr="00465964" w:rsidRDefault="00465964" w:rsidP="00465964">
            <w:pPr>
              <w:rPr>
                <w:lang w:val="pt-PT"/>
              </w:rPr>
            </w:pPr>
            <w:r w:rsidRPr="00465964">
              <w:rPr>
                <w:lang w:val="pt-PT"/>
              </w:rPr>
              <w:t>Tiver renunciado expressamente à sua autorização;</w:t>
            </w:r>
          </w:p>
        </w:tc>
      </w:tr>
    </w:tbl>
    <w:p w14:paraId="2C600399"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216"/>
        <w:gridCol w:w="8810"/>
      </w:tblGrid>
      <w:tr w:rsidR="00465964" w:rsidRPr="00465964" w14:paraId="44323D23" w14:textId="77777777" w:rsidTr="00465964">
        <w:tc>
          <w:tcPr>
            <w:tcW w:w="0" w:type="auto"/>
            <w:shd w:val="clear" w:color="auto" w:fill="auto"/>
            <w:hideMark/>
          </w:tcPr>
          <w:p w14:paraId="7A76DAAC" w14:textId="77777777" w:rsidR="00465964" w:rsidRPr="00465964" w:rsidRDefault="00465964" w:rsidP="00465964">
            <w:r w:rsidRPr="00465964">
              <w:t>c)</w:t>
            </w:r>
          </w:p>
        </w:tc>
        <w:tc>
          <w:tcPr>
            <w:tcW w:w="0" w:type="auto"/>
            <w:shd w:val="clear" w:color="auto" w:fill="auto"/>
            <w:hideMark/>
          </w:tcPr>
          <w:p w14:paraId="3CAFED5F" w14:textId="77777777" w:rsidR="00465964" w:rsidRPr="00465964" w:rsidRDefault="00465964" w:rsidP="00465964">
            <w:pPr>
              <w:rPr>
                <w:lang w:val="pt-PT"/>
              </w:rPr>
            </w:pPr>
            <w:r w:rsidRPr="00465964">
              <w:rPr>
                <w:lang w:val="pt-PT"/>
              </w:rPr>
              <w:t>Não tiver prestado serviços de criptoativos durante nove meses consecutivos;</w:t>
            </w:r>
          </w:p>
        </w:tc>
      </w:tr>
    </w:tbl>
    <w:p w14:paraId="56604992"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8"/>
        <w:gridCol w:w="8838"/>
      </w:tblGrid>
      <w:tr w:rsidR="00465964" w:rsidRPr="00465964" w14:paraId="4A34F912" w14:textId="77777777" w:rsidTr="00465964">
        <w:tc>
          <w:tcPr>
            <w:tcW w:w="0" w:type="auto"/>
            <w:shd w:val="clear" w:color="auto" w:fill="auto"/>
            <w:hideMark/>
          </w:tcPr>
          <w:p w14:paraId="46F3486B" w14:textId="77777777" w:rsidR="00465964" w:rsidRPr="00465964" w:rsidRDefault="00465964" w:rsidP="00465964">
            <w:r w:rsidRPr="00465964">
              <w:t>d)</w:t>
            </w:r>
          </w:p>
        </w:tc>
        <w:tc>
          <w:tcPr>
            <w:tcW w:w="0" w:type="auto"/>
            <w:shd w:val="clear" w:color="auto" w:fill="auto"/>
            <w:hideMark/>
          </w:tcPr>
          <w:p w14:paraId="7E2E1DAA" w14:textId="77777777" w:rsidR="00465964" w:rsidRPr="00465964" w:rsidRDefault="00465964" w:rsidP="00465964">
            <w:pPr>
              <w:rPr>
                <w:lang w:val="pt-PT"/>
              </w:rPr>
            </w:pPr>
            <w:r w:rsidRPr="00465964">
              <w:rPr>
                <w:lang w:val="pt-PT"/>
              </w:rPr>
              <w:t>Tiver obtido a sua autorização recorrendo a meios irregulares, nomeadamente fazendo declarações falsas no seu pedido de autorização;</w:t>
            </w:r>
          </w:p>
        </w:tc>
      </w:tr>
    </w:tbl>
    <w:p w14:paraId="6D43FA2F"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1"/>
        <w:gridCol w:w="8845"/>
      </w:tblGrid>
      <w:tr w:rsidR="00465964" w:rsidRPr="00465964" w14:paraId="0BEFB6C6" w14:textId="77777777" w:rsidTr="00465964">
        <w:tc>
          <w:tcPr>
            <w:tcW w:w="0" w:type="auto"/>
            <w:shd w:val="clear" w:color="auto" w:fill="auto"/>
            <w:hideMark/>
          </w:tcPr>
          <w:p w14:paraId="63E1C453" w14:textId="77777777" w:rsidR="00465964" w:rsidRPr="00465964" w:rsidRDefault="00465964" w:rsidP="00465964">
            <w:r w:rsidRPr="00465964">
              <w:t>e)</w:t>
            </w:r>
          </w:p>
        </w:tc>
        <w:tc>
          <w:tcPr>
            <w:tcW w:w="0" w:type="auto"/>
            <w:shd w:val="clear" w:color="auto" w:fill="auto"/>
            <w:hideMark/>
          </w:tcPr>
          <w:p w14:paraId="673589AE" w14:textId="77777777" w:rsidR="00465964" w:rsidRPr="00465964" w:rsidRDefault="00465964" w:rsidP="00465964">
            <w:pPr>
              <w:rPr>
                <w:lang w:val="pt-PT"/>
              </w:rPr>
            </w:pPr>
            <w:r w:rsidRPr="00465964">
              <w:rPr>
                <w:lang w:val="pt-PT"/>
              </w:rPr>
              <w:t>Tiver deixado de preencher as condições com base nas quais a autorização foi concedida e não tiver adotado as medidas corretivas solicitadas pela autoridade competente dentro do prazo fixado;</w:t>
            </w:r>
          </w:p>
        </w:tc>
      </w:tr>
    </w:tbl>
    <w:p w14:paraId="06438640"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36"/>
        <w:gridCol w:w="8890"/>
      </w:tblGrid>
      <w:tr w:rsidR="00465964" w:rsidRPr="00465964" w14:paraId="715CE68E" w14:textId="77777777" w:rsidTr="00465964">
        <w:tc>
          <w:tcPr>
            <w:tcW w:w="0" w:type="auto"/>
            <w:shd w:val="clear" w:color="auto" w:fill="auto"/>
            <w:hideMark/>
          </w:tcPr>
          <w:p w14:paraId="67820131" w14:textId="77777777" w:rsidR="00465964" w:rsidRPr="00465964" w:rsidRDefault="00465964" w:rsidP="00465964">
            <w:r w:rsidRPr="00465964">
              <w:t>f)</w:t>
            </w:r>
          </w:p>
        </w:tc>
        <w:tc>
          <w:tcPr>
            <w:tcW w:w="0" w:type="auto"/>
            <w:shd w:val="clear" w:color="auto" w:fill="auto"/>
            <w:hideMark/>
          </w:tcPr>
          <w:p w14:paraId="01749AA2" w14:textId="77777777" w:rsidR="00465964" w:rsidRPr="00465964" w:rsidRDefault="00465964" w:rsidP="00465964">
            <w:pPr>
              <w:rPr>
                <w:lang w:val="pt-PT"/>
              </w:rPr>
            </w:pPr>
            <w:r w:rsidRPr="00465964">
              <w:rPr>
                <w:lang w:val="pt-PT"/>
              </w:rPr>
              <w:t>Não dispuser de sistemas, procedimentos e mecanismos eficazes para prevenir e detetar o branqueamento de capitais e o financiamento do terrorismo, em conformidade com a Diretiva (UE) 2015/849;</w:t>
            </w:r>
          </w:p>
        </w:tc>
      </w:tr>
    </w:tbl>
    <w:p w14:paraId="1405CE26"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74"/>
        <w:gridCol w:w="8852"/>
      </w:tblGrid>
      <w:tr w:rsidR="00465964" w:rsidRPr="00465964" w14:paraId="6B0860EA" w14:textId="77777777" w:rsidTr="00465964">
        <w:tc>
          <w:tcPr>
            <w:tcW w:w="0" w:type="auto"/>
            <w:shd w:val="clear" w:color="auto" w:fill="auto"/>
            <w:hideMark/>
          </w:tcPr>
          <w:p w14:paraId="3DC250DC" w14:textId="77777777" w:rsidR="00465964" w:rsidRPr="00465964" w:rsidRDefault="00465964" w:rsidP="00465964">
            <w:r w:rsidRPr="00465964">
              <w:t>g)</w:t>
            </w:r>
          </w:p>
        </w:tc>
        <w:tc>
          <w:tcPr>
            <w:tcW w:w="0" w:type="auto"/>
            <w:shd w:val="clear" w:color="auto" w:fill="auto"/>
            <w:hideMark/>
          </w:tcPr>
          <w:p w14:paraId="62A4E595" w14:textId="77777777" w:rsidR="00465964" w:rsidRPr="00465964" w:rsidRDefault="00465964" w:rsidP="00465964">
            <w:pPr>
              <w:rPr>
                <w:lang w:val="pt-PT"/>
              </w:rPr>
            </w:pPr>
            <w:r w:rsidRPr="00465964">
              <w:rPr>
                <w:lang w:val="pt-PT"/>
              </w:rPr>
              <w:t>Tiver infringido gravemente o presente regulamento, incluindo as disposições relativas à proteção dos detentores de criptoativos ou dos clientes de prestadores de serviços de criptoativos, ou à integridade do mercado.</w:t>
            </w:r>
          </w:p>
        </w:tc>
      </w:tr>
    </w:tbl>
    <w:p w14:paraId="3B7ADE67" w14:textId="77777777" w:rsidR="00465964" w:rsidRPr="00465964" w:rsidRDefault="00465964" w:rsidP="00465964">
      <w:pPr>
        <w:rPr>
          <w:lang w:val="pt-PT"/>
        </w:rPr>
      </w:pPr>
      <w:r w:rsidRPr="00465964">
        <w:rPr>
          <w:lang w:val="pt-PT"/>
        </w:rPr>
        <w:lastRenderedPageBreak/>
        <w:t>2.   As autoridades competentes podem revogar a autorização como prestador de serviços de criptoativos em qualquer uma das seguintes situações:</w:t>
      </w:r>
    </w:p>
    <w:tbl>
      <w:tblPr>
        <w:tblW w:w="5000" w:type="pct"/>
        <w:tblCellMar>
          <w:left w:w="0" w:type="dxa"/>
          <w:right w:w="0" w:type="dxa"/>
        </w:tblCellMar>
        <w:tblLook w:val="04A0" w:firstRow="1" w:lastRow="0" w:firstColumn="1" w:lastColumn="0" w:noHBand="0" w:noVBand="1"/>
      </w:tblPr>
      <w:tblGrid>
        <w:gridCol w:w="182"/>
        <w:gridCol w:w="8844"/>
      </w:tblGrid>
      <w:tr w:rsidR="00465964" w:rsidRPr="00465964" w14:paraId="27B57EEA" w14:textId="77777777" w:rsidTr="00465964">
        <w:tc>
          <w:tcPr>
            <w:tcW w:w="0" w:type="auto"/>
            <w:shd w:val="clear" w:color="auto" w:fill="auto"/>
            <w:hideMark/>
          </w:tcPr>
          <w:p w14:paraId="73B2F6BF" w14:textId="77777777" w:rsidR="00465964" w:rsidRPr="00465964" w:rsidRDefault="00465964" w:rsidP="00465964">
            <w:r w:rsidRPr="00465964">
              <w:t>a)</w:t>
            </w:r>
          </w:p>
        </w:tc>
        <w:tc>
          <w:tcPr>
            <w:tcW w:w="0" w:type="auto"/>
            <w:shd w:val="clear" w:color="auto" w:fill="auto"/>
            <w:hideMark/>
          </w:tcPr>
          <w:p w14:paraId="33B0FBB8" w14:textId="77777777" w:rsidR="00465964" w:rsidRPr="00465964" w:rsidRDefault="00465964" w:rsidP="00465964">
            <w:pPr>
              <w:rPr>
                <w:lang w:val="pt-PT"/>
              </w:rPr>
            </w:pPr>
            <w:r w:rsidRPr="00465964">
              <w:rPr>
                <w:lang w:val="pt-PT"/>
              </w:rPr>
              <w:t>O prestador de serviços de criptoativos infringiu as disposições do direito nacional que transpõem a Diretiva (UE) 2015/849;</w:t>
            </w:r>
          </w:p>
        </w:tc>
      </w:tr>
    </w:tbl>
    <w:p w14:paraId="78D28BE7"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8"/>
        <w:gridCol w:w="8838"/>
      </w:tblGrid>
      <w:tr w:rsidR="00465964" w:rsidRPr="00465964" w14:paraId="615BA3BE" w14:textId="77777777" w:rsidTr="00465964">
        <w:tc>
          <w:tcPr>
            <w:tcW w:w="0" w:type="auto"/>
            <w:shd w:val="clear" w:color="auto" w:fill="auto"/>
            <w:hideMark/>
          </w:tcPr>
          <w:p w14:paraId="404E2643" w14:textId="77777777" w:rsidR="00465964" w:rsidRPr="00465964" w:rsidRDefault="00465964" w:rsidP="00465964">
            <w:r w:rsidRPr="00465964">
              <w:t>b)</w:t>
            </w:r>
          </w:p>
        </w:tc>
        <w:tc>
          <w:tcPr>
            <w:tcW w:w="0" w:type="auto"/>
            <w:shd w:val="clear" w:color="auto" w:fill="auto"/>
            <w:hideMark/>
          </w:tcPr>
          <w:p w14:paraId="111EB03C" w14:textId="77777777" w:rsidR="00465964" w:rsidRPr="00465964" w:rsidRDefault="00465964" w:rsidP="00465964">
            <w:pPr>
              <w:rPr>
                <w:lang w:val="pt-PT"/>
              </w:rPr>
            </w:pPr>
            <w:r w:rsidRPr="00465964">
              <w:rPr>
                <w:lang w:val="pt-PT"/>
              </w:rPr>
              <w:t>O prestador de serviços de criptoativos deixou de estar autorizado como instituição de pagamento ou como instituição de moeda eletrónica e não logrou corrigir a situação no prazo de 40 dias de calendário.</w:t>
            </w:r>
          </w:p>
        </w:tc>
      </w:tr>
    </w:tbl>
    <w:p w14:paraId="13A5A7D6" w14:textId="77777777" w:rsidR="00465964" w:rsidRPr="00465964" w:rsidRDefault="00465964" w:rsidP="00465964">
      <w:pPr>
        <w:rPr>
          <w:lang w:val="pt-PT"/>
        </w:rPr>
      </w:pPr>
      <w:r w:rsidRPr="00465964">
        <w:rPr>
          <w:lang w:val="pt-PT"/>
        </w:rPr>
        <w:t>3.   Caso uma autoridade competente revogue uma autorização como prestador de serviços de criptoativos, esta notifica sem demora injustificada a ESMA e os pontos únicos de contacto dos Estados-Membros de acolhimento. A ESMA disponibiliza essas informações no registo a que se refere o artigo 109.</w:t>
      </w:r>
      <w:r w:rsidRPr="00465964">
        <w:rPr>
          <w:vertAlign w:val="superscript"/>
          <w:lang w:val="pt-PT"/>
        </w:rPr>
        <w:t>o</w:t>
      </w:r>
      <w:r w:rsidRPr="00465964">
        <w:rPr>
          <w:lang w:val="pt-PT"/>
        </w:rPr>
        <w:t>.</w:t>
      </w:r>
    </w:p>
    <w:p w14:paraId="5524813A" w14:textId="77777777" w:rsidR="00465964" w:rsidRPr="00465964" w:rsidRDefault="00465964" w:rsidP="00465964">
      <w:pPr>
        <w:rPr>
          <w:lang w:val="pt-PT"/>
        </w:rPr>
      </w:pPr>
      <w:r w:rsidRPr="00465964">
        <w:rPr>
          <w:lang w:val="pt-PT"/>
        </w:rPr>
        <w:t>4.   As autoridades competentes podem limitar a revogação da autorização a um determinado serviço de criptoativos.</w:t>
      </w:r>
    </w:p>
    <w:p w14:paraId="747E68A8" w14:textId="77777777" w:rsidR="00465964" w:rsidRPr="00465964" w:rsidRDefault="00465964" w:rsidP="00465964">
      <w:pPr>
        <w:rPr>
          <w:lang w:val="pt-PT"/>
        </w:rPr>
      </w:pPr>
      <w:r w:rsidRPr="00465964">
        <w:rPr>
          <w:lang w:val="pt-PT"/>
        </w:rPr>
        <w:t>5.   Antes de revogar uma autorização como prestador de serviços de criptoativos, as autoridades competentes consultam a autoridade competente de outro Estado-Membro caso o prestador de serviços de criptoativos em questão seja:</w:t>
      </w:r>
    </w:p>
    <w:tbl>
      <w:tblPr>
        <w:tblW w:w="5000" w:type="pct"/>
        <w:tblCellMar>
          <w:left w:w="0" w:type="dxa"/>
          <w:right w:w="0" w:type="dxa"/>
        </w:tblCellMar>
        <w:tblLook w:val="04A0" w:firstRow="1" w:lastRow="0" w:firstColumn="1" w:lastColumn="0" w:noHBand="0" w:noVBand="1"/>
      </w:tblPr>
      <w:tblGrid>
        <w:gridCol w:w="182"/>
        <w:gridCol w:w="8844"/>
      </w:tblGrid>
      <w:tr w:rsidR="00465964" w:rsidRPr="00465964" w14:paraId="0FD96D2F" w14:textId="77777777" w:rsidTr="00465964">
        <w:tc>
          <w:tcPr>
            <w:tcW w:w="0" w:type="auto"/>
            <w:shd w:val="clear" w:color="auto" w:fill="auto"/>
            <w:hideMark/>
          </w:tcPr>
          <w:p w14:paraId="3081E606" w14:textId="77777777" w:rsidR="00465964" w:rsidRPr="00465964" w:rsidRDefault="00465964" w:rsidP="00465964">
            <w:r w:rsidRPr="00465964">
              <w:t>a)</w:t>
            </w:r>
          </w:p>
        </w:tc>
        <w:tc>
          <w:tcPr>
            <w:tcW w:w="0" w:type="auto"/>
            <w:shd w:val="clear" w:color="auto" w:fill="auto"/>
            <w:hideMark/>
          </w:tcPr>
          <w:p w14:paraId="02624ABA" w14:textId="77777777" w:rsidR="00465964" w:rsidRPr="00465964" w:rsidRDefault="00465964" w:rsidP="00465964">
            <w:pPr>
              <w:rPr>
                <w:lang w:val="pt-PT"/>
              </w:rPr>
            </w:pPr>
            <w:r w:rsidRPr="00465964">
              <w:rPr>
                <w:lang w:val="pt-PT"/>
              </w:rPr>
              <w:t>Uma filial de um prestador de serviços de criptoativos autorizado nesse outro Estado-Membro;</w:t>
            </w:r>
          </w:p>
        </w:tc>
      </w:tr>
    </w:tbl>
    <w:p w14:paraId="233E4C9D"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8"/>
        <w:gridCol w:w="8838"/>
      </w:tblGrid>
      <w:tr w:rsidR="00465964" w:rsidRPr="00465964" w14:paraId="5CED582F" w14:textId="77777777" w:rsidTr="00465964">
        <w:tc>
          <w:tcPr>
            <w:tcW w:w="0" w:type="auto"/>
            <w:shd w:val="clear" w:color="auto" w:fill="auto"/>
            <w:hideMark/>
          </w:tcPr>
          <w:p w14:paraId="280DF7C8" w14:textId="77777777" w:rsidR="00465964" w:rsidRPr="00465964" w:rsidRDefault="00465964" w:rsidP="00465964">
            <w:r w:rsidRPr="00465964">
              <w:t>b)</w:t>
            </w:r>
          </w:p>
        </w:tc>
        <w:tc>
          <w:tcPr>
            <w:tcW w:w="0" w:type="auto"/>
            <w:shd w:val="clear" w:color="auto" w:fill="auto"/>
            <w:hideMark/>
          </w:tcPr>
          <w:p w14:paraId="3AE777D7" w14:textId="77777777" w:rsidR="00465964" w:rsidRPr="00465964" w:rsidRDefault="00465964" w:rsidP="00465964">
            <w:pPr>
              <w:rPr>
                <w:lang w:val="pt-PT"/>
              </w:rPr>
            </w:pPr>
            <w:r w:rsidRPr="00465964">
              <w:rPr>
                <w:lang w:val="pt-PT"/>
              </w:rPr>
              <w:t>Uma filial da empresa-mãe de um prestador de serviços de criptoativos autorizado nesse outro Estado-Membro;</w:t>
            </w:r>
          </w:p>
        </w:tc>
      </w:tr>
    </w:tbl>
    <w:p w14:paraId="185CDE31"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0"/>
        <w:gridCol w:w="8846"/>
      </w:tblGrid>
      <w:tr w:rsidR="00465964" w:rsidRPr="00465964" w14:paraId="2183AF9F" w14:textId="77777777" w:rsidTr="00465964">
        <w:tc>
          <w:tcPr>
            <w:tcW w:w="0" w:type="auto"/>
            <w:shd w:val="clear" w:color="auto" w:fill="auto"/>
            <w:hideMark/>
          </w:tcPr>
          <w:p w14:paraId="3DC4AC7B" w14:textId="77777777" w:rsidR="00465964" w:rsidRPr="00465964" w:rsidRDefault="00465964" w:rsidP="00465964">
            <w:r w:rsidRPr="00465964">
              <w:t>c)</w:t>
            </w:r>
          </w:p>
        </w:tc>
        <w:tc>
          <w:tcPr>
            <w:tcW w:w="0" w:type="auto"/>
            <w:shd w:val="clear" w:color="auto" w:fill="auto"/>
            <w:hideMark/>
          </w:tcPr>
          <w:p w14:paraId="3D19CABE" w14:textId="77777777" w:rsidR="00465964" w:rsidRPr="00465964" w:rsidRDefault="00465964" w:rsidP="00465964">
            <w:pPr>
              <w:rPr>
                <w:lang w:val="pt-PT"/>
              </w:rPr>
            </w:pPr>
            <w:r w:rsidRPr="00465964">
              <w:rPr>
                <w:lang w:val="pt-PT"/>
              </w:rPr>
              <w:t>Controlado pelas mesmas pessoas singulares ou coletivas que controlam um prestador de serviços de criptoativos autorizado nesse outro Estado-Membro.</w:t>
            </w:r>
          </w:p>
        </w:tc>
      </w:tr>
    </w:tbl>
    <w:p w14:paraId="53F51D02" w14:textId="77777777" w:rsidR="00465964" w:rsidRPr="00465964" w:rsidRDefault="00465964" w:rsidP="00465964">
      <w:pPr>
        <w:rPr>
          <w:lang w:val="pt-PT"/>
        </w:rPr>
      </w:pPr>
      <w:r w:rsidRPr="00465964">
        <w:rPr>
          <w:lang w:val="pt-PT"/>
        </w:rPr>
        <w:t>6.   Antes de revogar uma autorização como prestador de serviços de criptoativos, as autoridades competentes podem consultar a autoridade competente incumbida de supervisionar a conformidade do prestador de serviços de criptoativos com as regras em matéria de luta contra o branqueamento de capitais e o financiamento do terrorismo.</w:t>
      </w:r>
    </w:p>
    <w:p w14:paraId="7D66C30B" w14:textId="77777777" w:rsidR="00465964" w:rsidRPr="00465964" w:rsidRDefault="00465964" w:rsidP="00465964">
      <w:pPr>
        <w:rPr>
          <w:lang w:val="pt-PT"/>
        </w:rPr>
      </w:pPr>
      <w:r w:rsidRPr="00465964">
        <w:rPr>
          <w:lang w:val="pt-PT"/>
        </w:rPr>
        <w:t>7.   A EBA, a ESMA e qualquer autoridade competente de um Estado-Membro de acolhimento podem solicitar a qualquer momento que a autoridade competente do Estado-Membro de origem verifique se o prestador de serviços de criptoativos continua a preencher as condições com base nas quais a autorização foi concedida, quando haja motivos para suspeitar que deixou de ser esse o caso.</w:t>
      </w:r>
    </w:p>
    <w:p w14:paraId="6A557DB8" w14:textId="77777777" w:rsidR="00465964" w:rsidRPr="00465964" w:rsidRDefault="00465964" w:rsidP="00465964">
      <w:pPr>
        <w:rPr>
          <w:lang w:val="pt-PT"/>
        </w:rPr>
      </w:pPr>
      <w:r w:rsidRPr="00465964">
        <w:rPr>
          <w:lang w:val="pt-PT"/>
        </w:rPr>
        <w:t>8.   Os prestadores de serviços de criptoativos devem criar, aplicar e manter procedimentos adequados que assegurem a transferência atempada e ordenada dos criptoativos e dos fundos dos seus clientes para outro prestador de serviços de criptoativos em caso de revogação da autorização.</w:t>
      </w:r>
    </w:p>
    <w:p w14:paraId="6CC4FE71" w14:textId="77777777" w:rsidR="00465964" w:rsidRPr="00465964" w:rsidRDefault="00465964" w:rsidP="00465964">
      <w:pPr>
        <w:rPr>
          <w:i/>
          <w:iCs/>
          <w:lang w:val="pt-PT"/>
        </w:rPr>
      </w:pPr>
      <w:r w:rsidRPr="00465964">
        <w:rPr>
          <w:i/>
          <w:iCs/>
          <w:lang w:val="pt-PT"/>
        </w:rPr>
        <w:t>Artigo 65.</w:t>
      </w:r>
      <w:r w:rsidRPr="00465964">
        <w:rPr>
          <w:i/>
          <w:iCs/>
          <w:vertAlign w:val="superscript"/>
          <w:lang w:val="pt-PT"/>
        </w:rPr>
        <w:t>o</w:t>
      </w:r>
    </w:p>
    <w:p w14:paraId="5C6225E4" w14:textId="77777777" w:rsidR="00465964" w:rsidRPr="00465964" w:rsidRDefault="00465964" w:rsidP="00465964">
      <w:pPr>
        <w:rPr>
          <w:b/>
          <w:bCs/>
          <w:lang w:val="pt-PT"/>
        </w:rPr>
      </w:pPr>
      <w:r w:rsidRPr="00465964">
        <w:rPr>
          <w:b/>
          <w:bCs/>
          <w:lang w:val="pt-PT"/>
        </w:rPr>
        <w:t>Prestação de serviços de criptoativos a nível transfronteiriço</w:t>
      </w:r>
    </w:p>
    <w:p w14:paraId="3C548AF3" w14:textId="77777777" w:rsidR="00465964" w:rsidRPr="00465964" w:rsidRDefault="00465964" w:rsidP="00465964">
      <w:pPr>
        <w:rPr>
          <w:lang w:val="pt-PT"/>
        </w:rPr>
      </w:pPr>
      <w:r w:rsidRPr="00465964">
        <w:rPr>
          <w:lang w:val="pt-PT"/>
        </w:rPr>
        <w:t>1.   Um prestador de serviços de criptoativos que pretenda prestar serviços de criptoativos em mais do que um Estado-Membro, deve apresentar à autoridade competente do Estado-Membro de origem as seguintes informações:</w:t>
      </w:r>
    </w:p>
    <w:tbl>
      <w:tblPr>
        <w:tblW w:w="5000" w:type="pct"/>
        <w:tblCellMar>
          <w:left w:w="0" w:type="dxa"/>
          <w:right w:w="0" w:type="dxa"/>
        </w:tblCellMar>
        <w:tblLook w:val="04A0" w:firstRow="1" w:lastRow="0" w:firstColumn="1" w:lastColumn="0" w:noHBand="0" w:noVBand="1"/>
      </w:tblPr>
      <w:tblGrid>
        <w:gridCol w:w="182"/>
        <w:gridCol w:w="8844"/>
      </w:tblGrid>
      <w:tr w:rsidR="00465964" w:rsidRPr="00465964" w14:paraId="285B1987" w14:textId="77777777" w:rsidTr="00465964">
        <w:tc>
          <w:tcPr>
            <w:tcW w:w="0" w:type="auto"/>
            <w:shd w:val="clear" w:color="auto" w:fill="auto"/>
            <w:hideMark/>
          </w:tcPr>
          <w:p w14:paraId="12634E11" w14:textId="77777777" w:rsidR="00465964" w:rsidRPr="00465964" w:rsidRDefault="00465964" w:rsidP="00465964">
            <w:r w:rsidRPr="00465964">
              <w:lastRenderedPageBreak/>
              <w:t>a)</w:t>
            </w:r>
          </w:p>
        </w:tc>
        <w:tc>
          <w:tcPr>
            <w:tcW w:w="0" w:type="auto"/>
            <w:shd w:val="clear" w:color="auto" w:fill="auto"/>
            <w:hideMark/>
          </w:tcPr>
          <w:p w14:paraId="06B6A816" w14:textId="77777777" w:rsidR="00465964" w:rsidRPr="00465964" w:rsidRDefault="00465964" w:rsidP="00465964">
            <w:pPr>
              <w:rPr>
                <w:lang w:val="pt-PT"/>
              </w:rPr>
            </w:pPr>
            <w:r w:rsidRPr="00465964">
              <w:rPr>
                <w:lang w:val="pt-PT"/>
              </w:rPr>
              <w:t>Uma lista dos Estados-Membros nos quais o prestador de serviços de criptoativos pretende prestar serviços de criptoativos;</w:t>
            </w:r>
          </w:p>
        </w:tc>
      </w:tr>
    </w:tbl>
    <w:p w14:paraId="49EF1919"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8"/>
        <w:gridCol w:w="8838"/>
      </w:tblGrid>
      <w:tr w:rsidR="00465964" w:rsidRPr="00465964" w14:paraId="5B116FAB" w14:textId="77777777" w:rsidTr="00465964">
        <w:tc>
          <w:tcPr>
            <w:tcW w:w="0" w:type="auto"/>
            <w:shd w:val="clear" w:color="auto" w:fill="auto"/>
            <w:hideMark/>
          </w:tcPr>
          <w:p w14:paraId="74A2B1BD" w14:textId="77777777" w:rsidR="00465964" w:rsidRPr="00465964" w:rsidRDefault="00465964" w:rsidP="00465964">
            <w:r w:rsidRPr="00465964">
              <w:t>b)</w:t>
            </w:r>
          </w:p>
        </w:tc>
        <w:tc>
          <w:tcPr>
            <w:tcW w:w="0" w:type="auto"/>
            <w:shd w:val="clear" w:color="auto" w:fill="auto"/>
            <w:hideMark/>
          </w:tcPr>
          <w:p w14:paraId="2089A1D0" w14:textId="77777777" w:rsidR="00465964" w:rsidRPr="00465964" w:rsidRDefault="00465964" w:rsidP="00465964">
            <w:pPr>
              <w:rPr>
                <w:lang w:val="pt-PT"/>
              </w:rPr>
            </w:pPr>
            <w:r w:rsidRPr="00465964">
              <w:rPr>
                <w:lang w:val="pt-PT"/>
              </w:rPr>
              <w:t>Os serviços de criptoativos que o prestador de serviços de criptoativos pretende prestar numa base transfronteiriça;</w:t>
            </w:r>
          </w:p>
        </w:tc>
      </w:tr>
    </w:tbl>
    <w:p w14:paraId="46F5DB6C"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254"/>
        <w:gridCol w:w="8772"/>
      </w:tblGrid>
      <w:tr w:rsidR="00465964" w:rsidRPr="00465964" w14:paraId="3464E38A" w14:textId="77777777" w:rsidTr="00465964">
        <w:tc>
          <w:tcPr>
            <w:tcW w:w="0" w:type="auto"/>
            <w:shd w:val="clear" w:color="auto" w:fill="auto"/>
            <w:hideMark/>
          </w:tcPr>
          <w:p w14:paraId="60EF9214" w14:textId="77777777" w:rsidR="00465964" w:rsidRPr="00465964" w:rsidRDefault="00465964" w:rsidP="00465964">
            <w:r w:rsidRPr="00465964">
              <w:t>c)</w:t>
            </w:r>
          </w:p>
        </w:tc>
        <w:tc>
          <w:tcPr>
            <w:tcW w:w="0" w:type="auto"/>
            <w:shd w:val="clear" w:color="auto" w:fill="auto"/>
            <w:hideMark/>
          </w:tcPr>
          <w:p w14:paraId="61C3ECEB" w14:textId="77777777" w:rsidR="00465964" w:rsidRPr="00465964" w:rsidRDefault="00465964" w:rsidP="00465964">
            <w:pPr>
              <w:rPr>
                <w:lang w:val="pt-PT"/>
              </w:rPr>
            </w:pPr>
            <w:r w:rsidRPr="00465964">
              <w:rPr>
                <w:lang w:val="pt-PT"/>
              </w:rPr>
              <w:t>A data inicial da prestação pretendida de serviços de criptoativos;</w:t>
            </w:r>
          </w:p>
        </w:tc>
      </w:tr>
    </w:tbl>
    <w:p w14:paraId="1D79FBC1"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8"/>
        <w:gridCol w:w="8838"/>
      </w:tblGrid>
      <w:tr w:rsidR="00465964" w:rsidRPr="00465964" w14:paraId="7E2B45E4" w14:textId="77777777" w:rsidTr="00465964">
        <w:tc>
          <w:tcPr>
            <w:tcW w:w="0" w:type="auto"/>
            <w:shd w:val="clear" w:color="auto" w:fill="auto"/>
            <w:hideMark/>
          </w:tcPr>
          <w:p w14:paraId="6BBBCDB0" w14:textId="77777777" w:rsidR="00465964" w:rsidRPr="00465964" w:rsidRDefault="00465964" w:rsidP="00465964">
            <w:r w:rsidRPr="00465964">
              <w:t>d)</w:t>
            </w:r>
          </w:p>
        </w:tc>
        <w:tc>
          <w:tcPr>
            <w:tcW w:w="0" w:type="auto"/>
            <w:shd w:val="clear" w:color="auto" w:fill="auto"/>
            <w:hideMark/>
          </w:tcPr>
          <w:p w14:paraId="1ECECA15" w14:textId="77777777" w:rsidR="00465964" w:rsidRPr="00465964" w:rsidRDefault="00465964" w:rsidP="00465964">
            <w:pPr>
              <w:rPr>
                <w:lang w:val="pt-PT"/>
              </w:rPr>
            </w:pPr>
            <w:r w:rsidRPr="00465964">
              <w:rPr>
                <w:lang w:val="pt-PT"/>
              </w:rPr>
              <w:t>Uma lista de todas as outras atividades prestadas pelo prestador de serviços de criptoativos não abrangidas pelo presente regulamento.</w:t>
            </w:r>
          </w:p>
        </w:tc>
      </w:tr>
    </w:tbl>
    <w:p w14:paraId="5D2539DB" w14:textId="77777777" w:rsidR="00465964" w:rsidRPr="00465964" w:rsidRDefault="00465964" w:rsidP="00465964">
      <w:pPr>
        <w:rPr>
          <w:lang w:val="pt-PT"/>
        </w:rPr>
      </w:pPr>
      <w:r w:rsidRPr="00465964">
        <w:rPr>
          <w:lang w:val="pt-PT"/>
        </w:rPr>
        <w:t xml:space="preserve">2.   A autoridade competente do Estado-Membro de origem comunica essas informações, no prazo de dez dias úteis a contar da data de receção das informações a que se refere o </w:t>
      </w:r>
      <w:proofErr w:type="spellStart"/>
      <w:r w:rsidRPr="00465964">
        <w:rPr>
          <w:lang w:val="pt-PT"/>
        </w:rPr>
        <w:t>n.</w:t>
      </w:r>
      <w:r w:rsidRPr="00465964">
        <w:rPr>
          <w:vertAlign w:val="superscript"/>
          <w:lang w:val="pt-PT"/>
        </w:rPr>
        <w:t>o</w:t>
      </w:r>
      <w:proofErr w:type="spellEnd"/>
      <w:r w:rsidRPr="00465964">
        <w:rPr>
          <w:lang w:val="pt-PT"/>
        </w:rPr>
        <w:t> 1, aos pontos únicos de contacto dos Estados-Membros de acolhimento, à ESMA e à EBA.</w:t>
      </w:r>
    </w:p>
    <w:p w14:paraId="7829747A" w14:textId="77777777" w:rsidR="00465964" w:rsidRPr="00465964" w:rsidRDefault="00465964" w:rsidP="00465964">
      <w:pPr>
        <w:rPr>
          <w:lang w:val="pt-PT"/>
        </w:rPr>
      </w:pPr>
      <w:r w:rsidRPr="00465964">
        <w:rPr>
          <w:lang w:val="pt-PT"/>
        </w:rPr>
        <w:t xml:space="preserve">3.   A autoridade competente do Estado-Membro que concedeu a autorização informa sem demora o prestador de serviços de criptoativos em questão da comunicação a que se refere o </w:t>
      </w:r>
      <w:proofErr w:type="spellStart"/>
      <w:r w:rsidRPr="00465964">
        <w:rPr>
          <w:lang w:val="pt-PT"/>
        </w:rPr>
        <w:t>n.</w:t>
      </w:r>
      <w:r w:rsidRPr="00465964">
        <w:rPr>
          <w:vertAlign w:val="superscript"/>
          <w:lang w:val="pt-PT"/>
        </w:rPr>
        <w:t>o</w:t>
      </w:r>
      <w:proofErr w:type="spellEnd"/>
      <w:r w:rsidRPr="00465964">
        <w:rPr>
          <w:lang w:val="pt-PT"/>
        </w:rPr>
        <w:t> 2.</w:t>
      </w:r>
    </w:p>
    <w:p w14:paraId="69665811" w14:textId="77777777" w:rsidR="00465964" w:rsidRPr="00465964" w:rsidRDefault="00465964" w:rsidP="00465964">
      <w:pPr>
        <w:rPr>
          <w:lang w:val="pt-PT"/>
        </w:rPr>
      </w:pPr>
      <w:r w:rsidRPr="00465964">
        <w:rPr>
          <w:lang w:val="pt-PT"/>
        </w:rPr>
        <w:t xml:space="preserve">4.   O prestador de serviços de criptoativos pode começar a prestar serviços de criptoativos num Estado-Membro que não seja o seu Estado-Membro de origem a partir da data de receção da comunicação a que se refere o </w:t>
      </w:r>
      <w:proofErr w:type="spellStart"/>
      <w:r w:rsidRPr="00465964">
        <w:rPr>
          <w:lang w:val="pt-PT"/>
        </w:rPr>
        <w:t>n.</w:t>
      </w:r>
      <w:r w:rsidRPr="00465964">
        <w:rPr>
          <w:vertAlign w:val="superscript"/>
          <w:lang w:val="pt-PT"/>
        </w:rPr>
        <w:t>o</w:t>
      </w:r>
      <w:proofErr w:type="spellEnd"/>
      <w:r w:rsidRPr="00465964">
        <w:rPr>
          <w:lang w:val="pt-PT"/>
        </w:rPr>
        <w:t xml:space="preserve"> 3 ou o mais tardar a partir do décimo quinto dia de calendário após a apresentação das informações a que se refere o </w:t>
      </w:r>
      <w:proofErr w:type="spellStart"/>
      <w:r w:rsidRPr="00465964">
        <w:rPr>
          <w:lang w:val="pt-PT"/>
        </w:rPr>
        <w:t>n.</w:t>
      </w:r>
      <w:r w:rsidRPr="00465964">
        <w:rPr>
          <w:vertAlign w:val="superscript"/>
          <w:lang w:val="pt-PT"/>
        </w:rPr>
        <w:t>o</w:t>
      </w:r>
      <w:proofErr w:type="spellEnd"/>
      <w:r w:rsidRPr="00465964">
        <w:rPr>
          <w:lang w:val="pt-PT"/>
        </w:rPr>
        <w:t> 1.</w:t>
      </w:r>
    </w:p>
    <w:p w14:paraId="164D65CF" w14:textId="77777777" w:rsidR="00465964" w:rsidRPr="00465964" w:rsidRDefault="00465964" w:rsidP="00465964">
      <w:pPr>
        <w:rPr>
          <w:b/>
          <w:bCs/>
          <w:lang w:val="pt-PT"/>
        </w:rPr>
      </w:pPr>
      <w:r w:rsidRPr="00465964">
        <w:rPr>
          <w:b/>
          <w:bCs/>
          <w:i/>
          <w:iCs/>
          <w:lang w:val="pt-PT"/>
        </w:rPr>
        <w:t>CAPÍTULO 2</w:t>
      </w:r>
    </w:p>
    <w:p w14:paraId="324783AD" w14:textId="77777777" w:rsidR="00465964" w:rsidRPr="00465964" w:rsidRDefault="00465964" w:rsidP="00465964">
      <w:pPr>
        <w:rPr>
          <w:b/>
          <w:bCs/>
          <w:lang w:val="pt-PT"/>
        </w:rPr>
      </w:pPr>
      <w:r w:rsidRPr="00465964">
        <w:rPr>
          <w:b/>
          <w:bCs/>
          <w:i/>
          <w:iCs/>
          <w:lang w:val="pt-PT"/>
        </w:rPr>
        <w:t>Obrigação para todos os prestadores de serviços de criptoativos</w:t>
      </w:r>
    </w:p>
    <w:p w14:paraId="7C9356A4" w14:textId="77777777" w:rsidR="00465964" w:rsidRPr="00465964" w:rsidRDefault="00465964" w:rsidP="00465964">
      <w:pPr>
        <w:rPr>
          <w:i/>
          <w:iCs/>
          <w:lang w:val="pt-PT"/>
        </w:rPr>
      </w:pPr>
      <w:r w:rsidRPr="00465964">
        <w:rPr>
          <w:i/>
          <w:iCs/>
          <w:lang w:val="pt-PT"/>
        </w:rPr>
        <w:t>Artigo 66.</w:t>
      </w:r>
      <w:r w:rsidRPr="00465964">
        <w:rPr>
          <w:i/>
          <w:iCs/>
          <w:vertAlign w:val="superscript"/>
          <w:lang w:val="pt-PT"/>
        </w:rPr>
        <w:t>o</w:t>
      </w:r>
    </w:p>
    <w:p w14:paraId="3B6FC6C4" w14:textId="77777777" w:rsidR="00465964" w:rsidRPr="00465964" w:rsidRDefault="00465964" w:rsidP="00465964">
      <w:pPr>
        <w:rPr>
          <w:b/>
          <w:bCs/>
          <w:lang w:val="pt-PT"/>
        </w:rPr>
      </w:pPr>
      <w:r w:rsidRPr="00465964">
        <w:rPr>
          <w:b/>
          <w:bCs/>
          <w:lang w:val="pt-PT"/>
        </w:rPr>
        <w:t>Dever de atuar com honestidade, lealdade e profissionalismo no melhor interesse dos clientes</w:t>
      </w:r>
    </w:p>
    <w:p w14:paraId="4A292A57" w14:textId="77777777" w:rsidR="00465964" w:rsidRPr="00465964" w:rsidRDefault="00465964" w:rsidP="00465964">
      <w:pPr>
        <w:rPr>
          <w:lang w:val="pt-PT"/>
        </w:rPr>
      </w:pPr>
      <w:r w:rsidRPr="00465964">
        <w:rPr>
          <w:lang w:val="pt-PT"/>
        </w:rPr>
        <w:t>1.   Os prestadores de serviços de criptoativos devem agir com honestidade, lealdade e profissionalismo, no melhor interesse dos seus clientes e potenciais clientes.</w:t>
      </w:r>
    </w:p>
    <w:p w14:paraId="284A1CFB" w14:textId="77777777" w:rsidR="00465964" w:rsidRPr="00465964" w:rsidRDefault="00465964" w:rsidP="00465964">
      <w:pPr>
        <w:rPr>
          <w:lang w:val="pt-PT"/>
        </w:rPr>
      </w:pPr>
      <w:r w:rsidRPr="00465964">
        <w:rPr>
          <w:lang w:val="pt-PT"/>
        </w:rPr>
        <w:t>2.   Os prestadores de serviços de criptoativos devem facultar aos respetivos clientes informações corretas, claras e que não induzam em erro, nomeadamente nas comunicações comerciais, que devem ser identificadas como tal. Os prestadores de serviços de criptoativos não devem, de forma deliberada ou negligente, induzir em erro um cliente no que diz respeito às vantagens efetivas ou presumíveis de quaisquer criptoativos.</w:t>
      </w:r>
    </w:p>
    <w:p w14:paraId="3E4686B3" w14:textId="77777777" w:rsidR="00465964" w:rsidRPr="00465964" w:rsidRDefault="00465964" w:rsidP="00465964">
      <w:pPr>
        <w:rPr>
          <w:lang w:val="pt-PT"/>
        </w:rPr>
      </w:pPr>
      <w:r w:rsidRPr="00465964">
        <w:rPr>
          <w:lang w:val="pt-PT"/>
        </w:rPr>
        <w:t>3.   Os prestadores de serviços de criptoativos devem alertar os clientes sobre os riscos inerentes às transações de criptoativos.</w:t>
      </w:r>
    </w:p>
    <w:p w14:paraId="32AA5FBD" w14:textId="77777777" w:rsidR="00465964" w:rsidRPr="00465964" w:rsidRDefault="00465964" w:rsidP="00465964">
      <w:pPr>
        <w:rPr>
          <w:lang w:val="pt-PT"/>
        </w:rPr>
      </w:pPr>
      <w:r w:rsidRPr="00465964">
        <w:rPr>
          <w:lang w:val="pt-PT"/>
        </w:rPr>
        <w:t>Sempre que operem uma plataforma de negociação de criptoativos, troquem criptoativos por fundos ou por outros criptoativos, prestem consultoria sobre criptoativos ou serviços de gestão de carteiras de criptoativos, os prestadores de serviços de criptoativos fornecem aos seus clientes hiperligações para os livretes do criptoativo relativos aos criptoativos em relação aos quais prestam esses serviços.</w:t>
      </w:r>
    </w:p>
    <w:p w14:paraId="4D279FEA" w14:textId="77777777" w:rsidR="00465964" w:rsidRPr="00465964" w:rsidRDefault="00465964" w:rsidP="00465964">
      <w:pPr>
        <w:rPr>
          <w:lang w:val="pt-PT"/>
        </w:rPr>
      </w:pPr>
      <w:r w:rsidRPr="00465964">
        <w:rPr>
          <w:lang w:val="pt-PT"/>
        </w:rPr>
        <w:t>4.   Os prestadores de serviços de criptoativos disponibilizam ao público as suas políticas de preços, custos e comissões, através da publicação em linha num lugar de destaque do seu sítio Web.</w:t>
      </w:r>
    </w:p>
    <w:p w14:paraId="042EAE13" w14:textId="77777777" w:rsidR="00465964" w:rsidRPr="00465964" w:rsidRDefault="00465964" w:rsidP="00465964">
      <w:pPr>
        <w:rPr>
          <w:lang w:val="pt-PT"/>
        </w:rPr>
      </w:pPr>
      <w:r w:rsidRPr="00465964">
        <w:rPr>
          <w:lang w:val="pt-PT"/>
        </w:rPr>
        <w:lastRenderedPageBreak/>
        <w:t>5.   Os prestadores de serviços de criptoativos disponibilizam ao público, num lugar de destaque no seu sítio Web, informação relacionadas com os principais impactos negativos no clima e outros impactos negativos relacionados com o ambiente do mecanismo de consenso utilizado para emitir cada criptoativo em relação ao qual prestem serviços. Essa informação pode ser obtida a partir dos livretes do criptoativo.</w:t>
      </w:r>
    </w:p>
    <w:p w14:paraId="0DD8CF1F" w14:textId="77777777" w:rsidR="00465964" w:rsidRPr="00465964" w:rsidRDefault="00465964" w:rsidP="00465964">
      <w:pPr>
        <w:rPr>
          <w:lang w:val="pt-PT"/>
        </w:rPr>
      </w:pPr>
      <w:r w:rsidRPr="00465964">
        <w:rPr>
          <w:lang w:val="pt-PT"/>
        </w:rPr>
        <w:t xml:space="preserve">6.   A ESMA, em cooperação com a EBA, elabora projetos de normas técnicas de regulamentação sobre o conteúdo, as metodologias e a apresentação das informações a que se refere o </w:t>
      </w:r>
      <w:proofErr w:type="spellStart"/>
      <w:r w:rsidRPr="00465964">
        <w:rPr>
          <w:lang w:val="pt-PT"/>
        </w:rPr>
        <w:t>n.</w:t>
      </w:r>
      <w:r w:rsidRPr="00465964">
        <w:rPr>
          <w:vertAlign w:val="superscript"/>
          <w:lang w:val="pt-PT"/>
        </w:rPr>
        <w:t>o</w:t>
      </w:r>
      <w:proofErr w:type="spellEnd"/>
      <w:r w:rsidRPr="00465964">
        <w:rPr>
          <w:lang w:val="pt-PT"/>
        </w:rPr>
        <w:t> 5 no que diz respeito aos indicadores de sustentabilidade relacionados com os impactos negativos no clima e outros impactos negativos relacionados com o ambiente.</w:t>
      </w:r>
    </w:p>
    <w:p w14:paraId="518E7EED" w14:textId="77777777" w:rsidR="00465964" w:rsidRPr="00465964" w:rsidRDefault="00465964" w:rsidP="00465964">
      <w:pPr>
        <w:rPr>
          <w:lang w:val="pt-PT"/>
        </w:rPr>
      </w:pPr>
      <w:r w:rsidRPr="00465964">
        <w:rPr>
          <w:lang w:val="pt-PT"/>
        </w:rPr>
        <w:t>Ao elaborar os projetos de normas técnicas de regulamentação a que se refere o primeiro parágrafo, a ESMA tem em conta os vários tipos de mecanismos de consenso utilizados para validar as transações de criptoativos, as suas estruturas de incentivo e a utilização de energia, energias renováveis e recursos naturais, bem como a produção de resíduos e as emissões de gases com efeito de estufa. A ESMA atualiza as normas técnicas de regulamentação à luz da evolução regulamentar e tecnológica.</w:t>
      </w:r>
    </w:p>
    <w:p w14:paraId="62A81972" w14:textId="77777777" w:rsidR="00465964" w:rsidRPr="00465964" w:rsidRDefault="00465964" w:rsidP="00465964">
      <w:pPr>
        <w:rPr>
          <w:lang w:val="pt-PT"/>
        </w:rPr>
      </w:pPr>
      <w:r w:rsidRPr="00465964">
        <w:rPr>
          <w:lang w:val="pt-PT"/>
        </w:rPr>
        <w:t>A ESMA apresenta à Comissão os projetos de normas técnicas de regulamentação referidos no primeiro parágrafo até 30 de junho de 2024.</w:t>
      </w:r>
    </w:p>
    <w:p w14:paraId="65E511F7" w14:textId="77777777" w:rsidR="00465964" w:rsidRPr="00465964" w:rsidRDefault="00465964" w:rsidP="00465964">
      <w:pPr>
        <w:rPr>
          <w:lang w:val="pt-PT"/>
        </w:rPr>
      </w:pPr>
      <w:r w:rsidRPr="00465964">
        <w:rPr>
          <w:lang w:val="pt-PT"/>
        </w:rPr>
        <w:t>É delegado na Comissão o poder de completar o presente regulamento através da adoção das normas técnicas de regulamentação a que se refere o primeiro parágrafo do presente número em conformidade com os artigos 10.</w:t>
      </w:r>
      <w:r w:rsidRPr="00465964">
        <w:rPr>
          <w:vertAlign w:val="superscript"/>
          <w:lang w:val="pt-PT"/>
        </w:rPr>
        <w:t>o</w:t>
      </w:r>
      <w:r w:rsidRPr="00465964">
        <w:rPr>
          <w:lang w:val="pt-PT"/>
        </w:rPr>
        <w:t> a 14.</w:t>
      </w:r>
      <w:r w:rsidRPr="00465964">
        <w:rPr>
          <w:vertAlign w:val="superscript"/>
          <w:lang w:val="pt-PT"/>
        </w:rPr>
        <w:t>o</w:t>
      </w:r>
      <w:r w:rsidRPr="00465964">
        <w:rPr>
          <w:lang w:val="pt-PT"/>
        </w:rPr>
        <w:t xml:space="preserve"> do Regulamento (UE) </w:t>
      </w:r>
      <w:proofErr w:type="spellStart"/>
      <w:r w:rsidRPr="00465964">
        <w:rPr>
          <w:lang w:val="pt-PT"/>
        </w:rPr>
        <w:t>n.</w:t>
      </w:r>
      <w:r w:rsidRPr="00465964">
        <w:rPr>
          <w:vertAlign w:val="superscript"/>
          <w:lang w:val="pt-PT"/>
        </w:rPr>
        <w:t>o</w:t>
      </w:r>
      <w:proofErr w:type="spellEnd"/>
      <w:r w:rsidRPr="00465964">
        <w:rPr>
          <w:lang w:val="pt-PT"/>
        </w:rPr>
        <w:t> 1095/2010.</w:t>
      </w:r>
    </w:p>
    <w:p w14:paraId="1FEF0B9F" w14:textId="77777777" w:rsidR="00465964" w:rsidRPr="00465964" w:rsidRDefault="00465964" w:rsidP="00465964">
      <w:pPr>
        <w:rPr>
          <w:i/>
          <w:iCs/>
          <w:lang w:val="pt-PT"/>
        </w:rPr>
      </w:pPr>
      <w:r w:rsidRPr="00465964">
        <w:rPr>
          <w:i/>
          <w:iCs/>
          <w:lang w:val="pt-PT"/>
        </w:rPr>
        <w:t>Artigo 67.</w:t>
      </w:r>
      <w:r w:rsidRPr="00465964">
        <w:rPr>
          <w:i/>
          <w:iCs/>
          <w:vertAlign w:val="superscript"/>
          <w:lang w:val="pt-PT"/>
        </w:rPr>
        <w:t>o</w:t>
      </w:r>
    </w:p>
    <w:p w14:paraId="309D92E7" w14:textId="77777777" w:rsidR="00465964" w:rsidRPr="00465964" w:rsidRDefault="00465964" w:rsidP="00465964">
      <w:pPr>
        <w:rPr>
          <w:b/>
          <w:bCs/>
          <w:lang w:val="pt-PT"/>
        </w:rPr>
      </w:pPr>
      <w:r w:rsidRPr="00465964">
        <w:rPr>
          <w:b/>
          <w:bCs/>
          <w:lang w:val="pt-PT"/>
        </w:rPr>
        <w:t>Requisitos prudenciais</w:t>
      </w:r>
    </w:p>
    <w:p w14:paraId="28196DFA" w14:textId="77777777" w:rsidR="00465964" w:rsidRPr="00465964" w:rsidRDefault="00465964" w:rsidP="00465964">
      <w:pPr>
        <w:rPr>
          <w:lang w:val="pt-PT"/>
        </w:rPr>
      </w:pPr>
      <w:r w:rsidRPr="00465964">
        <w:rPr>
          <w:lang w:val="pt-PT"/>
        </w:rPr>
        <w:t>1.   Os prestadores de serviços de criptoativos devem, a todo o tempo, dispor de garantias prudenciais que equivalham, pelo menos, ao montante mais elevado dos dois seguintes:</w:t>
      </w:r>
    </w:p>
    <w:tbl>
      <w:tblPr>
        <w:tblW w:w="5000" w:type="pct"/>
        <w:tblCellMar>
          <w:left w:w="0" w:type="dxa"/>
          <w:right w:w="0" w:type="dxa"/>
        </w:tblCellMar>
        <w:tblLook w:val="04A0" w:firstRow="1" w:lastRow="0" w:firstColumn="1" w:lastColumn="0" w:noHBand="0" w:noVBand="1"/>
      </w:tblPr>
      <w:tblGrid>
        <w:gridCol w:w="182"/>
        <w:gridCol w:w="8844"/>
      </w:tblGrid>
      <w:tr w:rsidR="00465964" w:rsidRPr="00465964" w14:paraId="303F9EEF" w14:textId="77777777" w:rsidTr="00465964">
        <w:tc>
          <w:tcPr>
            <w:tcW w:w="0" w:type="auto"/>
            <w:shd w:val="clear" w:color="auto" w:fill="auto"/>
            <w:hideMark/>
          </w:tcPr>
          <w:p w14:paraId="729CE34A" w14:textId="77777777" w:rsidR="00465964" w:rsidRPr="00465964" w:rsidRDefault="00465964" w:rsidP="00465964">
            <w:r w:rsidRPr="00465964">
              <w:t>a)</w:t>
            </w:r>
          </w:p>
        </w:tc>
        <w:tc>
          <w:tcPr>
            <w:tcW w:w="0" w:type="auto"/>
            <w:shd w:val="clear" w:color="auto" w:fill="auto"/>
            <w:hideMark/>
          </w:tcPr>
          <w:p w14:paraId="07C87510" w14:textId="77777777" w:rsidR="00465964" w:rsidRPr="00465964" w:rsidRDefault="00465964" w:rsidP="00465964">
            <w:pPr>
              <w:rPr>
                <w:lang w:val="pt-PT"/>
              </w:rPr>
            </w:pPr>
            <w:r w:rsidRPr="00465964">
              <w:rPr>
                <w:lang w:val="pt-PT"/>
              </w:rPr>
              <w:t>O montante dos requisitos de capital mínimo permanente indicados no anexo IV, dependendo do tipo de serviços de criptoativos prestados;</w:t>
            </w:r>
          </w:p>
        </w:tc>
      </w:tr>
    </w:tbl>
    <w:p w14:paraId="13C1128A"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221"/>
        <w:gridCol w:w="8805"/>
      </w:tblGrid>
      <w:tr w:rsidR="00465964" w:rsidRPr="00465964" w14:paraId="14893424" w14:textId="77777777" w:rsidTr="00465964">
        <w:tc>
          <w:tcPr>
            <w:tcW w:w="0" w:type="auto"/>
            <w:shd w:val="clear" w:color="auto" w:fill="auto"/>
            <w:hideMark/>
          </w:tcPr>
          <w:p w14:paraId="70F0F832" w14:textId="77777777" w:rsidR="00465964" w:rsidRPr="00465964" w:rsidRDefault="00465964" w:rsidP="00465964">
            <w:r w:rsidRPr="00465964">
              <w:t>b)</w:t>
            </w:r>
          </w:p>
        </w:tc>
        <w:tc>
          <w:tcPr>
            <w:tcW w:w="0" w:type="auto"/>
            <w:shd w:val="clear" w:color="auto" w:fill="auto"/>
            <w:hideMark/>
          </w:tcPr>
          <w:p w14:paraId="676E7B9D" w14:textId="77777777" w:rsidR="00465964" w:rsidRPr="00465964" w:rsidRDefault="00465964" w:rsidP="00465964">
            <w:pPr>
              <w:rPr>
                <w:lang w:val="pt-PT"/>
              </w:rPr>
            </w:pPr>
            <w:r w:rsidRPr="00465964">
              <w:rPr>
                <w:lang w:val="pt-PT"/>
              </w:rPr>
              <w:t>Um quarto das despesas gerais fixas do exercício anterior, revistas anualmente.</w:t>
            </w:r>
          </w:p>
        </w:tc>
      </w:tr>
    </w:tbl>
    <w:p w14:paraId="6EA21773" w14:textId="77777777" w:rsidR="00465964" w:rsidRPr="00465964" w:rsidRDefault="00465964" w:rsidP="00465964">
      <w:pPr>
        <w:rPr>
          <w:lang w:val="pt-PT"/>
        </w:rPr>
      </w:pPr>
      <w:r w:rsidRPr="00465964">
        <w:rPr>
          <w:lang w:val="pt-PT"/>
        </w:rPr>
        <w:t xml:space="preserve">2.   Os prestadores de serviços de criptoativos que não tenham exercido atividade durante um ano a contar da data em que começaram a prestação de serviços devem utilizar, para o cálculo a que se refere o </w:t>
      </w:r>
      <w:proofErr w:type="spellStart"/>
      <w:r w:rsidRPr="00465964">
        <w:rPr>
          <w:lang w:val="pt-PT"/>
        </w:rPr>
        <w:t>n.</w:t>
      </w:r>
      <w:r w:rsidRPr="00465964">
        <w:rPr>
          <w:vertAlign w:val="superscript"/>
          <w:lang w:val="pt-PT"/>
        </w:rPr>
        <w:t>o</w:t>
      </w:r>
      <w:proofErr w:type="spellEnd"/>
      <w:r w:rsidRPr="00465964">
        <w:rPr>
          <w:lang w:val="pt-PT"/>
        </w:rPr>
        <w:t> 1, alínea b), as despesas gerais fixas previstas incluídas nas suas projeções para os primeiros 12 meses de prestação de serviços, tal como apresentadas no seu pedido de autorização.</w:t>
      </w:r>
    </w:p>
    <w:p w14:paraId="5B6A96D4" w14:textId="77777777" w:rsidR="00465964" w:rsidRPr="00465964" w:rsidRDefault="00465964" w:rsidP="00465964">
      <w:pPr>
        <w:rPr>
          <w:lang w:val="pt-PT"/>
        </w:rPr>
      </w:pPr>
      <w:r w:rsidRPr="00465964">
        <w:rPr>
          <w:lang w:val="pt-PT"/>
        </w:rPr>
        <w:t xml:space="preserve">3.   Para efeitos do </w:t>
      </w:r>
      <w:proofErr w:type="spellStart"/>
      <w:r w:rsidRPr="00465964">
        <w:rPr>
          <w:lang w:val="pt-PT"/>
        </w:rPr>
        <w:t>n.</w:t>
      </w:r>
      <w:r w:rsidRPr="00465964">
        <w:rPr>
          <w:vertAlign w:val="superscript"/>
          <w:lang w:val="pt-PT"/>
        </w:rPr>
        <w:t>o</w:t>
      </w:r>
      <w:proofErr w:type="spellEnd"/>
      <w:r w:rsidRPr="00465964">
        <w:rPr>
          <w:lang w:val="pt-PT"/>
        </w:rPr>
        <w:t> 1, alínea b), os prestadores de serviços de criptoativos devem calcular as suas despesas gerais fixas do ano anterior utilizando valores resultantes do regime contabilístico aplicável, mediante a dedução das seguintes rubricas das despesas totais, após a distribuição dos lucros aos acionistas ou sócios constantes das suas mais recentes demonstrações financeiras anuais auditadas ou, quando as demonstrações auditadas não estiverem disponíveis, das demonstrações financeiras anuais validadas pelos supervisores nacionais:</w:t>
      </w:r>
    </w:p>
    <w:tbl>
      <w:tblPr>
        <w:tblW w:w="5000" w:type="pct"/>
        <w:tblCellMar>
          <w:left w:w="0" w:type="dxa"/>
          <w:right w:w="0" w:type="dxa"/>
        </w:tblCellMar>
        <w:tblLook w:val="04A0" w:firstRow="1" w:lastRow="0" w:firstColumn="1" w:lastColumn="0" w:noHBand="0" w:noVBand="1"/>
      </w:tblPr>
      <w:tblGrid>
        <w:gridCol w:w="182"/>
        <w:gridCol w:w="8844"/>
      </w:tblGrid>
      <w:tr w:rsidR="00465964" w:rsidRPr="00465964" w14:paraId="01C50FFE" w14:textId="77777777" w:rsidTr="00465964">
        <w:tc>
          <w:tcPr>
            <w:tcW w:w="0" w:type="auto"/>
            <w:shd w:val="clear" w:color="auto" w:fill="auto"/>
            <w:hideMark/>
          </w:tcPr>
          <w:p w14:paraId="23292D31" w14:textId="77777777" w:rsidR="00465964" w:rsidRPr="00465964" w:rsidRDefault="00465964" w:rsidP="00465964">
            <w:r w:rsidRPr="00465964">
              <w:lastRenderedPageBreak/>
              <w:t>a)</w:t>
            </w:r>
          </w:p>
        </w:tc>
        <w:tc>
          <w:tcPr>
            <w:tcW w:w="0" w:type="auto"/>
            <w:shd w:val="clear" w:color="auto" w:fill="auto"/>
            <w:hideMark/>
          </w:tcPr>
          <w:p w14:paraId="7DB77309" w14:textId="77777777" w:rsidR="00465964" w:rsidRPr="00465964" w:rsidRDefault="00465964" w:rsidP="00465964">
            <w:pPr>
              <w:rPr>
                <w:lang w:val="pt-PT"/>
              </w:rPr>
            </w:pPr>
            <w:r w:rsidRPr="00465964">
              <w:rPr>
                <w:lang w:val="pt-PT"/>
              </w:rPr>
              <w:t>Bónus e outra remuneração do pessoal, na medida em que dependam de um lucro líquido dos prestadores de serviços de criptoativos no ano em causa;</w:t>
            </w:r>
          </w:p>
        </w:tc>
      </w:tr>
    </w:tbl>
    <w:p w14:paraId="00033029"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212"/>
        <w:gridCol w:w="8814"/>
      </w:tblGrid>
      <w:tr w:rsidR="00465964" w:rsidRPr="00465964" w14:paraId="5A79FCA8" w14:textId="77777777" w:rsidTr="00465964">
        <w:tc>
          <w:tcPr>
            <w:tcW w:w="0" w:type="auto"/>
            <w:shd w:val="clear" w:color="auto" w:fill="auto"/>
            <w:hideMark/>
          </w:tcPr>
          <w:p w14:paraId="155B40CF" w14:textId="77777777" w:rsidR="00465964" w:rsidRPr="00465964" w:rsidRDefault="00465964" w:rsidP="00465964">
            <w:r w:rsidRPr="00465964">
              <w:t>b)</w:t>
            </w:r>
          </w:p>
        </w:tc>
        <w:tc>
          <w:tcPr>
            <w:tcW w:w="0" w:type="auto"/>
            <w:shd w:val="clear" w:color="auto" w:fill="auto"/>
            <w:hideMark/>
          </w:tcPr>
          <w:p w14:paraId="68D1FA3E" w14:textId="77777777" w:rsidR="00465964" w:rsidRPr="00465964" w:rsidRDefault="00465964" w:rsidP="00465964">
            <w:pPr>
              <w:rPr>
                <w:lang w:val="pt-PT"/>
              </w:rPr>
            </w:pPr>
            <w:r w:rsidRPr="00465964">
              <w:rPr>
                <w:lang w:val="pt-PT"/>
              </w:rPr>
              <w:t>Participações dos trabalhadores, titulares de cargos dirigentes e sócios nos lucros;</w:t>
            </w:r>
          </w:p>
        </w:tc>
      </w:tr>
    </w:tbl>
    <w:p w14:paraId="14DE9499"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0"/>
        <w:gridCol w:w="8846"/>
      </w:tblGrid>
      <w:tr w:rsidR="00465964" w:rsidRPr="00465964" w14:paraId="6EEC869E" w14:textId="77777777" w:rsidTr="00465964">
        <w:tc>
          <w:tcPr>
            <w:tcW w:w="0" w:type="auto"/>
            <w:shd w:val="clear" w:color="auto" w:fill="auto"/>
            <w:hideMark/>
          </w:tcPr>
          <w:p w14:paraId="39F763B6" w14:textId="77777777" w:rsidR="00465964" w:rsidRPr="00465964" w:rsidRDefault="00465964" w:rsidP="00465964">
            <w:r w:rsidRPr="00465964">
              <w:t>c)</w:t>
            </w:r>
          </w:p>
        </w:tc>
        <w:tc>
          <w:tcPr>
            <w:tcW w:w="0" w:type="auto"/>
            <w:shd w:val="clear" w:color="auto" w:fill="auto"/>
            <w:hideMark/>
          </w:tcPr>
          <w:p w14:paraId="62B90472" w14:textId="77777777" w:rsidR="00465964" w:rsidRPr="00465964" w:rsidRDefault="00465964" w:rsidP="00465964">
            <w:pPr>
              <w:rPr>
                <w:lang w:val="pt-PT"/>
              </w:rPr>
            </w:pPr>
            <w:r w:rsidRPr="00465964">
              <w:rPr>
                <w:lang w:val="pt-PT"/>
              </w:rPr>
              <w:t>Outras rubricas de lucros e outra remuneração variável, na medida em que sejam totalmente discricionárias;</w:t>
            </w:r>
          </w:p>
        </w:tc>
      </w:tr>
    </w:tbl>
    <w:p w14:paraId="02F5493F"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351"/>
        <w:gridCol w:w="8675"/>
      </w:tblGrid>
      <w:tr w:rsidR="00465964" w:rsidRPr="00465964" w14:paraId="00FA7EB8" w14:textId="77777777" w:rsidTr="00465964">
        <w:tc>
          <w:tcPr>
            <w:tcW w:w="0" w:type="auto"/>
            <w:shd w:val="clear" w:color="auto" w:fill="auto"/>
            <w:hideMark/>
          </w:tcPr>
          <w:p w14:paraId="1707B474" w14:textId="77777777" w:rsidR="00465964" w:rsidRPr="00465964" w:rsidRDefault="00465964" w:rsidP="00465964">
            <w:r w:rsidRPr="00465964">
              <w:t>d)</w:t>
            </w:r>
          </w:p>
        </w:tc>
        <w:tc>
          <w:tcPr>
            <w:tcW w:w="0" w:type="auto"/>
            <w:shd w:val="clear" w:color="auto" w:fill="auto"/>
            <w:hideMark/>
          </w:tcPr>
          <w:p w14:paraId="1DA29352" w14:textId="77777777" w:rsidR="00465964" w:rsidRPr="00465964" w:rsidRDefault="00465964" w:rsidP="00465964">
            <w:pPr>
              <w:rPr>
                <w:lang w:val="pt-PT"/>
              </w:rPr>
            </w:pPr>
            <w:r w:rsidRPr="00465964">
              <w:rPr>
                <w:lang w:val="pt-PT"/>
              </w:rPr>
              <w:t>Despesas pontuais de atividades extraordinárias.</w:t>
            </w:r>
          </w:p>
        </w:tc>
      </w:tr>
    </w:tbl>
    <w:p w14:paraId="24DC08BA" w14:textId="77777777" w:rsidR="00465964" w:rsidRPr="00465964" w:rsidRDefault="00465964" w:rsidP="00465964">
      <w:pPr>
        <w:rPr>
          <w:lang w:val="pt-PT"/>
        </w:rPr>
      </w:pPr>
      <w:r w:rsidRPr="00465964">
        <w:rPr>
          <w:lang w:val="pt-PT"/>
        </w:rPr>
        <w:t xml:space="preserve">4.   As garantias prudenciais mencionadas no </w:t>
      </w:r>
      <w:proofErr w:type="spellStart"/>
      <w:r w:rsidRPr="00465964">
        <w:rPr>
          <w:lang w:val="pt-PT"/>
        </w:rPr>
        <w:t>n.</w:t>
      </w:r>
      <w:r w:rsidRPr="00465964">
        <w:rPr>
          <w:vertAlign w:val="superscript"/>
          <w:lang w:val="pt-PT"/>
        </w:rPr>
        <w:t>o</w:t>
      </w:r>
      <w:proofErr w:type="spellEnd"/>
      <w:r w:rsidRPr="00465964">
        <w:rPr>
          <w:lang w:val="pt-PT"/>
        </w:rPr>
        <w:t> 1 devem assumir uma das seguintes formas ou ser uma combinação das mesmas:</w:t>
      </w:r>
    </w:p>
    <w:tbl>
      <w:tblPr>
        <w:tblW w:w="5000" w:type="pct"/>
        <w:tblCellMar>
          <w:left w:w="0" w:type="dxa"/>
          <w:right w:w="0" w:type="dxa"/>
        </w:tblCellMar>
        <w:tblLook w:val="04A0" w:firstRow="1" w:lastRow="0" w:firstColumn="1" w:lastColumn="0" w:noHBand="0" w:noVBand="1"/>
      </w:tblPr>
      <w:tblGrid>
        <w:gridCol w:w="182"/>
        <w:gridCol w:w="8844"/>
      </w:tblGrid>
      <w:tr w:rsidR="00465964" w:rsidRPr="00465964" w14:paraId="5B19BB9E" w14:textId="77777777" w:rsidTr="00465964">
        <w:tc>
          <w:tcPr>
            <w:tcW w:w="0" w:type="auto"/>
            <w:shd w:val="clear" w:color="auto" w:fill="auto"/>
            <w:hideMark/>
          </w:tcPr>
          <w:p w14:paraId="28477DAC" w14:textId="77777777" w:rsidR="00465964" w:rsidRPr="00465964" w:rsidRDefault="00465964" w:rsidP="00465964">
            <w:r w:rsidRPr="00465964">
              <w:t>a)</w:t>
            </w:r>
          </w:p>
        </w:tc>
        <w:tc>
          <w:tcPr>
            <w:tcW w:w="0" w:type="auto"/>
            <w:shd w:val="clear" w:color="auto" w:fill="auto"/>
            <w:hideMark/>
          </w:tcPr>
          <w:p w14:paraId="59ACF401" w14:textId="77777777" w:rsidR="00465964" w:rsidRPr="00465964" w:rsidRDefault="00465964" w:rsidP="00465964">
            <w:pPr>
              <w:rPr>
                <w:lang w:val="pt-PT"/>
              </w:rPr>
            </w:pPr>
            <w:r w:rsidRPr="00465964">
              <w:rPr>
                <w:lang w:val="pt-PT"/>
              </w:rPr>
              <w:t>Fundos próprios, que consistam nos elementos e instrumentos de fundos próprios principais de nível 1 mencionados nos artigos 26.</w:t>
            </w:r>
            <w:r w:rsidRPr="00465964">
              <w:rPr>
                <w:vertAlign w:val="superscript"/>
                <w:lang w:val="pt-PT"/>
              </w:rPr>
              <w:t>o</w:t>
            </w:r>
            <w:r w:rsidRPr="00465964">
              <w:rPr>
                <w:lang w:val="pt-PT"/>
              </w:rPr>
              <w:t> a 30.</w:t>
            </w:r>
            <w:r w:rsidRPr="00465964">
              <w:rPr>
                <w:vertAlign w:val="superscript"/>
                <w:lang w:val="pt-PT"/>
              </w:rPr>
              <w:t>o</w:t>
            </w:r>
            <w:r w:rsidRPr="00465964">
              <w:rPr>
                <w:lang w:val="pt-PT"/>
              </w:rPr>
              <w:t xml:space="preserve"> do Regulamento (UE) </w:t>
            </w:r>
            <w:proofErr w:type="spellStart"/>
            <w:r w:rsidRPr="00465964">
              <w:rPr>
                <w:lang w:val="pt-PT"/>
              </w:rPr>
              <w:t>n.</w:t>
            </w:r>
            <w:r w:rsidRPr="00465964">
              <w:rPr>
                <w:vertAlign w:val="superscript"/>
                <w:lang w:val="pt-PT"/>
              </w:rPr>
              <w:t>o</w:t>
            </w:r>
            <w:proofErr w:type="spellEnd"/>
            <w:r w:rsidRPr="00465964">
              <w:rPr>
                <w:lang w:val="pt-PT"/>
              </w:rPr>
              <w:t> 575/2013 após as deduções na íntegra, nos termos do artigo 36.</w:t>
            </w:r>
            <w:r w:rsidRPr="00465964">
              <w:rPr>
                <w:vertAlign w:val="superscript"/>
                <w:lang w:val="pt-PT"/>
              </w:rPr>
              <w:t>o</w:t>
            </w:r>
            <w:r w:rsidRPr="00465964">
              <w:rPr>
                <w:lang w:val="pt-PT"/>
              </w:rPr>
              <w:t> do referido regulamento, sem a aplicação dos limiares de isenção por força dos artigos 46.</w:t>
            </w:r>
            <w:r w:rsidRPr="00465964">
              <w:rPr>
                <w:vertAlign w:val="superscript"/>
                <w:lang w:val="pt-PT"/>
              </w:rPr>
              <w:t>o</w:t>
            </w:r>
            <w:r w:rsidRPr="00465964">
              <w:rPr>
                <w:lang w:val="pt-PT"/>
              </w:rPr>
              <w:t> e 48.</w:t>
            </w:r>
            <w:r w:rsidRPr="00465964">
              <w:rPr>
                <w:vertAlign w:val="superscript"/>
                <w:lang w:val="pt-PT"/>
              </w:rPr>
              <w:t>o</w:t>
            </w:r>
            <w:r w:rsidRPr="00465964">
              <w:rPr>
                <w:lang w:val="pt-PT"/>
              </w:rPr>
              <w:t> do referido regulamento;</w:t>
            </w:r>
          </w:p>
        </w:tc>
      </w:tr>
    </w:tbl>
    <w:p w14:paraId="053F781D"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8"/>
        <w:gridCol w:w="8838"/>
      </w:tblGrid>
      <w:tr w:rsidR="00465964" w:rsidRPr="00465964" w14:paraId="27850803" w14:textId="77777777" w:rsidTr="00465964">
        <w:tc>
          <w:tcPr>
            <w:tcW w:w="0" w:type="auto"/>
            <w:shd w:val="clear" w:color="auto" w:fill="auto"/>
            <w:hideMark/>
          </w:tcPr>
          <w:p w14:paraId="6EEFB099" w14:textId="77777777" w:rsidR="00465964" w:rsidRPr="00465964" w:rsidRDefault="00465964" w:rsidP="00465964">
            <w:r w:rsidRPr="00465964">
              <w:t>b)</w:t>
            </w:r>
          </w:p>
        </w:tc>
        <w:tc>
          <w:tcPr>
            <w:tcW w:w="0" w:type="auto"/>
            <w:shd w:val="clear" w:color="auto" w:fill="auto"/>
            <w:hideMark/>
          </w:tcPr>
          <w:p w14:paraId="7C56C308" w14:textId="77777777" w:rsidR="00465964" w:rsidRPr="00465964" w:rsidRDefault="00465964" w:rsidP="00465964">
            <w:pPr>
              <w:rPr>
                <w:lang w:val="pt-PT"/>
              </w:rPr>
            </w:pPr>
            <w:r w:rsidRPr="00465964">
              <w:rPr>
                <w:lang w:val="pt-PT"/>
              </w:rPr>
              <w:t>Uma apólice de seguro que abranja os territórios da União onde os serviços de criptoativos são prestados ou uma garantia equivalente.</w:t>
            </w:r>
          </w:p>
        </w:tc>
      </w:tr>
    </w:tbl>
    <w:p w14:paraId="3591298A" w14:textId="77777777" w:rsidR="00465964" w:rsidRPr="00465964" w:rsidRDefault="00465964" w:rsidP="00465964">
      <w:pPr>
        <w:rPr>
          <w:lang w:val="pt-PT"/>
        </w:rPr>
      </w:pPr>
      <w:r w:rsidRPr="00465964">
        <w:rPr>
          <w:lang w:val="pt-PT"/>
        </w:rPr>
        <w:t xml:space="preserve">5.   A apólice de seguro a que se refere o </w:t>
      </w:r>
      <w:proofErr w:type="spellStart"/>
      <w:r w:rsidRPr="00465964">
        <w:rPr>
          <w:lang w:val="pt-PT"/>
        </w:rPr>
        <w:t>n.</w:t>
      </w:r>
      <w:r w:rsidRPr="00465964">
        <w:rPr>
          <w:vertAlign w:val="superscript"/>
          <w:lang w:val="pt-PT"/>
        </w:rPr>
        <w:t>o</w:t>
      </w:r>
      <w:proofErr w:type="spellEnd"/>
      <w:r w:rsidRPr="00465964">
        <w:rPr>
          <w:lang w:val="pt-PT"/>
        </w:rPr>
        <w:t> 4, alínea b), é divulgada ao público no sítio Web do prestador de serviços de criptoativos e deve ter, pelo menos, as seguintes características:</w:t>
      </w:r>
    </w:p>
    <w:tbl>
      <w:tblPr>
        <w:tblW w:w="5000" w:type="pct"/>
        <w:tblCellMar>
          <w:left w:w="0" w:type="dxa"/>
          <w:right w:w="0" w:type="dxa"/>
        </w:tblCellMar>
        <w:tblLook w:val="04A0" w:firstRow="1" w:lastRow="0" w:firstColumn="1" w:lastColumn="0" w:noHBand="0" w:noVBand="1"/>
      </w:tblPr>
      <w:tblGrid>
        <w:gridCol w:w="358"/>
        <w:gridCol w:w="8668"/>
      </w:tblGrid>
      <w:tr w:rsidR="00465964" w:rsidRPr="00465964" w14:paraId="2637956E" w14:textId="77777777" w:rsidTr="00465964">
        <w:tc>
          <w:tcPr>
            <w:tcW w:w="0" w:type="auto"/>
            <w:shd w:val="clear" w:color="auto" w:fill="auto"/>
            <w:hideMark/>
          </w:tcPr>
          <w:p w14:paraId="1CF373CB" w14:textId="77777777" w:rsidR="00465964" w:rsidRPr="00465964" w:rsidRDefault="00465964" w:rsidP="00465964">
            <w:r w:rsidRPr="00465964">
              <w:t>a)</w:t>
            </w:r>
          </w:p>
        </w:tc>
        <w:tc>
          <w:tcPr>
            <w:tcW w:w="0" w:type="auto"/>
            <w:shd w:val="clear" w:color="auto" w:fill="auto"/>
            <w:hideMark/>
          </w:tcPr>
          <w:p w14:paraId="42ADF25C" w14:textId="77777777" w:rsidR="00465964" w:rsidRPr="00465964" w:rsidRDefault="00465964" w:rsidP="00465964">
            <w:pPr>
              <w:rPr>
                <w:lang w:val="pt-PT"/>
              </w:rPr>
            </w:pPr>
            <w:r w:rsidRPr="00465964">
              <w:rPr>
                <w:lang w:val="pt-PT"/>
              </w:rPr>
              <w:t>Tem uma vigência inicial não inferior a um ano;</w:t>
            </w:r>
          </w:p>
        </w:tc>
      </w:tr>
    </w:tbl>
    <w:p w14:paraId="3D6C66EA"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252"/>
        <w:gridCol w:w="8774"/>
      </w:tblGrid>
      <w:tr w:rsidR="00465964" w:rsidRPr="00465964" w14:paraId="11E04AA0" w14:textId="77777777" w:rsidTr="00465964">
        <w:tc>
          <w:tcPr>
            <w:tcW w:w="0" w:type="auto"/>
            <w:shd w:val="clear" w:color="auto" w:fill="auto"/>
            <w:hideMark/>
          </w:tcPr>
          <w:p w14:paraId="02B50391" w14:textId="77777777" w:rsidR="00465964" w:rsidRPr="00465964" w:rsidRDefault="00465964" w:rsidP="00465964">
            <w:r w:rsidRPr="00465964">
              <w:t>b)</w:t>
            </w:r>
          </w:p>
        </w:tc>
        <w:tc>
          <w:tcPr>
            <w:tcW w:w="0" w:type="auto"/>
            <w:shd w:val="clear" w:color="auto" w:fill="auto"/>
            <w:hideMark/>
          </w:tcPr>
          <w:p w14:paraId="75567C02" w14:textId="77777777" w:rsidR="00465964" w:rsidRPr="00465964" w:rsidRDefault="00465964" w:rsidP="00465964">
            <w:pPr>
              <w:rPr>
                <w:lang w:val="pt-PT"/>
              </w:rPr>
            </w:pPr>
            <w:r w:rsidRPr="00465964">
              <w:rPr>
                <w:lang w:val="pt-PT"/>
              </w:rPr>
              <w:t>O período de pré-aviso mínimo para a respetiva rescisão é de 90 dias;</w:t>
            </w:r>
          </w:p>
        </w:tc>
      </w:tr>
    </w:tbl>
    <w:p w14:paraId="649B83E9"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0"/>
        <w:gridCol w:w="8846"/>
      </w:tblGrid>
      <w:tr w:rsidR="00465964" w:rsidRPr="00465964" w14:paraId="66D479F9" w14:textId="77777777" w:rsidTr="00465964">
        <w:tc>
          <w:tcPr>
            <w:tcW w:w="0" w:type="auto"/>
            <w:shd w:val="clear" w:color="auto" w:fill="auto"/>
            <w:hideMark/>
          </w:tcPr>
          <w:p w14:paraId="3D206CCB" w14:textId="77777777" w:rsidR="00465964" w:rsidRPr="00465964" w:rsidRDefault="00465964" w:rsidP="00465964">
            <w:r w:rsidRPr="00465964">
              <w:t>c)</w:t>
            </w:r>
          </w:p>
        </w:tc>
        <w:tc>
          <w:tcPr>
            <w:tcW w:w="0" w:type="auto"/>
            <w:shd w:val="clear" w:color="auto" w:fill="auto"/>
            <w:hideMark/>
          </w:tcPr>
          <w:p w14:paraId="1FFA77D9" w14:textId="77777777" w:rsidR="00465964" w:rsidRPr="00465964" w:rsidRDefault="00465964" w:rsidP="00465964">
            <w:pPr>
              <w:rPr>
                <w:lang w:val="pt-PT"/>
              </w:rPr>
            </w:pPr>
            <w:r w:rsidRPr="00465964">
              <w:rPr>
                <w:lang w:val="pt-PT"/>
              </w:rPr>
              <w:t>É proveniente de uma empresa autorizada para a prestação de seguros, de acordo com o direito da União ou com o direito nacional;</w:t>
            </w:r>
          </w:p>
        </w:tc>
      </w:tr>
    </w:tbl>
    <w:p w14:paraId="005843DE"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446"/>
        <w:gridCol w:w="8580"/>
      </w:tblGrid>
      <w:tr w:rsidR="00465964" w:rsidRPr="00465964" w14:paraId="5576296B" w14:textId="77777777" w:rsidTr="00465964">
        <w:tc>
          <w:tcPr>
            <w:tcW w:w="0" w:type="auto"/>
            <w:shd w:val="clear" w:color="auto" w:fill="auto"/>
            <w:hideMark/>
          </w:tcPr>
          <w:p w14:paraId="5530392B" w14:textId="77777777" w:rsidR="00465964" w:rsidRPr="00465964" w:rsidRDefault="00465964" w:rsidP="00465964">
            <w:r w:rsidRPr="00465964">
              <w:t>d)</w:t>
            </w:r>
          </w:p>
        </w:tc>
        <w:tc>
          <w:tcPr>
            <w:tcW w:w="0" w:type="auto"/>
            <w:shd w:val="clear" w:color="auto" w:fill="auto"/>
            <w:hideMark/>
          </w:tcPr>
          <w:p w14:paraId="360E1631" w14:textId="77777777" w:rsidR="00465964" w:rsidRPr="00465964" w:rsidRDefault="00465964" w:rsidP="00465964">
            <w:pPr>
              <w:rPr>
                <w:lang w:val="pt-PT"/>
              </w:rPr>
            </w:pPr>
            <w:r w:rsidRPr="00465964">
              <w:rPr>
                <w:lang w:val="pt-PT"/>
              </w:rPr>
              <w:t>É oferecida por uma entidade terceira.</w:t>
            </w:r>
          </w:p>
        </w:tc>
      </w:tr>
    </w:tbl>
    <w:p w14:paraId="311FE2FC" w14:textId="77777777" w:rsidR="00465964" w:rsidRPr="00465964" w:rsidRDefault="00465964" w:rsidP="00465964">
      <w:pPr>
        <w:rPr>
          <w:lang w:val="pt-PT"/>
        </w:rPr>
      </w:pPr>
      <w:r w:rsidRPr="00465964">
        <w:rPr>
          <w:lang w:val="pt-PT"/>
        </w:rPr>
        <w:t xml:space="preserve">6.   A apólice de seguro a que se refere o </w:t>
      </w:r>
      <w:proofErr w:type="spellStart"/>
      <w:r w:rsidRPr="00465964">
        <w:rPr>
          <w:lang w:val="pt-PT"/>
        </w:rPr>
        <w:t>n.</w:t>
      </w:r>
      <w:r w:rsidRPr="00465964">
        <w:rPr>
          <w:vertAlign w:val="superscript"/>
          <w:lang w:val="pt-PT"/>
        </w:rPr>
        <w:t>o</w:t>
      </w:r>
      <w:proofErr w:type="spellEnd"/>
      <w:r w:rsidRPr="00465964">
        <w:rPr>
          <w:lang w:val="pt-PT"/>
        </w:rPr>
        <w:t> 4, alínea b), deve incluir cobertura contra o risco relativo a todas as seguintes alíneas:</w:t>
      </w:r>
    </w:p>
    <w:tbl>
      <w:tblPr>
        <w:tblW w:w="5000" w:type="pct"/>
        <w:tblCellMar>
          <w:left w:w="0" w:type="dxa"/>
          <w:right w:w="0" w:type="dxa"/>
        </w:tblCellMar>
        <w:tblLook w:val="04A0" w:firstRow="1" w:lastRow="0" w:firstColumn="1" w:lastColumn="0" w:noHBand="0" w:noVBand="1"/>
      </w:tblPr>
      <w:tblGrid>
        <w:gridCol w:w="707"/>
        <w:gridCol w:w="8319"/>
      </w:tblGrid>
      <w:tr w:rsidR="00465964" w:rsidRPr="00465964" w14:paraId="73565BF6" w14:textId="77777777" w:rsidTr="00465964">
        <w:tc>
          <w:tcPr>
            <w:tcW w:w="0" w:type="auto"/>
            <w:shd w:val="clear" w:color="auto" w:fill="auto"/>
            <w:hideMark/>
          </w:tcPr>
          <w:p w14:paraId="2F53B3B7" w14:textId="77777777" w:rsidR="00465964" w:rsidRPr="00465964" w:rsidRDefault="00465964" w:rsidP="00465964">
            <w:r w:rsidRPr="00465964">
              <w:t>a)</w:t>
            </w:r>
          </w:p>
        </w:tc>
        <w:tc>
          <w:tcPr>
            <w:tcW w:w="0" w:type="auto"/>
            <w:shd w:val="clear" w:color="auto" w:fill="auto"/>
            <w:hideMark/>
          </w:tcPr>
          <w:p w14:paraId="392248F9" w14:textId="77777777" w:rsidR="00465964" w:rsidRPr="00465964" w:rsidRDefault="00465964" w:rsidP="00465964">
            <w:proofErr w:type="spellStart"/>
            <w:r w:rsidRPr="00465964">
              <w:t>Perda</w:t>
            </w:r>
            <w:proofErr w:type="spellEnd"/>
            <w:r w:rsidRPr="00465964">
              <w:t xml:space="preserve"> de </w:t>
            </w:r>
            <w:proofErr w:type="spellStart"/>
            <w:r w:rsidRPr="00465964">
              <w:t>documentos</w:t>
            </w:r>
            <w:proofErr w:type="spellEnd"/>
            <w:r w:rsidRPr="00465964">
              <w:t>;</w:t>
            </w:r>
          </w:p>
        </w:tc>
      </w:tr>
    </w:tbl>
    <w:p w14:paraId="5312CE99"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303"/>
        <w:gridCol w:w="8723"/>
      </w:tblGrid>
      <w:tr w:rsidR="00465964" w:rsidRPr="00465964" w14:paraId="59BD033C" w14:textId="77777777" w:rsidTr="00465964">
        <w:tc>
          <w:tcPr>
            <w:tcW w:w="0" w:type="auto"/>
            <w:shd w:val="clear" w:color="auto" w:fill="auto"/>
            <w:hideMark/>
          </w:tcPr>
          <w:p w14:paraId="138CA285" w14:textId="77777777" w:rsidR="00465964" w:rsidRPr="00465964" w:rsidRDefault="00465964" w:rsidP="00465964">
            <w:r w:rsidRPr="00465964">
              <w:t>b)</w:t>
            </w:r>
          </w:p>
        </w:tc>
        <w:tc>
          <w:tcPr>
            <w:tcW w:w="0" w:type="auto"/>
            <w:shd w:val="clear" w:color="auto" w:fill="auto"/>
            <w:hideMark/>
          </w:tcPr>
          <w:p w14:paraId="1543811D" w14:textId="77777777" w:rsidR="00465964" w:rsidRPr="00465964" w:rsidRDefault="00465964" w:rsidP="00465964">
            <w:pPr>
              <w:rPr>
                <w:lang w:val="pt-PT"/>
              </w:rPr>
            </w:pPr>
            <w:r w:rsidRPr="00465964">
              <w:rPr>
                <w:lang w:val="pt-PT"/>
              </w:rPr>
              <w:t>Declarações falsas ou declarações que induzam em erro;</w:t>
            </w:r>
          </w:p>
        </w:tc>
      </w:tr>
    </w:tbl>
    <w:p w14:paraId="4331FC7F"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1"/>
        <w:gridCol w:w="8845"/>
      </w:tblGrid>
      <w:tr w:rsidR="00465964" w:rsidRPr="00465964" w14:paraId="14BD5584" w14:textId="77777777" w:rsidTr="00465964">
        <w:tc>
          <w:tcPr>
            <w:tcW w:w="0" w:type="auto"/>
            <w:shd w:val="clear" w:color="auto" w:fill="auto"/>
            <w:hideMark/>
          </w:tcPr>
          <w:p w14:paraId="6FB07CF5" w14:textId="77777777" w:rsidR="00465964" w:rsidRPr="00465964" w:rsidRDefault="00465964" w:rsidP="00465964">
            <w:r w:rsidRPr="00465964">
              <w:t>c)</w:t>
            </w:r>
          </w:p>
        </w:tc>
        <w:tc>
          <w:tcPr>
            <w:tcW w:w="0" w:type="auto"/>
            <w:shd w:val="clear" w:color="auto" w:fill="auto"/>
            <w:hideMark/>
          </w:tcPr>
          <w:p w14:paraId="60B6C7A0" w14:textId="77777777" w:rsidR="00465964" w:rsidRPr="00465964" w:rsidRDefault="00465964" w:rsidP="00465964">
            <w:pPr>
              <w:rPr>
                <w:lang w:val="pt-PT"/>
              </w:rPr>
            </w:pPr>
            <w:r w:rsidRPr="00465964">
              <w:rPr>
                <w:lang w:val="pt-PT"/>
              </w:rPr>
              <w:t>Atos, erros ou omissões de que resulte uma infração:</w:t>
            </w:r>
          </w:p>
          <w:tbl>
            <w:tblPr>
              <w:tblW w:w="5000" w:type="pct"/>
              <w:tblCellMar>
                <w:left w:w="0" w:type="dxa"/>
                <w:right w:w="0" w:type="dxa"/>
              </w:tblCellMar>
              <w:tblLook w:val="04A0" w:firstRow="1" w:lastRow="0" w:firstColumn="1" w:lastColumn="0" w:noHBand="0" w:noVBand="1"/>
            </w:tblPr>
            <w:tblGrid>
              <w:gridCol w:w="272"/>
              <w:gridCol w:w="8573"/>
            </w:tblGrid>
            <w:tr w:rsidR="00465964" w:rsidRPr="00465964" w14:paraId="0212C362" w14:textId="77777777">
              <w:tc>
                <w:tcPr>
                  <w:tcW w:w="0" w:type="auto"/>
                  <w:shd w:val="clear" w:color="auto" w:fill="auto"/>
                  <w:hideMark/>
                </w:tcPr>
                <w:p w14:paraId="5F153272" w14:textId="77777777" w:rsidR="00465964" w:rsidRPr="00465964" w:rsidRDefault="00465964" w:rsidP="00465964">
                  <w:proofErr w:type="spellStart"/>
                  <w:r w:rsidRPr="00465964">
                    <w:t>i</w:t>
                  </w:r>
                  <w:proofErr w:type="spellEnd"/>
                  <w:r w:rsidRPr="00465964">
                    <w:t>)</w:t>
                  </w:r>
                </w:p>
              </w:tc>
              <w:tc>
                <w:tcPr>
                  <w:tcW w:w="0" w:type="auto"/>
                  <w:shd w:val="clear" w:color="auto" w:fill="auto"/>
                  <w:hideMark/>
                </w:tcPr>
                <w:p w14:paraId="4B3D19C7" w14:textId="77777777" w:rsidR="00465964" w:rsidRPr="00465964" w:rsidRDefault="00465964" w:rsidP="00465964">
                  <w:pPr>
                    <w:rPr>
                      <w:lang w:val="pt-PT"/>
                    </w:rPr>
                  </w:pPr>
                  <w:r w:rsidRPr="00465964">
                    <w:rPr>
                      <w:lang w:val="pt-PT"/>
                    </w:rPr>
                    <w:t>de obrigações legais e regulamentares,</w:t>
                  </w:r>
                </w:p>
              </w:tc>
            </w:tr>
          </w:tbl>
          <w:p w14:paraId="24DE4325"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71"/>
              <w:gridCol w:w="8674"/>
            </w:tblGrid>
            <w:tr w:rsidR="00465964" w:rsidRPr="00465964" w14:paraId="0CE45EE7" w14:textId="77777777">
              <w:tc>
                <w:tcPr>
                  <w:tcW w:w="0" w:type="auto"/>
                  <w:shd w:val="clear" w:color="auto" w:fill="auto"/>
                  <w:hideMark/>
                </w:tcPr>
                <w:p w14:paraId="7DC2B34A" w14:textId="77777777" w:rsidR="00465964" w:rsidRPr="00465964" w:rsidRDefault="00465964" w:rsidP="00465964">
                  <w:r w:rsidRPr="00465964">
                    <w:t>ii)</w:t>
                  </w:r>
                </w:p>
              </w:tc>
              <w:tc>
                <w:tcPr>
                  <w:tcW w:w="0" w:type="auto"/>
                  <w:shd w:val="clear" w:color="auto" w:fill="auto"/>
                  <w:hideMark/>
                </w:tcPr>
                <w:p w14:paraId="31650E5A" w14:textId="77777777" w:rsidR="00465964" w:rsidRPr="00465964" w:rsidRDefault="00465964" w:rsidP="00465964">
                  <w:pPr>
                    <w:rPr>
                      <w:lang w:val="pt-PT"/>
                    </w:rPr>
                  </w:pPr>
                  <w:r w:rsidRPr="00465964">
                    <w:rPr>
                      <w:lang w:val="pt-PT"/>
                    </w:rPr>
                    <w:t>do dever de atuar com honestidade, lealdade e profissionalismo para com os seus clientes,</w:t>
                  </w:r>
                </w:p>
              </w:tc>
            </w:tr>
          </w:tbl>
          <w:p w14:paraId="30196CFB"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539"/>
              <w:gridCol w:w="8306"/>
            </w:tblGrid>
            <w:tr w:rsidR="00465964" w:rsidRPr="00465964" w14:paraId="05C2EC64" w14:textId="77777777">
              <w:tc>
                <w:tcPr>
                  <w:tcW w:w="0" w:type="auto"/>
                  <w:shd w:val="clear" w:color="auto" w:fill="auto"/>
                  <w:hideMark/>
                </w:tcPr>
                <w:p w14:paraId="5A76A157" w14:textId="77777777" w:rsidR="00465964" w:rsidRPr="00465964" w:rsidRDefault="00465964" w:rsidP="00465964">
                  <w:r w:rsidRPr="00465964">
                    <w:t>iii)</w:t>
                  </w:r>
                </w:p>
              </w:tc>
              <w:tc>
                <w:tcPr>
                  <w:tcW w:w="0" w:type="auto"/>
                  <w:shd w:val="clear" w:color="auto" w:fill="auto"/>
                  <w:hideMark/>
                </w:tcPr>
                <w:p w14:paraId="14185D60" w14:textId="77777777" w:rsidR="00465964" w:rsidRPr="00465964" w:rsidRDefault="00465964" w:rsidP="00465964">
                  <w:r w:rsidRPr="00465964">
                    <w:t xml:space="preserve">de </w:t>
                  </w:r>
                  <w:proofErr w:type="spellStart"/>
                  <w:r w:rsidRPr="00465964">
                    <w:t>obrigações</w:t>
                  </w:r>
                  <w:proofErr w:type="spellEnd"/>
                  <w:r w:rsidRPr="00465964">
                    <w:t xml:space="preserve"> de </w:t>
                  </w:r>
                  <w:proofErr w:type="spellStart"/>
                  <w:r w:rsidRPr="00465964">
                    <w:t>confidencialidade</w:t>
                  </w:r>
                  <w:proofErr w:type="spellEnd"/>
                  <w:r w:rsidRPr="00465964">
                    <w:t>;</w:t>
                  </w:r>
                </w:p>
              </w:tc>
            </w:tr>
          </w:tbl>
          <w:p w14:paraId="21F37ADE" w14:textId="77777777" w:rsidR="00465964" w:rsidRPr="00465964" w:rsidRDefault="00465964" w:rsidP="00465964"/>
        </w:tc>
      </w:tr>
    </w:tbl>
    <w:p w14:paraId="3E866BA4"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8"/>
        <w:gridCol w:w="8838"/>
      </w:tblGrid>
      <w:tr w:rsidR="00465964" w:rsidRPr="00465964" w14:paraId="7B3092E8" w14:textId="77777777" w:rsidTr="00465964">
        <w:tc>
          <w:tcPr>
            <w:tcW w:w="0" w:type="auto"/>
            <w:shd w:val="clear" w:color="auto" w:fill="auto"/>
            <w:hideMark/>
          </w:tcPr>
          <w:p w14:paraId="45DC3F61" w14:textId="77777777" w:rsidR="00465964" w:rsidRPr="00465964" w:rsidRDefault="00465964" w:rsidP="00465964">
            <w:r w:rsidRPr="00465964">
              <w:t>d)</w:t>
            </w:r>
          </w:p>
        </w:tc>
        <w:tc>
          <w:tcPr>
            <w:tcW w:w="0" w:type="auto"/>
            <w:shd w:val="clear" w:color="auto" w:fill="auto"/>
            <w:hideMark/>
          </w:tcPr>
          <w:p w14:paraId="2D784D0C" w14:textId="77777777" w:rsidR="00465964" w:rsidRPr="00465964" w:rsidRDefault="00465964" w:rsidP="00465964">
            <w:pPr>
              <w:rPr>
                <w:lang w:val="pt-PT"/>
              </w:rPr>
            </w:pPr>
            <w:r w:rsidRPr="00465964">
              <w:rPr>
                <w:lang w:val="pt-PT"/>
              </w:rPr>
              <w:t>Incumprimento da obrigação de estabelecer, aplicar e manter procedimentos adequados para prevenir conflitos de interesses;</w:t>
            </w:r>
          </w:p>
        </w:tc>
      </w:tr>
    </w:tbl>
    <w:p w14:paraId="1180CE69"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95"/>
        <w:gridCol w:w="8831"/>
      </w:tblGrid>
      <w:tr w:rsidR="00465964" w:rsidRPr="00465964" w14:paraId="2876A79A" w14:textId="77777777" w:rsidTr="00465964">
        <w:tc>
          <w:tcPr>
            <w:tcW w:w="0" w:type="auto"/>
            <w:shd w:val="clear" w:color="auto" w:fill="auto"/>
            <w:hideMark/>
          </w:tcPr>
          <w:p w14:paraId="157B5D00" w14:textId="77777777" w:rsidR="00465964" w:rsidRPr="00465964" w:rsidRDefault="00465964" w:rsidP="00465964">
            <w:r w:rsidRPr="00465964">
              <w:t>e)</w:t>
            </w:r>
          </w:p>
        </w:tc>
        <w:tc>
          <w:tcPr>
            <w:tcW w:w="0" w:type="auto"/>
            <w:shd w:val="clear" w:color="auto" w:fill="auto"/>
            <w:hideMark/>
          </w:tcPr>
          <w:p w14:paraId="38AB8E16" w14:textId="77777777" w:rsidR="00465964" w:rsidRPr="00465964" w:rsidRDefault="00465964" w:rsidP="00465964">
            <w:pPr>
              <w:rPr>
                <w:lang w:val="pt-PT"/>
              </w:rPr>
            </w:pPr>
            <w:r w:rsidRPr="00465964">
              <w:rPr>
                <w:lang w:val="pt-PT"/>
              </w:rPr>
              <w:t>Perdas decorrentes da perturbação das atividades comerciais ou de falhas do sistema;</w:t>
            </w:r>
          </w:p>
        </w:tc>
      </w:tr>
    </w:tbl>
    <w:p w14:paraId="6B088EF7"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36"/>
        <w:gridCol w:w="8890"/>
      </w:tblGrid>
      <w:tr w:rsidR="00465964" w:rsidRPr="00465964" w14:paraId="4E5614D5" w14:textId="77777777" w:rsidTr="00465964">
        <w:tc>
          <w:tcPr>
            <w:tcW w:w="0" w:type="auto"/>
            <w:shd w:val="clear" w:color="auto" w:fill="auto"/>
            <w:hideMark/>
          </w:tcPr>
          <w:p w14:paraId="426199A2" w14:textId="77777777" w:rsidR="00465964" w:rsidRPr="00465964" w:rsidRDefault="00465964" w:rsidP="00465964">
            <w:r w:rsidRPr="00465964">
              <w:t>f)</w:t>
            </w:r>
          </w:p>
        </w:tc>
        <w:tc>
          <w:tcPr>
            <w:tcW w:w="0" w:type="auto"/>
            <w:shd w:val="clear" w:color="auto" w:fill="auto"/>
            <w:hideMark/>
          </w:tcPr>
          <w:p w14:paraId="354FB817" w14:textId="77777777" w:rsidR="00465964" w:rsidRPr="00465964" w:rsidRDefault="00465964" w:rsidP="00465964">
            <w:pPr>
              <w:rPr>
                <w:lang w:val="pt-PT"/>
              </w:rPr>
            </w:pPr>
            <w:r w:rsidRPr="00465964">
              <w:rPr>
                <w:lang w:val="pt-PT"/>
              </w:rPr>
              <w:t>Quando aplicável ao modelo de negócio, negligência grave na proteção dos criptoativos e dos fundos dos clientes;</w:t>
            </w:r>
          </w:p>
        </w:tc>
      </w:tr>
    </w:tbl>
    <w:p w14:paraId="576A1E59"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74"/>
        <w:gridCol w:w="8852"/>
      </w:tblGrid>
      <w:tr w:rsidR="00465964" w:rsidRPr="00465964" w14:paraId="3DAB82E0" w14:textId="77777777" w:rsidTr="00465964">
        <w:tc>
          <w:tcPr>
            <w:tcW w:w="0" w:type="auto"/>
            <w:shd w:val="clear" w:color="auto" w:fill="auto"/>
            <w:hideMark/>
          </w:tcPr>
          <w:p w14:paraId="1D1B168C" w14:textId="77777777" w:rsidR="00465964" w:rsidRPr="00465964" w:rsidRDefault="00465964" w:rsidP="00465964">
            <w:r w:rsidRPr="00465964">
              <w:lastRenderedPageBreak/>
              <w:t>g)</w:t>
            </w:r>
          </w:p>
        </w:tc>
        <w:tc>
          <w:tcPr>
            <w:tcW w:w="0" w:type="auto"/>
            <w:shd w:val="clear" w:color="auto" w:fill="auto"/>
            <w:hideMark/>
          </w:tcPr>
          <w:p w14:paraId="333CC703" w14:textId="77777777" w:rsidR="00465964" w:rsidRPr="00465964" w:rsidRDefault="00465964" w:rsidP="00465964">
            <w:pPr>
              <w:rPr>
                <w:lang w:val="pt-PT"/>
              </w:rPr>
            </w:pPr>
            <w:r w:rsidRPr="00465964">
              <w:rPr>
                <w:lang w:val="pt-PT"/>
              </w:rPr>
              <w:t>Responsabilidade dos prestadores de serviços de criptoativos para com os seus clientes nos termos do artigo 75.</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8.</w:t>
            </w:r>
          </w:p>
        </w:tc>
      </w:tr>
    </w:tbl>
    <w:p w14:paraId="77C89B78" w14:textId="77777777" w:rsidR="00465964" w:rsidRPr="00465964" w:rsidRDefault="00465964" w:rsidP="00465964">
      <w:pPr>
        <w:rPr>
          <w:i/>
          <w:iCs/>
          <w:lang w:val="pt-PT"/>
        </w:rPr>
      </w:pPr>
      <w:r w:rsidRPr="00465964">
        <w:rPr>
          <w:i/>
          <w:iCs/>
          <w:lang w:val="pt-PT"/>
        </w:rPr>
        <w:t>Artigo 68.</w:t>
      </w:r>
      <w:r w:rsidRPr="00465964">
        <w:rPr>
          <w:i/>
          <w:iCs/>
          <w:vertAlign w:val="superscript"/>
          <w:lang w:val="pt-PT"/>
        </w:rPr>
        <w:t>o</w:t>
      </w:r>
    </w:p>
    <w:p w14:paraId="66015176" w14:textId="77777777" w:rsidR="00465964" w:rsidRPr="00465964" w:rsidRDefault="00465964" w:rsidP="00465964">
      <w:pPr>
        <w:rPr>
          <w:b/>
          <w:bCs/>
          <w:lang w:val="pt-PT"/>
        </w:rPr>
      </w:pPr>
      <w:r w:rsidRPr="00465964">
        <w:rPr>
          <w:b/>
          <w:bCs/>
          <w:lang w:val="pt-PT"/>
        </w:rPr>
        <w:t>Mecanismos de governação</w:t>
      </w:r>
    </w:p>
    <w:p w14:paraId="5B9F1A45" w14:textId="77777777" w:rsidR="00465964" w:rsidRPr="00465964" w:rsidRDefault="00465964" w:rsidP="00465964">
      <w:pPr>
        <w:rPr>
          <w:lang w:val="pt-PT"/>
        </w:rPr>
      </w:pPr>
      <w:r w:rsidRPr="00465964">
        <w:rPr>
          <w:lang w:val="pt-PT"/>
        </w:rPr>
        <w:t>1.   Os membros do órgão de administração dos prestadores de serviços de criptoativos devem ter idoneidade suficiente e possuir os conhecimentos, competências e experiência adequados tanto a nível individual como no seu conjunto para o desempenho das suas funções. Em especial, os membros do órgão de administração dos prestadores de serviços de criptoativos não podem ter sido condenados por infrações relacionadas com branqueamento de capitais ou financiamento do terrorismo, nem por quaisquer outras infrações que afetem a sua idoneidade. Devem ainda demonstrar que estão em condições de dedicar tempo suficiente ao desempenho efetivo das suas funções.</w:t>
      </w:r>
    </w:p>
    <w:p w14:paraId="01BFB352" w14:textId="77777777" w:rsidR="00465964" w:rsidRPr="00465964" w:rsidRDefault="00465964" w:rsidP="00465964">
      <w:pPr>
        <w:rPr>
          <w:lang w:val="pt-PT"/>
        </w:rPr>
      </w:pPr>
      <w:r w:rsidRPr="00465964">
        <w:rPr>
          <w:lang w:val="pt-PT"/>
        </w:rPr>
        <w:t>2.   Os acionistas e sócios, diretos ou indiretos, que detenham participações qualificadas em prestadores de serviços de criptoativos devem ter idoneidade suficiente e, em especial, não podem ter sido condenadas por infrações relacionadas com branqueamento de capitais ou financiamento do terrorismo, nem por quaisquer outras infrações que afetem a sua idoneidade.</w:t>
      </w:r>
    </w:p>
    <w:p w14:paraId="324EF3A2" w14:textId="77777777" w:rsidR="00465964" w:rsidRPr="00465964" w:rsidRDefault="00465964" w:rsidP="00465964">
      <w:pPr>
        <w:rPr>
          <w:lang w:val="pt-PT"/>
        </w:rPr>
      </w:pPr>
      <w:r w:rsidRPr="00465964">
        <w:rPr>
          <w:lang w:val="pt-PT"/>
        </w:rPr>
        <w:t>3.   Caso a influência exercida pelos acionistas ou sócios, diretos ou indiretos, que detêm participações qualificadas num prestador de serviços de criptoativos seja suscetível de prejudicar a gestão sã e prudente do prestador de serviços de criptoativos em causa, as autoridades competentes tomam as medidas adequadas para fazer face a esses riscos.</w:t>
      </w:r>
    </w:p>
    <w:p w14:paraId="19E55317" w14:textId="77777777" w:rsidR="00465964" w:rsidRPr="00465964" w:rsidRDefault="00465964" w:rsidP="00465964">
      <w:pPr>
        <w:rPr>
          <w:lang w:val="pt-PT"/>
        </w:rPr>
      </w:pPr>
      <w:r w:rsidRPr="00465964">
        <w:rPr>
          <w:lang w:val="pt-PT"/>
        </w:rPr>
        <w:t>Essas medidas podem incluir o requerimento de providências judiciais ou a imposição de sanções aos titulares de cargos dirigentes e às pessoas responsáveis pela gestão, ou a suspensão do exercício dos direitos de voto inerentes às ações detidas pelos acionistas ou sócios, diretos ou indiretos, que detêm as participações qualificadas.</w:t>
      </w:r>
    </w:p>
    <w:p w14:paraId="0DB15D8B" w14:textId="77777777" w:rsidR="00465964" w:rsidRPr="00465964" w:rsidRDefault="00465964" w:rsidP="00465964">
      <w:pPr>
        <w:rPr>
          <w:lang w:val="pt-PT"/>
        </w:rPr>
      </w:pPr>
      <w:r w:rsidRPr="00465964">
        <w:rPr>
          <w:lang w:val="pt-PT"/>
        </w:rPr>
        <w:t>4.   Os prestadores de serviços de criptoativos devem adotar políticas e procedimentos suficientemente eficazes para assegurar a conformidade com o presente regulamento.</w:t>
      </w:r>
    </w:p>
    <w:p w14:paraId="685E5C35" w14:textId="77777777" w:rsidR="00465964" w:rsidRPr="00465964" w:rsidRDefault="00465964" w:rsidP="00465964">
      <w:pPr>
        <w:rPr>
          <w:lang w:val="pt-PT"/>
        </w:rPr>
      </w:pPr>
      <w:r w:rsidRPr="00465964">
        <w:rPr>
          <w:lang w:val="pt-PT"/>
        </w:rPr>
        <w:t>5.   Os prestadores de serviços de criptoativos devem empregar pessoas com os conhecimentos, as competências e a experiência necessários para a realização das responsabilidades que lhes foram atribuídas, tendo em conta a escala, a natureza e o alcance dos serviços de criptoativos prestados.</w:t>
      </w:r>
    </w:p>
    <w:p w14:paraId="07045EBC" w14:textId="77777777" w:rsidR="00465964" w:rsidRPr="00465964" w:rsidRDefault="00465964" w:rsidP="00465964">
      <w:pPr>
        <w:rPr>
          <w:lang w:val="pt-PT"/>
        </w:rPr>
      </w:pPr>
      <w:r w:rsidRPr="00465964">
        <w:rPr>
          <w:lang w:val="pt-PT"/>
        </w:rPr>
        <w:t>6.   O órgão de administração dos prestadores de serviços de criptoativos deve avaliar e reanalisar periodicamente a eficácia das políticas e dos procedimentos implementados com vista ao cumprimento do disposto nos capítulos 2 e 3 do presente título e tomar as medidas adequadas para resolver quaisquer deficiências a este respeito.</w:t>
      </w:r>
    </w:p>
    <w:p w14:paraId="4DB300FA" w14:textId="77777777" w:rsidR="00465964" w:rsidRPr="00465964" w:rsidRDefault="00465964" w:rsidP="00465964">
      <w:pPr>
        <w:rPr>
          <w:lang w:val="pt-PT"/>
        </w:rPr>
      </w:pPr>
      <w:r w:rsidRPr="00465964">
        <w:rPr>
          <w:lang w:val="pt-PT"/>
        </w:rPr>
        <w:t>7.   Os prestadores de serviços de criptoativos devem tomar todas as medidas razoáveis para assegurar a continuidade e a regularidade da realização dos serviços de criptoativos. Para esse efeito, os prestadores de serviços de criptoativos devem utilizar os recursos e os procedimentos apropriados e proporcionados, nomeadamente sistemas de TIC resilientes e seguros, conforme exigido pelo Regulamento (UE) 2022/2554.</w:t>
      </w:r>
    </w:p>
    <w:p w14:paraId="673956E0" w14:textId="77777777" w:rsidR="00465964" w:rsidRPr="00465964" w:rsidRDefault="00465964" w:rsidP="00465964">
      <w:pPr>
        <w:rPr>
          <w:lang w:val="pt-PT"/>
        </w:rPr>
      </w:pPr>
      <w:r w:rsidRPr="00465964">
        <w:rPr>
          <w:lang w:val="pt-PT"/>
        </w:rPr>
        <w:t>Os prestadores de serviços de criptoativos devem criar uma política de continuidade das atividades que inclua planos de continuidade relativo às atividades de TIC e também planos de resposta e recuperação em matéria de TIC de acordo com os artigos 11.</w:t>
      </w:r>
      <w:r w:rsidRPr="00465964">
        <w:rPr>
          <w:vertAlign w:val="superscript"/>
          <w:lang w:val="pt-PT"/>
        </w:rPr>
        <w:t>o</w:t>
      </w:r>
      <w:r w:rsidRPr="00465964">
        <w:rPr>
          <w:lang w:val="pt-PT"/>
        </w:rPr>
        <w:t> e 12.</w:t>
      </w:r>
      <w:r w:rsidRPr="00465964">
        <w:rPr>
          <w:vertAlign w:val="superscript"/>
          <w:lang w:val="pt-PT"/>
        </w:rPr>
        <w:t>o</w:t>
      </w:r>
      <w:r w:rsidRPr="00465964">
        <w:rPr>
          <w:lang w:val="pt-PT"/>
        </w:rPr>
        <w:t xml:space="preserve"> do Regulamento </w:t>
      </w:r>
      <w:r w:rsidRPr="00465964">
        <w:rPr>
          <w:lang w:val="pt-PT"/>
        </w:rPr>
        <w:lastRenderedPageBreak/>
        <w:t>(UE) 2022/2554, que visem garantir, no caso de uma interrupção dos seus sistemas e procedimentos de TIC, a preservação dos dados e das funções essenciais e a manutenção dos serviços de criptoativos ou, caso isso não seja possível, a recuperação atempada desses dados e funções e a retoma atempada dos serviços de criptoativos.</w:t>
      </w:r>
    </w:p>
    <w:p w14:paraId="1DC6CA56" w14:textId="77777777" w:rsidR="00465964" w:rsidRPr="00465964" w:rsidRDefault="00465964" w:rsidP="00465964">
      <w:pPr>
        <w:rPr>
          <w:lang w:val="pt-PT"/>
        </w:rPr>
      </w:pPr>
      <w:r w:rsidRPr="00465964">
        <w:rPr>
          <w:lang w:val="pt-PT"/>
        </w:rPr>
        <w:t>8.   Os prestadores de serviços de criptoativos devem dispor de mecanismos, sistemas e procedimentos conforme exigido pelo Regulamento (UE) 2022/2554, bem como de procedimentos e disposições eficazes para a avaliação dos riscos, a fim de cumprir as disposições de direito nacional que transpõem a Diretiva (UE) 2015/849. Acompanham e, regularmente, avaliam a adequação e a eficácia desses mecanismos, sistemas e procedimentos, tendo em conta a escala, a natureza e a gama dos serviços de criptoativos prestados, e tomam as medidas adequadas para corrigir eventuais deficiências a este respeito.</w:t>
      </w:r>
    </w:p>
    <w:p w14:paraId="6E4CFB7D" w14:textId="77777777" w:rsidR="00465964" w:rsidRPr="00465964" w:rsidRDefault="00465964" w:rsidP="00465964">
      <w:pPr>
        <w:rPr>
          <w:lang w:val="pt-PT"/>
        </w:rPr>
      </w:pPr>
      <w:r w:rsidRPr="00465964">
        <w:rPr>
          <w:lang w:val="pt-PT"/>
        </w:rPr>
        <w:t>Os prestadores de serviços de criptoativos devem utilizar sistemas e procedimentos para garantir a disponibilidade, autenticidade, integridade e confidencialidade dos dados, de acordo com o Regulamento (UE) 2022/2554.</w:t>
      </w:r>
    </w:p>
    <w:p w14:paraId="1A58D7BC" w14:textId="77777777" w:rsidR="00465964" w:rsidRPr="00465964" w:rsidRDefault="00465964" w:rsidP="00465964">
      <w:pPr>
        <w:rPr>
          <w:lang w:val="pt-PT"/>
        </w:rPr>
      </w:pPr>
      <w:r w:rsidRPr="00465964">
        <w:rPr>
          <w:lang w:val="pt-PT"/>
        </w:rPr>
        <w:t>9.   Os prestadores de serviços de criptoativos devem manter registos de todos os serviços de criptoativos, atividades, ordens e transações por si realizadas. Esses registos devem ser suficientes para permitir que as autoridades competentes desempenhem as suas funções de supervisão e tomem medidas de execução e, em especial, verifiquem o cumprimento por parte dos prestadores de serviços de criptoativos de todas as obrigações que lhes incumbem, nomeadamente no que respeita aos clientes ou potenciais clientes, e à integridade do mercado.</w:t>
      </w:r>
    </w:p>
    <w:p w14:paraId="5D58FB5F" w14:textId="77777777" w:rsidR="00465964" w:rsidRPr="00465964" w:rsidRDefault="00465964" w:rsidP="00465964">
      <w:pPr>
        <w:rPr>
          <w:lang w:val="pt-PT"/>
        </w:rPr>
      </w:pPr>
      <w:r w:rsidRPr="00465964">
        <w:rPr>
          <w:lang w:val="pt-PT"/>
        </w:rPr>
        <w:t>Os registos mantidos em conformidade com o primeiro parágrafo são fornecidos aos clientes mediante pedido, sendo mantidos por um período de cinco anos e, se solicitado pela autoridade competente antes do termo do prazo de cinco anos, por um período até sete anos.</w:t>
      </w:r>
    </w:p>
    <w:p w14:paraId="39B04E91" w14:textId="77777777" w:rsidR="00465964" w:rsidRPr="00465964" w:rsidRDefault="00465964" w:rsidP="00465964">
      <w:pPr>
        <w:rPr>
          <w:lang w:val="pt-PT"/>
        </w:rPr>
      </w:pPr>
      <w:r w:rsidRPr="00465964">
        <w:rPr>
          <w:lang w:val="pt-PT"/>
        </w:rPr>
        <w:t>10.   A ESMA elabora projetos de normas técnicas de regulamentação para especificar com mais pormenor:</w:t>
      </w:r>
    </w:p>
    <w:tbl>
      <w:tblPr>
        <w:tblW w:w="5000" w:type="pct"/>
        <w:tblCellMar>
          <w:left w:w="0" w:type="dxa"/>
          <w:right w:w="0" w:type="dxa"/>
        </w:tblCellMar>
        <w:tblLook w:val="04A0" w:firstRow="1" w:lastRow="0" w:firstColumn="1" w:lastColumn="0" w:noHBand="0" w:noVBand="1"/>
      </w:tblPr>
      <w:tblGrid>
        <w:gridCol w:w="182"/>
        <w:gridCol w:w="8844"/>
      </w:tblGrid>
      <w:tr w:rsidR="00465964" w:rsidRPr="00465964" w14:paraId="23A56F4D" w14:textId="77777777" w:rsidTr="00465964">
        <w:tc>
          <w:tcPr>
            <w:tcW w:w="0" w:type="auto"/>
            <w:shd w:val="clear" w:color="auto" w:fill="auto"/>
            <w:hideMark/>
          </w:tcPr>
          <w:p w14:paraId="3BC2EF76" w14:textId="77777777" w:rsidR="00465964" w:rsidRPr="00465964" w:rsidRDefault="00465964" w:rsidP="00465964">
            <w:r w:rsidRPr="00465964">
              <w:t>a)</w:t>
            </w:r>
          </w:p>
        </w:tc>
        <w:tc>
          <w:tcPr>
            <w:tcW w:w="0" w:type="auto"/>
            <w:shd w:val="clear" w:color="auto" w:fill="auto"/>
            <w:hideMark/>
          </w:tcPr>
          <w:p w14:paraId="40695317" w14:textId="77777777" w:rsidR="00465964" w:rsidRPr="00465964" w:rsidRDefault="00465964" w:rsidP="00465964">
            <w:pPr>
              <w:rPr>
                <w:lang w:val="pt-PT"/>
              </w:rPr>
            </w:pPr>
            <w:r w:rsidRPr="00465964">
              <w:rPr>
                <w:lang w:val="pt-PT"/>
              </w:rPr>
              <w:t xml:space="preserve">As medidas que assegurem a continuidade e a regularidade da prestação dos serviços de criptoativos a que se refere o </w:t>
            </w:r>
            <w:proofErr w:type="spellStart"/>
            <w:r w:rsidRPr="00465964">
              <w:rPr>
                <w:lang w:val="pt-PT"/>
              </w:rPr>
              <w:t>n.</w:t>
            </w:r>
            <w:r w:rsidRPr="00465964">
              <w:rPr>
                <w:vertAlign w:val="superscript"/>
                <w:lang w:val="pt-PT"/>
              </w:rPr>
              <w:t>o</w:t>
            </w:r>
            <w:proofErr w:type="spellEnd"/>
            <w:r w:rsidRPr="00465964">
              <w:rPr>
                <w:lang w:val="pt-PT"/>
              </w:rPr>
              <w:t> 7;</w:t>
            </w:r>
          </w:p>
        </w:tc>
      </w:tr>
    </w:tbl>
    <w:p w14:paraId="1CAB9D90"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8"/>
        <w:gridCol w:w="8838"/>
      </w:tblGrid>
      <w:tr w:rsidR="00465964" w:rsidRPr="00465964" w14:paraId="2254B955" w14:textId="77777777" w:rsidTr="00465964">
        <w:tc>
          <w:tcPr>
            <w:tcW w:w="0" w:type="auto"/>
            <w:shd w:val="clear" w:color="auto" w:fill="auto"/>
            <w:hideMark/>
          </w:tcPr>
          <w:p w14:paraId="7EC866D0" w14:textId="77777777" w:rsidR="00465964" w:rsidRPr="00465964" w:rsidRDefault="00465964" w:rsidP="00465964">
            <w:r w:rsidRPr="00465964">
              <w:t>b)</w:t>
            </w:r>
          </w:p>
        </w:tc>
        <w:tc>
          <w:tcPr>
            <w:tcW w:w="0" w:type="auto"/>
            <w:shd w:val="clear" w:color="auto" w:fill="auto"/>
            <w:hideMark/>
          </w:tcPr>
          <w:p w14:paraId="691D4108" w14:textId="77777777" w:rsidR="00465964" w:rsidRPr="00465964" w:rsidRDefault="00465964" w:rsidP="00465964">
            <w:pPr>
              <w:rPr>
                <w:lang w:val="pt-PT"/>
              </w:rPr>
            </w:pPr>
            <w:r w:rsidRPr="00465964">
              <w:rPr>
                <w:lang w:val="pt-PT"/>
              </w:rPr>
              <w:t xml:space="preserve">Os registos a manter no que respeita a todos os serviços, atividades, ordens e transações de criptoativos realizadas a que se refere o </w:t>
            </w:r>
            <w:proofErr w:type="spellStart"/>
            <w:r w:rsidRPr="00465964">
              <w:rPr>
                <w:lang w:val="pt-PT"/>
              </w:rPr>
              <w:t>n.</w:t>
            </w:r>
            <w:r w:rsidRPr="00465964">
              <w:rPr>
                <w:vertAlign w:val="superscript"/>
                <w:lang w:val="pt-PT"/>
              </w:rPr>
              <w:t>o</w:t>
            </w:r>
            <w:proofErr w:type="spellEnd"/>
            <w:r w:rsidRPr="00465964">
              <w:rPr>
                <w:lang w:val="pt-PT"/>
              </w:rPr>
              <w:t> 9.</w:t>
            </w:r>
          </w:p>
        </w:tc>
      </w:tr>
    </w:tbl>
    <w:p w14:paraId="2756BB29" w14:textId="77777777" w:rsidR="00465964" w:rsidRPr="00465964" w:rsidRDefault="00465964" w:rsidP="00465964">
      <w:pPr>
        <w:rPr>
          <w:lang w:val="pt-PT"/>
        </w:rPr>
      </w:pPr>
      <w:r w:rsidRPr="00465964">
        <w:rPr>
          <w:lang w:val="pt-PT"/>
        </w:rPr>
        <w:t>A ESMA apresenta à Comissão os projetos de normas técnicas de regulamentação referidos no primeiro parágrafo até 30 de junho de 2024.</w:t>
      </w:r>
    </w:p>
    <w:p w14:paraId="4556E019" w14:textId="77777777" w:rsidR="00465964" w:rsidRPr="00465964" w:rsidRDefault="00465964" w:rsidP="00465964">
      <w:pPr>
        <w:rPr>
          <w:lang w:val="pt-PT"/>
        </w:rPr>
      </w:pPr>
      <w:r w:rsidRPr="00465964">
        <w:rPr>
          <w:lang w:val="pt-PT"/>
        </w:rPr>
        <w:t>É delegado na Comissão o poder de completar o presente regulamento através da adoção das normas técnicas de regulamentação a que se refere o primeiro parágrafo do presente número em conformidade com os artigos 10.</w:t>
      </w:r>
      <w:r w:rsidRPr="00465964">
        <w:rPr>
          <w:vertAlign w:val="superscript"/>
          <w:lang w:val="pt-PT"/>
        </w:rPr>
        <w:t>o</w:t>
      </w:r>
      <w:r w:rsidRPr="00465964">
        <w:rPr>
          <w:lang w:val="pt-PT"/>
        </w:rPr>
        <w:t> a 14.</w:t>
      </w:r>
      <w:r w:rsidRPr="00465964">
        <w:rPr>
          <w:vertAlign w:val="superscript"/>
          <w:lang w:val="pt-PT"/>
        </w:rPr>
        <w:t>o</w:t>
      </w:r>
      <w:r w:rsidRPr="00465964">
        <w:rPr>
          <w:lang w:val="pt-PT"/>
        </w:rPr>
        <w:t xml:space="preserve"> do Regulamento (UE) </w:t>
      </w:r>
      <w:proofErr w:type="spellStart"/>
      <w:r w:rsidRPr="00465964">
        <w:rPr>
          <w:lang w:val="pt-PT"/>
        </w:rPr>
        <w:t>n.</w:t>
      </w:r>
      <w:r w:rsidRPr="00465964">
        <w:rPr>
          <w:vertAlign w:val="superscript"/>
          <w:lang w:val="pt-PT"/>
        </w:rPr>
        <w:t>o</w:t>
      </w:r>
      <w:proofErr w:type="spellEnd"/>
      <w:r w:rsidRPr="00465964">
        <w:rPr>
          <w:lang w:val="pt-PT"/>
        </w:rPr>
        <w:t> 1095/2010.</w:t>
      </w:r>
    </w:p>
    <w:p w14:paraId="30DFEE82" w14:textId="77777777" w:rsidR="00465964" w:rsidRPr="00465964" w:rsidRDefault="00465964" w:rsidP="00465964">
      <w:pPr>
        <w:rPr>
          <w:i/>
          <w:iCs/>
          <w:lang w:val="pt-PT"/>
        </w:rPr>
      </w:pPr>
      <w:r w:rsidRPr="00465964">
        <w:rPr>
          <w:i/>
          <w:iCs/>
          <w:lang w:val="pt-PT"/>
        </w:rPr>
        <w:t>Artigo 69.</w:t>
      </w:r>
      <w:r w:rsidRPr="00465964">
        <w:rPr>
          <w:i/>
          <w:iCs/>
          <w:vertAlign w:val="superscript"/>
          <w:lang w:val="pt-PT"/>
        </w:rPr>
        <w:t>o</w:t>
      </w:r>
    </w:p>
    <w:p w14:paraId="19CDB963" w14:textId="77777777" w:rsidR="00465964" w:rsidRPr="00465964" w:rsidRDefault="00465964" w:rsidP="00465964">
      <w:pPr>
        <w:rPr>
          <w:b/>
          <w:bCs/>
          <w:lang w:val="pt-PT"/>
        </w:rPr>
      </w:pPr>
      <w:r w:rsidRPr="00465964">
        <w:rPr>
          <w:b/>
          <w:bCs/>
          <w:lang w:val="pt-PT"/>
        </w:rPr>
        <w:t>Informação às autoridades competentes</w:t>
      </w:r>
    </w:p>
    <w:p w14:paraId="044DBB5F" w14:textId="77777777" w:rsidR="00465964" w:rsidRPr="00465964" w:rsidRDefault="00465964" w:rsidP="00465964">
      <w:pPr>
        <w:rPr>
          <w:lang w:val="pt-PT"/>
        </w:rPr>
      </w:pPr>
      <w:r w:rsidRPr="00465964">
        <w:rPr>
          <w:lang w:val="pt-PT"/>
        </w:rPr>
        <w:t>Os prestadores de serviços de criptoativos devem comunicar sem demora à respetiva autoridade competente quaisquer alterações do seu órgão de administração antes de qualquer novo membro exercer atividades, facultando-lhe toda a informação necessária para verificar o cumprimento do disposto no artigo 68.</w:t>
      </w:r>
      <w:r w:rsidRPr="00465964">
        <w:rPr>
          <w:vertAlign w:val="superscript"/>
          <w:lang w:val="pt-PT"/>
        </w:rPr>
        <w:t>o</w:t>
      </w:r>
      <w:r w:rsidRPr="00465964">
        <w:rPr>
          <w:lang w:val="pt-PT"/>
        </w:rPr>
        <w:t>.</w:t>
      </w:r>
    </w:p>
    <w:p w14:paraId="3519EC07" w14:textId="77777777" w:rsidR="00465964" w:rsidRPr="00465964" w:rsidRDefault="00465964" w:rsidP="00465964">
      <w:pPr>
        <w:rPr>
          <w:i/>
          <w:iCs/>
          <w:lang w:val="pt-PT"/>
        </w:rPr>
      </w:pPr>
      <w:r w:rsidRPr="00465964">
        <w:rPr>
          <w:i/>
          <w:iCs/>
          <w:lang w:val="pt-PT"/>
        </w:rPr>
        <w:lastRenderedPageBreak/>
        <w:t>Artigo 70.</w:t>
      </w:r>
      <w:r w:rsidRPr="00465964">
        <w:rPr>
          <w:i/>
          <w:iCs/>
          <w:vertAlign w:val="superscript"/>
          <w:lang w:val="pt-PT"/>
        </w:rPr>
        <w:t>o</w:t>
      </w:r>
    </w:p>
    <w:p w14:paraId="3E808B14" w14:textId="77777777" w:rsidR="00465964" w:rsidRPr="00465964" w:rsidRDefault="00465964" w:rsidP="00465964">
      <w:pPr>
        <w:rPr>
          <w:b/>
          <w:bCs/>
          <w:lang w:val="pt-PT"/>
        </w:rPr>
      </w:pPr>
      <w:r w:rsidRPr="00465964">
        <w:rPr>
          <w:b/>
          <w:bCs/>
          <w:lang w:val="pt-PT"/>
        </w:rPr>
        <w:t>Guarda dos criptoativos e dos fundos dos clientes</w:t>
      </w:r>
    </w:p>
    <w:p w14:paraId="6464637E" w14:textId="77777777" w:rsidR="00465964" w:rsidRPr="00465964" w:rsidRDefault="00465964" w:rsidP="00465964">
      <w:pPr>
        <w:rPr>
          <w:lang w:val="pt-PT"/>
        </w:rPr>
      </w:pPr>
      <w:r w:rsidRPr="00465964">
        <w:rPr>
          <w:lang w:val="pt-PT"/>
        </w:rPr>
        <w:t>1.   Os prestadores de serviços de criptoativos que detêm criptoativos pertencentes a clientes, ou meios de acesso a esses criptoativos, devem dispor de mecanismos adequados para salvaguardar os direitos de titularidade dos clientes, em especial em caso de insolvência do prestador de serviços de criptoativos, e para impedir que criptoativos de clientes sejam utilizados por conta própria.</w:t>
      </w:r>
    </w:p>
    <w:p w14:paraId="7A49C1D2" w14:textId="66ED0FB1" w:rsidR="00465964" w:rsidRPr="00465964" w:rsidRDefault="00465964" w:rsidP="00465964">
      <w:pPr>
        <w:rPr>
          <w:lang w:val="pt-PT"/>
        </w:rPr>
      </w:pPr>
      <w:r w:rsidRPr="00465964">
        <w:rPr>
          <w:lang w:val="pt-PT"/>
        </w:rPr>
        <w:t xml:space="preserve">2.   Caso os seus modelos de negócios ou os serviços de criptoativos requeiram a detenção de fundos de clientes que não sejam </w:t>
      </w:r>
      <w:r>
        <w:rPr>
          <w:lang w:val="pt-PT"/>
        </w:rPr>
        <w:t>criptomoedas</w:t>
      </w:r>
      <w:r w:rsidRPr="00465964">
        <w:rPr>
          <w:lang w:val="pt-PT"/>
        </w:rPr>
        <w:t xml:space="preserve"> de moeda eletrónica, os prestadores de serviços de criptoativos devem dispor de mecanismos adequados para salvaguardar os direitos de titularidade dos clientes e impedir a utilização por conta própria dos fundos dos clientes.</w:t>
      </w:r>
    </w:p>
    <w:p w14:paraId="7A9D8873" w14:textId="562CF9BD" w:rsidR="00465964" w:rsidRPr="00465964" w:rsidRDefault="00465964" w:rsidP="00465964">
      <w:pPr>
        <w:rPr>
          <w:lang w:val="pt-PT"/>
        </w:rPr>
      </w:pPr>
      <w:r w:rsidRPr="00465964">
        <w:rPr>
          <w:lang w:val="pt-PT"/>
        </w:rPr>
        <w:t xml:space="preserve">3.   Até ao final do dia útil seguinte ao dia em que fundos de clientes que não sejam </w:t>
      </w:r>
      <w:r>
        <w:rPr>
          <w:lang w:val="pt-PT"/>
        </w:rPr>
        <w:t>criptomoedas</w:t>
      </w:r>
      <w:r w:rsidRPr="00465964">
        <w:rPr>
          <w:lang w:val="pt-PT"/>
        </w:rPr>
        <w:t xml:space="preserve"> de moeda eletrónica tenham sido recebidos, os prestadores de serviços de criptoativos devem colocar esses fundos junto de uma instituição de crédito ou de um banco central.</w:t>
      </w:r>
    </w:p>
    <w:p w14:paraId="0888AB07" w14:textId="3D8A3197" w:rsidR="00465964" w:rsidRPr="00465964" w:rsidRDefault="00465964" w:rsidP="00465964">
      <w:pPr>
        <w:rPr>
          <w:lang w:val="pt-PT"/>
        </w:rPr>
      </w:pPr>
      <w:r w:rsidRPr="00465964">
        <w:rPr>
          <w:lang w:val="pt-PT"/>
        </w:rPr>
        <w:t xml:space="preserve">Os prestadores de serviços de criptoativos devem tomar todas as medidas necessárias para assegurar que os fundos dos clientes que não sejam </w:t>
      </w:r>
      <w:r>
        <w:rPr>
          <w:lang w:val="pt-PT"/>
        </w:rPr>
        <w:t>criptomoedas</w:t>
      </w:r>
      <w:r w:rsidRPr="00465964">
        <w:rPr>
          <w:lang w:val="pt-PT"/>
        </w:rPr>
        <w:t xml:space="preserve"> de moeda eletrónica depositados numa instituição de crédito ou num banco central se encontrem depositados numa conta identificável separadamente de quaisquer contas utilizadas para o depósito de fundos pertencentes aos prestadores de serviços de criptoativos.</w:t>
      </w:r>
    </w:p>
    <w:p w14:paraId="7E15D9C5" w14:textId="77777777" w:rsidR="00465964" w:rsidRPr="00465964" w:rsidRDefault="00465964" w:rsidP="00465964">
      <w:pPr>
        <w:rPr>
          <w:lang w:val="pt-PT"/>
        </w:rPr>
      </w:pPr>
      <w:r w:rsidRPr="00465964">
        <w:rPr>
          <w:lang w:val="pt-PT"/>
        </w:rPr>
        <w:t>4.   Os prestadores de serviços de criptoativos podem, eles próprios ou através de um terceiro, prestar serviços de pagamento relacionados com o serviço de criptoativos por si oferecido, desde que o prestador de serviços de criptoativos ou o terceiro esteja autorizado a prestar esses serviços ao abrigo da Diretiva (UE) 2015/2366.</w:t>
      </w:r>
    </w:p>
    <w:p w14:paraId="27505D8B" w14:textId="77777777" w:rsidR="00465964" w:rsidRPr="00465964" w:rsidRDefault="00465964" w:rsidP="00465964">
      <w:pPr>
        <w:rPr>
          <w:lang w:val="pt-PT"/>
        </w:rPr>
      </w:pPr>
      <w:r w:rsidRPr="00465964">
        <w:rPr>
          <w:lang w:val="pt-PT"/>
        </w:rPr>
        <w:t>Caso sejam prestados serviços de pagamento, os prestadores de serviços de criptoativos prestam aos seus clientes todas as seguintes informações:</w:t>
      </w:r>
    </w:p>
    <w:tbl>
      <w:tblPr>
        <w:tblW w:w="5000" w:type="pct"/>
        <w:tblCellMar>
          <w:left w:w="0" w:type="dxa"/>
          <w:right w:w="0" w:type="dxa"/>
        </w:tblCellMar>
        <w:tblLook w:val="04A0" w:firstRow="1" w:lastRow="0" w:firstColumn="1" w:lastColumn="0" w:noHBand="0" w:noVBand="1"/>
      </w:tblPr>
      <w:tblGrid>
        <w:gridCol w:w="182"/>
        <w:gridCol w:w="8844"/>
      </w:tblGrid>
      <w:tr w:rsidR="00465964" w:rsidRPr="00465964" w14:paraId="680F80F3" w14:textId="77777777" w:rsidTr="00465964">
        <w:tc>
          <w:tcPr>
            <w:tcW w:w="0" w:type="auto"/>
            <w:shd w:val="clear" w:color="auto" w:fill="auto"/>
            <w:hideMark/>
          </w:tcPr>
          <w:p w14:paraId="51216474" w14:textId="77777777" w:rsidR="00465964" w:rsidRPr="00465964" w:rsidRDefault="00465964" w:rsidP="00465964">
            <w:r w:rsidRPr="00465964">
              <w:t>a)</w:t>
            </w:r>
          </w:p>
        </w:tc>
        <w:tc>
          <w:tcPr>
            <w:tcW w:w="0" w:type="auto"/>
            <w:shd w:val="clear" w:color="auto" w:fill="auto"/>
            <w:hideMark/>
          </w:tcPr>
          <w:p w14:paraId="09179082" w14:textId="77777777" w:rsidR="00465964" w:rsidRPr="00465964" w:rsidRDefault="00465964" w:rsidP="00465964">
            <w:pPr>
              <w:rPr>
                <w:lang w:val="pt-PT"/>
              </w:rPr>
            </w:pPr>
            <w:r w:rsidRPr="00465964">
              <w:rPr>
                <w:lang w:val="pt-PT"/>
              </w:rPr>
              <w:t>A natureza e os termos e condições destes serviços, nomeadamente referências à legislação nacional aplicável e aos direitos dos clientes;</w:t>
            </w:r>
          </w:p>
        </w:tc>
      </w:tr>
    </w:tbl>
    <w:p w14:paraId="35D2CD2F"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206"/>
        <w:gridCol w:w="8820"/>
      </w:tblGrid>
      <w:tr w:rsidR="00465964" w:rsidRPr="00465964" w14:paraId="284E68DF" w14:textId="77777777" w:rsidTr="00465964">
        <w:tc>
          <w:tcPr>
            <w:tcW w:w="0" w:type="auto"/>
            <w:shd w:val="clear" w:color="auto" w:fill="auto"/>
            <w:hideMark/>
          </w:tcPr>
          <w:p w14:paraId="731654EB" w14:textId="77777777" w:rsidR="00465964" w:rsidRPr="00465964" w:rsidRDefault="00465964" w:rsidP="00465964">
            <w:r w:rsidRPr="00465964">
              <w:t>b)</w:t>
            </w:r>
          </w:p>
        </w:tc>
        <w:tc>
          <w:tcPr>
            <w:tcW w:w="0" w:type="auto"/>
            <w:shd w:val="clear" w:color="auto" w:fill="auto"/>
            <w:hideMark/>
          </w:tcPr>
          <w:p w14:paraId="3AC4BB33" w14:textId="77777777" w:rsidR="00465964" w:rsidRPr="00465964" w:rsidRDefault="00465964" w:rsidP="00465964">
            <w:pPr>
              <w:rPr>
                <w:lang w:val="pt-PT"/>
              </w:rPr>
            </w:pPr>
            <w:r w:rsidRPr="00465964">
              <w:rPr>
                <w:lang w:val="pt-PT"/>
              </w:rPr>
              <w:t>Se os referidos serviços são prestados diretamente por eles próprios ou por terceiros.</w:t>
            </w:r>
          </w:p>
        </w:tc>
      </w:tr>
    </w:tbl>
    <w:p w14:paraId="631A0894" w14:textId="77777777" w:rsidR="00465964" w:rsidRPr="00465964" w:rsidRDefault="00465964" w:rsidP="00465964">
      <w:pPr>
        <w:rPr>
          <w:lang w:val="pt-PT"/>
        </w:rPr>
      </w:pPr>
      <w:r w:rsidRPr="00465964">
        <w:rPr>
          <w:lang w:val="pt-PT"/>
        </w:rPr>
        <w:t xml:space="preserve">5.   Os </w:t>
      </w:r>
      <w:proofErr w:type="spellStart"/>
      <w:proofErr w:type="gramStart"/>
      <w:r w:rsidRPr="00465964">
        <w:rPr>
          <w:lang w:val="pt-PT"/>
        </w:rPr>
        <w:t>n.</w:t>
      </w:r>
      <w:r w:rsidRPr="00465964">
        <w:rPr>
          <w:vertAlign w:val="superscript"/>
          <w:lang w:val="pt-PT"/>
        </w:rPr>
        <w:t>os</w:t>
      </w:r>
      <w:proofErr w:type="spellEnd"/>
      <w:proofErr w:type="gramEnd"/>
      <w:r w:rsidRPr="00465964">
        <w:rPr>
          <w:lang w:val="pt-PT"/>
        </w:rPr>
        <w:t> 2 e 3 do presente artigo não se aplicam aos prestadores de serviços de criptoativos que sejam instituições de moeda eletrónica, instituições de pagamento ou instituições de crédito.</w:t>
      </w:r>
    </w:p>
    <w:p w14:paraId="78C8003C" w14:textId="77777777" w:rsidR="00465964" w:rsidRPr="00465964" w:rsidRDefault="00465964" w:rsidP="00465964">
      <w:pPr>
        <w:rPr>
          <w:i/>
          <w:iCs/>
          <w:lang w:val="pt-PT"/>
        </w:rPr>
      </w:pPr>
      <w:r w:rsidRPr="00465964">
        <w:rPr>
          <w:i/>
          <w:iCs/>
          <w:lang w:val="pt-PT"/>
        </w:rPr>
        <w:t>Artigo 71.</w:t>
      </w:r>
      <w:r w:rsidRPr="00465964">
        <w:rPr>
          <w:i/>
          <w:iCs/>
          <w:vertAlign w:val="superscript"/>
          <w:lang w:val="pt-PT"/>
        </w:rPr>
        <w:t>o</w:t>
      </w:r>
    </w:p>
    <w:p w14:paraId="2BBE0246" w14:textId="77777777" w:rsidR="00465964" w:rsidRPr="00465964" w:rsidRDefault="00465964" w:rsidP="00465964">
      <w:pPr>
        <w:rPr>
          <w:b/>
          <w:bCs/>
          <w:lang w:val="pt-PT"/>
        </w:rPr>
      </w:pPr>
      <w:r w:rsidRPr="00465964">
        <w:rPr>
          <w:b/>
          <w:bCs/>
          <w:lang w:val="pt-PT"/>
        </w:rPr>
        <w:t>Procedimentos de tratamento das reclamações</w:t>
      </w:r>
    </w:p>
    <w:p w14:paraId="3369F04D" w14:textId="77777777" w:rsidR="00465964" w:rsidRPr="00465964" w:rsidRDefault="00465964" w:rsidP="00465964">
      <w:pPr>
        <w:rPr>
          <w:lang w:val="pt-PT"/>
        </w:rPr>
      </w:pPr>
      <w:r w:rsidRPr="00465964">
        <w:rPr>
          <w:lang w:val="pt-PT"/>
        </w:rPr>
        <w:t>1.   Os prestadores de serviços de criptoativos estabelecem e mantêm procedimentos eficazes e transparentes tendo em vista o tratamento expedito, leal e coerente das reclamações recebidas de clientes e publicam descrições desses procedimentos.</w:t>
      </w:r>
    </w:p>
    <w:p w14:paraId="02348EA5" w14:textId="77777777" w:rsidR="00465964" w:rsidRPr="00465964" w:rsidRDefault="00465964" w:rsidP="00465964">
      <w:pPr>
        <w:rPr>
          <w:lang w:val="pt-PT"/>
        </w:rPr>
      </w:pPr>
      <w:r w:rsidRPr="00465964">
        <w:rPr>
          <w:lang w:val="pt-PT"/>
        </w:rPr>
        <w:t>2.   Os clientes devem poder apresentar reclamações aos prestadores de serviços de criptoativos livres de encargos.</w:t>
      </w:r>
    </w:p>
    <w:p w14:paraId="35510D29" w14:textId="77777777" w:rsidR="00465964" w:rsidRPr="00465964" w:rsidRDefault="00465964" w:rsidP="00465964">
      <w:pPr>
        <w:rPr>
          <w:lang w:val="pt-PT"/>
        </w:rPr>
      </w:pPr>
      <w:r w:rsidRPr="00465964">
        <w:rPr>
          <w:lang w:val="pt-PT"/>
        </w:rPr>
        <w:lastRenderedPageBreak/>
        <w:t>3.   Os prestadores de serviços de criptoativos informam os clientes da possibilidade de apresentarem uma reclamação. Os prestadores de serviços de criptoativos devem disponibilizar aos clientes um modelo para a apresentação de reclamações e manter um registo de todas as reclamações recebidas e de todas as medidas adotadas para dar resposta a essas mesmas reclamações.</w:t>
      </w:r>
    </w:p>
    <w:p w14:paraId="0172A0BD" w14:textId="77777777" w:rsidR="00465964" w:rsidRPr="00465964" w:rsidRDefault="00465964" w:rsidP="00465964">
      <w:pPr>
        <w:rPr>
          <w:lang w:val="pt-PT"/>
        </w:rPr>
      </w:pPr>
      <w:r w:rsidRPr="00465964">
        <w:rPr>
          <w:lang w:val="pt-PT"/>
        </w:rPr>
        <w:t>4.   Os prestadores de serviços de criptoativos devem investigar todas as reclamações de forma atempada e leal e comunicar as conclusões dessas investigações aos seus clientes num prazo razoável.</w:t>
      </w:r>
    </w:p>
    <w:p w14:paraId="258D17AD" w14:textId="77777777" w:rsidR="00465964" w:rsidRPr="00465964" w:rsidRDefault="00465964" w:rsidP="00465964">
      <w:pPr>
        <w:rPr>
          <w:lang w:val="pt-PT"/>
        </w:rPr>
      </w:pPr>
      <w:r w:rsidRPr="00465964">
        <w:rPr>
          <w:lang w:val="pt-PT"/>
        </w:rPr>
        <w:t>5.   A ESMA elabora, em estreita cooperação com a EBA, projetos de normas técnicas de regulamentação a fim de especificar mais pormenorizadamente os requisitos, os modelos e os procedimentos para o tratamento das reclamações.</w:t>
      </w:r>
    </w:p>
    <w:p w14:paraId="30D21759" w14:textId="77777777" w:rsidR="00465964" w:rsidRPr="00465964" w:rsidRDefault="00465964" w:rsidP="00465964">
      <w:pPr>
        <w:rPr>
          <w:lang w:val="pt-PT"/>
        </w:rPr>
      </w:pPr>
      <w:r w:rsidRPr="00465964">
        <w:rPr>
          <w:lang w:val="pt-PT"/>
        </w:rPr>
        <w:t>A ESMA apresenta à Comissão os projetos de normas técnicas de regulamentação referidos no primeiro parágrafo até 30 de junho de 2024.</w:t>
      </w:r>
    </w:p>
    <w:p w14:paraId="06D68BF6" w14:textId="77777777" w:rsidR="00465964" w:rsidRPr="00465964" w:rsidRDefault="00465964" w:rsidP="00465964">
      <w:pPr>
        <w:rPr>
          <w:lang w:val="pt-PT"/>
        </w:rPr>
      </w:pPr>
      <w:r w:rsidRPr="00465964">
        <w:rPr>
          <w:lang w:val="pt-PT"/>
        </w:rPr>
        <w:t>É delegado na Comissão o poder de completar o presente regulamento através da adoção das normas técnicas de regulamentação a que se refere o primeiro parágrafo do presente número em conformidade com os artigos 10.</w:t>
      </w:r>
      <w:r w:rsidRPr="00465964">
        <w:rPr>
          <w:vertAlign w:val="superscript"/>
          <w:lang w:val="pt-PT"/>
        </w:rPr>
        <w:t>o</w:t>
      </w:r>
      <w:r w:rsidRPr="00465964">
        <w:rPr>
          <w:lang w:val="pt-PT"/>
        </w:rPr>
        <w:t> a 14.</w:t>
      </w:r>
      <w:r w:rsidRPr="00465964">
        <w:rPr>
          <w:vertAlign w:val="superscript"/>
          <w:lang w:val="pt-PT"/>
        </w:rPr>
        <w:t>o</w:t>
      </w:r>
      <w:r w:rsidRPr="00465964">
        <w:rPr>
          <w:lang w:val="pt-PT"/>
        </w:rPr>
        <w:t xml:space="preserve"> do Regulamento (UE) </w:t>
      </w:r>
      <w:proofErr w:type="spellStart"/>
      <w:r w:rsidRPr="00465964">
        <w:rPr>
          <w:lang w:val="pt-PT"/>
        </w:rPr>
        <w:t>n.</w:t>
      </w:r>
      <w:r w:rsidRPr="00465964">
        <w:rPr>
          <w:vertAlign w:val="superscript"/>
          <w:lang w:val="pt-PT"/>
        </w:rPr>
        <w:t>o</w:t>
      </w:r>
      <w:proofErr w:type="spellEnd"/>
      <w:r w:rsidRPr="00465964">
        <w:rPr>
          <w:lang w:val="pt-PT"/>
        </w:rPr>
        <w:t> 1095/2010.</w:t>
      </w:r>
    </w:p>
    <w:p w14:paraId="6FC4174C" w14:textId="77777777" w:rsidR="00465964" w:rsidRPr="00465964" w:rsidRDefault="00465964" w:rsidP="00465964">
      <w:pPr>
        <w:rPr>
          <w:i/>
          <w:iCs/>
          <w:lang w:val="pt-PT"/>
        </w:rPr>
      </w:pPr>
      <w:r w:rsidRPr="00465964">
        <w:rPr>
          <w:i/>
          <w:iCs/>
          <w:lang w:val="pt-PT"/>
        </w:rPr>
        <w:t>Artigo 72.</w:t>
      </w:r>
      <w:r w:rsidRPr="00465964">
        <w:rPr>
          <w:i/>
          <w:iCs/>
          <w:vertAlign w:val="superscript"/>
          <w:lang w:val="pt-PT"/>
        </w:rPr>
        <w:t>o</w:t>
      </w:r>
    </w:p>
    <w:p w14:paraId="50BEA646" w14:textId="77777777" w:rsidR="00465964" w:rsidRPr="00465964" w:rsidRDefault="00465964" w:rsidP="00465964">
      <w:pPr>
        <w:rPr>
          <w:b/>
          <w:bCs/>
          <w:lang w:val="pt-PT"/>
        </w:rPr>
      </w:pPr>
      <w:r w:rsidRPr="00465964">
        <w:rPr>
          <w:b/>
          <w:bCs/>
          <w:lang w:val="pt-PT"/>
        </w:rPr>
        <w:t>Identificação, prevenção, gestão e divulgação de conflitos de interesses</w:t>
      </w:r>
    </w:p>
    <w:p w14:paraId="3CFD9DA0" w14:textId="77777777" w:rsidR="00465964" w:rsidRPr="00465964" w:rsidRDefault="00465964" w:rsidP="00465964">
      <w:pPr>
        <w:rPr>
          <w:lang w:val="pt-PT"/>
        </w:rPr>
      </w:pPr>
      <w:r w:rsidRPr="00465964">
        <w:rPr>
          <w:lang w:val="pt-PT"/>
        </w:rPr>
        <w:t>1.   Os prestadores de serviços de criptoativos aplicam e mantêm políticas e procedimentos eficazes, tendo em conta a escala, a natureza e a gama de serviços de criptoativos prestados, para identificar, prevenir, gerir e divulgar conflitos de interesses entre:</w:t>
      </w:r>
    </w:p>
    <w:tbl>
      <w:tblPr>
        <w:tblW w:w="5000" w:type="pct"/>
        <w:tblCellMar>
          <w:left w:w="0" w:type="dxa"/>
          <w:right w:w="0" w:type="dxa"/>
        </w:tblCellMar>
        <w:tblLook w:val="04A0" w:firstRow="1" w:lastRow="0" w:firstColumn="1" w:lastColumn="0" w:noHBand="0" w:noVBand="1"/>
      </w:tblPr>
      <w:tblGrid>
        <w:gridCol w:w="182"/>
        <w:gridCol w:w="8844"/>
      </w:tblGrid>
      <w:tr w:rsidR="00465964" w:rsidRPr="00465964" w14:paraId="4B5906F0" w14:textId="77777777" w:rsidTr="00465964">
        <w:tc>
          <w:tcPr>
            <w:tcW w:w="0" w:type="auto"/>
            <w:shd w:val="clear" w:color="auto" w:fill="auto"/>
            <w:hideMark/>
          </w:tcPr>
          <w:p w14:paraId="6894E6ED" w14:textId="77777777" w:rsidR="00465964" w:rsidRPr="00465964" w:rsidRDefault="00465964" w:rsidP="00465964">
            <w:r w:rsidRPr="00465964">
              <w:t>a)</w:t>
            </w:r>
          </w:p>
        </w:tc>
        <w:tc>
          <w:tcPr>
            <w:tcW w:w="0" w:type="auto"/>
            <w:shd w:val="clear" w:color="auto" w:fill="auto"/>
            <w:hideMark/>
          </w:tcPr>
          <w:p w14:paraId="336C1034" w14:textId="77777777" w:rsidR="00465964" w:rsidRPr="00465964" w:rsidRDefault="00465964" w:rsidP="00465964">
            <w:r w:rsidRPr="00465964">
              <w:t xml:space="preserve">Eles </w:t>
            </w:r>
            <w:proofErr w:type="spellStart"/>
            <w:r w:rsidRPr="00465964">
              <w:t>próprios</w:t>
            </w:r>
            <w:proofErr w:type="spellEnd"/>
            <w:r w:rsidRPr="00465964">
              <w:t xml:space="preserve"> e:</w:t>
            </w:r>
          </w:p>
          <w:tbl>
            <w:tblPr>
              <w:tblW w:w="5000" w:type="pct"/>
              <w:tblCellMar>
                <w:left w:w="0" w:type="dxa"/>
                <w:right w:w="0" w:type="dxa"/>
              </w:tblCellMar>
              <w:tblLook w:val="04A0" w:firstRow="1" w:lastRow="0" w:firstColumn="1" w:lastColumn="0" w:noHBand="0" w:noVBand="1"/>
            </w:tblPr>
            <w:tblGrid>
              <w:gridCol w:w="327"/>
              <w:gridCol w:w="8517"/>
            </w:tblGrid>
            <w:tr w:rsidR="00465964" w:rsidRPr="00465964" w14:paraId="1AB3F96E" w14:textId="77777777">
              <w:tc>
                <w:tcPr>
                  <w:tcW w:w="0" w:type="auto"/>
                  <w:shd w:val="clear" w:color="auto" w:fill="auto"/>
                  <w:hideMark/>
                </w:tcPr>
                <w:p w14:paraId="53B66944" w14:textId="77777777" w:rsidR="00465964" w:rsidRPr="00465964" w:rsidRDefault="00465964" w:rsidP="00465964">
                  <w:proofErr w:type="spellStart"/>
                  <w:r w:rsidRPr="00465964">
                    <w:t>i</w:t>
                  </w:r>
                  <w:proofErr w:type="spellEnd"/>
                  <w:r w:rsidRPr="00465964">
                    <w:t>)</w:t>
                  </w:r>
                </w:p>
              </w:tc>
              <w:tc>
                <w:tcPr>
                  <w:tcW w:w="0" w:type="auto"/>
                  <w:shd w:val="clear" w:color="auto" w:fill="auto"/>
                  <w:hideMark/>
                </w:tcPr>
                <w:p w14:paraId="17F12F65" w14:textId="77777777" w:rsidR="00465964" w:rsidRPr="00465964" w:rsidRDefault="00465964" w:rsidP="00465964">
                  <w:pPr>
                    <w:rPr>
                      <w:lang w:val="pt-PT"/>
                    </w:rPr>
                  </w:pPr>
                  <w:r w:rsidRPr="00465964">
                    <w:rPr>
                      <w:lang w:val="pt-PT"/>
                    </w:rPr>
                    <w:t>os seus acionistas ou membros,</w:t>
                  </w:r>
                </w:p>
              </w:tc>
            </w:tr>
          </w:tbl>
          <w:p w14:paraId="0574AC3C"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70"/>
              <w:gridCol w:w="8674"/>
            </w:tblGrid>
            <w:tr w:rsidR="00465964" w:rsidRPr="00465964" w14:paraId="313C86E0" w14:textId="77777777">
              <w:tc>
                <w:tcPr>
                  <w:tcW w:w="0" w:type="auto"/>
                  <w:shd w:val="clear" w:color="auto" w:fill="auto"/>
                  <w:hideMark/>
                </w:tcPr>
                <w:p w14:paraId="680020E8" w14:textId="77777777" w:rsidR="00465964" w:rsidRPr="00465964" w:rsidRDefault="00465964" w:rsidP="00465964">
                  <w:r w:rsidRPr="00465964">
                    <w:t>ii)</w:t>
                  </w:r>
                </w:p>
              </w:tc>
              <w:tc>
                <w:tcPr>
                  <w:tcW w:w="0" w:type="auto"/>
                  <w:shd w:val="clear" w:color="auto" w:fill="auto"/>
                  <w:hideMark/>
                </w:tcPr>
                <w:p w14:paraId="67FB5D70" w14:textId="77777777" w:rsidR="00465964" w:rsidRPr="00465964" w:rsidRDefault="00465964" w:rsidP="00465964">
                  <w:pPr>
                    <w:rPr>
                      <w:lang w:val="pt-PT"/>
                    </w:rPr>
                  </w:pPr>
                  <w:r w:rsidRPr="00465964">
                    <w:rPr>
                      <w:lang w:val="pt-PT"/>
                    </w:rPr>
                    <w:t>qualquer pessoa direta ou indiretamente associada ao prestador de serviços de criptoativos ou aos seus acionistas ou membros através de controlo,</w:t>
                  </w:r>
                </w:p>
              </w:tc>
            </w:tr>
          </w:tbl>
          <w:p w14:paraId="7A0F1C82"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447"/>
              <w:gridCol w:w="8397"/>
            </w:tblGrid>
            <w:tr w:rsidR="00465964" w:rsidRPr="00465964" w14:paraId="71A43A56" w14:textId="77777777">
              <w:tc>
                <w:tcPr>
                  <w:tcW w:w="0" w:type="auto"/>
                  <w:shd w:val="clear" w:color="auto" w:fill="auto"/>
                  <w:hideMark/>
                </w:tcPr>
                <w:p w14:paraId="30C59EF7" w14:textId="77777777" w:rsidR="00465964" w:rsidRPr="00465964" w:rsidRDefault="00465964" w:rsidP="00465964">
                  <w:r w:rsidRPr="00465964">
                    <w:t>iii)</w:t>
                  </w:r>
                </w:p>
              </w:tc>
              <w:tc>
                <w:tcPr>
                  <w:tcW w:w="0" w:type="auto"/>
                  <w:shd w:val="clear" w:color="auto" w:fill="auto"/>
                  <w:hideMark/>
                </w:tcPr>
                <w:p w14:paraId="28702766" w14:textId="77777777" w:rsidR="00465964" w:rsidRPr="00465964" w:rsidRDefault="00465964" w:rsidP="00465964">
                  <w:pPr>
                    <w:rPr>
                      <w:lang w:val="pt-PT"/>
                    </w:rPr>
                  </w:pPr>
                  <w:r w:rsidRPr="00465964">
                    <w:rPr>
                      <w:lang w:val="pt-PT"/>
                    </w:rPr>
                    <w:t>os membros do seu órgão de administração,</w:t>
                  </w:r>
                </w:p>
              </w:tc>
            </w:tr>
          </w:tbl>
          <w:p w14:paraId="445EDD9E"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722"/>
              <w:gridCol w:w="8122"/>
            </w:tblGrid>
            <w:tr w:rsidR="00465964" w:rsidRPr="00465964" w14:paraId="5639E03D" w14:textId="77777777">
              <w:tc>
                <w:tcPr>
                  <w:tcW w:w="0" w:type="auto"/>
                  <w:shd w:val="clear" w:color="auto" w:fill="auto"/>
                  <w:hideMark/>
                </w:tcPr>
                <w:p w14:paraId="0668D14A" w14:textId="77777777" w:rsidR="00465964" w:rsidRPr="00465964" w:rsidRDefault="00465964" w:rsidP="00465964">
                  <w:r w:rsidRPr="00465964">
                    <w:t>iv)</w:t>
                  </w:r>
                </w:p>
              </w:tc>
              <w:tc>
                <w:tcPr>
                  <w:tcW w:w="0" w:type="auto"/>
                  <w:shd w:val="clear" w:color="auto" w:fill="auto"/>
                  <w:hideMark/>
                </w:tcPr>
                <w:p w14:paraId="7E31C405" w14:textId="77777777" w:rsidR="00465964" w:rsidRPr="00465964" w:rsidRDefault="00465964" w:rsidP="00465964">
                  <w:proofErr w:type="spellStart"/>
                  <w:r w:rsidRPr="00465964">
                    <w:t>os</w:t>
                  </w:r>
                  <w:proofErr w:type="spellEnd"/>
                  <w:r w:rsidRPr="00465964">
                    <w:t xml:space="preserve"> </w:t>
                  </w:r>
                  <w:proofErr w:type="spellStart"/>
                  <w:r w:rsidRPr="00465964">
                    <w:t>seus</w:t>
                  </w:r>
                  <w:proofErr w:type="spellEnd"/>
                  <w:r w:rsidRPr="00465964">
                    <w:t xml:space="preserve"> </w:t>
                  </w:r>
                  <w:proofErr w:type="spellStart"/>
                  <w:r w:rsidRPr="00465964">
                    <w:t>trabalhadores</w:t>
                  </w:r>
                  <w:proofErr w:type="spellEnd"/>
                  <w:r w:rsidRPr="00465964">
                    <w:t xml:space="preserve">, </w:t>
                  </w:r>
                  <w:proofErr w:type="spellStart"/>
                  <w:r w:rsidRPr="00465964">
                    <w:t>ou</w:t>
                  </w:r>
                  <w:proofErr w:type="spellEnd"/>
                </w:p>
              </w:tc>
            </w:tr>
          </w:tbl>
          <w:p w14:paraId="055C57B6"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713"/>
              <w:gridCol w:w="8131"/>
            </w:tblGrid>
            <w:tr w:rsidR="00465964" w:rsidRPr="00465964" w14:paraId="7F60C090" w14:textId="77777777">
              <w:tc>
                <w:tcPr>
                  <w:tcW w:w="0" w:type="auto"/>
                  <w:shd w:val="clear" w:color="auto" w:fill="auto"/>
                  <w:hideMark/>
                </w:tcPr>
                <w:p w14:paraId="429D8289" w14:textId="77777777" w:rsidR="00465964" w:rsidRPr="00465964" w:rsidRDefault="00465964" w:rsidP="00465964">
                  <w:r w:rsidRPr="00465964">
                    <w:t>v)</w:t>
                  </w:r>
                </w:p>
              </w:tc>
              <w:tc>
                <w:tcPr>
                  <w:tcW w:w="0" w:type="auto"/>
                  <w:shd w:val="clear" w:color="auto" w:fill="auto"/>
                  <w:hideMark/>
                </w:tcPr>
                <w:p w14:paraId="2FA59C0F" w14:textId="77777777" w:rsidR="00465964" w:rsidRPr="00465964" w:rsidRDefault="00465964" w:rsidP="00465964">
                  <w:proofErr w:type="spellStart"/>
                  <w:r w:rsidRPr="00465964">
                    <w:t>os</w:t>
                  </w:r>
                  <w:proofErr w:type="spellEnd"/>
                  <w:r w:rsidRPr="00465964">
                    <w:t xml:space="preserve"> </w:t>
                  </w:r>
                  <w:proofErr w:type="spellStart"/>
                  <w:r w:rsidRPr="00465964">
                    <w:t>seus</w:t>
                  </w:r>
                  <w:proofErr w:type="spellEnd"/>
                  <w:r w:rsidRPr="00465964">
                    <w:t xml:space="preserve"> </w:t>
                  </w:r>
                  <w:proofErr w:type="spellStart"/>
                  <w:r w:rsidRPr="00465964">
                    <w:t>clientes</w:t>
                  </w:r>
                  <w:proofErr w:type="spellEnd"/>
                  <w:r w:rsidRPr="00465964">
                    <w:t xml:space="preserve">; </w:t>
                  </w:r>
                  <w:proofErr w:type="spellStart"/>
                  <w:r w:rsidRPr="00465964">
                    <w:t>ou</w:t>
                  </w:r>
                  <w:proofErr w:type="spellEnd"/>
                </w:p>
              </w:tc>
            </w:tr>
          </w:tbl>
          <w:p w14:paraId="3DC861B4" w14:textId="77777777" w:rsidR="00465964" w:rsidRPr="00465964" w:rsidRDefault="00465964" w:rsidP="00465964"/>
        </w:tc>
      </w:tr>
    </w:tbl>
    <w:p w14:paraId="316C0925"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262"/>
        <w:gridCol w:w="8764"/>
      </w:tblGrid>
      <w:tr w:rsidR="00465964" w:rsidRPr="00465964" w14:paraId="7089FA1C" w14:textId="77777777" w:rsidTr="00465964">
        <w:tc>
          <w:tcPr>
            <w:tcW w:w="0" w:type="auto"/>
            <w:shd w:val="clear" w:color="auto" w:fill="auto"/>
            <w:hideMark/>
          </w:tcPr>
          <w:p w14:paraId="18A78FC2" w14:textId="77777777" w:rsidR="00465964" w:rsidRPr="00465964" w:rsidRDefault="00465964" w:rsidP="00465964">
            <w:r w:rsidRPr="00465964">
              <w:t>b)</w:t>
            </w:r>
          </w:p>
        </w:tc>
        <w:tc>
          <w:tcPr>
            <w:tcW w:w="0" w:type="auto"/>
            <w:shd w:val="clear" w:color="auto" w:fill="auto"/>
            <w:hideMark/>
          </w:tcPr>
          <w:p w14:paraId="6F42CB9B" w14:textId="77777777" w:rsidR="00465964" w:rsidRPr="00465964" w:rsidRDefault="00465964" w:rsidP="00465964">
            <w:pPr>
              <w:rPr>
                <w:lang w:val="pt-PT"/>
              </w:rPr>
            </w:pPr>
            <w:r w:rsidRPr="00465964">
              <w:rPr>
                <w:lang w:val="pt-PT"/>
              </w:rPr>
              <w:t>Dois ou mais clientes cujos interesses mútuos entrem em conflito.</w:t>
            </w:r>
          </w:p>
        </w:tc>
      </w:tr>
    </w:tbl>
    <w:p w14:paraId="784CE74D" w14:textId="77777777" w:rsidR="00465964" w:rsidRPr="00465964" w:rsidRDefault="00465964" w:rsidP="00465964">
      <w:pPr>
        <w:rPr>
          <w:lang w:val="pt-PT"/>
        </w:rPr>
      </w:pPr>
      <w:r w:rsidRPr="00465964">
        <w:rPr>
          <w:lang w:val="pt-PT"/>
        </w:rPr>
        <w:t xml:space="preserve">2.   Os prestadores de serviços de criptoativos devem comunicar aos clientes e aos potenciais clientes, num lugar de destaque no seu sítio Web, a natureza geral e as fontes de conflitos de interesses referidas no </w:t>
      </w:r>
      <w:proofErr w:type="spellStart"/>
      <w:r w:rsidRPr="00465964">
        <w:rPr>
          <w:lang w:val="pt-PT"/>
        </w:rPr>
        <w:t>n.</w:t>
      </w:r>
      <w:r w:rsidRPr="00465964">
        <w:rPr>
          <w:vertAlign w:val="superscript"/>
          <w:lang w:val="pt-PT"/>
        </w:rPr>
        <w:t>o</w:t>
      </w:r>
      <w:proofErr w:type="spellEnd"/>
      <w:r w:rsidRPr="00465964">
        <w:rPr>
          <w:lang w:val="pt-PT"/>
        </w:rPr>
        <w:t> 1, bem como as medidas adotadas para os atenuar.</w:t>
      </w:r>
    </w:p>
    <w:p w14:paraId="39525ACD" w14:textId="77777777" w:rsidR="00465964" w:rsidRPr="00465964" w:rsidRDefault="00465964" w:rsidP="00465964">
      <w:pPr>
        <w:rPr>
          <w:lang w:val="pt-PT"/>
        </w:rPr>
      </w:pPr>
      <w:r w:rsidRPr="00465964">
        <w:rPr>
          <w:lang w:val="pt-PT"/>
        </w:rPr>
        <w:t xml:space="preserve">3.   A comunicação a que se refere o </w:t>
      </w:r>
      <w:proofErr w:type="spellStart"/>
      <w:r w:rsidRPr="00465964">
        <w:rPr>
          <w:lang w:val="pt-PT"/>
        </w:rPr>
        <w:t>n.</w:t>
      </w:r>
      <w:r w:rsidRPr="00465964">
        <w:rPr>
          <w:vertAlign w:val="superscript"/>
          <w:lang w:val="pt-PT"/>
        </w:rPr>
        <w:t>o</w:t>
      </w:r>
      <w:proofErr w:type="spellEnd"/>
      <w:r w:rsidRPr="00465964">
        <w:rPr>
          <w:lang w:val="pt-PT"/>
        </w:rPr>
        <w:t> 2 deve ser feita em formato eletrónico e ser suficientemente pormenorizada, tendo em conta a natureza de cada cliente, a fim de permitir que cada cliente tome uma decisão informada sobre o serviço de criptoativos no âmbito do qual surge o conflito de interesses.</w:t>
      </w:r>
    </w:p>
    <w:p w14:paraId="27723E9E" w14:textId="77777777" w:rsidR="00465964" w:rsidRPr="00465964" w:rsidRDefault="00465964" w:rsidP="00465964">
      <w:pPr>
        <w:rPr>
          <w:lang w:val="pt-PT"/>
        </w:rPr>
      </w:pPr>
      <w:r w:rsidRPr="00465964">
        <w:rPr>
          <w:lang w:val="pt-PT"/>
        </w:rPr>
        <w:lastRenderedPageBreak/>
        <w:t>4.   Os prestadores de serviços de criptoativos devem avaliar e rever, pelo menos anualmente, a sua política em matéria de conflitos de interesses e tomar todas as medidas apropriadas para resolver quaisquer deficiências a este respeito.</w:t>
      </w:r>
    </w:p>
    <w:p w14:paraId="64D90C90" w14:textId="77777777" w:rsidR="00465964" w:rsidRPr="00465964" w:rsidRDefault="00465964" w:rsidP="00465964">
      <w:pPr>
        <w:rPr>
          <w:lang w:val="pt-PT"/>
        </w:rPr>
      </w:pPr>
      <w:r w:rsidRPr="00465964">
        <w:rPr>
          <w:lang w:val="pt-PT"/>
        </w:rPr>
        <w:t>5.   A ESMA elabora, em estreita cooperação com a EBA, projetos de normas técnicas de regulamentação para especificar mais pormenorizadamente:</w:t>
      </w:r>
    </w:p>
    <w:tbl>
      <w:tblPr>
        <w:tblW w:w="5000" w:type="pct"/>
        <w:tblCellMar>
          <w:left w:w="0" w:type="dxa"/>
          <w:right w:w="0" w:type="dxa"/>
        </w:tblCellMar>
        <w:tblLook w:val="04A0" w:firstRow="1" w:lastRow="0" w:firstColumn="1" w:lastColumn="0" w:noHBand="0" w:noVBand="1"/>
      </w:tblPr>
      <w:tblGrid>
        <w:gridCol w:w="182"/>
        <w:gridCol w:w="8844"/>
      </w:tblGrid>
      <w:tr w:rsidR="00465964" w:rsidRPr="00465964" w14:paraId="085A53F8" w14:textId="77777777" w:rsidTr="00465964">
        <w:tc>
          <w:tcPr>
            <w:tcW w:w="0" w:type="auto"/>
            <w:shd w:val="clear" w:color="auto" w:fill="auto"/>
            <w:hideMark/>
          </w:tcPr>
          <w:p w14:paraId="75C3CFFE" w14:textId="77777777" w:rsidR="00465964" w:rsidRPr="00465964" w:rsidRDefault="00465964" w:rsidP="00465964">
            <w:r w:rsidRPr="00465964">
              <w:t>a)</w:t>
            </w:r>
          </w:p>
        </w:tc>
        <w:tc>
          <w:tcPr>
            <w:tcW w:w="0" w:type="auto"/>
            <w:shd w:val="clear" w:color="auto" w:fill="auto"/>
            <w:hideMark/>
          </w:tcPr>
          <w:p w14:paraId="740F41C0" w14:textId="77777777" w:rsidR="00465964" w:rsidRPr="00465964" w:rsidRDefault="00465964" w:rsidP="00465964">
            <w:pPr>
              <w:rPr>
                <w:lang w:val="pt-PT"/>
              </w:rPr>
            </w:pPr>
            <w:r w:rsidRPr="00465964">
              <w:rPr>
                <w:lang w:val="pt-PT"/>
              </w:rPr>
              <w:t xml:space="preserve">Os requisitos relativos às políticas e procedimentos a que se refere o </w:t>
            </w:r>
            <w:proofErr w:type="spellStart"/>
            <w:r w:rsidRPr="00465964">
              <w:rPr>
                <w:lang w:val="pt-PT"/>
              </w:rPr>
              <w:t>n.</w:t>
            </w:r>
            <w:r w:rsidRPr="00465964">
              <w:rPr>
                <w:vertAlign w:val="superscript"/>
                <w:lang w:val="pt-PT"/>
              </w:rPr>
              <w:t>o</w:t>
            </w:r>
            <w:proofErr w:type="spellEnd"/>
            <w:r w:rsidRPr="00465964">
              <w:rPr>
                <w:lang w:val="pt-PT"/>
              </w:rPr>
              <w:t> 1, tendo em conta a escala, a natureza e a gama dos serviços de criptoativos prestados;</w:t>
            </w:r>
          </w:p>
        </w:tc>
      </w:tr>
    </w:tbl>
    <w:p w14:paraId="0C541642"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8"/>
        <w:gridCol w:w="8838"/>
      </w:tblGrid>
      <w:tr w:rsidR="00465964" w:rsidRPr="00465964" w14:paraId="5E13524E" w14:textId="77777777" w:rsidTr="00465964">
        <w:tc>
          <w:tcPr>
            <w:tcW w:w="0" w:type="auto"/>
            <w:shd w:val="clear" w:color="auto" w:fill="auto"/>
            <w:hideMark/>
          </w:tcPr>
          <w:p w14:paraId="10E68831" w14:textId="77777777" w:rsidR="00465964" w:rsidRPr="00465964" w:rsidRDefault="00465964" w:rsidP="00465964">
            <w:r w:rsidRPr="00465964">
              <w:t>b)</w:t>
            </w:r>
          </w:p>
        </w:tc>
        <w:tc>
          <w:tcPr>
            <w:tcW w:w="0" w:type="auto"/>
            <w:shd w:val="clear" w:color="auto" w:fill="auto"/>
            <w:hideMark/>
          </w:tcPr>
          <w:p w14:paraId="77038BB3" w14:textId="77777777" w:rsidR="00465964" w:rsidRPr="00465964" w:rsidRDefault="00465964" w:rsidP="00465964">
            <w:pPr>
              <w:rPr>
                <w:lang w:val="pt-PT"/>
              </w:rPr>
            </w:pPr>
            <w:r w:rsidRPr="00465964">
              <w:rPr>
                <w:lang w:val="pt-PT"/>
              </w:rPr>
              <w:t xml:space="preserve">Os pormenores e a metodologia relativos ao conteúdo da comunicação a que se refere o </w:t>
            </w:r>
            <w:proofErr w:type="spellStart"/>
            <w:r w:rsidRPr="00465964">
              <w:rPr>
                <w:lang w:val="pt-PT"/>
              </w:rPr>
              <w:t>n.</w:t>
            </w:r>
            <w:r w:rsidRPr="00465964">
              <w:rPr>
                <w:vertAlign w:val="superscript"/>
                <w:lang w:val="pt-PT"/>
              </w:rPr>
              <w:t>o</w:t>
            </w:r>
            <w:proofErr w:type="spellEnd"/>
            <w:r w:rsidRPr="00465964">
              <w:rPr>
                <w:lang w:val="pt-PT"/>
              </w:rPr>
              <w:t> 2;</w:t>
            </w:r>
          </w:p>
        </w:tc>
      </w:tr>
    </w:tbl>
    <w:p w14:paraId="264952FA" w14:textId="77777777" w:rsidR="00465964" w:rsidRPr="00465964" w:rsidRDefault="00465964" w:rsidP="00465964">
      <w:pPr>
        <w:rPr>
          <w:lang w:val="pt-PT"/>
        </w:rPr>
      </w:pPr>
      <w:r w:rsidRPr="00465964">
        <w:rPr>
          <w:lang w:val="pt-PT"/>
        </w:rPr>
        <w:t>A ESMA apresenta à Comissão os projetos de normas técnicas de regulamentação referidos no primeiro parágrafo até 30 de junho de 2024.</w:t>
      </w:r>
    </w:p>
    <w:p w14:paraId="66011616" w14:textId="77777777" w:rsidR="00465964" w:rsidRPr="00465964" w:rsidRDefault="00465964" w:rsidP="00465964">
      <w:pPr>
        <w:rPr>
          <w:lang w:val="pt-PT"/>
        </w:rPr>
      </w:pPr>
      <w:r w:rsidRPr="00465964">
        <w:rPr>
          <w:lang w:val="pt-PT"/>
        </w:rPr>
        <w:t>É delegado na Comissão o poder de completar o presente regulamento através da adoção das normas técnicas de regulamentação a que se refere o primeiro parágrafo do presente número em conformidade com os artigos 10.</w:t>
      </w:r>
      <w:r w:rsidRPr="00465964">
        <w:rPr>
          <w:vertAlign w:val="superscript"/>
          <w:lang w:val="pt-PT"/>
        </w:rPr>
        <w:t>o</w:t>
      </w:r>
      <w:r w:rsidRPr="00465964">
        <w:rPr>
          <w:lang w:val="pt-PT"/>
        </w:rPr>
        <w:t> a 14.</w:t>
      </w:r>
      <w:r w:rsidRPr="00465964">
        <w:rPr>
          <w:vertAlign w:val="superscript"/>
          <w:lang w:val="pt-PT"/>
        </w:rPr>
        <w:t>o</w:t>
      </w:r>
      <w:r w:rsidRPr="00465964">
        <w:rPr>
          <w:lang w:val="pt-PT"/>
        </w:rPr>
        <w:t xml:space="preserve"> do Regulamento (UE) </w:t>
      </w:r>
      <w:proofErr w:type="spellStart"/>
      <w:r w:rsidRPr="00465964">
        <w:rPr>
          <w:lang w:val="pt-PT"/>
        </w:rPr>
        <w:t>n.</w:t>
      </w:r>
      <w:r w:rsidRPr="00465964">
        <w:rPr>
          <w:vertAlign w:val="superscript"/>
          <w:lang w:val="pt-PT"/>
        </w:rPr>
        <w:t>o</w:t>
      </w:r>
      <w:proofErr w:type="spellEnd"/>
      <w:r w:rsidRPr="00465964">
        <w:rPr>
          <w:lang w:val="pt-PT"/>
        </w:rPr>
        <w:t> 1095/2010.</w:t>
      </w:r>
    </w:p>
    <w:p w14:paraId="52B93EF4" w14:textId="77777777" w:rsidR="00465964" w:rsidRPr="00465964" w:rsidRDefault="00465964" w:rsidP="00465964">
      <w:pPr>
        <w:rPr>
          <w:i/>
          <w:iCs/>
          <w:lang w:val="pt-PT"/>
        </w:rPr>
      </w:pPr>
      <w:r w:rsidRPr="00465964">
        <w:rPr>
          <w:i/>
          <w:iCs/>
          <w:lang w:val="pt-PT"/>
        </w:rPr>
        <w:t>Artigo 73.</w:t>
      </w:r>
      <w:r w:rsidRPr="00465964">
        <w:rPr>
          <w:i/>
          <w:iCs/>
          <w:vertAlign w:val="superscript"/>
          <w:lang w:val="pt-PT"/>
        </w:rPr>
        <w:t>o</w:t>
      </w:r>
    </w:p>
    <w:p w14:paraId="27B1053D" w14:textId="77777777" w:rsidR="00465964" w:rsidRPr="00465964" w:rsidRDefault="00465964" w:rsidP="00465964">
      <w:pPr>
        <w:rPr>
          <w:b/>
          <w:bCs/>
          <w:lang w:val="pt-PT"/>
        </w:rPr>
      </w:pPr>
      <w:r w:rsidRPr="00465964">
        <w:rPr>
          <w:b/>
          <w:bCs/>
          <w:lang w:val="pt-PT"/>
        </w:rPr>
        <w:t>Subcontratação</w:t>
      </w:r>
    </w:p>
    <w:p w14:paraId="4D22AC88" w14:textId="77777777" w:rsidR="00465964" w:rsidRPr="00465964" w:rsidRDefault="00465964" w:rsidP="00465964">
      <w:pPr>
        <w:rPr>
          <w:lang w:val="pt-PT"/>
        </w:rPr>
      </w:pPr>
      <w:r w:rsidRPr="00465964">
        <w:rPr>
          <w:lang w:val="pt-PT"/>
        </w:rPr>
        <w:t>1.   Os prestadores de serviços de criptoativos que subcontratam serviços ou atividades a terceiros para a execução de funções operacionais devem tomar todas as medidas razoáveis para evitar riscos operacionais adicionais. Continuam a ser plenamente responsáveis pelo cumprimento de todas as suas obrigações nos termos do presente título, e asseguram em permanência o cumprimento das seguintes condições:</w:t>
      </w:r>
    </w:p>
    <w:tbl>
      <w:tblPr>
        <w:tblW w:w="5000" w:type="pct"/>
        <w:tblCellMar>
          <w:left w:w="0" w:type="dxa"/>
          <w:right w:w="0" w:type="dxa"/>
        </w:tblCellMar>
        <w:tblLook w:val="04A0" w:firstRow="1" w:lastRow="0" w:firstColumn="1" w:lastColumn="0" w:noHBand="0" w:noVBand="1"/>
      </w:tblPr>
      <w:tblGrid>
        <w:gridCol w:w="182"/>
        <w:gridCol w:w="8844"/>
      </w:tblGrid>
      <w:tr w:rsidR="00465964" w:rsidRPr="00465964" w14:paraId="39732954" w14:textId="77777777" w:rsidTr="00465964">
        <w:tc>
          <w:tcPr>
            <w:tcW w:w="0" w:type="auto"/>
            <w:shd w:val="clear" w:color="auto" w:fill="auto"/>
            <w:hideMark/>
          </w:tcPr>
          <w:p w14:paraId="4641C029" w14:textId="77777777" w:rsidR="00465964" w:rsidRPr="00465964" w:rsidRDefault="00465964" w:rsidP="00465964">
            <w:r w:rsidRPr="00465964">
              <w:t>a)</w:t>
            </w:r>
          </w:p>
        </w:tc>
        <w:tc>
          <w:tcPr>
            <w:tcW w:w="0" w:type="auto"/>
            <w:shd w:val="clear" w:color="auto" w:fill="auto"/>
            <w:hideMark/>
          </w:tcPr>
          <w:p w14:paraId="6375CE2B" w14:textId="77777777" w:rsidR="00465964" w:rsidRPr="00465964" w:rsidRDefault="00465964" w:rsidP="00465964">
            <w:pPr>
              <w:rPr>
                <w:lang w:val="pt-PT"/>
              </w:rPr>
            </w:pPr>
            <w:r w:rsidRPr="00465964">
              <w:rPr>
                <w:lang w:val="pt-PT"/>
              </w:rPr>
              <w:t>A subcontratação não implica a delegação da responsabilidade dos prestadores de serviços de criptoativos;</w:t>
            </w:r>
          </w:p>
        </w:tc>
      </w:tr>
    </w:tbl>
    <w:p w14:paraId="12054FF7"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8"/>
        <w:gridCol w:w="8838"/>
      </w:tblGrid>
      <w:tr w:rsidR="00465964" w:rsidRPr="00465964" w14:paraId="0B816FDB" w14:textId="77777777" w:rsidTr="00465964">
        <w:tc>
          <w:tcPr>
            <w:tcW w:w="0" w:type="auto"/>
            <w:shd w:val="clear" w:color="auto" w:fill="auto"/>
            <w:hideMark/>
          </w:tcPr>
          <w:p w14:paraId="70D95F0A" w14:textId="77777777" w:rsidR="00465964" w:rsidRPr="00465964" w:rsidRDefault="00465964" w:rsidP="00465964">
            <w:r w:rsidRPr="00465964">
              <w:t>b)</w:t>
            </w:r>
          </w:p>
        </w:tc>
        <w:tc>
          <w:tcPr>
            <w:tcW w:w="0" w:type="auto"/>
            <w:shd w:val="clear" w:color="auto" w:fill="auto"/>
            <w:hideMark/>
          </w:tcPr>
          <w:p w14:paraId="5E1FF832" w14:textId="77777777" w:rsidR="00465964" w:rsidRPr="00465964" w:rsidRDefault="00465964" w:rsidP="00465964">
            <w:pPr>
              <w:rPr>
                <w:lang w:val="pt-PT"/>
              </w:rPr>
            </w:pPr>
            <w:r w:rsidRPr="00465964">
              <w:rPr>
                <w:lang w:val="pt-PT"/>
              </w:rPr>
              <w:t>A subcontratação não altera a relação entre os prestadores de serviços de criptoativos e os seus clientes, nem as obrigações dos prestadores de serviços de criptoativos para com os seus clientes;</w:t>
            </w:r>
          </w:p>
        </w:tc>
      </w:tr>
    </w:tbl>
    <w:p w14:paraId="7FACE84A"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0"/>
        <w:gridCol w:w="8846"/>
      </w:tblGrid>
      <w:tr w:rsidR="00465964" w:rsidRPr="00465964" w14:paraId="247257A6" w14:textId="77777777" w:rsidTr="00465964">
        <w:tc>
          <w:tcPr>
            <w:tcW w:w="0" w:type="auto"/>
            <w:shd w:val="clear" w:color="auto" w:fill="auto"/>
            <w:hideMark/>
          </w:tcPr>
          <w:p w14:paraId="275866E1" w14:textId="77777777" w:rsidR="00465964" w:rsidRPr="00465964" w:rsidRDefault="00465964" w:rsidP="00465964">
            <w:r w:rsidRPr="00465964">
              <w:t>c)</w:t>
            </w:r>
          </w:p>
        </w:tc>
        <w:tc>
          <w:tcPr>
            <w:tcW w:w="0" w:type="auto"/>
            <w:shd w:val="clear" w:color="auto" w:fill="auto"/>
            <w:hideMark/>
          </w:tcPr>
          <w:p w14:paraId="056F934B" w14:textId="77777777" w:rsidR="00465964" w:rsidRPr="00465964" w:rsidRDefault="00465964" w:rsidP="00465964">
            <w:pPr>
              <w:rPr>
                <w:lang w:val="pt-PT"/>
              </w:rPr>
            </w:pPr>
            <w:r w:rsidRPr="00465964">
              <w:rPr>
                <w:lang w:val="pt-PT"/>
              </w:rPr>
              <w:t>A subcontratação não altera as condições da autorização dos prestadores de serviços de criptoativos;</w:t>
            </w:r>
          </w:p>
        </w:tc>
      </w:tr>
    </w:tbl>
    <w:p w14:paraId="51994602"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8"/>
        <w:gridCol w:w="8838"/>
      </w:tblGrid>
      <w:tr w:rsidR="00465964" w:rsidRPr="00465964" w14:paraId="07F8845F" w14:textId="77777777" w:rsidTr="00465964">
        <w:tc>
          <w:tcPr>
            <w:tcW w:w="0" w:type="auto"/>
            <w:shd w:val="clear" w:color="auto" w:fill="auto"/>
            <w:hideMark/>
          </w:tcPr>
          <w:p w14:paraId="001F983E" w14:textId="77777777" w:rsidR="00465964" w:rsidRPr="00465964" w:rsidRDefault="00465964" w:rsidP="00465964">
            <w:r w:rsidRPr="00465964">
              <w:t>d)</w:t>
            </w:r>
          </w:p>
        </w:tc>
        <w:tc>
          <w:tcPr>
            <w:tcW w:w="0" w:type="auto"/>
            <w:shd w:val="clear" w:color="auto" w:fill="auto"/>
            <w:hideMark/>
          </w:tcPr>
          <w:p w14:paraId="57202A02" w14:textId="77777777" w:rsidR="00465964" w:rsidRPr="00465964" w:rsidRDefault="00465964" w:rsidP="00465964">
            <w:pPr>
              <w:rPr>
                <w:lang w:val="pt-PT"/>
              </w:rPr>
            </w:pPr>
            <w:r w:rsidRPr="00465964">
              <w:rPr>
                <w:lang w:val="pt-PT"/>
              </w:rPr>
              <w:t>Os terceiros que participam na subcontratação cooperam com a autoridade competente do Estado-Membro de origem dos prestadores de serviços de criptoativos e a subcontratação não impede o exercício das funções de supervisão das autoridades competentes, incluindo o acesso </w:t>
            </w:r>
            <w:r w:rsidRPr="00465964">
              <w:rPr>
                <w:i/>
                <w:iCs/>
                <w:lang w:val="pt-PT"/>
              </w:rPr>
              <w:t>in loco</w:t>
            </w:r>
            <w:r w:rsidRPr="00465964">
              <w:rPr>
                <w:lang w:val="pt-PT"/>
              </w:rPr>
              <w:t> para a obtenção de quaisquer informações relevantes necessárias para o desempenho dessas funções;</w:t>
            </w:r>
          </w:p>
        </w:tc>
      </w:tr>
    </w:tbl>
    <w:p w14:paraId="63FAD2C1"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1"/>
        <w:gridCol w:w="8845"/>
      </w:tblGrid>
      <w:tr w:rsidR="00465964" w:rsidRPr="00465964" w14:paraId="1B2848E8" w14:textId="77777777" w:rsidTr="00465964">
        <w:tc>
          <w:tcPr>
            <w:tcW w:w="0" w:type="auto"/>
            <w:shd w:val="clear" w:color="auto" w:fill="auto"/>
            <w:hideMark/>
          </w:tcPr>
          <w:p w14:paraId="28741054" w14:textId="77777777" w:rsidR="00465964" w:rsidRPr="00465964" w:rsidRDefault="00465964" w:rsidP="00465964">
            <w:r w:rsidRPr="00465964">
              <w:t>e)</w:t>
            </w:r>
          </w:p>
        </w:tc>
        <w:tc>
          <w:tcPr>
            <w:tcW w:w="0" w:type="auto"/>
            <w:shd w:val="clear" w:color="auto" w:fill="auto"/>
            <w:hideMark/>
          </w:tcPr>
          <w:p w14:paraId="07A334AB" w14:textId="77777777" w:rsidR="00465964" w:rsidRPr="00465964" w:rsidRDefault="00465964" w:rsidP="00465964">
            <w:pPr>
              <w:rPr>
                <w:lang w:val="pt-PT"/>
              </w:rPr>
            </w:pPr>
            <w:r w:rsidRPr="00465964">
              <w:rPr>
                <w:lang w:val="pt-PT"/>
              </w:rPr>
              <w:t>Os prestadores de serviços de criptoativos conservam as competências e os recursos necessários para avaliar a qualidade dos serviços prestados, para controlar os serviços subcontratados de forma efetiva e para gerir os riscos associados à subcontratação numa base contínua;</w:t>
            </w:r>
          </w:p>
        </w:tc>
      </w:tr>
    </w:tbl>
    <w:p w14:paraId="7381BC60"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36"/>
        <w:gridCol w:w="8890"/>
      </w:tblGrid>
      <w:tr w:rsidR="00465964" w:rsidRPr="00465964" w14:paraId="0D4A97D9" w14:textId="77777777" w:rsidTr="00465964">
        <w:tc>
          <w:tcPr>
            <w:tcW w:w="0" w:type="auto"/>
            <w:shd w:val="clear" w:color="auto" w:fill="auto"/>
            <w:hideMark/>
          </w:tcPr>
          <w:p w14:paraId="5324B5BF" w14:textId="77777777" w:rsidR="00465964" w:rsidRPr="00465964" w:rsidRDefault="00465964" w:rsidP="00465964">
            <w:r w:rsidRPr="00465964">
              <w:t>f)</w:t>
            </w:r>
          </w:p>
        </w:tc>
        <w:tc>
          <w:tcPr>
            <w:tcW w:w="0" w:type="auto"/>
            <w:shd w:val="clear" w:color="auto" w:fill="auto"/>
            <w:hideMark/>
          </w:tcPr>
          <w:p w14:paraId="425D386D" w14:textId="77777777" w:rsidR="00465964" w:rsidRPr="00465964" w:rsidRDefault="00465964" w:rsidP="00465964">
            <w:pPr>
              <w:rPr>
                <w:lang w:val="pt-PT"/>
              </w:rPr>
            </w:pPr>
            <w:r w:rsidRPr="00465964">
              <w:rPr>
                <w:lang w:val="pt-PT"/>
              </w:rPr>
              <w:t>Os prestadores de serviços de criptoativos dispõem de acesso direto às informações relevantes sobre os serviços subcontratados;</w:t>
            </w:r>
          </w:p>
        </w:tc>
      </w:tr>
    </w:tbl>
    <w:p w14:paraId="01B0290B"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74"/>
        <w:gridCol w:w="8852"/>
      </w:tblGrid>
      <w:tr w:rsidR="00465964" w:rsidRPr="00465964" w14:paraId="484345F3" w14:textId="77777777" w:rsidTr="00465964">
        <w:tc>
          <w:tcPr>
            <w:tcW w:w="0" w:type="auto"/>
            <w:shd w:val="clear" w:color="auto" w:fill="auto"/>
            <w:hideMark/>
          </w:tcPr>
          <w:p w14:paraId="5E2329DD" w14:textId="77777777" w:rsidR="00465964" w:rsidRPr="00465964" w:rsidRDefault="00465964" w:rsidP="00465964">
            <w:r w:rsidRPr="00465964">
              <w:lastRenderedPageBreak/>
              <w:t>g)</w:t>
            </w:r>
          </w:p>
        </w:tc>
        <w:tc>
          <w:tcPr>
            <w:tcW w:w="0" w:type="auto"/>
            <w:shd w:val="clear" w:color="auto" w:fill="auto"/>
            <w:hideMark/>
          </w:tcPr>
          <w:p w14:paraId="0609FD33" w14:textId="77777777" w:rsidR="00465964" w:rsidRPr="00465964" w:rsidRDefault="00465964" w:rsidP="00465964">
            <w:pPr>
              <w:rPr>
                <w:lang w:val="pt-PT"/>
              </w:rPr>
            </w:pPr>
            <w:r w:rsidRPr="00465964">
              <w:rPr>
                <w:lang w:val="pt-PT"/>
              </w:rPr>
              <w:t>Os prestadores de serviços de criptoativos asseguram que os terceiros que participam na subcontratação cumprem as normas em matéria de proteção de dados da União.</w:t>
            </w:r>
          </w:p>
        </w:tc>
      </w:tr>
    </w:tbl>
    <w:p w14:paraId="57DF4C80" w14:textId="77777777" w:rsidR="00465964" w:rsidRPr="00465964" w:rsidRDefault="00465964" w:rsidP="00465964">
      <w:pPr>
        <w:rPr>
          <w:lang w:val="pt-PT"/>
        </w:rPr>
      </w:pPr>
      <w:r w:rsidRPr="00465964">
        <w:rPr>
          <w:lang w:val="pt-PT"/>
        </w:rPr>
        <w:t xml:space="preserve">Para efeitos da alínea g) do primeiro parágrafo, os prestadores de serviços de criptoativos são responsáveis por assegurar que as normas em matéria de proteção de dados constam do acordo escrito a que se refere o </w:t>
      </w:r>
      <w:proofErr w:type="spellStart"/>
      <w:r w:rsidRPr="00465964">
        <w:rPr>
          <w:lang w:val="pt-PT"/>
        </w:rPr>
        <w:t>n.</w:t>
      </w:r>
      <w:r w:rsidRPr="00465964">
        <w:rPr>
          <w:vertAlign w:val="superscript"/>
          <w:lang w:val="pt-PT"/>
        </w:rPr>
        <w:t>o</w:t>
      </w:r>
      <w:proofErr w:type="spellEnd"/>
      <w:r w:rsidRPr="00465964">
        <w:rPr>
          <w:lang w:val="pt-PT"/>
        </w:rPr>
        <w:t> 3.</w:t>
      </w:r>
    </w:p>
    <w:p w14:paraId="2C86A072" w14:textId="77777777" w:rsidR="00465964" w:rsidRPr="00465964" w:rsidRDefault="00465964" w:rsidP="00465964">
      <w:pPr>
        <w:rPr>
          <w:lang w:val="pt-PT"/>
        </w:rPr>
      </w:pPr>
      <w:r w:rsidRPr="00465964">
        <w:rPr>
          <w:lang w:val="pt-PT"/>
        </w:rPr>
        <w:t>2.   Os prestadores de serviços de criptoativos dispõem de uma política em matéria de subcontratação que inclui nomeadamente planos de contingência e estratégias de saída, tendo em conta a escala, a natureza e a gama de serviços de criptoativos prestados.</w:t>
      </w:r>
    </w:p>
    <w:p w14:paraId="43C5F601" w14:textId="77777777" w:rsidR="00465964" w:rsidRPr="00465964" w:rsidRDefault="00465964" w:rsidP="00465964">
      <w:pPr>
        <w:rPr>
          <w:lang w:val="pt-PT"/>
        </w:rPr>
      </w:pPr>
      <w:r w:rsidRPr="00465964">
        <w:rPr>
          <w:lang w:val="pt-PT"/>
        </w:rPr>
        <w:t>3.   Os prestadores de serviços de criptoativos devem definir num acordo escrito os seus direitos e obrigações, bem como os direitos e as obrigações dos terceiros aos quais subcontratam serviços ou atividades. Os acordos de subcontratação devem conferir aos prestadores de serviços de criptoativos o direito de os rescindirem.</w:t>
      </w:r>
    </w:p>
    <w:p w14:paraId="1C7B4DDF" w14:textId="77777777" w:rsidR="00465964" w:rsidRPr="00465964" w:rsidRDefault="00465964" w:rsidP="00465964">
      <w:pPr>
        <w:rPr>
          <w:lang w:val="pt-PT"/>
        </w:rPr>
      </w:pPr>
      <w:r w:rsidRPr="00465964">
        <w:rPr>
          <w:lang w:val="pt-PT"/>
        </w:rPr>
        <w:t>4.   Os prestadores de serviços de criptoativos e os terceiros devem pôr à disposição das autoridades competentes e de outras autoridades relevantes, a pedido destas, todas as informações necessárias que permitam às autoridades avaliarem a conformidade das atividades subcontratadas com os requisitos enunciados do presente título.</w:t>
      </w:r>
    </w:p>
    <w:p w14:paraId="41671EC1" w14:textId="77777777" w:rsidR="00465964" w:rsidRPr="00465964" w:rsidRDefault="00465964" w:rsidP="00465964">
      <w:pPr>
        <w:rPr>
          <w:i/>
          <w:iCs/>
          <w:lang w:val="pt-PT"/>
        </w:rPr>
      </w:pPr>
      <w:r w:rsidRPr="00465964">
        <w:rPr>
          <w:i/>
          <w:iCs/>
          <w:lang w:val="pt-PT"/>
        </w:rPr>
        <w:t>Artigo 74.</w:t>
      </w:r>
      <w:r w:rsidRPr="00465964">
        <w:rPr>
          <w:i/>
          <w:iCs/>
          <w:vertAlign w:val="superscript"/>
          <w:lang w:val="pt-PT"/>
        </w:rPr>
        <w:t>o</w:t>
      </w:r>
    </w:p>
    <w:p w14:paraId="2C13BB8A" w14:textId="77777777" w:rsidR="00465964" w:rsidRPr="00465964" w:rsidRDefault="00465964" w:rsidP="00465964">
      <w:pPr>
        <w:rPr>
          <w:b/>
          <w:bCs/>
          <w:lang w:val="pt-PT"/>
        </w:rPr>
      </w:pPr>
      <w:r w:rsidRPr="00465964">
        <w:rPr>
          <w:b/>
          <w:bCs/>
          <w:lang w:val="pt-PT"/>
        </w:rPr>
        <w:t>Liquidação ordenada dos prestadores de serviços de criptoativos</w:t>
      </w:r>
    </w:p>
    <w:p w14:paraId="0C0E666B" w14:textId="77777777" w:rsidR="00465964" w:rsidRPr="00465964" w:rsidRDefault="00465964" w:rsidP="00465964">
      <w:pPr>
        <w:rPr>
          <w:lang w:val="pt-PT"/>
        </w:rPr>
      </w:pPr>
      <w:r w:rsidRPr="00465964">
        <w:rPr>
          <w:lang w:val="pt-PT"/>
        </w:rPr>
        <w:t>Os prestadores de serviços de criptoativos que prestem os serviços referidos nos artigos 75.</w:t>
      </w:r>
      <w:r w:rsidRPr="00465964">
        <w:rPr>
          <w:vertAlign w:val="superscript"/>
          <w:lang w:val="pt-PT"/>
        </w:rPr>
        <w:t>o</w:t>
      </w:r>
      <w:r w:rsidRPr="00465964">
        <w:rPr>
          <w:lang w:val="pt-PT"/>
        </w:rPr>
        <w:t> a 79.</w:t>
      </w:r>
      <w:r w:rsidRPr="00465964">
        <w:rPr>
          <w:vertAlign w:val="superscript"/>
          <w:lang w:val="pt-PT"/>
        </w:rPr>
        <w:t>o</w:t>
      </w:r>
      <w:r w:rsidRPr="00465964">
        <w:rPr>
          <w:lang w:val="pt-PT"/>
        </w:rPr>
        <w:t> devem dispor de um plano adequado para apoiar uma liquidação ordenada das suas atividades nos termos do direito nacional aplicável, incluindo a continuidade ou a recuperação de quaisquer atividades críticas por eles realizadas. Este plano deve demonstrar a capacidade dos prestadores de serviços de criptoativos para procederem a uma liquidação ordenada sem causarem prejuízo económico indevido aos seus clientes.</w:t>
      </w:r>
    </w:p>
    <w:p w14:paraId="1F7BBCB6" w14:textId="77777777" w:rsidR="00465964" w:rsidRPr="00465964" w:rsidRDefault="00465964" w:rsidP="00465964">
      <w:pPr>
        <w:rPr>
          <w:b/>
          <w:bCs/>
          <w:lang w:val="pt-PT"/>
        </w:rPr>
      </w:pPr>
      <w:r w:rsidRPr="00465964">
        <w:rPr>
          <w:b/>
          <w:bCs/>
          <w:i/>
          <w:iCs/>
          <w:lang w:val="pt-PT"/>
        </w:rPr>
        <w:t>CAPÍTULO 3</w:t>
      </w:r>
    </w:p>
    <w:p w14:paraId="6903618A" w14:textId="77777777" w:rsidR="00465964" w:rsidRPr="00465964" w:rsidRDefault="00465964" w:rsidP="00465964">
      <w:pPr>
        <w:rPr>
          <w:b/>
          <w:bCs/>
          <w:lang w:val="pt-PT"/>
        </w:rPr>
      </w:pPr>
      <w:r w:rsidRPr="00465964">
        <w:rPr>
          <w:b/>
          <w:bCs/>
          <w:i/>
          <w:iCs/>
          <w:lang w:val="pt-PT"/>
        </w:rPr>
        <w:t>Obrigações relativas a serviços específicos de criptoativos</w:t>
      </w:r>
    </w:p>
    <w:p w14:paraId="41C1D9A7" w14:textId="77777777" w:rsidR="00465964" w:rsidRPr="00465964" w:rsidRDefault="00465964" w:rsidP="00465964">
      <w:pPr>
        <w:rPr>
          <w:i/>
          <w:iCs/>
          <w:lang w:val="pt-PT"/>
        </w:rPr>
      </w:pPr>
      <w:r w:rsidRPr="00465964">
        <w:rPr>
          <w:i/>
          <w:iCs/>
          <w:lang w:val="pt-PT"/>
        </w:rPr>
        <w:t>Artigo 75.</w:t>
      </w:r>
      <w:r w:rsidRPr="00465964">
        <w:rPr>
          <w:i/>
          <w:iCs/>
          <w:vertAlign w:val="superscript"/>
          <w:lang w:val="pt-PT"/>
        </w:rPr>
        <w:t>o</w:t>
      </w:r>
    </w:p>
    <w:p w14:paraId="44C7B26F" w14:textId="77777777" w:rsidR="00465964" w:rsidRPr="00465964" w:rsidRDefault="00465964" w:rsidP="00465964">
      <w:pPr>
        <w:rPr>
          <w:b/>
          <w:bCs/>
          <w:lang w:val="pt-PT"/>
        </w:rPr>
      </w:pPr>
      <w:r w:rsidRPr="00465964">
        <w:rPr>
          <w:b/>
          <w:bCs/>
          <w:lang w:val="pt-PT"/>
        </w:rPr>
        <w:t>Custódia e administração de criptoativos em nome de clientes</w:t>
      </w:r>
    </w:p>
    <w:p w14:paraId="3C153334" w14:textId="77777777" w:rsidR="00465964" w:rsidRPr="00465964" w:rsidRDefault="00465964" w:rsidP="00465964">
      <w:r w:rsidRPr="00465964">
        <w:rPr>
          <w:lang w:val="pt-PT"/>
        </w:rPr>
        <w:t xml:space="preserve">1.   Os prestadores de serviços de criptoativos que prestam serviços de custódia e administração de criptoativos em nome de clientes celebram um acordo com os seus clientes para especificar as suas funções e responsabilidades. </w:t>
      </w:r>
      <w:r w:rsidRPr="00465964">
        <w:t xml:space="preserve">Tal </w:t>
      </w:r>
      <w:proofErr w:type="spellStart"/>
      <w:r w:rsidRPr="00465964">
        <w:t>acordo</w:t>
      </w:r>
      <w:proofErr w:type="spellEnd"/>
      <w:r w:rsidRPr="00465964">
        <w:t xml:space="preserve"> </w:t>
      </w:r>
      <w:proofErr w:type="spellStart"/>
      <w:r w:rsidRPr="00465964">
        <w:t>deve</w:t>
      </w:r>
      <w:proofErr w:type="spellEnd"/>
      <w:r w:rsidRPr="00465964">
        <w:t xml:space="preserve"> </w:t>
      </w:r>
      <w:proofErr w:type="spellStart"/>
      <w:r w:rsidRPr="00465964">
        <w:t>incluir</w:t>
      </w:r>
      <w:proofErr w:type="spellEnd"/>
      <w:r w:rsidRPr="00465964">
        <w:t xml:space="preserve"> </w:t>
      </w:r>
      <w:proofErr w:type="spellStart"/>
      <w:r w:rsidRPr="00465964">
        <w:t>pelo</w:t>
      </w:r>
      <w:proofErr w:type="spellEnd"/>
      <w:r w:rsidRPr="00465964">
        <w:t xml:space="preserve"> </w:t>
      </w:r>
      <w:proofErr w:type="spellStart"/>
      <w:r w:rsidRPr="00465964">
        <w:t>menos</w:t>
      </w:r>
      <w:proofErr w:type="spellEnd"/>
      <w:r w:rsidRPr="00465964">
        <w:t xml:space="preserve"> </w:t>
      </w:r>
      <w:proofErr w:type="spellStart"/>
      <w:r w:rsidRPr="00465964">
        <w:t>os</w:t>
      </w:r>
      <w:proofErr w:type="spellEnd"/>
      <w:r w:rsidRPr="00465964">
        <w:t xml:space="preserve"> </w:t>
      </w:r>
      <w:proofErr w:type="spellStart"/>
      <w:r w:rsidRPr="00465964">
        <w:t>seguintes</w:t>
      </w:r>
      <w:proofErr w:type="spellEnd"/>
      <w:r w:rsidRPr="00465964">
        <w:t xml:space="preserve"> </w:t>
      </w:r>
      <w:proofErr w:type="spellStart"/>
      <w:r w:rsidRPr="00465964">
        <w:t>elementos</w:t>
      </w:r>
      <w:proofErr w:type="spellEnd"/>
      <w:r w:rsidRPr="00465964">
        <w:t>:</w:t>
      </w:r>
    </w:p>
    <w:tbl>
      <w:tblPr>
        <w:tblW w:w="5000" w:type="pct"/>
        <w:tblCellMar>
          <w:left w:w="0" w:type="dxa"/>
          <w:right w:w="0" w:type="dxa"/>
        </w:tblCellMar>
        <w:tblLook w:val="04A0" w:firstRow="1" w:lastRow="0" w:firstColumn="1" w:lastColumn="0" w:noHBand="0" w:noVBand="1"/>
      </w:tblPr>
      <w:tblGrid>
        <w:gridCol w:w="472"/>
        <w:gridCol w:w="8554"/>
      </w:tblGrid>
      <w:tr w:rsidR="00465964" w:rsidRPr="00465964" w14:paraId="32E44DB4" w14:textId="77777777" w:rsidTr="00465964">
        <w:tc>
          <w:tcPr>
            <w:tcW w:w="0" w:type="auto"/>
            <w:shd w:val="clear" w:color="auto" w:fill="auto"/>
            <w:hideMark/>
          </w:tcPr>
          <w:p w14:paraId="145A146E" w14:textId="77777777" w:rsidR="00465964" w:rsidRPr="00465964" w:rsidRDefault="00465964" w:rsidP="00465964">
            <w:r w:rsidRPr="00465964">
              <w:t>a)</w:t>
            </w:r>
          </w:p>
        </w:tc>
        <w:tc>
          <w:tcPr>
            <w:tcW w:w="0" w:type="auto"/>
            <w:shd w:val="clear" w:color="auto" w:fill="auto"/>
            <w:hideMark/>
          </w:tcPr>
          <w:p w14:paraId="5ECE7ED3" w14:textId="77777777" w:rsidR="00465964" w:rsidRPr="00465964" w:rsidRDefault="00465964" w:rsidP="00465964">
            <w:pPr>
              <w:rPr>
                <w:lang w:val="pt-PT"/>
              </w:rPr>
            </w:pPr>
            <w:r w:rsidRPr="00465964">
              <w:rPr>
                <w:lang w:val="pt-PT"/>
              </w:rPr>
              <w:t>A identidade das partes no acordo;</w:t>
            </w:r>
          </w:p>
        </w:tc>
      </w:tr>
    </w:tbl>
    <w:p w14:paraId="7B85BF30"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224"/>
        <w:gridCol w:w="8802"/>
      </w:tblGrid>
      <w:tr w:rsidR="00465964" w:rsidRPr="00465964" w14:paraId="221ACD79" w14:textId="77777777" w:rsidTr="00465964">
        <w:tc>
          <w:tcPr>
            <w:tcW w:w="0" w:type="auto"/>
            <w:shd w:val="clear" w:color="auto" w:fill="auto"/>
            <w:hideMark/>
          </w:tcPr>
          <w:p w14:paraId="55049B9B" w14:textId="77777777" w:rsidR="00465964" w:rsidRPr="00465964" w:rsidRDefault="00465964" w:rsidP="00465964">
            <w:r w:rsidRPr="00465964">
              <w:t>b)</w:t>
            </w:r>
          </w:p>
        </w:tc>
        <w:tc>
          <w:tcPr>
            <w:tcW w:w="0" w:type="auto"/>
            <w:shd w:val="clear" w:color="auto" w:fill="auto"/>
            <w:hideMark/>
          </w:tcPr>
          <w:p w14:paraId="2CD27D39" w14:textId="77777777" w:rsidR="00465964" w:rsidRPr="00465964" w:rsidRDefault="00465964" w:rsidP="00465964">
            <w:pPr>
              <w:rPr>
                <w:lang w:val="pt-PT"/>
              </w:rPr>
            </w:pPr>
            <w:r w:rsidRPr="00465964">
              <w:rPr>
                <w:lang w:val="pt-PT"/>
              </w:rPr>
              <w:t>A natureza do serviço de criptoativos prestado e uma descrição desse serviço;</w:t>
            </w:r>
          </w:p>
        </w:tc>
      </w:tr>
    </w:tbl>
    <w:p w14:paraId="794965A8"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712"/>
        <w:gridCol w:w="8314"/>
      </w:tblGrid>
      <w:tr w:rsidR="00465964" w:rsidRPr="00465964" w14:paraId="51C89AA0" w14:textId="77777777" w:rsidTr="00465964">
        <w:tc>
          <w:tcPr>
            <w:tcW w:w="0" w:type="auto"/>
            <w:shd w:val="clear" w:color="auto" w:fill="auto"/>
            <w:hideMark/>
          </w:tcPr>
          <w:p w14:paraId="0FCDE1E9" w14:textId="77777777" w:rsidR="00465964" w:rsidRPr="00465964" w:rsidRDefault="00465964" w:rsidP="00465964">
            <w:r w:rsidRPr="00465964">
              <w:t>c)</w:t>
            </w:r>
          </w:p>
        </w:tc>
        <w:tc>
          <w:tcPr>
            <w:tcW w:w="0" w:type="auto"/>
            <w:shd w:val="clear" w:color="auto" w:fill="auto"/>
            <w:hideMark/>
          </w:tcPr>
          <w:p w14:paraId="68604F21" w14:textId="77777777" w:rsidR="00465964" w:rsidRPr="00465964" w:rsidRDefault="00465964" w:rsidP="00465964">
            <w:r w:rsidRPr="00465964">
              <w:t xml:space="preserve">A </w:t>
            </w:r>
            <w:proofErr w:type="spellStart"/>
            <w:r w:rsidRPr="00465964">
              <w:t>política</w:t>
            </w:r>
            <w:proofErr w:type="spellEnd"/>
            <w:r w:rsidRPr="00465964">
              <w:t xml:space="preserve"> de </w:t>
            </w:r>
            <w:proofErr w:type="spellStart"/>
            <w:r w:rsidRPr="00465964">
              <w:t>custódia</w:t>
            </w:r>
            <w:proofErr w:type="spellEnd"/>
            <w:r w:rsidRPr="00465964">
              <w:t>;</w:t>
            </w:r>
          </w:p>
        </w:tc>
      </w:tr>
    </w:tbl>
    <w:p w14:paraId="17E0CCB6"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8"/>
        <w:gridCol w:w="8838"/>
      </w:tblGrid>
      <w:tr w:rsidR="00465964" w:rsidRPr="00465964" w14:paraId="4FA343AC" w14:textId="77777777" w:rsidTr="00465964">
        <w:tc>
          <w:tcPr>
            <w:tcW w:w="0" w:type="auto"/>
            <w:shd w:val="clear" w:color="auto" w:fill="auto"/>
            <w:hideMark/>
          </w:tcPr>
          <w:p w14:paraId="261A1AC4" w14:textId="77777777" w:rsidR="00465964" w:rsidRPr="00465964" w:rsidRDefault="00465964" w:rsidP="00465964">
            <w:r w:rsidRPr="00465964">
              <w:t>d)</w:t>
            </w:r>
          </w:p>
        </w:tc>
        <w:tc>
          <w:tcPr>
            <w:tcW w:w="0" w:type="auto"/>
            <w:shd w:val="clear" w:color="auto" w:fill="auto"/>
            <w:hideMark/>
          </w:tcPr>
          <w:p w14:paraId="528190F7" w14:textId="77777777" w:rsidR="00465964" w:rsidRPr="00465964" w:rsidRDefault="00465964" w:rsidP="00465964">
            <w:pPr>
              <w:rPr>
                <w:lang w:val="pt-PT"/>
              </w:rPr>
            </w:pPr>
            <w:r w:rsidRPr="00465964">
              <w:rPr>
                <w:lang w:val="pt-PT"/>
              </w:rPr>
              <w:t>Os meios de comunicação entre o prestador de serviços de criptoativos e o cliente, incluindo o sistema de autenticação do cliente;</w:t>
            </w:r>
          </w:p>
        </w:tc>
      </w:tr>
    </w:tbl>
    <w:p w14:paraId="4568058F"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1"/>
        <w:gridCol w:w="8845"/>
      </w:tblGrid>
      <w:tr w:rsidR="00465964" w:rsidRPr="00465964" w14:paraId="1A7A6EC0" w14:textId="77777777" w:rsidTr="00465964">
        <w:tc>
          <w:tcPr>
            <w:tcW w:w="0" w:type="auto"/>
            <w:shd w:val="clear" w:color="auto" w:fill="auto"/>
            <w:hideMark/>
          </w:tcPr>
          <w:p w14:paraId="42AA2441" w14:textId="77777777" w:rsidR="00465964" w:rsidRPr="00465964" w:rsidRDefault="00465964" w:rsidP="00465964">
            <w:r w:rsidRPr="00465964">
              <w:lastRenderedPageBreak/>
              <w:t>e)</w:t>
            </w:r>
          </w:p>
        </w:tc>
        <w:tc>
          <w:tcPr>
            <w:tcW w:w="0" w:type="auto"/>
            <w:shd w:val="clear" w:color="auto" w:fill="auto"/>
            <w:hideMark/>
          </w:tcPr>
          <w:p w14:paraId="143D9B45" w14:textId="77777777" w:rsidR="00465964" w:rsidRPr="00465964" w:rsidRDefault="00465964" w:rsidP="00465964">
            <w:pPr>
              <w:rPr>
                <w:lang w:val="pt-PT"/>
              </w:rPr>
            </w:pPr>
            <w:r w:rsidRPr="00465964">
              <w:rPr>
                <w:lang w:val="pt-PT"/>
              </w:rPr>
              <w:t>Uma descrição dos sistemas de segurança utilizados pelo prestador de serviços de criptoativos;</w:t>
            </w:r>
          </w:p>
        </w:tc>
      </w:tr>
    </w:tbl>
    <w:p w14:paraId="65F77691"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48"/>
        <w:gridCol w:w="8878"/>
      </w:tblGrid>
      <w:tr w:rsidR="00465964" w:rsidRPr="00465964" w14:paraId="4AEC6B9B" w14:textId="77777777" w:rsidTr="00465964">
        <w:tc>
          <w:tcPr>
            <w:tcW w:w="0" w:type="auto"/>
            <w:shd w:val="clear" w:color="auto" w:fill="auto"/>
            <w:hideMark/>
          </w:tcPr>
          <w:p w14:paraId="618C8911" w14:textId="77777777" w:rsidR="00465964" w:rsidRPr="00465964" w:rsidRDefault="00465964" w:rsidP="00465964">
            <w:r w:rsidRPr="00465964">
              <w:t>f)</w:t>
            </w:r>
          </w:p>
        </w:tc>
        <w:tc>
          <w:tcPr>
            <w:tcW w:w="0" w:type="auto"/>
            <w:shd w:val="clear" w:color="auto" w:fill="auto"/>
            <w:hideMark/>
          </w:tcPr>
          <w:p w14:paraId="67733CB2" w14:textId="77777777" w:rsidR="00465964" w:rsidRPr="00465964" w:rsidRDefault="00465964" w:rsidP="00465964">
            <w:pPr>
              <w:rPr>
                <w:lang w:val="pt-PT"/>
              </w:rPr>
            </w:pPr>
            <w:r w:rsidRPr="00465964">
              <w:rPr>
                <w:lang w:val="pt-PT"/>
              </w:rPr>
              <w:t>As comissões, custos e encargos aplicados pelo prestador de serviços de criptoativos;</w:t>
            </w:r>
          </w:p>
        </w:tc>
      </w:tr>
    </w:tbl>
    <w:p w14:paraId="6AE8E535"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024"/>
        <w:gridCol w:w="8002"/>
      </w:tblGrid>
      <w:tr w:rsidR="00465964" w:rsidRPr="00465964" w14:paraId="358F65A1" w14:textId="77777777" w:rsidTr="00465964">
        <w:tc>
          <w:tcPr>
            <w:tcW w:w="0" w:type="auto"/>
            <w:shd w:val="clear" w:color="auto" w:fill="auto"/>
            <w:hideMark/>
          </w:tcPr>
          <w:p w14:paraId="03AE2289" w14:textId="77777777" w:rsidR="00465964" w:rsidRPr="00465964" w:rsidRDefault="00465964" w:rsidP="00465964">
            <w:r w:rsidRPr="00465964">
              <w:t>g)</w:t>
            </w:r>
          </w:p>
        </w:tc>
        <w:tc>
          <w:tcPr>
            <w:tcW w:w="0" w:type="auto"/>
            <w:shd w:val="clear" w:color="auto" w:fill="auto"/>
            <w:hideMark/>
          </w:tcPr>
          <w:p w14:paraId="4A6F940C" w14:textId="77777777" w:rsidR="00465964" w:rsidRPr="00465964" w:rsidRDefault="00465964" w:rsidP="00465964">
            <w:r w:rsidRPr="00465964">
              <w:t xml:space="preserve">A lei </w:t>
            </w:r>
            <w:proofErr w:type="spellStart"/>
            <w:r w:rsidRPr="00465964">
              <w:t>aplicável</w:t>
            </w:r>
            <w:proofErr w:type="spellEnd"/>
            <w:r w:rsidRPr="00465964">
              <w:t>.</w:t>
            </w:r>
          </w:p>
        </w:tc>
      </w:tr>
    </w:tbl>
    <w:p w14:paraId="593AA016" w14:textId="77777777" w:rsidR="00465964" w:rsidRPr="00465964" w:rsidRDefault="00465964" w:rsidP="00465964">
      <w:pPr>
        <w:rPr>
          <w:lang w:val="pt-PT"/>
        </w:rPr>
      </w:pPr>
      <w:r w:rsidRPr="00465964">
        <w:rPr>
          <w:lang w:val="pt-PT"/>
        </w:rPr>
        <w:t>2.   Os prestadores de serviços de criptoativos que prestam serviços de custódia e administração de criptoativos em nome de clientes mantêm um registo, aberto em nome de cada cliente, das posições correspondentes aos direitos de cada cliente sobre os criptoativos. Quando relevante, os prestadores de serviços de criptoativos devem incluir o mais rapidamente possível nesse registo quaisquer movimentos feitos em cumprimento de instruções dadas pelos seus clientes. Em tais casos, os seus procedimentos internos devem assegurar que todos os movimentos que afetam o registo dos criptoativos são comprovados por uma transação devidamente inscrita no registo das posições do cliente.</w:t>
      </w:r>
    </w:p>
    <w:p w14:paraId="391C5A96" w14:textId="77777777" w:rsidR="00465964" w:rsidRPr="00465964" w:rsidRDefault="00465964" w:rsidP="00465964">
      <w:pPr>
        <w:rPr>
          <w:lang w:val="pt-PT"/>
        </w:rPr>
      </w:pPr>
      <w:r w:rsidRPr="00465964">
        <w:rPr>
          <w:lang w:val="pt-PT"/>
        </w:rPr>
        <w:t>3.   Os prestadores de serviços de criptoativos que prestam serviços de custódia e administração de criptoativos em nome de clientes criam uma política de custódia com regras e procedimentos internos para assegurar a conservação ou o controlo desses criptoativos, ou dos meios de acesso aos mesmos.</w:t>
      </w:r>
    </w:p>
    <w:p w14:paraId="0FCC0A3B" w14:textId="77777777" w:rsidR="00465964" w:rsidRPr="00465964" w:rsidRDefault="00465964" w:rsidP="00465964">
      <w:pPr>
        <w:rPr>
          <w:lang w:val="pt-PT"/>
        </w:rPr>
      </w:pPr>
      <w:r w:rsidRPr="00465964">
        <w:rPr>
          <w:lang w:val="pt-PT"/>
        </w:rPr>
        <w:t xml:space="preserve">A política de custódia a que se refere o primeiro parágrafo minimiza o risco de perda dos criptoativos do cliente, dos direitos associados a esses criptoativos ou dos meios de acesso aos criptoativos devido a situações de fraude, </w:t>
      </w:r>
      <w:proofErr w:type="spellStart"/>
      <w:r w:rsidRPr="00465964">
        <w:rPr>
          <w:lang w:val="pt-PT"/>
        </w:rPr>
        <w:t>ciberameaça</w:t>
      </w:r>
      <w:proofErr w:type="spellEnd"/>
      <w:r w:rsidRPr="00465964">
        <w:rPr>
          <w:lang w:val="pt-PT"/>
        </w:rPr>
        <w:t xml:space="preserve"> ou negligência.</w:t>
      </w:r>
    </w:p>
    <w:p w14:paraId="21B135D4" w14:textId="77777777" w:rsidR="00465964" w:rsidRPr="00465964" w:rsidRDefault="00465964" w:rsidP="00465964">
      <w:pPr>
        <w:rPr>
          <w:lang w:val="pt-PT"/>
        </w:rPr>
      </w:pPr>
      <w:r w:rsidRPr="00465964">
        <w:rPr>
          <w:lang w:val="pt-PT"/>
        </w:rPr>
        <w:t>Deve ser disponibilizado aos clientes, a pedido destes, um resumo da política de custódia em formato eletrónico.</w:t>
      </w:r>
    </w:p>
    <w:p w14:paraId="266AC8EE" w14:textId="77777777" w:rsidR="00465964" w:rsidRPr="00465964" w:rsidRDefault="00465964" w:rsidP="00465964">
      <w:pPr>
        <w:rPr>
          <w:lang w:val="pt-PT"/>
        </w:rPr>
      </w:pPr>
      <w:r w:rsidRPr="00465964">
        <w:rPr>
          <w:lang w:val="pt-PT"/>
        </w:rPr>
        <w:t>4.   Quando aplicável, os prestadores de serviços de criptoativos que prestam serviços de custódia e administração de criptoativos em nome de clientes devem facilitar o exercício dos direitos inerentes aos criptoativos. Qualquer acontecimento suscetível de criar ou alterar os direitos de um cliente é incluído de imediato no registo das posições do cliente.</w:t>
      </w:r>
    </w:p>
    <w:p w14:paraId="69AB0DCD" w14:textId="77777777" w:rsidR="00465964" w:rsidRPr="00465964" w:rsidRDefault="00465964" w:rsidP="00465964">
      <w:pPr>
        <w:rPr>
          <w:lang w:val="pt-PT"/>
        </w:rPr>
      </w:pPr>
      <w:r w:rsidRPr="00465964">
        <w:rPr>
          <w:lang w:val="pt-PT"/>
        </w:rPr>
        <w:t xml:space="preserve">Em caso de alterações da tecnologia de registo distribuído subjacente ou de qualquer outro acontecimento suscetível de criar direitos para um cliente ou de os modificar, o cliente tem direito a quaisquer criptoativos ou a quaisquer direitos recém-criados com base nas suas posições e até ao limite dessas posições detidas aquando da ocorrência dessa alteração ou acontecimento, salvo disposição expressa em contrário de um acordo válido assinado com o prestador de serviços de criptoativos que se encarrega da custódia e administração de criptoativos em nome de clientes nos termos do </w:t>
      </w:r>
      <w:proofErr w:type="spellStart"/>
      <w:r w:rsidRPr="00465964">
        <w:rPr>
          <w:lang w:val="pt-PT"/>
        </w:rPr>
        <w:t>n.</w:t>
      </w:r>
      <w:r w:rsidRPr="00465964">
        <w:rPr>
          <w:vertAlign w:val="superscript"/>
          <w:lang w:val="pt-PT"/>
        </w:rPr>
        <w:t>o</w:t>
      </w:r>
      <w:proofErr w:type="spellEnd"/>
      <w:r w:rsidRPr="00465964">
        <w:rPr>
          <w:lang w:val="pt-PT"/>
        </w:rPr>
        <w:t> 1 antes de tal alteração ou acontecimento.</w:t>
      </w:r>
    </w:p>
    <w:p w14:paraId="623D6C47" w14:textId="77777777" w:rsidR="00465964" w:rsidRPr="00465964" w:rsidRDefault="00465964" w:rsidP="00465964">
      <w:pPr>
        <w:rPr>
          <w:lang w:val="pt-PT"/>
        </w:rPr>
      </w:pPr>
      <w:r w:rsidRPr="00465964">
        <w:rPr>
          <w:lang w:val="pt-PT"/>
        </w:rPr>
        <w:t>5.   Os prestadores de serviços de criptoativos que prestem serviços de custódia e administração de criptoativos em nome de clientes fornecem aos seus clientes, pelo menos uma vez de três em três meses e a pedido do cliente em questão, uma demonstração da posição dos criptoativos registados em nome desses clientes. Essa demonstração da posição deve ser efetuada em formato eletrónico. A demonstração da posição deve identificar os criptoativos em questão, o respetivo saldo, o respetivo valor e as transferências de criptoativos efetuadas durante esse período.</w:t>
      </w:r>
    </w:p>
    <w:p w14:paraId="696FD4D4" w14:textId="77777777" w:rsidR="00465964" w:rsidRPr="00465964" w:rsidRDefault="00465964" w:rsidP="00465964">
      <w:pPr>
        <w:rPr>
          <w:lang w:val="pt-PT"/>
        </w:rPr>
      </w:pPr>
      <w:r w:rsidRPr="00465964">
        <w:rPr>
          <w:lang w:val="pt-PT"/>
        </w:rPr>
        <w:t xml:space="preserve">Os prestadores de serviços de criptoativos que prestam serviços de custódia e administração de criptoativos em nome de clientes prestam aos seus clientes, o mais rapidamente possível, </w:t>
      </w:r>
      <w:r w:rsidRPr="00465964">
        <w:rPr>
          <w:lang w:val="pt-PT"/>
        </w:rPr>
        <w:lastRenderedPageBreak/>
        <w:t>todas as informações relativas às operações sobre criptoativos que exigem uma reação desses clientes.</w:t>
      </w:r>
    </w:p>
    <w:p w14:paraId="0244BE95" w14:textId="77777777" w:rsidR="00465964" w:rsidRPr="00465964" w:rsidRDefault="00465964" w:rsidP="00465964">
      <w:pPr>
        <w:rPr>
          <w:lang w:val="pt-PT"/>
        </w:rPr>
      </w:pPr>
      <w:r w:rsidRPr="00465964">
        <w:rPr>
          <w:lang w:val="pt-PT"/>
        </w:rPr>
        <w:t>6.   Os prestadores de serviços de criptoativos que prestam serviços de custódia e administração de criptoativos em nome de clientes devem assegurar a existência dos procedimentos necessários para que os criptoativos detidos em nome dos seus clientes, ou os meios de acesso, sejam devolvidos a esses clientes com a maior brevidade possível.</w:t>
      </w:r>
    </w:p>
    <w:p w14:paraId="22500D62" w14:textId="77777777" w:rsidR="00465964" w:rsidRPr="00465964" w:rsidRDefault="00465964" w:rsidP="00465964">
      <w:pPr>
        <w:rPr>
          <w:lang w:val="pt-PT"/>
        </w:rPr>
      </w:pPr>
      <w:r w:rsidRPr="00465964">
        <w:rPr>
          <w:lang w:val="pt-PT"/>
        </w:rPr>
        <w:t>7.   Os prestadores de serviços de criptoativos que prestam serviços de custódia e administração de criptoativos em nome de clientes segregam as participações de criptoativos em nome dos seus clientes das suas próprias participações, e asseguram que os meios de acesso aos criptoativos dos seus clientes sejam claramente identificados como tal. Devem assegurar que, no registo distribuído, os criptoativos dos seus clientes sejam conservados separadamente dos seus próprios criptoativos.</w:t>
      </w:r>
    </w:p>
    <w:p w14:paraId="741E255E" w14:textId="77777777" w:rsidR="00465964" w:rsidRPr="00465964" w:rsidRDefault="00465964" w:rsidP="00465964">
      <w:pPr>
        <w:rPr>
          <w:lang w:val="pt-PT"/>
        </w:rPr>
      </w:pPr>
      <w:r w:rsidRPr="00465964">
        <w:rPr>
          <w:lang w:val="pt-PT"/>
        </w:rPr>
        <w:t>Os criptoativos detidos em custódia são juridicamente segregados do património do prestador de serviços de criptoativos, no interesse dos clientes do prestador de serviços de criptoativos, em conformidade com o direito aplicável, para que os credores do prestador de serviços de criptoativos não recorram a criptoativos detidos em custódia pelo prestador de serviços de criptoativos, em especial em caso de insolvência.</w:t>
      </w:r>
    </w:p>
    <w:p w14:paraId="438C83E7" w14:textId="77777777" w:rsidR="00465964" w:rsidRPr="00465964" w:rsidRDefault="00465964" w:rsidP="00465964">
      <w:pPr>
        <w:rPr>
          <w:lang w:val="pt-PT"/>
        </w:rPr>
      </w:pPr>
      <w:r w:rsidRPr="00465964">
        <w:rPr>
          <w:lang w:val="pt-PT"/>
        </w:rPr>
        <w:t>O prestador de serviços de criptoativos assegura que os criptoativos detidos em custódia são operacionalmente segregados do património do prestador de serviços de criptoativos.</w:t>
      </w:r>
    </w:p>
    <w:p w14:paraId="00AD1F65" w14:textId="77777777" w:rsidR="00465964" w:rsidRPr="00465964" w:rsidRDefault="00465964" w:rsidP="00465964">
      <w:pPr>
        <w:rPr>
          <w:lang w:val="pt-PT"/>
        </w:rPr>
      </w:pPr>
      <w:r w:rsidRPr="00465964">
        <w:rPr>
          <w:lang w:val="pt-PT"/>
        </w:rPr>
        <w:t xml:space="preserve">8.   Os prestadores de serviços de criptoativos que prestam serviços de custódia e administração de criptoativos em nome de clientes são responsáveis perante os seus clientes pela perda de quaisquer criptoativos ou dos meios de acesso aos criptoativos em resultado de um incidente que lhes seja imputável. A responsabilidade do prestador de serviços de criptoativos é limitada ao valor de mercado do criptoativo perdido </w:t>
      </w:r>
      <w:proofErr w:type="gramStart"/>
      <w:r w:rsidRPr="00465964">
        <w:rPr>
          <w:lang w:val="pt-PT"/>
        </w:rPr>
        <w:t>no momento em que</w:t>
      </w:r>
      <w:proofErr w:type="gramEnd"/>
      <w:r w:rsidRPr="00465964">
        <w:rPr>
          <w:lang w:val="pt-PT"/>
        </w:rPr>
        <w:t xml:space="preserve"> a perda ocorreu.</w:t>
      </w:r>
    </w:p>
    <w:p w14:paraId="0C9A1D71" w14:textId="77777777" w:rsidR="00465964" w:rsidRPr="00465964" w:rsidRDefault="00465964" w:rsidP="00465964">
      <w:pPr>
        <w:rPr>
          <w:lang w:val="pt-PT"/>
        </w:rPr>
      </w:pPr>
      <w:r w:rsidRPr="00465964">
        <w:rPr>
          <w:lang w:val="pt-PT"/>
        </w:rPr>
        <w:t>Os incidentes não imputáveis ao prestador de serviços de criptoativos incluem qualquer evento em relação ao qual o prestador de serviços de criptoativos demonstre ter ocorrido independentemente da prestação do serviço pertinente ou das operações do prestador de serviços de criptoativos, como um problema inerente ao funcionamento do registo distribuído que o prestador de serviços de criptoativos não controla.</w:t>
      </w:r>
    </w:p>
    <w:p w14:paraId="0F6830ED" w14:textId="77777777" w:rsidR="00465964" w:rsidRPr="00465964" w:rsidRDefault="00465964" w:rsidP="00465964">
      <w:pPr>
        <w:rPr>
          <w:lang w:val="pt-PT"/>
        </w:rPr>
      </w:pPr>
      <w:r w:rsidRPr="00465964">
        <w:rPr>
          <w:lang w:val="pt-PT"/>
        </w:rPr>
        <w:t>9.   Se os prestadores de serviços de criptoativos que prestam serviços de custódia e administração de criptoativos em nome de clientes recorrerem a outros prestadores de serviços de criptoativos que prestem esse serviço, só podem recorrer a prestadores de serviços de criptoativos autorizados nos termos do artigo 59.</w:t>
      </w:r>
      <w:r w:rsidRPr="00465964">
        <w:rPr>
          <w:vertAlign w:val="superscript"/>
          <w:lang w:val="pt-PT"/>
        </w:rPr>
        <w:t>o</w:t>
      </w:r>
      <w:r w:rsidRPr="00465964">
        <w:rPr>
          <w:lang w:val="pt-PT"/>
        </w:rPr>
        <w:t>.</w:t>
      </w:r>
    </w:p>
    <w:p w14:paraId="2B29ADE8" w14:textId="77777777" w:rsidR="00465964" w:rsidRPr="00465964" w:rsidRDefault="00465964" w:rsidP="00465964">
      <w:pPr>
        <w:rPr>
          <w:lang w:val="pt-PT"/>
        </w:rPr>
      </w:pPr>
      <w:r w:rsidRPr="00465964">
        <w:rPr>
          <w:lang w:val="pt-PT"/>
        </w:rPr>
        <w:t>Os prestadores de serviços de criptoativos que prestam serviços de custódia e administração de criptoativos em nome de clientes e que recorram a outros prestadores de serviços de criptoativos que prestem esse serviço informam os seus clientes desse facto.</w:t>
      </w:r>
    </w:p>
    <w:p w14:paraId="79016925" w14:textId="77777777" w:rsidR="00465964" w:rsidRPr="00465964" w:rsidRDefault="00465964" w:rsidP="00465964">
      <w:pPr>
        <w:rPr>
          <w:i/>
          <w:iCs/>
          <w:lang w:val="pt-PT"/>
        </w:rPr>
      </w:pPr>
      <w:r w:rsidRPr="00465964">
        <w:rPr>
          <w:i/>
          <w:iCs/>
          <w:lang w:val="pt-PT"/>
        </w:rPr>
        <w:t>Artigo 76.</w:t>
      </w:r>
      <w:r w:rsidRPr="00465964">
        <w:rPr>
          <w:i/>
          <w:iCs/>
          <w:vertAlign w:val="superscript"/>
          <w:lang w:val="pt-PT"/>
        </w:rPr>
        <w:t>o</w:t>
      </w:r>
    </w:p>
    <w:p w14:paraId="462B9A0E" w14:textId="77777777" w:rsidR="00465964" w:rsidRPr="00465964" w:rsidRDefault="00465964" w:rsidP="00465964">
      <w:pPr>
        <w:rPr>
          <w:b/>
          <w:bCs/>
          <w:lang w:val="pt-PT"/>
        </w:rPr>
      </w:pPr>
      <w:r w:rsidRPr="00465964">
        <w:rPr>
          <w:b/>
          <w:bCs/>
          <w:lang w:val="pt-PT"/>
        </w:rPr>
        <w:t>Operação de uma plataforma de negociação de criptoativos</w:t>
      </w:r>
    </w:p>
    <w:p w14:paraId="11C1D2A5" w14:textId="77777777" w:rsidR="00465964" w:rsidRPr="00465964" w:rsidRDefault="00465964" w:rsidP="00465964">
      <w:r w:rsidRPr="00465964">
        <w:rPr>
          <w:lang w:val="pt-PT"/>
        </w:rPr>
        <w:t xml:space="preserve">1.   Os prestadores de serviços de criptoativos que operam uma plataforma de negociação de criptoativos estabelecem, mantêm e aplicam regras de operação claras e transparentes aplicáveis à plataforma de negociação. </w:t>
      </w:r>
      <w:proofErr w:type="spellStart"/>
      <w:r w:rsidRPr="00465964">
        <w:t>Essas</w:t>
      </w:r>
      <w:proofErr w:type="spellEnd"/>
      <w:r w:rsidRPr="00465964">
        <w:t xml:space="preserve"> </w:t>
      </w:r>
      <w:proofErr w:type="spellStart"/>
      <w:r w:rsidRPr="00465964">
        <w:t>regras</w:t>
      </w:r>
      <w:proofErr w:type="spellEnd"/>
      <w:r w:rsidRPr="00465964">
        <w:t xml:space="preserve"> de </w:t>
      </w:r>
      <w:proofErr w:type="spellStart"/>
      <w:r w:rsidRPr="00465964">
        <w:t>utilização</w:t>
      </w:r>
      <w:proofErr w:type="spellEnd"/>
      <w:r w:rsidRPr="00465964">
        <w:t xml:space="preserve"> </w:t>
      </w:r>
      <w:proofErr w:type="spellStart"/>
      <w:r w:rsidRPr="00465964">
        <w:t>devem</w:t>
      </w:r>
      <w:proofErr w:type="spellEnd"/>
      <w:r w:rsidRPr="00465964">
        <w:t xml:space="preserve"> </w:t>
      </w:r>
      <w:proofErr w:type="spellStart"/>
      <w:r w:rsidRPr="00465964">
        <w:t>pelo</w:t>
      </w:r>
      <w:proofErr w:type="spellEnd"/>
      <w:r w:rsidRPr="00465964">
        <w:t xml:space="preserve"> </w:t>
      </w:r>
      <w:proofErr w:type="spellStart"/>
      <w:r w:rsidRPr="00465964">
        <w:t>menos</w:t>
      </w:r>
      <w:proofErr w:type="spellEnd"/>
      <w:r w:rsidRPr="00465964">
        <w:t>:</w:t>
      </w:r>
    </w:p>
    <w:tbl>
      <w:tblPr>
        <w:tblW w:w="5000" w:type="pct"/>
        <w:tblCellMar>
          <w:left w:w="0" w:type="dxa"/>
          <w:right w:w="0" w:type="dxa"/>
        </w:tblCellMar>
        <w:tblLook w:val="04A0" w:firstRow="1" w:lastRow="0" w:firstColumn="1" w:lastColumn="0" w:noHBand="0" w:noVBand="1"/>
      </w:tblPr>
      <w:tblGrid>
        <w:gridCol w:w="182"/>
        <w:gridCol w:w="8844"/>
      </w:tblGrid>
      <w:tr w:rsidR="00465964" w:rsidRPr="00465964" w14:paraId="506A6AC1" w14:textId="77777777" w:rsidTr="00465964">
        <w:tc>
          <w:tcPr>
            <w:tcW w:w="0" w:type="auto"/>
            <w:shd w:val="clear" w:color="auto" w:fill="auto"/>
            <w:hideMark/>
          </w:tcPr>
          <w:p w14:paraId="53BAC953" w14:textId="77777777" w:rsidR="00465964" w:rsidRPr="00465964" w:rsidRDefault="00465964" w:rsidP="00465964">
            <w:r w:rsidRPr="00465964">
              <w:lastRenderedPageBreak/>
              <w:t>a)</w:t>
            </w:r>
          </w:p>
        </w:tc>
        <w:tc>
          <w:tcPr>
            <w:tcW w:w="0" w:type="auto"/>
            <w:shd w:val="clear" w:color="auto" w:fill="auto"/>
            <w:hideMark/>
          </w:tcPr>
          <w:p w14:paraId="3FCA56A2" w14:textId="77777777" w:rsidR="00465964" w:rsidRPr="00465964" w:rsidRDefault="00465964" w:rsidP="00465964">
            <w:pPr>
              <w:rPr>
                <w:lang w:val="pt-PT"/>
              </w:rPr>
            </w:pPr>
            <w:r w:rsidRPr="00465964">
              <w:rPr>
                <w:lang w:val="pt-PT"/>
              </w:rPr>
              <w:t>Fixar os processos de aprovação, nomeadamente requisitos de devida diligência relativos aos clientes proporcionais ao risco de branqueamento de capitais ou de financiamento do terrorismo que o requerente representa em conformidade com a Diretiva (UE) 2015/849, que são aplicados antes da admissão dos criptoativos na plataforma de negociação;</w:t>
            </w:r>
          </w:p>
        </w:tc>
      </w:tr>
    </w:tbl>
    <w:p w14:paraId="1D8E4927"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8"/>
        <w:gridCol w:w="8838"/>
      </w:tblGrid>
      <w:tr w:rsidR="00465964" w:rsidRPr="00465964" w14:paraId="050C46B0" w14:textId="77777777" w:rsidTr="00465964">
        <w:tc>
          <w:tcPr>
            <w:tcW w:w="0" w:type="auto"/>
            <w:shd w:val="clear" w:color="auto" w:fill="auto"/>
            <w:hideMark/>
          </w:tcPr>
          <w:p w14:paraId="76992B3E" w14:textId="77777777" w:rsidR="00465964" w:rsidRPr="00465964" w:rsidRDefault="00465964" w:rsidP="00465964">
            <w:r w:rsidRPr="00465964">
              <w:t>b)</w:t>
            </w:r>
          </w:p>
        </w:tc>
        <w:tc>
          <w:tcPr>
            <w:tcW w:w="0" w:type="auto"/>
            <w:shd w:val="clear" w:color="auto" w:fill="auto"/>
            <w:hideMark/>
          </w:tcPr>
          <w:p w14:paraId="6D1CCDB3" w14:textId="77777777" w:rsidR="00465964" w:rsidRPr="00465964" w:rsidRDefault="00465964" w:rsidP="00465964">
            <w:pPr>
              <w:rPr>
                <w:lang w:val="pt-PT"/>
              </w:rPr>
            </w:pPr>
            <w:r w:rsidRPr="00465964">
              <w:rPr>
                <w:lang w:val="pt-PT"/>
              </w:rPr>
              <w:t>Definir as categorias de exclusão, se as houver, dos tipos de criptoativos que não são admitidos à negociação;</w:t>
            </w:r>
          </w:p>
        </w:tc>
      </w:tr>
    </w:tbl>
    <w:p w14:paraId="43008EC0"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0"/>
        <w:gridCol w:w="8846"/>
      </w:tblGrid>
      <w:tr w:rsidR="00465964" w:rsidRPr="00465964" w14:paraId="77B856C3" w14:textId="77777777" w:rsidTr="00465964">
        <w:tc>
          <w:tcPr>
            <w:tcW w:w="0" w:type="auto"/>
            <w:shd w:val="clear" w:color="auto" w:fill="auto"/>
            <w:hideMark/>
          </w:tcPr>
          <w:p w14:paraId="07713A2A" w14:textId="77777777" w:rsidR="00465964" w:rsidRPr="00465964" w:rsidRDefault="00465964" w:rsidP="00465964">
            <w:r w:rsidRPr="00465964">
              <w:t>c)</w:t>
            </w:r>
          </w:p>
        </w:tc>
        <w:tc>
          <w:tcPr>
            <w:tcW w:w="0" w:type="auto"/>
            <w:shd w:val="clear" w:color="auto" w:fill="auto"/>
            <w:hideMark/>
          </w:tcPr>
          <w:p w14:paraId="1DD10BA4" w14:textId="77777777" w:rsidR="00465964" w:rsidRPr="00465964" w:rsidRDefault="00465964" w:rsidP="00465964">
            <w:pPr>
              <w:rPr>
                <w:lang w:val="pt-PT"/>
              </w:rPr>
            </w:pPr>
            <w:r w:rsidRPr="00465964">
              <w:rPr>
                <w:lang w:val="pt-PT"/>
              </w:rPr>
              <w:t>Fixar as políticas, os procedimentos e o nível das comissões, se as houver, para a admissão à negociação;</w:t>
            </w:r>
          </w:p>
        </w:tc>
      </w:tr>
    </w:tbl>
    <w:p w14:paraId="75E55BEA"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8"/>
        <w:gridCol w:w="8838"/>
      </w:tblGrid>
      <w:tr w:rsidR="00465964" w:rsidRPr="00465964" w14:paraId="4F1A0740" w14:textId="77777777" w:rsidTr="00465964">
        <w:tc>
          <w:tcPr>
            <w:tcW w:w="0" w:type="auto"/>
            <w:shd w:val="clear" w:color="auto" w:fill="auto"/>
            <w:hideMark/>
          </w:tcPr>
          <w:p w14:paraId="7B04218E" w14:textId="77777777" w:rsidR="00465964" w:rsidRPr="00465964" w:rsidRDefault="00465964" w:rsidP="00465964">
            <w:r w:rsidRPr="00465964">
              <w:t>d)</w:t>
            </w:r>
          </w:p>
        </w:tc>
        <w:tc>
          <w:tcPr>
            <w:tcW w:w="0" w:type="auto"/>
            <w:shd w:val="clear" w:color="auto" w:fill="auto"/>
            <w:hideMark/>
          </w:tcPr>
          <w:p w14:paraId="68884709" w14:textId="77777777" w:rsidR="00465964" w:rsidRPr="00465964" w:rsidRDefault="00465964" w:rsidP="00465964">
            <w:pPr>
              <w:rPr>
                <w:lang w:val="pt-PT"/>
              </w:rPr>
            </w:pPr>
            <w:r w:rsidRPr="00465964">
              <w:rPr>
                <w:lang w:val="pt-PT"/>
              </w:rPr>
              <w:t>Fixar regras objetivas, não discriminatórias e critérios proporcionados para a participação nas atividades de negociação, promovendo o acesso equitativo e aberto à plataforma de negociação para os clientes que pretendem negociar nessa plataforma;</w:t>
            </w:r>
          </w:p>
        </w:tc>
      </w:tr>
    </w:tbl>
    <w:p w14:paraId="3494FA11"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1"/>
        <w:gridCol w:w="8845"/>
      </w:tblGrid>
      <w:tr w:rsidR="00465964" w:rsidRPr="00465964" w14:paraId="43F0AA93" w14:textId="77777777" w:rsidTr="00465964">
        <w:tc>
          <w:tcPr>
            <w:tcW w:w="0" w:type="auto"/>
            <w:shd w:val="clear" w:color="auto" w:fill="auto"/>
            <w:hideMark/>
          </w:tcPr>
          <w:p w14:paraId="524A3385" w14:textId="77777777" w:rsidR="00465964" w:rsidRPr="00465964" w:rsidRDefault="00465964" w:rsidP="00465964">
            <w:r w:rsidRPr="00465964">
              <w:t>e)</w:t>
            </w:r>
          </w:p>
        </w:tc>
        <w:tc>
          <w:tcPr>
            <w:tcW w:w="0" w:type="auto"/>
            <w:shd w:val="clear" w:color="auto" w:fill="auto"/>
            <w:hideMark/>
          </w:tcPr>
          <w:p w14:paraId="03A74AE3" w14:textId="77777777" w:rsidR="00465964" w:rsidRPr="00465964" w:rsidRDefault="00465964" w:rsidP="00465964">
            <w:pPr>
              <w:rPr>
                <w:lang w:val="pt-PT"/>
              </w:rPr>
            </w:pPr>
            <w:r w:rsidRPr="00465964">
              <w:rPr>
                <w:lang w:val="pt-PT"/>
              </w:rPr>
              <w:t>Definir regras e procedimentos não discricionários para assegurar uma negociação leal e ordenada e critérios objetivos para a execução eficiente das ordens;</w:t>
            </w:r>
          </w:p>
        </w:tc>
      </w:tr>
    </w:tbl>
    <w:p w14:paraId="02CCA784"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36"/>
        <w:gridCol w:w="8890"/>
      </w:tblGrid>
      <w:tr w:rsidR="00465964" w:rsidRPr="00465964" w14:paraId="73CCCE5D" w14:textId="77777777" w:rsidTr="00465964">
        <w:tc>
          <w:tcPr>
            <w:tcW w:w="0" w:type="auto"/>
            <w:shd w:val="clear" w:color="auto" w:fill="auto"/>
            <w:hideMark/>
          </w:tcPr>
          <w:p w14:paraId="00432BD4" w14:textId="77777777" w:rsidR="00465964" w:rsidRPr="00465964" w:rsidRDefault="00465964" w:rsidP="00465964">
            <w:r w:rsidRPr="00465964">
              <w:t>f)</w:t>
            </w:r>
          </w:p>
        </w:tc>
        <w:tc>
          <w:tcPr>
            <w:tcW w:w="0" w:type="auto"/>
            <w:shd w:val="clear" w:color="auto" w:fill="auto"/>
            <w:hideMark/>
          </w:tcPr>
          <w:p w14:paraId="2BF51253" w14:textId="77777777" w:rsidR="00465964" w:rsidRPr="00465964" w:rsidRDefault="00465964" w:rsidP="00465964">
            <w:pPr>
              <w:rPr>
                <w:lang w:val="pt-PT"/>
              </w:rPr>
            </w:pPr>
            <w:r w:rsidRPr="00465964">
              <w:rPr>
                <w:lang w:val="pt-PT"/>
              </w:rPr>
              <w:t>Fixar condições para os criptoativos continuarem acessíveis à negociação, incluindo limiares de liquidez e requisitos de informação periódica;</w:t>
            </w:r>
          </w:p>
        </w:tc>
      </w:tr>
    </w:tbl>
    <w:p w14:paraId="1315BC06"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211"/>
        <w:gridCol w:w="8815"/>
      </w:tblGrid>
      <w:tr w:rsidR="00465964" w:rsidRPr="00465964" w14:paraId="69B5EA5A" w14:textId="77777777" w:rsidTr="00465964">
        <w:tc>
          <w:tcPr>
            <w:tcW w:w="0" w:type="auto"/>
            <w:shd w:val="clear" w:color="auto" w:fill="auto"/>
            <w:hideMark/>
          </w:tcPr>
          <w:p w14:paraId="43DAFDEF" w14:textId="77777777" w:rsidR="00465964" w:rsidRPr="00465964" w:rsidRDefault="00465964" w:rsidP="00465964">
            <w:r w:rsidRPr="00465964">
              <w:t>g)</w:t>
            </w:r>
          </w:p>
        </w:tc>
        <w:tc>
          <w:tcPr>
            <w:tcW w:w="0" w:type="auto"/>
            <w:shd w:val="clear" w:color="auto" w:fill="auto"/>
            <w:hideMark/>
          </w:tcPr>
          <w:p w14:paraId="434C85CD" w14:textId="77777777" w:rsidR="00465964" w:rsidRPr="00465964" w:rsidRDefault="00465964" w:rsidP="00465964">
            <w:pPr>
              <w:rPr>
                <w:lang w:val="pt-PT"/>
              </w:rPr>
            </w:pPr>
            <w:r w:rsidRPr="00465964">
              <w:rPr>
                <w:lang w:val="pt-PT"/>
              </w:rPr>
              <w:t>Fixar as condições em que a negociação dos criptoativos pode ser suspensa;</w:t>
            </w:r>
          </w:p>
        </w:tc>
      </w:tr>
    </w:tbl>
    <w:p w14:paraId="02EC7995"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6"/>
        <w:gridCol w:w="8840"/>
      </w:tblGrid>
      <w:tr w:rsidR="00465964" w:rsidRPr="00465964" w14:paraId="1D573EB4" w14:textId="77777777" w:rsidTr="00465964">
        <w:tc>
          <w:tcPr>
            <w:tcW w:w="0" w:type="auto"/>
            <w:shd w:val="clear" w:color="auto" w:fill="auto"/>
            <w:hideMark/>
          </w:tcPr>
          <w:p w14:paraId="4500F869" w14:textId="77777777" w:rsidR="00465964" w:rsidRPr="00465964" w:rsidRDefault="00465964" w:rsidP="00465964">
            <w:r w:rsidRPr="00465964">
              <w:t>h)</w:t>
            </w:r>
          </w:p>
        </w:tc>
        <w:tc>
          <w:tcPr>
            <w:tcW w:w="0" w:type="auto"/>
            <w:shd w:val="clear" w:color="auto" w:fill="auto"/>
            <w:hideMark/>
          </w:tcPr>
          <w:p w14:paraId="51469F39" w14:textId="77777777" w:rsidR="00465964" w:rsidRPr="00465964" w:rsidRDefault="00465964" w:rsidP="00465964">
            <w:pPr>
              <w:rPr>
                <w:lang w:val="pt-PT"/>
              </w:rPr>
            </w:pPr>
            <w:r w:rsidRPr="00465964">
              <w:rPr>
                <w:lang w:val="pt-PT"/>
              </w:rPr>
              <w:t>Fixar procedimentos para assegurar a liquidação eficaz tanto de criptoativos como de fundos.</w:t>
            </w:r>
          </w:p>
        </w:tc>
      </w:tr>
    </w:tbl>
    <w:p w14:paraId="370D2F92" w14:textId="77777777" w:rsidR="00465964" w:rsidRPr="00465964" w:rsidRDefault="00465964" w:rsidP="00465964">
      <w:pPr>
        <w:rPr>
          <w:lang w:val="pt-PT"/>
        </w:rPr>
      </w:pPr>
      <w:r w:rsidRPr="00465964">
        <w:rPr>
          <w:lang w:val="pt-PT"/>
        </w:rPr>
        <w:t>Para efeitos da alínea a) do primeiro parágrafo, as regras de funcionamento devem mencionar claramente que um criptoativo não pode ser admitido à negociação se não tiver sido publicado o correspondente livrete do criptoativo nos casos em que tal é exigido pelo presente regulamento.</w:t>
      </w:r>
    </w:p>
    <w:p w14:paraId="0FE6C604" w14:textId="1E7D6BD9" w:rsidR="00465964" w:rsidRPr="00465964" w:rsidRDefault="00465964" w:rsidP="00465964">
      <w:pPr>
        <w:rPr>
          <w:lang w:val="pt-PT"/>
        </w:rPr>
      </w:pPr>
      <w:r w:rsidRPr="00465964">
        <w:rPr>
          <w:lang w:val="pt-PT"/>
        </w:rPr>
        <w:t xml:space="preserve">2.   Antes de admitir um criptoativo à negociação, os prestadores de serviços de criptoativos que operam uma plataforma de negociação de criptoativos devem assegurar que o criptoativo cumpre as regras de operação da plataforma de negociação e avaliar a adequação do criptoativo em questão. Ao avaliar a adequação de um criptoativo, os prestadores de serviços de criptoativos que operam uma plataforma de negociação devem aferir, em especial, a fiabilidade das soluções técnicas utilizadas e a potencial associação a atividades ilícitas ou fraudulentas, tendo em conta a experiência, o histórico e a idoneidade do emitente desses criptoativos e da sua equipa de desenvolvimento. Os prestadores de serviços de criptoativos que operam uma plataforma de negociação avaliam igualmente a adequação dos criptoativos que não sejam </w:t>
      </w:r>
      <w:r>
        <w:rPr>
          <w:lang w:val="pt-PT"/>
        </w:rPr>
        <w:t>criptomoedas</w:t>
      </w:r>
      <w:r w:rsidRPr="00465964">
        <w:rPr>
          <w:lang w:val="pt-PT"/>
        </w:rPr>
        <w:t xml:space="preserve"> referenciadas a ativos, nem </w:t>
      </w:r>
      <w:r>
        <w:rPr>
          <w:lang w:val="pt-PT"/>
        </w:rPr>
        <w:t>criptomoedas</w:t>
      </w:r>
      <w:r w:rsidRPr="00465964">
        <w:rPr>
          <w:lang w:val="pt-PT"/>
        </w:rPr>
        <w:t xml:space="preserve"> de moeda eletrónica a que se refere o artigo 4.</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3, primeiro parágrafo, alíneas a) a d).</w:t>
      </w:r>
    </w:p>
    <w:p w14:paraId="23472FFE" w14:textId="77777777" w:rsidR="00465964" w:rsidRPr="00465964" w:rsidRDefault="00465964" w:rsidP="00465964">
      <w:pPr>
        <w:rPr>
          <w:lang w:val="pt-PT"/>
        </w:rPr>
      </w:pPr>
      <w:r w:rsidRPr="00465964">
        <w:rPr>
          <w:lang w:val="pt-PT"/>
        </w:rPr>
        <w:t>3.   As regras de operação da plataforma de negociação de criptoativos devem impedir a admissão à negociação de criptoativos que incluam uma função de anonimização integrada, a menos que os detentores destes criptoativos e o seu histórico de transações possam ser identificados pelos prestadores de serviços de criptoativos que operam uma plataforma de negociação de criptoativos.</w:t>
      </w:r>
    </w:p>
    <w:p w14:paraId="7D08E103" w14:textId="77777777" w:rsidR="00465964" w:rsidRPr="00465964" w:rsidRDefault="00465964" w:rsidP="00465964">
      <w:pPr>
        <w:rPr>
          <w:lang w:val="pt-PT"/>
        </w:rPr>
      </w:pPr>
      <w:r w:rsidRPr="00465964">
        <w:rPr>
          <w:lang w:val="pt-PT"/>
        </w:rPr>
        <w:t xml:space="preserve">4.   As regras de operação a que se refere o </w:t>
      </w:r>
      <w:proofErr w:type="spellStart"/>
      <w:r w:rsidRPr="00465964">
        <w:rPr>
          <w:lang w:val="pt-PT"/>
        </w:rPr>
        <w:t>n.</w:t>
      </w:r>
      <w:r w:rsidRPr="00465964">
        <w:rPr>
          <w:vertAlign w:val="superscript"/>
          <w:lang w:val="pt-PT"/>
        </w:rPr>
        <w:t>o</w:t>
      </w:r>
      <w:proofErr w:type="spellEnd"/>
      <w:r w:rsidRPr="00465964">
        <w:rPr>
          <w:lang w:val="pt-PT"/>
        </w:rPr>
        <w:t> 1 devem ser redigidas numa língua oficial do Estado-Membro de origem ou numa língua habitual no sector financeiro internacional.</w:t>
      </w:r>
    </w:p>
    <w:p w14:paraId="58AD23B4" w14:textId="77777777" w:rsidR="00465964" w:rsidRPr="00465964" w:rsidRDefault="00465964" w:rsidP="00465964">
      <w:pPr>
        <w:rPr>
          <w:lang w:val="pt-PT"/>
        </w:rPr>
      </w:pPr>
      <w:r w:rsidRPr="00465964">
        <w:rPr>
          <w:lang w:val="pt-PT"/>
        </w:rPr>
        <w:lastRenderedPageBreak/>
        <w:t xml:space="preserve">Se a operação de uma plataforma de negociação de criptoativos tiver lugar noutro Estado-Membro, as regras de operação a que se refere o </w:t>
      </w:r>
      <w:proofErr w:type="spellStart"/>
      <w:r w:rsidRPr="00465964">
        <w:rPr>
          <w:lang w:val="pt-PT"/>
        </w:rPr>
        <w:t>n.</w:t>
      </w:r>
      <w:r w:rsidRPr="00465964">
        <w:rPr>
          <w:vertAlign w:val="superscript"/>
          <w:lang w:val="pt-PT"/>
        </w:rPr>
        <w:t>o</w:t>
      </w:r>
      <w:proofErr w:type="spellEnd"/>
      <w:r w:rsidRPr="00465964">
        <w:rPr>
          <w:lang w:val="pt-PT"/>
        </w:rPr>
        <w:t> 1 devem ser redigidas numa língua oficial do Estado-Membro de acolhimento ou numa língua habitual no sector financeiro internacional.</w:t>
      </w:r>
    </w:p>
    <w:p w14:paraId="053F94B9" w14:textId="77777777" w:rsidR="00465964" w:rsidRPr="00465964" w:rsidRDefault="00465964" w:rsidP="00465964">
      <w:pPr>
        <w:rPr>
          <w:lang w:val="pt-PT"/>
        </w:rPr>
      </w:pPr>
      <w:r w:rsidRPr="00465964">
        <w:rPr>
          <w:lang w:val="pt-PT"/>
        </w:rPr>
        <w:t>5.   Os prestadores de serviços de criptoativos que operam uma plataforma de negociação de criptoativos não negoceiam por conta própria na plataforma de negociação de criptoativos que operam, incluindo no caso de prestarem o serviço de troca de criptoativos por fundos ou por outros criptoativos.</w:t>
      </w:r>
    </w:p>
    <w:p w14:paraId="733938FF" w14:textId="77777777" w:rsidR="00465964" w:rsidRPr="00465964" w:rsidRDefault="00465964" w:rsidP="00465964">
      <w:pPr>
        <w:rPr>
          <w:lang w:val="pt-PT"/>
        </w:rPr>
      </w:pPr>
      <w:r w:rsidRPr="00465964">
        <w:rPr>
          <w:lang w:val="pt-PT"/>
        </w:rPr>
        <w:t>6.   Os prestadores de serviços de criptoativos que operam uma plataforma de negociação de criptoativos só estão autorizados a realizar transações simultâneas por conta própria quando o cliente tiver dado o seu consentimento a esse processo. Os prestadores de serviços de criptoativos prestam à autoridade competente informações que expliquem a sua utilização das transações simultâneas por conta própria. A autoridade competente controla a participação dos prestadores de serviços de criptoativos em transações simultâneas por conta própria, e assegura que que essa participação continua a estar abrangida pela definição desse tipo de transações e não dá origem a conflitos de interesses entre os prestadores de serviços de criptoativos e os seus clientes.</w:t>
      </w:r>
    </w:p>
    <w:p w14:paraId="754C8CE3" w14:textId="77777777" w:rsidR="00465964" w:rsidRPr="00465964" w:rsidRDefault="00465964" w:rsidP="00465964">
      <w:pPr>
        <w:rPr>
          <w:lang w:val="pt-PT"/>
        </w:rPr>
      </w:pPr>
      <w:r w:rsidRPr="00465964">
        <w:rPr>
          <w:lang w:val="pt-PT"/>
        </w:rPr>
        <w:t>7.   Os prestadores de serviços de criptoativos que operam uma plataforma de negociação de criptoativos dispõem de sistemas, procedimentos e mecanismos eficazes para assegurar que os seus sistemas de negociação:</w:t>
      </w:r>
    </w:p>
    <w:tbl>
      <w:tblPr>
        <w:tblW w:w="5000" w:type="pct"/>
        <w:tblCellMar>
          <w:left w:w="0" w:type="dxa"/>
          <w:right w:w="0" w:type="dxa"/>
        </w:tblCellMar>
        <w:tblLook w:val="04A0" w:firstRow="1" w:lastRow="0" w:firstColumn="1" w:lastColumn="0" w:noHBand="0" w:noVBand="1"/>
      </w:tblPr>
      <w:tblGrid>
        <w:gridCol w:w="1004"/>
        <w:gridCol w:w="8022"/>
      </w:tblGrid>
      <w:tr w:rsidR="00465964" w:rsidRPr="00465964" w14:paraId="5802224A" w14:textId="77777777" w:rsidTr="00465964">
        <w:tc>
          <w:tcPr>
            <w:tcW w:w="0" w:type="auto"/>
            <w:shd w:val="clear" w:color="auto" w:fill="auto"/>
            <w:hideMark/>
          </w:tcPr>
          <w:p w14:paraId="14C5E338" w14:textId="77777777" w:rsidR="00465964" w:rsidRPr="00465964" w:rsidRDefault="00465964" w:rsidP="00465964">
            <w:r w:rsidRPr="00465964">
              <w:t>a)</w:t>
            </w:r>
          </w:p>
        </w:tc>
        <w:tc>
          <w:tcPr>
            <w:tcW w:w="0" w:type="auto"/>
            <w:shd w:val="clear" w:color="auto" w:fill="auto"/>
            <w:hideMark/>
          </w:tcPr>
          <w:p w14:paraId="06AA8D79" w14:textId="77777777" w:rsidR="00465964" w:rsidRPr="00465964" w:rsidRDefault="00465964" w:rsidP="00465964">
            <w:r w:rsidRPr="00465964">
              <w:t xml:space="preserve">São </w:t>
            </w:r>
            <w:proofErr w:type="spellStart"/>
            <w:r w:rsidRPr="00465964">
              <w:t>resilientes</w:t>
            </w:r>
            <w:proofErr w:type="spellEnd"/>
            <w:r w:rsidRPr="00465964">
              <w:t>;</w:t>
            </w:r>
          </w:p>
        </w:tc>
      </w:tr>
    </w:tbl>
    <w:p w14:paraId="64EA47B9"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97"/>
        <w:gridCol w:w="8829"/>
      </w:tblGrid>
      <w:tr w:rsidR="00465964" w:rsidRPr="00465964" w14:paraId="17AFB11B" w14:textId="77777777" w:rsidTr="00465964">
        <w:tc>
          <w:tcPr>
            <w:tcW w:w="0" w:type="auto"/>
            <w:shd w:val="clear" w:color="auto" w:fill="auto"/>
            <w:hideMark/>
          </w:tcPr>
          <w:p w14:paraId="0ACE720E" w14:textId="77777777" w:rsidR="00465964" w:rsidRPr="00465964" w:rsidRDefault="00465964" w:rsidP="00465964">
            <w:r w:rsidRPr="00465964">
              <w:t>b)</w:t>
            </w:r>
          </w:p>
        </w:tc>
        <w:tc>
          <w:tcPr>
            <w:tcW w:w="0" w:type="auto"/>
            <w:shd w:val="clear" w:color="auto" w:fill="auto"/>
            <w:hideMark/>
          </w:tcPr>
          <w:p w14:paraId="2CFA4181" w14:textId="77777777" w:rsidR="00465964" w:rsidRPr="00465964" w:rsidRDefault="00465964" w:rsidP="00465964">
            <w:pPr>
              <w:rPr>
                <w:lang w:val="pt-PT"/>
              </w:rPr>
            </w:pPr>
            <w:r w:rsidRPr="00465964">
              <w:rPr>
                <w:lang w:val="pt-PT"/>
              </w:rPr>
              <w:t>Têm capacidade suficiente para lidar com os picos de volume de ordens e de mensagens;</w:t>
            </w:r>
          </w:p>
        </w:tc>
      </w:tr>
    </w:tbl>
    <w:p w14:paraId="4A2A17F9"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0"/>
        <w:gridCol w:w="8846"/>
      </w:tblGrid>
      <w:tr w:rsidR="00465964" w:rsidRPr="00465964" w14:paraId="314460A9" w14:textId="77777777" w:rsidTr="00465964">
        <w:tc>
          <w:tcPr>
            <w:tcW w:w="0" w:type="auto"/>
            <w:shd w:val="clear" w:color="auto" w:fill="auto"/>
            <w:hideMark/>
          </w:tcPr>
          <w:p w14:paraId="4BE68A04" w14:textId="77777777" w:rsidR="00465964" w:rsidRPr="00465964" w:rsidRDefault="00465964" w:rsidP="00465964">
            <w:r w:rsidRPr="00465964">
              <w:t>c)</w:t>
            </w:r>
          </w:p>
        </w:tc>
        <w:tc>
          <w:tcPr>
            <w:tcW w:w="0" w:type="auto"/>
            <w:shd w:val="clear" w:color="auto" w:fill="auto"/>
            <w:hideMark/>
          </w:tcPr>
          <w:p w14:paraId="66499E22" w14:textId="77777777" w:rsidR="00465964" w:rsidRPr="00465964" w:rsidRDefault="00465964" w:rsidP="00465964">
            <w:pPr>
              <w:rPr>
                <w:lang w:val="pt-PT"/>
              </w:rPr>
            </w:pPr>
            <w:r w:rsidRPr="00465964">
              <w:rPr>
                <w:lang w:val="pt-PT"/>
              </w:rPr>
              <w:t>Têm capacidade para assegurar uma boa negociação em condições de forte tensão no mercado;</w:t>
            </w:r>
          </w:p>
        </w:tc>
      </w:tr>
    </w:tbl>
    <w:p w14:paraId="273CF2DC"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8"/>
        <w:gridCol w:w="8838"/>
      </w:tblGrid>
      <w:tr w:rsidR="00465964" w:rsidRPr="00465964" w14:paraId="7C3B1665" w14:textId="77777777" w:rsidTr="00465964">
        <w:tc>
          <w:tcPr>
            <w:tcW w:w="0" w:type="auto"/>
            <w:shd w:val="clear" w:color="auto" w:fill="auto"/>
            <w:hideMark/>
          </w:tcPr>
          <w:p w14:paraId="683DB5FD" w14:textId="77777777" w:rsidR="00465964" w:rsidRPr="00465964" w:rsidRDefault="00465964" w:rsidP="00465964">
            <w:r w:rsidRPr="00465964">
              <w:t>d)</w:t>
            </w:r>
          </w:p>
        </w:tc>
        <w:tc>
          <w:tcPr>
            <w:tcW w:w="0" w:type="auto"/>
            <w:shd w:val="clear" w:color="auto" w:fill="auto"/>
            <w:hideMark/>
          </w:tcPr>
          <w:p w14:paraId="227BA379" w14:textId="77777777" w:rsidR="00465964" w:rsidRPr="00465964" w:rsidRDefault="00465964" w:rsidP="00465964">
            <w:pPr>
              <w:rPr>
                <w:lang w:val="pt-PT"/>
              </w:rPr>
            </w:pPr>
            <w:r w:rsidRPr="00465964">
              <w:rPr>
                <w:lang w:val="pt-PT"/>
              </w:rPr>
              <w:t>Conseguem recusar ordens que excedam os limiares de volume e preço predeterminados ou sejam claramente erróneas;</w:t>
            </w:r>
          </w:p>
        </w:tc>
      </w:tr>
    </w:tbl>
    <w:p w14:paraId="01D71ECD"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1"/>
        <w:gridCol w:w="8845"/>
      </w:tblGrid>
      <w:tr w:rsidR="00465964" w:rsidRPr="00465964" w14:paraId="5BC0834A" w14:textId="77777777" w:rsidTr="00465964">
        <w:tc>
          <w:tcPr>
            <w:tcW w:w="0" w:type="auto"/>
            <w:shd w:val="clear" w:color="auto" w:fill="auto"/>
            <w:hideMark/>
          </w:tcPr>
          <w:p w14:paraId="34C5468F" w14:textId="77777777" w:rsidR="00465964" w:rsidRPr="00465964" w:rsidRDefault="00465964" w:rsidP="00465964">
            <w:r w:rsidRPr="00465964">
              <w:t>e)</w:t>
            </w:r>
          </w:p>
        </w:tc>
        <w:tc>
          <w:tcPr>
            <w:tcW w:w="0" w:type="auto"/>
            <w:shd w:val="clear" w:color="auto" w:fill="auto"/>
            <w:hideMark/>
          </w:tcPr>
          <w:p w14:paraId="0F30BC9D" w14:textId="77777777" w:rsidR="00465964" w:rsidRPr="00465964" w:rsidRDefault="00465964" w:rsidP="00465964">
            <w:pPr>
              <w:rPr>
                <w:lang w:val="pt-PT"/>
              </w:rPr>
            </w:pPr>
            <w:r w:rsidRPr="00465964">
              <w:rPr>
                <w:lang w:val="pt-PT"/>
              </w:rPr>
              <w:t>São integralmente testados para assegurar o cumprimento das condições determinadas nas alíneas a) a d);</w:t>
            </w:r>
          </w:p>
        </w:tc>
      </w:tr>
    </w:tbl>
    <w:p w14:paraId="037986D4"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36"/>
        <w:gridCol w:w="8890"/>
      </w:tblGrid>
      <w:tr w:rsidR="00465964" w:rsidRPr="00465964" w14:paraId="3B7CA7C8" w14:textId="77777777" w:rsidTr="00465964">
        <w:tc>
          <w:tcPr>
            <w:tcW w:w="0" w:type="auto"/>
            <w:shd w:val="clear" w:color="auto" w:fill="auto"/>
            <w:hideMark/>
          </w:tcPr>
          <w:p w14:paraId="6836176E" w14:textId="77777777" w:rsidR="00465964" w:rsidRPr="00465964" w:rsidRDefault="00465964" w:rsidP="00465964">
            <w:r w:rsidRPr="00465964">
              <w:t>f)</w:t>
            </w:r>
          </w:p>
        </w:tc>
        <w:tc>
          <w:tcPr>
            <w:tcW w:w="0" w:type="auto"/>
            <w:shd w:val="clear" w:color="auto" w:fill="auto"/>
            <w:hideMark/>
          </w:tcPr>
          <w:p w14:paraId="7E2DBB70" w14:textId="77777777" w:rsidR="00465964" w:rsidRPr="00465964" w:rsidRDefault="00465964" w:rsidP="00465964">
            <w:pPr>
              <w:rPr>
                <w:lang w:val="pt-PT"/>
              </w:rPr>
            </w:pPr>
            <w:r w:rsidRPr="00465964">
              <w:rPr>
                <w:lang w:val="pt-PT"/>
              </w:rPr>
              <w:t>Estão sujeitos a mecanismos eficazes de continuidade das atividades para assegurar a continuidade dos seus serviços em caso de falha do sistema de negociação;</w:t>
            </w:r>
          </w:p>
        </w:tc>
      </w:tr>
    </w:tbl>
    <w:p w14:paraId="383D734E"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251"/>
        <w:gridCol w:w="8775"/>
      </w:tblGrid>
      <w:tr w:rsidR="00465964" w:rsidRPr="00465964" w14:paraId="1C8E4B82" w14:textId="77777777" w:rsidTr="00465964">
        <w:tc>
          <w:tcPr>
            <w:tcW w:w="0" w:type="auto"/>
            <w:shd w:val="clear" w:color="auto" w:fill="auto"/>
            <w:hideMark/>
          </w:tcPr>
          <w:p w14:paraId="287D5466" w14:textId="77777777" w:rsidR="00465964" w:rsidRPr="00465964" w:rsidRDefault="00465964" w:rsidP="00465964">
            <w:r w:rsidRPr="00465964">
              <w:t>g)</w:t>
            </w:r>
          </w:p>
        </w:tc>
        <w:tc>
          <w:tcPr>
            <w:tcW w:w="0" w:type="auto"/>
            <w:shd w:val="clear" w:color="auto" w:fill="auto"/>
            <w:hideMark/>
          </w:tcPr>
          <w:p w14:paraId="6B1B9775" w14:textId="77777777" w:rsidR="00465964" w:rsidRPr="00465964" w:rsidRDefault="00465964" w:rsidP="00465964">
            <w:pPr>
              <w:rPr>
                <w:lang w:val="pt-PT"/>
              </w:rPr>
            </w:pPr>
            <w:r w:rsidRPr="00465964">
              <w:rPr>
                <w:lang w:val="pt-PT"/>
              </w:rPr>
              <w:t>São capazes de prevenir ou detetar casos de abuso de mercado;</w:t>
            </w:r>
          </w:p>
        </w:tc>
      </w:tr>
    </w:tbl>
    <w:p w14:paraId="19F37233"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6"/>
        <w:gridCol w:w="8840"/>
      </w:tblGrid>
      <w:tr w:rsidR="00465964" w:rsidRPr="00465964" w14:paraId="26E1CC49" w14:textId="77777777" w:rsidTr="00465964">
        <w:tc>
          <w:tcPr>
            <w:tcW w:w="0" w:type="auto"/>
            <w:shd w:val="clear" w:color="auto" w:fill="auto"/>
            <w:hideMark/>
          </w:tcPr>
          <w:p w14:paraId="2B70DC4E" w14:textId="77777777" w:rsidR="00465964" w:rsidRPr="00465964" w:rsidRDefault="00465964" w:rsidP="00465964">
            <w:r w:rsidRPr="00465964">
              <w:t>h)</w:t>
            </w:r>
          </w:p>
        </w:tc>
        <w:tc>
          <w:tcPr>
            <w:tcW w:w="0" w:type="auto"/>
            <w:shd w:val="clear" w:color="auto" w:fill="auto"/>
            <w:hideMark/>
          </w:tcPr>
          <w:p w14:paraId="23C064A5" w14:textId="77777777" w:rsidR="00465964" w:rsidRPr="00465964" w:rsidRDefault="00465964" w:rsidP="00465964">
            <w:pPr>
              <w:rPr>
                <w:lang w:val="pt-PT"/>
              </w:rPr>
            </w:pPr>
            <w:r w:rsidRPr="00465964">
              <w:rPr>
                <w:lang w:val="pt-PT"/>
              </w:rPr>
              <w:t>São suficientemente sólidos para prevenir a sua utilização abusiva para efeitos de branqueamento de capitais ou de financiamento do terrorismo.</w:t>
            </w:r>
          </w:p>
        </w:tc>
      </w:tr>
    </w:tbl>
    <w:p w14:paraId="3F66C4CB" w14:textId="77777777" w:rsidR="00465964" w:rsidRPr="00465964" w:rsidRDefault="00465964" w:rsidP="00465964">
      <w:pPr>
        <w:rPr>
          <w:lang w:val="pt-PT"/>
        </w:rPr>
      </w:pPr>
      <w:r w:rsidRPr="00465964">
        <w:rPr>
          <w:lang w:val="pt-PT"/>
        </w:rPr>
        <w:t>8.   Os prestadores de serviços de criptoativos que operam uma plataforma de negociação de criptoativos informam a respetiva autoridade competente sempre que identifiquem casos de abuso de mercado ou de tentativa de abuso de mercado nos seus sistemas de negociação ou através deles.</w:t>
      </w:r>
    </w:p>
    <w:p w14:paraId="64986308" w14:textId="77777777" w:rsidR="00465964" w:rsidRPr="00465964" w:rsidRDefault="00465964" w:rsidP="00465964">
      <w:pPr>
        <w:rPr>
          <w:lang w:val="pt-PT"/>
        </w:rPr>
      </w:pPr>
      <w:r w:rsidRPr="00465964">
        <w:rPr>
          <w:lang w:val="pt-PT"/>
        </w:rPr>
        <w:t>9.   Os prestadores de serviços de criptoativos que operam uma plataforma de negociação de criptoativos disponibilizam ao público todos os preços de compra e de venda e a profundidade dos interesses de negociação a esses preços que são anunciados através das suas plataformas de negociação para os criptoativos. Os prestadores de serviços de criptoativos em causa disponibilizam em contínuo essas informações ao público durante o horário de negociação.</w:t>
      </w:r>
    </w:p>
    <w:p w14:paraId="451C0817" w14:textId="77777777" w:rsidR="00465964" w:rsidRPr="00465964" w:rsidRDefault="00465964" w:rsidP="00465964">
      <w:pPr>
        <w:rPr>
          <w:lang w:val="pt-PT"/>
        </w:rPr>
      </w:pPr>
      <w:r w:rsidRPr="00465964">
        <w:rPr>
          <w:lang w:val="pt-PT"/>
        </w:rPr>
        <w:lastRenderedPageBreak/>
        <w:t>10.   Os prestadores de serviços de criptoativos que operam uma plataforma de negociação de criptoativos tornam público o preço, o volume e a hora das transações realizadas em relação aos criptoativos negociados nas suas plataformas de negociação e divulgam as informações pormenorizadas sobre todas essas transações, tão próximo do tempo real quanto seja tecnicamente possível.</w:t>
      </w:r>
    </w:p>
    <w:p w14:paraId="5F6F408E" w14:textId="77777777" w:rsidR="00465964" w:rsidRPr="00465964" w:rsidRDefault="00465964" w:rsidP="00465964">
      <w:pPr>
        <w:rPr>
          <w:lang w:val="pt-PT"/>
        </w:rPr>
      </w:pPr>
      <w:r w:rsidRPr="00465964">
        <w:rPr>
          <w:lang w:val="pt-PT"/>
        </w:rPr>
        <w:t xml:space="preserve">11.   Os prestadores de serviços de criptoativos que operam uma plataforma de negociação de criptoativos disponibilizam ao público as informações publicadas nos termos dos </w:t>
      </w:r>
      <w:proofErr w:type="spellStart"/>
      <w:proofErr w:type="gramStart"/>
      <w:r w:rsidRPr="00465964">
        <w:rPr>
          <w:lang w:val="pt-PT"/>
        </w:rPr>
        <w:t>n.</w:t>
      </w:r>
      <w:r w:rsidRPr="00465964">
        <w:rPr>
          <w:vertAlign w:val="superscript"/>
          <w:lang w:val="pt-PT"/>
        </w:rPr>
        <w:t>os</w:t>
      </w:r>
      <w:proofErr w:type="spellEnd"/>
      <w:proofErr w:type="gramEnd"/>
      <w:r w:rsidRPr="00465964">
        <w:rPr>
          <w:lang w:val="pt-PT"/>
        </w:rPr>
        <w:t> 9 e 10 em condições comerciais razoáveis e asseguram o acesso não discriminatório a essas informações. Essas informações devem ser disponibilizadas gratuitamente 15 minutos após a publicação, num formato legível por máquina, e devem continuar publicadas durante pelo menos dois anos.</w:t>
      </w:r>
    </w:p>
    <w:p w14:paraId="4A0C7E7F" w14:textId="77777777" w:rsidR="00465964" w:rsidRPr="00465964" w:rsidRDefault="00465964" w:rsidP="00465964">
      <w:pPr>
        <w:rPr>
          <w:lang w:val="pt-PT"/>
        </w:rPr>
      </w:pPr>
      <w:r w:rsidRPr="00465964">
        <w:rPr>
          <w:lang w:val="pt-PT"/>
        </w:rPr>
        <w:t>12.   Os prestadores de serviços de criptoativos que operam uma plataforma de negociação de criptoativos iniciam a liquidação final de uma transação de criptoativos no registo distribuído no prazo de 24 horas após a transação ter sido realizada na plataforma de negociação ou, no caso de transações liquidadas fora do registo distribuído, o mais tardar até ao fecho do dia.</w:t>
      </w:r>
    </w:p>
    <w:p w14:paraId="5C5DB217" w14:textId="77777777" w:rsidR="00465964" w:rsidRPr="00465964" w:rsidRDefault="00465964" w:rsidP="00465964">
      <w:pPr>
        <w:rPr>
          <w:lang w:val="pt-PT"/>
        </w:rPr>
      </w:pPr>
      <w:r w:rsidRPr="00465964">
        <w:rPr>
          <w:lang w:val="pt-PT"/>
        </w:rPr>
        <w:t>13.   Os prestadores de serviços de criptoativos que operam uma plataforma de negociação de criptoativos asseguram que as suas estruturas tarifárias são transparentes, equitativas e não discriminatórias e que não criam incentivos para a colocação, a alteração ou o cancelamento de ordens ou para a realização de operações de uma forma que contribua para condições de negociação desordenadas ou para o abuso de mercado, conforme referido no título VI.</w:t>
      </w:r>
    </w:p>
    <w:p w14:paraId="11860209" w14:textId="77777777" w:rsidR="00465964" w:rsidRPr="00465964" w:rsidRDefault="00465964" w:rsidP="00465964">
      <w:pPr>
        <w:rPr>
          <w:lang w:val="pt-PT"/>
        </w:rPr>
      </w:pPr>
      <w:r w:rsidRPr="00465964">
        <w:rPr>
          <w:lang w:val="pt-PT"/>
        </w:rPr>
        <w:t>14.   Os prestadores de serviços de criptoativos que operam uma plataforma de negociação de criptoativos mantêm recursos e dispõem de mecanismos de salvaguarda que lhes permitam comunicar informações à sua autoridade competente em qualquer momento.</w:t>
      </w:r>
    </w:p>
    <w:p w14:paraId="5D08D967" w14:textId="77777777" w:rsidR="00465964" w:rsidRPr="00465964" w:rsidRDefault="00465964" w:rsidP="00465964">
      <w:pPr>
        <w:rPr>
          <w:lang w:val="pt-PT"/>
        </w:rPr>
      </w:pPr>
      <w:r w:rsidRPr="00465964">
        <w:rPr>
          <w:lang w:val="pt-PT"/>
        </w:rPr>
        <w:t>15.   Os prestadores de serviços de criptoativos que operam uma plataforma de negociação mantêm à disposição da autoridade competente, durante pelo menos cinco anos, os dados pertinentes relativos a todas as ordens de criptoativos que são anunciadas através dos seus sistemas, ou permitem à autoridade competente aceder à carteira de ordens para que a autoridade competente possa controlar a atividade de negociação. Os referidos dados pertinentes incluem as características da ordem, nomeadamente as que ligam uma ordem às transações executadas em virtude da mesma.</w:t>
      </w:r>
    </w:p>
    <w:p w14:paraId="37891EDB" w14:textId="77777777" w:rsidR="00465964" w:rsidRPr="00465964" w:rsidRDefault="00465964" w:rsidP="00465964">
      <w:pPr>
        <w:rPr>
          <w:lang w:val="pt-PT"/>
        </w:rPr>
      </w:pPr>
      <w:r w:rsidRPr="00465964">
        <w:rPr>
          <w:lang w:val="pt-PT"/>
        </w:rPr>
        <w:t>16.   A ESMA elabora projetos de normas técnicas de regulamentação para especificar mais pormenorizadamente:</w:t>
      </w:r>
    </w:p>
    <w:tbl>
      <w:tblPr>
        <w:tblW w:w="5000" w:type="pct"/>
        <w:tblCellMar>
          <w:left w:w="0" w:type="dxa"/>
          <w:right w:w="0" w:type="dxa"/>
        </w:tblCellMar>
        <w:tblLook w:val="04A0" w:firstRow="1" w:lastRow="0" w:firstColumn="1" w:lastColumn="0" w:noHBand="0" w:noVBand="1"/>
      </w:tblPr>
      <w:tblGrid>
        <w:gridCol w:w="182"/>
        <w:gridCol w:w="8844"/>
      </w:tblGrid>
      <w:tr w:rsidR="00465964" w:rsidRPr="00465964" w14:paraId="2E46E483" w14:textId="77777777" w:rsidTr="00465964">
        <w:tc>
          <w:tcPr>
            <w:tcW w:w="0" w:type="auto"/>
            <w:shd w:val="clear" w:color="auto" w:fill="auto"/>
            <w:hideMark/>
          </w:tcPr>
          <w:p w14:paraId="22719A9E" w14:textId="77777777" w:rsidR="00465964" w:rsidRPr="00465964" w:rsidRDefault="00465964" w:rsidP="00465964">
            <w:r w:rsidRPr="00465964">
              <w:t>a)</w:t>
            </w:r>
          </w:p>
        </w:tc>
        <w:tc>
          <w:tcPr>
            <w:tcW w:w="0" w:type="auto"/>
            <w:shd w:val="clear" w:color="auto" w:fill="auto"/>
            <w:hideMark/>
          </w:tcPr>
          <w:p w14:paraId="7B4557D1" w14:textId="77777777" w:rsidR="00465964" w:rsidRPr="00465964" w:rsidRDefault="00465964" w:rsidP="00465964">
            <w:pPr>
              <w:rPr>
                <w:lang w:val="pt-PT"/>
              </w:rPr>
            </w:pPr>
            <w:r w:rsidRPr="00465964">
              <w:rPr>
                <w:lang w:val="pt-PT"/>
              </w:rPr>
              <w:t xml:space="preserve">De que forma devem ser apresentados os dados relacionados com as obrigações de transparência, incluindo o grau de desagregação desses dados a disponibilizar ao público nos termos dos </w:t>
            </w:r>
            <w:proofErr w:type="spellStart"/>
            <w:proofErr w:type="gramStart"/>
            <w:r w:rsidRPr="00465964">
              <w:rPr>
                <w:lang w:val="pt-PT"/>
              </w:rPr>
              <w:t>n.</w:t>
            </w:r>
            <w:r w:rsidRPr="00465964">
              <w:rPr>
                <w:vertAlign w:val="superscript"/>
                <w:lang w:val="pt-PT"/>
              </w:rPr>
              <w:t>os</w:t>
            </w:r>
            <w:proofErr w:type="spellEnd"/>
            <w:proofErr w:type="gramEnd"/>
            <w:r w:rsidRPr="00465964">
              <w:rPr>
                <w:lang w:val="pt-PT"/>
              </w:rPr>
              <w:t> 1, 9 e 10;</w:t>
            </w:r>
          </w:p>
        </w:tc>
      </w:tr>
    </w:tbl>
    <w:p w14:paraId="70B94B88"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8"/>
        <w:gridCol w:w="8838"/>
      </w:tblGrid>
      <w:tr w:rsidR="00465964" w:rsidRPr="00465964" w14:paraId="44092DF2" w14:textId="77777777" w:rsidTr="00465964">
        <w:tc>
          <w:tcPr>
            <w:tcW w:w="0" w:type="auto"/>
            <w:shd w:val="clear" w:color="auto" w:fill="auto"/>
            <w:hideMark/>
          </w:tcPr>
          <w:p w14:paraId="0F93875C" w14:textId="77777777" w:rsidR="00465964" w:rsidRPr="00465964" w:rsidRDefault="00465964" w:rsidP="00465964">
            <w:r w:rsidRPr="00465964">
              <w:t>b)</w:t>
            </w:r>
          </w:p>
        </w:tc>
        <w:tc>
          <w:tcPr>
            <w:tcW w:w="0" w:type="auto"/>
            <w:shd w:val="clear" w:color="auto" w:fill="auto"/>
            <w:hideMark/>
          </w:tcPr>
          <w:p w14:paraId="29BC9E14" w14:textId="77777777" w:rsidR="00465964" w:rsidRPr="00465964" w:rsidRDefault="00465964" w:rsidP="00465964">
            <w:pPr>
              <w:rPr>
                <w:lang w:val="pt-PT"/>
              </w:rPr>
            </w:pPr>
            <w:r w:rsidRPr="00465964">
              <w:rPr>
                <w:lang w:val="pt-PT"/>
              </w:rPr>
              <w:t xml:space="preserve">O conteúdo e o formato dos registos da carteira de ordens a manter conforme especificado no </w:t>
            </w:r>
            <w:proofErr w:type="spellStart"/>
            <w:r w:rsidRPr="00465964">
              <w:rPr>
                <w:lang w:val="pt-PT"/>
              </w:rPr>
              <w:t>n.</w:t>
            </w:r>
            <w:r w:rsidRPr="00465964">
              <w:rPr>
                <w:vertAlign w:val="superscript"/>
                <w:lang w:val="pt-PT"/>
              </w:rPr>
              <w:t>o</w:t>
            </w:r>
            <w:proofErr w:type="spellEnd"/>
            <w:r w:rsidRPr="00465964">
              <w:rPr>
                <w:lang w:val="pt-PT"/>
              </w:rPr>
              <w:t> 15.</w:t>
            </w:r>
          </w:p>
        </w:tc>
      </w:tr>
    </w:tbl>
    <w:p w14:paraId="2F347E19" w14:textId="77777777" w:rsidR="00465964" w:rsidRPr="00465964" w:rsidRDefault="00465964" w:rsidP="00465964">
      <w:pPr>
        <w:rPr>
          <w:lang w:val="pt-PT"/>
        </w:rPr>
      </w:pPr>
      <w:r w:rsidRPr="00465964">
        <w:rPr>
          <w:lang w:val="pt-PT"/>
        </w:rPr>
        <w:t>A ESMA apresenta à Comissão os projetos de normas técnicas de regulamentação referidos no primeiro parágrafo até 30 de junho de 2024.</w:t>
      </w:r>
    </w:p>
    <w:p w14:paraId="0BD64F1D" w14:textId="77777777" w:rsidR="00465964" w:rsidRPr="00465964" w:rsidRDefault="00465964" w:rsidP="00465964">
      <w:pPr>
        <w:rPr>
          <w:lang w:val="pt-PT"/>
        </w:rPr>
      </w:pPr>
      <w:r w:rsidRPr="00465964">
        <w:rPr>
          <w:lang w:val="pt-PT"/>
        </w:rPr>
        <w:t>É delegado na Comissão o poder de completar o presente regulamento através da adoção das normas técnicas de regulamentação a que se refere o primeiro parágrafo do presente número em conformidade com os artigos 10.</w:t>
      </w:r>
      <w:r w:rsidRPr="00465964">
        <w:rPr>
          <w:vertAlign w:val="superscript"/>
          <w:lang w:val="pt-PT"/>
        </w:rPr>
        <w:t>o</w:t>
      </w:r>
      <w:r w:rsidRPr="00465964">
        <w:rPr>
          <w:lang w:val="pt-PT"/>
        </w:rPr>
        <w:t> a 14.</w:t>
      </w:r>
      <w:r w:rsidRPr="00465964">
        <w:rPr>
          <w:vertAlign w:val="superscript"/>
          <w:lang w:val="pt-PT"/>
        </w:rPr>
        <w:t>o</w:t>
      </w:r>
      <w:r w:rsidRPr="00465964">
        <w:rPr>
          <w:lang w:val="pt-PT"/>
        </w:rPr>
        <w:t xml:space="preserve"> do Regulamento (UE) </w:t>
      </w:r>
      <w:proofErr w:type="spellStart"/>
      <w:r w:rsidRPr="00465964">
        <w:rPr>
          <w:lang w:val="pt-PT"/>
        </w:rPr>
        <w:t>n.</w:t>
      </w:r>
      <w:r w:rsidRPr="00465964">
        <w:rPr>
          <w:vertAlign w:val="superscript"/>
          <w:lang w:val="pt-PT"/>
        </w:rPr>
        <w:t>o</w:t>
      </w:r>
      <w:proofErr w:type="spellEnd"/>
      <w:r w:rsidRPr="00465964">
        <w:rPr>
          <w:lang w:val="pt-PT"/>
        </w:rPr>
        <w:t> 1095/2010.</w:t>
      </w:r>
    </w:p>
    <w:p w14:paraId="37A5D0B2" w14:textId="77777777" w:rsidR="00465964" w:rsidRPr="00465964" w:rsidRDefault="00465964" w:rsidP="00465964">
      <w:pPr>
        <w:rPr>
          <w:i/>
          <w:iCs/>
          <w:lang w:val="pt-PT"/>
        </w:rPr>
      </w:pPr>
      <w:r w:rsidRPr="00465964">
        <w:rPr>
          <w:i/>
          <w:iCs/>
          <w:lang w:val="pt-PT"/>
        </w:rPr>
        <w:lastRenderedPageBreak/>
        <w:t>Artigo 77.</w:t>
      </w:r>
      <w:r w:rsidRPr="00465964">
        <w:rPr>
          <w:i/>
          <w:iCs/>
          <w:vertAlign w:val="superscript"/>
          <w:lang w:val="pt-PT"/>
        </w:rPr>
        <w:t>o</w:t>
      </w:r>
    </w:p>
    <w:p w14:paraId="6F44093D" w14:textId="77777777" w:rsidR="00465964" w:rsidRPr="00465964" w:rsidRDefault="00465964" w:rsidP="00465964">
      <w:pPr>
        <w:rPr>
          <w:b/>
          <w:bCs/>
          <w:lang w:val="pt-PT"/>
        </w:rPr>
      </w:pPr>
      <w:r w:rsidRPr="00465964">
        <w:rPr>
          <w:b/>
          <w:bCs/>
          <w:lang w:val="pt-PT"/>
        </w:rPr>
        <w:t>Troca de criptoativos por fundos ou por outros criptoativos;</w:t>
      </w:r>
    </w:p>
    <w:p w14:paraId="20235B6E" w14:textId="77777777" w:rsidR="00465964" w:rsidRPr="00465964" w:rsidRDefault="00465964" w:rsidP="00465964">
      <w:pPr>
        <w:rPr>
          <w:lang w:val="pt-PT"/>
        </w:rPr>
      </w:pPr>
      <w:r w:rsidRPr="00465964">
        <w:rPr>
          <w:lang w:val="pt-PT"/>
        </w:rPr>
        <w:t>1.   Os prestadores de serviços de criptoativos que trocam criptoativos por fundos ou por outros criptoativos criam uma política comercial não discriminatória que indique, em especial, o tipo de clientes com que estão dispostos a transacionar e as condições que esses clientes devem preencher.</w:t>
      </w:r>
    </w:p>
    <w:p w14:paraId="07773E97" w14:textId="77777777" w:rsidR="00465964" w:rsidRPr="00465964" w:rsidRDefault="00465964" w:rsidP="00465964">
      <w:pPr>
        <w:rPr>
          <w:lang w:val="pt-PT"/>
        </w:rPr>
      </w:pPr>
      <w:r w:rsidRPr="00465964">
        <w:rPr>
          <w:lang w:val="pt-PT"/>
        </w:rPr>
        <w:t>2.   Os prestadores de serviços de criptoativos que trocam criptoativos por fundos ou por outros criptoativos publicam um preço firme para os criptoativos ou um método para a determinação do preço dos criptoativos que propõem trocar por fundos ou por outros criptoativos, bem como qualquer limite aplicável ao montante a trocar determinado por esse prestador de serviços de criptoativos.</w:t>
      </w:r>
    </w:p>
    <w:p w14:paraId="04A8E01B" w14:textId="77777777" w:rsidR="00465964" w:rsidRPr="00465964" w:rsidRDefault="00465964" w:rsidP="00465964">
      <w:pPr>
        <w:rPr>
          <w:lang w:val="pt-PT"/>
        </w:rPr>
      </w:pPr>
      <w:r w:rsidRPr="00465964">
        <w:rPr>
          <w:lang w:val="pt-PT"/>
        </w:rPr>
        <w:t xml:space="preserve">3.   Os prestadores de serviços de criptoativos que trocam criptoativos por fundos ou por outros criptoativos executam as ordens de clientes aos preços afixados </w:t>
      </w:r>
      <w:proofErr w:type="gramStart"/>
      <w:r w:rsidRPr="00465964">
        <w:rPr>
          <w:lang w:val="pt-PT"/>
        </w:rPr>
        <w:t>no momento em que</w:t>
      </w:r>
      <w:proofErr w:type="gramEnd"/>
      <w:r w:rsidRPr="00465964">
        <w:rPr>
          <w:lang w:val="pt-PT"/>
        </w:rPr>
        <w:t xml:space="preserve"> a ordem de troca se torna definitiva. Os prestadores de serviços de criptoativos informam os seus clientes das condições a cumprir para que a sua ordem seja considerada definitiva.</w:t>
      </w:r>
    </w:p>
    <w:p w14:paraId="5DAA1697" w14:textId="77777777" w:rsidR="00465964" w:rsidRPr="00465964" w:rsidRDefault="00465964" w:rsidP="00465964">
      <w:pPr>
        <w:rPr>
          <w:lang w:val="pt-PT"/>
        </w:rPr>
      </w:pPr>
      <w:r w:rsidRPr="00465964">
        <w:rPr>
          <w:lang w:val="pt-PT"/>
        </w:rPr>
        <w:t>4.   Os prestadores de serviços de criptoativos que trocam criptoativos por fundos ou por outros criptoativos publicam informações sobre as transações que concluíram, tais como os volumes e os preços das transações.</w:t>
      </w:r>
    </w:p>
    <w:p w14:paraId="61319431" w14:textId="77777777" w:rsidR="00465964" w:rsidRPr="00465964" w:rsidRDefault="00465964" w:rsidP="00465964">
      <w:pPr>
        <w:rPr>
          <w:i/>
          <w:iCs/>
          <w:lang w:val="pt-PT"/>
        </w:rPr>
      </w:pPr>
      <w:r w:rsidRPr="00465964">
        <w:rPr>
          <w:i/>
          <w:iCs/>
          <w:lang w:val="pt-PT"/>
        </w:rPr>
        <w:t>Artigo 78.</w:t>
      </w:r>
      <w:r w:rsidRPr="00465964">
        <w:rPr>
          <w:i/>
          <w:iCs/>
          <w:vertAlign w:val="superscript"/>
          <w:lang w:val="pt-PT"/>
        </w:rPr>
        <w:t>o</w:t>
      </w:r>
    </w:p>
    <w:p w14:paraId="460F06E0" w14:textId="77777777" w:rsidR="00465964" w:rsidRPr="00465964" w:rsidRDefault="00465964" w:rsidP="00465964">
      <w:pPr>
        <w:rPr>
          <w:b/>
          <w:bCs/>
          <w:lang w:val="pt-PT"/>
        </w:rPr>
      </w:pPr>
      <w:r w:rsidRPr="00465964">
        <w:rPr>
          <w:b/>
          <w:bCs/>
          <w:lang w:val="pt-PT"/>
        </w:rPr>
        <w:t>Execução de ordens relativas a criptoativos em nome de clientes</w:t>
      </w:r>
    </w:p>
    <w:p w14:paraId="49878881" w14:textId="77777777" w:rsidR="00465964" w:rsidRPr="00465964" w:rsidRDefault="00465964" w:rsidP="00465964">
      <w:pPr>
        <w:rPr>
          <w:lang w:val="pt-PT"/>
        </w:rPr>
      </w:pPr>
      <w:r w:rsidRPr="00465964">
        <w:rPr>
          <w:lang w:val="pt-PT"/>
        </w:rPr>
        <w:t>1.   Os prestadores de serviços de criptoativos que executam ordens relativas a criptoativos em nome de clientes devem tomar todas as medidas necessárias para obter, aquando da execução das ordens, o melhor resultado possível para os seus clientes em termos de preço, custos, rapidez, probabilidade de execução e liquidação, volume, natureza, condições de custódia dos criptoativos ou qualquer outra consideração relevante para a execução da ordem.</w:t>
      </w:r>
    </w:p>
    <w:p w14:paraId="6F8CA17D" w14:textId="77777777" w:rsidR="00465964" w:rsidRPr="00465964" w:rsidRDefault="00465964" w:rsidP="00465964">
      <w:pPr>
        <w:rPr>
          <w:lang w:val="pt-PT"/>
        </w:rPr>
      </w:pPr>
      <w:r w:rsidRPr="00465964">
        <w:rPr>
          <w:lang w:val="pt-PT"/>
        </w:rPr>
        <w:t>Não obstante o disposto no primeiro parágrafo, os prestadores de serviços de criptoativos que executam ordens relativas a criptoativos em nome de clientes não são obrigados a tomar as medidas necessárias a que se refere o primeiro parágrafo quando executam ordens relativas a criptoativos segundo instruções específicas transmitidas pelos seus clientes.</w:t>
      </w:r>
    </w:p>
    <w:p w14:paraId="011C3672" w14:textId="77777777" w:rsidR="00465964" w:rsidRPr="00465964" w:rsidRDefault="00465964" w:rsidP="00465964">
      <w:pPr>
        <w:rPr>
          <w:lang w:val="pt-PT"/>
        </w:rPr>
      </w:pPr>
      <w:r w:rsidRPr="00465964">
        <w:rPr>
          <w:lang w:val="pt-PT"/>
        </w:rPr>
        <w:t xml:space="preserve">2.   Para assegurar o cumprimento do disposto no </w:t>
      </w:r>
      <w:proofErr w:type="spellStart"/>
      <w:r w:rsidRPr="00465964">
        <w:rPr>
          <w:lang w:val="pt-PT"/>
        </w:rPr>
        <w:t>n.</w:t>
      </w:r>
      <w:r w:rsidRPr="00465964">
        <w:rPr>
          <w:vertAlign w:val="superscript"/>
          <w:lang w:val="pt-PT"/>
        </w:rPr>
        <w:t>o</w:t>
      </w:r>
      <w:proofErr w:type="spellEnd"/>
      <w:r w:rsidRPr="00465964">
        <w:rPr>
          <w:lang w:val="pt-PT"/>
        </w:rPr>
        <w:t xml:space="preserve"> 1, os prestadores de serviços de criptoativos que executam ordens relativas a criptoativos em nome de clientes criam e aplicam mecanismos de execução eficazes. Em especial, devem definir e executar uma política de execução de ordens que permita cumprir o disposto no </w:t>
      </w:r>
      <w:proofErr w:type="spellStart"/>
      <w:r w:rsidRPr="00465964">
        <w:rPr>
          <w:lang w:val="pt-PT"/>
        </w:rPr>
        <w:t>n.</w:t>
      </w:r>
      <w:r w:rsidRPr="00465964">
        <w:rPr>
          <w:vertAlign w:val="superscript"/>
          <w:lang w:val="pt-PT"/>
        </w:rPr>
        <w:t>o</w:t>
      </w:r>
      <w:proofErr w:type="spellEnd"/>
      <w:r w:rsidRPr="00465964">
        <w:rPr>
          <w:lang w:val="pt-PT"/>
        </w:rPr>
        <w:t> 1. A política de execução de ordens deve, entre outras coisas, permitir a execução célere, leal e expedita das ordens de clientes e prevenir a utilização ilícita de informações relativas às ordens dos clientes por parte dos trabalhadores dos prestadores de serviços de criptoativos.</w:t>
      </w:r>
    </w:p>
    <w:p w14:paraId="3261549C" w14:textId="77777777" w:rsidR="00465964" w:rsidRPr="00465964" w:rsidRDefault="00465964" w:rsidP="00465964">
      <w:pPr>
        <w:rPr>
          <w:lang w:val="pt-PT"/>
        </w:rPr>
      </w:pPr>
      <w:r w:rsidRPr="00465964">
        <w:rPr>
          <w:lang w:val="pt-PT"/>
        </w:rPr>
        <w:t xml:space="preserve">3.   Os prestadores de serviços de criptoativos que executam ordens relativas a criptoativos em nome de clientes facultam aos seus clientes informação adequada e clara sobre a sua política de execução de ordens a que se refere o </w:t>
      </w:r>
      <w:proofErr w:type="spellStart"/>
      <w:r w:rsidRPr="00465964">
        <w:rPr>
          <w:lang w:val="pt-PT"/>
        </w:rPr>
        <w:t>n.</w:t>
      </w:r>
      <w:r w:rsidRPr="00465964">
        <w:rPr>
          <w:vertAlign w:val="superscript"/>
          <w:lang w:val="pt-PT"/>
        </w:rPr>
        <w:t>o</w:t>
      </w:r>
      <w:proofErr w:type="spellEnd"/>
      <w:r w:rsidRPr="00465964">
        <w:rPr>
          <w:lang w:val="pt-PT"/>
        </w:rPr>
        <w:t xml:space="preserve"> 2 e sobre quaisquer alterações importantes da mesma. Essa informação deve explicar claramente, com um grau de pormenor suficiente e de uma forma que seja facilmente compreensível, o modo como as ordens dos clientes devem ser executadas pelos prestadores de serviços de criptoativos. Os prestadores de serviços de </w:t>
      </w:r>
      <w:r w:rsidRPr="00465964">
        <w:rPr>
          <w:lang w:val="pt-PT"/>
        </w:rPr>
        <w:lastRenderedPageBreak/>
        <w:t>criptoativos devem obter o consentimento prévio de cada cliente relativamente à política de execução de ordens.</w:t>
      </w:r>
    </w:p>
    <w:p w14:paraId="5AF7AA0E" w14:textId="77777777" w:rsidR="00465964" w:rsidRPr="00465964" w:rsidRDefault="00465964" w:rsidP="00465964">
      <w:pPr>
        <w:rPr>
          <w:lang w:val="pt-PT"/>
        </w:rPr>
      </w:pPr>
      <w:r w:rsidRPr="00465964">
        <w:rPr>
          <w:lang w:val="pt-PT"/>
        </w:rPr>
        <w:t>4.   Os prestadores de serviços de criptoativos que executam ordens relativas a criptoativos em nome de clientes devem poder demonstrar aos seus clientes, a pedido destes, que executaram as suas ordens de acordo com a sua política de execução de ordens e devem poder demonstrar à autoridade competente, a pedido desta, a sua conformidade com o presente artigo.</w:t>
      </w:r>
    </w:p>
    <w:p w14:paraId="6A43C811" w14:textId="77777777" w:rsidR="00465964" w:rsidRPr="00465964" w:rsidRDefault="00465964" w:rsidP="00465964">
      <w:pPr>
        <w:rPr>
          <w:lang w:val="pt-PT"/>
        </w:rPr>
      </w:pPr>
      <w:r w:rsidRPr="00465964">
        <w:rPr>
          <w:lang w:val="pt-PT"/>
        </w:rPr>
        <w:t>5.   Caso a política de execução de ordens preveja a possibilidade de as ordens dos clientes serem executadas fora de uma plataforma de negociação, os prestadores de serviços de criptoativos que executam ordens relativas a criptoativos em nome de clientes informam os seus clientes dessa possibilidade e obtêm o consentimento expresso prévio dos seus clientes antes de procederem à execução das suas ordens fora de uma plataforma de negociação, quer sob a forma de um acordo geral quer em relação a operações individuais.</w:t>
      </w:r>
    </w:p>
    <w:p w14:paraId="455F28C4" w14:textId="77777777" w:rsidR="00465964" w:rsidRPr="00465964" w:rsidRDefault="00465964" w:rsidP="00465964">
      <w:pPr>
        <w:rPr>
          <w:lang w:val="pt-PT"/>
        </w:rPr>
      </w:pPr>
      <w:r w:rsidRPr="00465964">
        <w:rPr>
          <w:lang w:val="pt-PT"/>
        </w:rPr>
        <w:t>6.   Os prestadores de serviços de criptoativos que executam ordens relativas a criptoativos em nome de clientes vigiam a eficácia dos seus mecanismos de execução de ordens e da sua política de execução de ordens, a fim de identificar e, se for caso disso, corrigir eventuais deficiências a este respeito. Em particular, avaliam periodicamente se as plataformas de execução previstas na política de execução de ordens proporcionam o melhor resultado possível para os clientes ou se devem fazer alterações aos seus mecanismos de execução de ordens. Os prestadores de serviços de criptoativos que executam ordens relativas a criptoativos em nome de clientes notificam os clientes com quem já tenham uma relação de cliente de quaisquer alterações de fundo dos seus mecanismos de execução de ordens ou da sua política de execução de ordens.</w:t>
      </w:r>
    </w:p>
    <w:p w14:paraId="6EABB2F4" w14:textId="77777777" w:rsidR="00465964" w:rsidRPr="00465964" w:rsidRDefault="00465964" w:rsidP="00465964">
      <w:pPr>
        <w:rPr>
          <w:i/>
          <w:iCs/>
          <w:lang w:val="pt-PT"/>
        </w:rPr>
      </w:pPr>
      <w:r w:rsidRPr="00465964">
        <w:rPr>
          <w:i/>
          <w:iCs/>
          <w:lang w:val="pt-PT"/>
        </w:rPr>
        <w:t>Artigo 79.</w:t>
      </w:r>
      <w:r w:rsidRPr="00465964">
        <w:rPr>
          <w:i/>
          <w:iCs/>
          <w:vertAlign w:val="superscript"/>
          <w:lang w:val="pt-PT"/>
        </w:rPr>
        <w:t>o</w:t>
      </w:r>
    </w:p>
    <w:p w14:paraId="4BFD2CFB" w14:textId="77777777" w:rsidR="00465964" w:rsidRPr="00465964" w:rsidRDefault="00465964" w:rsidP="00465964">
      <w:pPr>
        <w:rPr>
          <w:b/>
          <w:bCs/>
          <w:lang w:val="pt-PT"/>
        </w:rPr>
      </w:pPr>
      <w:r w:rsidRPr="00465964">
        <w:rPr>
          <w:b/>
          <w:bCs/>
          <w:lang w:val="pt-PT"/>
        </w:rPr>
        <w:t>Colocação de criptoativos</w:t>
      </w:r>
    </w:p>
    <w:p w14:paraId="4AB37A37" w14:textId="77777777" w:rsidR="00465964" w:rsidRPr="00465964" w:rsidRDefault="00465964" w:rsidP="00465964">
      <w:pPr>
        <w:rPr>
          <w:lang w:val="pt-PT"/>
        </w:rPr>
      </w:pPr>
      <w:r w:rsidRPr="00465964">
        <w:rPr>
          <w:lang w:val="pt-PT"/>
        </w:rPr>
        <w:t>1.   Os prestadores de serviços de criptoativos que colocam criptoativos comunicam as seguintes informações ao oferente, à pessoa que solicita a admissão à negociação ou a terceiros que atuem em seu nome, antes de celebrarem um acordo com eles:</w:t>
      </w:r>
    </w:p>
    <w:tbl>
      <w:tblPr>
        <w:tblW w:w="5000" w:type="pct"/>
        <w:tblCellMar>
          <w:left w:w="0" w:type="dxa"/>
          <w:right w:w="0" w:type="dxa"/>
        </w:tblCellMar>
        <w:tblLook w:val="04A0" w:firstRow="1" w:lastRow="0" w:firstColumn="1" w:lastColumn="0" w:noHBand="0" w:noVBand="1"/>
      </w:tblPr>
      <w:tblGrid>
        <w:gridCol w:w="182"/>
        <w:gridCol w:w="8844"/>
      </w:tblGrid>
      <w:tr w:rsidR="00465964" w:rsidRPr="00465964" w14:paraId="501B3E2F" w14:textId="77777777" w:rsidTr="00465964">
        <w:tc>
          <w:tcPr>
            <w:tcW w:w="0" w:type="auto"/>
            <w:shd w:val="clear" w:color="auto" w:fill="auto"/>
            <w:hideMark/>
          </w:tcPr>
          <w:p w14:paraId="6264726F" w14:textId="77777777" w:rsidR="00465964" w:rsidRPr="00465964" w:rsidRDefault="00465964" w:rsidP="00465964">
            <w:r w:rsidRPr="00465964">
              <w:t>a)</w:t>
            </w:r>
          </w:p>
        </w:tc>
        <w:tc>
          <w:tcPr>
            <w:tcW w:w="0" w:type="auto"/>
            <w:shd w:val="clear" w:color="auto" w:fill="auto"/>
            <w:hideMark/>
          </w:tcPr>
          <w:p w14:paraId="42870017" w14:textId="77777777" w:rsidR="00465964" w:rsidRPr="00465964" w:rsidRDefault="00465964" w:rsidP="00465964">
            <w:pPr>
              <w:rPr>
                <w:lang w:val="pt-PT"/>
              </w:rPr>
            </w:pPr>
            <w:r w:rsidRPr="00465964">
              <w:rPr>
                <w:lang w:val="pt-PT"/>
              </w:rPr>
              <w:t>O tipo de colocação em causa, incluindo se está ou não garantido um montante mínimo de aquisição;</w:t>
            </w:r>
          </w:p>
        </w:tc>
      </w:tr>
    </w:tbl>
    <w:p w14:paraId="402D6405"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205"/>
        <w:gridCol w:w="8821"/>
      </w:tblGrid>
      <w:tr w:rsidR="00465964" w:rsidRPr="00465964" w14:paraId="7A084F83" w14:textId="77777777" w:rsidTr="00465964">
        <w:tc>
          <w:tcPr>
            <w:tcW w:w="0" w:type="auto"/>
            <w:shd w:val="clear" w:color="auto" w:fill="auto"/>
            <w:hideMark/>
          </w:tcPr>
          <w:p w14:paraId="2862F094" w14:textId="77777777" w:rsidR="00465964" w:rsidRPr="00465964" w:rsidRDefault="00465964" w:rsidP="00465964">
            <w:r w:rsidRPr="00465964">
              <w:t>b)</w:t>
            </w:r>
          </w:p>
        </w:tc>
        <w:tc>
          <w:tcPr>
            <w:tcW w:w="0" w:type="auto"/>
            <w:shd w:val="clear" w:color="auto" w:fill="auto"/>
            <w:hideMark/>
          </w:tcPr>
          <w:p w14:paraId="76B432A8" w14:textId="77777777" w:rsidR="00465964" w:rsidRPr="00465964" w:rsidRDefault="00465964" w:rsidP="00465964">
            <w:pPr>
              <w:rPr>
                <w:lang w:val="pt-PT"/>
              </w:rPr>
            </w:pPr>
            <w:r w:rsidRPr="00465964">
              <w:rPr>
                <w:lang w:val="pt-PT"/>
              </w:rPr>
              <w:t>Uma indicação do montante das comissões relacionadas com a colocação proposta;</w:t>
            </w:r>
          </w:p>
        </w:tc>
      </w:tr>
    </w:tbl>
    <w:p w14:paraId="2BDF57CA"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252"/>
        <w:gridCol w:w="8774"/>
      </w:tblGrid>
      <w:tr w:rsidR="00465964" w:rsidRPr="00465964" w14:paraId="054C6D92" w14:textId="77777777" w:rsidTr="00465964">
        <w:tc>
          <w:tcPr>
            <w:tcW w:w="0" w:type="auto"/>
            <w:shd w:val="clear" w:color="auto" w:fill="auto"/>
            <w:hideMark/>
          </w:tcPr>
          <w:p w14:paraId="3237BC52" w14:textId="77777777" w:rsidR="00465964" w:rsidRPr="00465964" w:rsidRDefault="00465964" w:rsidP="00465964">
            <w:r w:rsidRPr="00465964">
              <w:t>c)</w:t>
            </w:r>
          </w:p>
        </w:tc>
        <w:tc>
          <w:tcPr>
            <w:tcW w:w="0" w:type="auto"/>
            <w:shd w:val="clear" w:color="auto" w:fill="auto"/>
            <w:hideMark/>
          </w:tcPr>
          <w:p w14:paraId="1F406AC3" w14:textId="77777777" w:rsidR="00465964" w:rsidRPr="00465964" w:rsidRDefault="00465964" w:rsidP="00465964">
            <w:pPr>
              <w:rPr>
                <w:lang w:val="pt-PT"/>
              </w:rPr>
            </w:pPr>
            <w:r w:rsidRPr="00465964">
              <w:rPr>
                <w:lang w:val="pt-PT"/>
              </w:rPr>
              <w:t>O prazo, o processo e o preço prováveis para a operação proposta;</w:t>
            </w:r>
          </w:p>
        </w:tc>
      </w:tr>
    </w:tbl>
    <w:p w14:paraId="60142C64"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387"/>
        <w:gridCol w:w="8639"/>
      </w:tblGrid>
      <w:tr w:rsidR="00465964" w:rsidRPr="00465964" w14:paraId="7C748C22" w14:textId="77777777" w:rsidTr="00465964">
        <w:tc>
          <w:tcPr>
            <w:tcW w:w="0" w:type="auto"/>
            <w:shd w:val="clear" w:color="auto" w:fill="auto"/>
            <w:hideMark/>
          </w:tcPr>
          <w:p w14:paraId="00F7D492" w14:textId="77777777" w:rsidR="00465964" w:rsidRPr="00465964" w:rsidRDefault="00465964" w:rsidP="00465964">
            <w:r w:rsidRPr="00465964">
              <w:t>d)</w:t>
            </w:r>
          </w:p>
        </w:tc>
        <w:tc>
          <w:tcPr>
            <w:tcW w:w="0" w:type="auto"/>
            <w:shd w:val="clear" w:color="auto" w:fill="auto"/>
            <w:hideMark/>
          </w:tcPr>
          <w:p w14:paraId="3EA28928" w14:textId="77777777" w:rsidR="00465964" w:rsidRPr="00465964" w:rsidRDefault="00465964" w:rsidP="00465964">
            <w:pPr>
              <w:rPr>
                <w:lang w:val="pt-PT"/>
              </w:rPr>
            </w:pPr>
            <w:r w:rsidRPr="00465964">
              <w:rPr>
                <w:lang w:val="pt-PT"/>
              </w:rPr>
              <w:t>Informações sobre os compradores visados.</w:t>
            </w:r>
          </w:p>
        </w:tc>
      </w:tr>
    </w:tbl>
    <w:p w14:paraId="1E310065" w14:textId="77777777" w:rsidR="00465964" w:rsidRPr="00465964" w:rsidRDefault="00465964" w:rsidP="00465964">
      <w:pPr>
        <w:rPr>
          <w:lang w:val="pt-PT"/>
        </w:rPr>
      </w:pPr>
      <w:r w:rsidRPr="00465964">
        <w:rPr>
          <w:lang w:val="pt-PT"/>
        </w:rPr>
        <w:t>Os prestadores de serviços de criptoativos que colocam criptoativos devem, antes de os colocarem, obter o acordo dos emitentes desses criptoativos ou de terceiros que atuem em seu nome no que diz respeito às informações enumeradas no primeiro parágrafo.</w:t>
      </w:r>
    </w:p>
    <w:p w14:paraId="58E8E8E6" w14:textId="77777777" w:rsidR="00465964" w:rsidRPr="00465964" w:rsidRDefault="00465964" w:rsidP="00465964">
      <w:pPr>
        <w:rPr>
          <w:lang w:val="pt-PT"/>
        </w:rPr>
      </w:pPr>
      <w:r w:rsidRPr="00465964">
        <w:rPr>
          <w:lang w:val="pt-PT"/>
        </w:rPr>
        <w:t>2.   As regras dos prestadores de serviços de criptoativos em matéria de conflitos de interesses referidas no artigo 72.</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1, devem prever procedimentos específicos e adequados para identificar, prevenir, gerir e divulgar quaisquer conflitos de interesses decorrentes das seguintes situações:</w:t>
      </w:r>
    </w:p>
    <w:tbl>
      <w:tblPr>
        <w:tblW w:w="5000" w:type="pct"/>
        <w:tblCellMar>
          <w:left w:w="0" w:type="dxa"/>
          <w:right w:w="0" w:type="dxa"/>
        </w:tblCellMar>
        <w:tblLook w:val="04A0" w:firstRow="1" w:lastRow="0" w:firstColumn="1" w:lastColumn="0" w:noHBand="0" w:noVBand="1"/>
      </w:tblPr>
      <w:tblGrid>
        <w:gridCol w:w="182"/>
        <w:gridCol w:w="8844"/>
      </w:tblGrid>
      <w:tr w:rsidR="00465964" w:rsidRPr="00465964" w14:paraId="3C025535" w14:textId="77777777" w:rsidTr="00465964">
        <w:tc>
          <w:tcPr>
            <w:tcW w:w="0" w:type="auto"/>
            <w:shd w:val="clear" w:color="auto" w:fill="auto"/>
            <w:hideMark/>
          </w:tcPr>
          <w:p w14:paraId="7A3BA0F5" w14:textId="77777777" w:rsidR="00465964" w:rsidRPr="00465964" w:rsidRDefault="00465964" w:rsidP="00465964">
            <w:r w:rsidRPr="00465964">
              <w:lastRenderedPageBreak/>
              <w:t>a)</w:t>
            </w:r>
          </w:p>
        </w:tc>
        <w:tc>
          <w:tcPr>
            <w:tcW w:w="0" w:type="auto"/>
            <w:shd w:val="clear" w:color="auto" w:fill="auto"/>
            <w:hideMark/>
          </w:tcPr>
          <w:p w14:paraId="5C9ADC4D" w14:textId="77777777" w:rsidR="00465964" w:rsidRPr="00465964" w:rsidRDefault="00465964" w:rsidP="00465964">
            <w:pPr>
              <w:rPr>
                <w:lang w:val="pt-PT"/>
              </w:rPr>
            </w:pPr>
            <w:r w:rsidRPr="00465964">
              <w:rPr>
                <w:lang w:val="pt-PT"/>
              </w:rPr>
              <w:t>Os prestadores de serviços de criptoativos colocam os criptoativos junto dos seus próprios clientes;</w:t>
            </w:r>
          </w:p>
        </w:tc>
      </w:tr>
    </w:tbl>
    <w:p w14:paraId="408BA6EC"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206"/>
        <w:gridCol w:w="8820"/>
      </w:tblGrid>
      <w:tr w:rsidR="00465964" w:rsidRPr="00465964" w14:paraId="4B90BA14" w14:textId="77777777" w:rsidTr="00465964">
        <w:tc>
          <w:tcPr>
            <w:tcW w:w="0" w:type="auto"/>
            <w:shd w:val="clear" w:color="auto" w:fill="auto"/>
            <w:hideMark/>
          </w:tcPr>
          <w:p w14:paraId="488F8F50" w14:textId="77777777" w:rsidR="00465964" w:rsidRPr="00465964" w:rsidRDefault="00465964" w:rsidP="00465964">
            <w:r w:rsidRPr="00465964">
              <w:t>b)</w:t>
            </w:r>
          </w:p>
        </w:tc>
        <w:tc>
          <w:tcPr>
            <w:tcW w:w="0" w:type="auto"/>
            <w:shd w:val="clear" w:color="auto" w:fill="auto"/>
            <w:hideMark/>
          </w:tcPr>
          <w:p w14:paraId="4679D943" w14:textId="77777777" w:rsidR="00465964" w:rsidRPr="00465964" w:rsidRDefault="00465964" w:rsidP="00465964">
            <w:pPr>
              <w:rPr>
                <w:lang w:val="pt-PT"/>
              </w:rPr>
            </w:pPr>
            <w:r w:rsidRPr="00465964">
              <w:rPr>
                <w:lang w:val="pt-PT"/>
              </w:rPr>
              <w:t>O preço proposto para a colocação de criptoativos foi sobrestimado ou subestimado;</w:t>
            </w:r>
          </w:p>
        </w:tc>
      </w:tr>
    </w:tbl>
    <w:p w14:paraId="0A3F69D6"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0"/>
        <w:gridCol w:w="8846"/>
      </w:tblGrid>
      <w:tr w:rsidR="00465964" w:rsidRPr="00465964" w14:paraId="684717AE" w14:textId="77777777" w:rsidTr="00465964">
        <w:tc>
          <w:tcPr>
            <w:tcW w:w="0" w:type="auto"/>
            <w:shd w:val="clear" w:color="auto" w:fill="auto"/>
            <w:hideMark/>
          </w:tcPr>
          <w:p w14:paraId="3DCBDEAE" w14:textId="77777777" w:rsidR="00465964" w:rsidRPr="00465964" w:rsidRDefault="00465964" w:rsidP="00465964">
            <w:r w:rsidRPr="00465964">
              <w:t>c)</w:t>
            </w:r>
          </w:p>
        </w:tc>
        <w:tc>
          <w:tcPr>
            <w:tcW w:w="0" w:type="auto"/>
            <w:shd w:val="clear" w:color="auto" w:fill="auto"/>
            <w:hideMark/>
          </w:tcPr>
          <w:p w14:paraId="512A8BEE" w14:textId="77777777" w:rsidR="00465964" w:rsidRPr="00465964" w:rsidRDefault="00465964" w:rsidP="00465964">
            <w:pPr>
              <w:rPr>
                <w:lang w:val="pt-PT"/>
              </w:rPr>
            </w:pPr>
            <w:r w:rsidRPr="00465964">
              <w:rPr>
                <w:lang w:val="pt-PT"/>
              </w:rPr>
              <w:t>São pagos ou concedidos pelo oferente, aos prestadores de serviços de criptoativos, incentivos, incluindo incentivos não pecuniários.</w:t>
            </w:r>
          </w:p>
        </w:tc>
      </w:tr>
    </w:tbl>
    <w:p w14:paraId="0A644F79" w14:textId="77777777" w:rsidR="00465964" w:rsidRPr="00465964" w:rsidRDefault="00465964" w:rsidP="00465964">
      <w:pPr>
        <w:rPr>
          <w:i/>
          <w:iCs/>
          <w:lang w:val="pt-PT"/>
        </w:rPr>
      </w:pPr>
      <w:r w:rsidRPr="00465964">
        <w:rPr>
          <w:i/>
          <w:iCs/>
          <w:lang w:val="pt-PT"/>
        </w:rPr>
        <w:t>Artigo 80.</w:t>
      </w:r>
      <w:r w:rsidRPr="00465964">
        <w:rPr>
          <w:i/>
          <w:iCs/>
          <w:vertAlign w:val="superscript"/>
          <w:lang w:val="pt-PT"/>
        </w:rPr>
        <w:t>o</w:t>
      </w:r>
    </w:p>
    <w:p w14:paraId="45497F97" w14:textId="77777777" w:rsidR="00465964" w:rsidRPr="00465964" w:rsidRDefault="00465964" w:rsidP="00465964">
      <w:pPr>
        <w:rPr>
          <w:b/>
          <w:bCs/>
          <w:lang w:val="pt-PT"/>
        </w:rPr>
      </w:pPr>
      <w:r w:rsidRPr="00465964">
        <w:rPr>
          <w:b/>
          <w:bCs/>
          <w:lang w:val="pt-PT"/>
        </w:rPr>
        <w:t>Receção e transmissão de ordens relativas a criptoativos em nome de clientes</w:t>
      </w:r>
    </w:p>
    <w:p w14:paraId="2FB0AB42" w14:textId="77777777" w:rsidR="00465964" w:rsidRPr="00465964" w:rsidRDefault="00465964" w:rsidP="00465964">
      <w:pPr>
        <w:rPr>
          <w:lang w:val="pt-PT"/>
        </w:rPr>
      </w:pPr>
      <w:r w:rsidRPr="00465964">
        <w:rPr>
          <w:lang w:val="pt-PT"/>
        </w:rPr>
        <w:t>1.   Os prestadores de serviços de criptoativos que recebem e transmitem ordens relativas a criptoativos em nome de clientes devem criar e aplicar procedimentos e mecanismos que permitam a transmissão célere e correta das ordens dos clientes para execução numa plataforma de negociação de criptoativos ou a outro prestador de serviços de criptoativos.</w:t>
      </w:r>
    </w:p>
    <w:p w14:paraId="27A6CFEE" w14:textId="77777777" w:rsidR="00465964" w:rsidRPr="00465964" w:rsidRDefault="00465964" w:rsidP="00465964">
      <w:pPr>
        <w:rPr>
          <w:lang w:val="pt-PT"/>
        </w:rPr>
      </w:pPr>
      <w:r w:rsidRPr="00465964">
        <w:rPr>
          <w:lang w:val="pt-PT"/>
        </w:rPr>
        <w:t>2.   Os prestadores de serviços de criptoativos que recebem e transmitem ordens relativas a criptoativos em nome de clientes não podem receber qualquer remuneração, desconto ou benefício não pecuniário em contrapartida do encaminhamento de ordens recebidas de clientes para uma plataforma de negociação de criptoativos específica ou para outro prestador de serviços de criptoativos.</w:t>
      </w:r>
    </w:p>
    <w:p w14:paraId="4583A5D7" w14:textId="77777777" w:rsidR="00465964" w:rsidRPr="00465964" w:rsidRDefault="00465964" w:rsidP="00465964">
      <w:pPr>
        <w:rPr>
          <w:lang w:val="pt-PT"/>
        </w:rPr>
      </w:pPr>
      <w:r w:rsidRPr="00465964">
        <w:rPr>
          <w:lang w:val="pt-PT"/>
        </w:rPr>
        <w:t>3.   Os prestadores de serviços de criptoativos que recebem e transmitem ordens relativas a criptoativos em nome de clientes não podem utilizar ilicitamente as informações respeitantes às ordens pendentes de clientes e devem tomar todas as medidas razoáveis para impedir a utilização ilícita dessas informações por qualquer um dos seus trabalhadores.</w:t>
      </w:r>
    </w:p>
    <w:p w14:paraId="667E14C7" w14:textId="77777777" w:rsidR="00465964" w:rsidRPr="00465964" w:rsidRDefault="00465964" w:rsidP="00465964">
      <w:pPr>
        <w:rPr>
          <w:i/>
          <w:iCs/>
          <w:lang w:val="pt-PT"/>
        </w:rPr>
      </w:pPr>
      <w:r w:rsidRPr="00465964">
        <w:rPr>
          <w:i/>
          <w:iCs/>
          <w:lang w:val="pt-PT"/>
        </w:rPr>
        <w:t>Artigo 81.</w:t>
      </w:r>
      <w:r w:rsidRPr="00465964">
        <w:rPr>
          <w:i/>
          <w:iCs/>
          <w:vertAlign w:val="superscript"/>
          <w:lang w:val="pt-PT"/>
        </w:rPr>
        <w:t>o</w:t>
      </w:r>
    </w:p>
    <w:p w14:paraId="0DEFF0CF" w14:textId="77777777" w:rsidR="00465964" w:rsidRPr="00465964" w:rsidRDefault="00465964" w:rsidP="00465964">
      <w:pPr>
        <w:rPr>
          <w:b/>
          <w:bCs/>
          <w:lang w:val="pt-PT"/>
        </w:rPr>
      </w:pPr>
      <w:r w:rsidRPr="00465964">
        <w:rPr>
          <w:b/>
          <w:bCs/>
          <w:lang w:val="pt-PT"/>
        </w:rPr>
        <w:t>Consultoria sobre criptoativos e gestão de carteiras de criptoativos</w:t>
      </w:r>
    </w:p>
    <w:p w14:paraId="48F5F8DC" w14:textId="77777777" w:rsidR="00465964" w:rsidRPr="00465964" w:rsidRDefault="00465964" w:rsidP="00465964">
      <w:pPr>
        <w:rPr>
          <w:lang w:val="pt-PT"/>
        </w:rPr>
      </w:pPr>
      <w:r w:rsidRPr="00465964">
        <w:rPr>
          <w:lang w:val="pt-PT"/>
        </w:rPr>
        <w:t>1.   Os prestadores de serviços de criptoativos que prestam consultoria sobre criptoativos ou que prestam serviços de gestão de carteiras de criptoativos avaliam se os serviços de criptoativos ou os criptoativos são adequados aos seus clientes ou potenciais clientes, tendo em conta os seus conhecimentos e a sua experiência em matéria de investimento em criptoativos, os seus objetivos de investimento, incluindo a tolerância ao risco, e a sua situação financeira nomeadamente a sua capacidade para suportar perdas.</w:t>
      </w:r>
    </w:p>
    <w:p w14:paraId="1F58EA96" w14:textId="77777777" w:rsidR="00465964" w:rsidRPr="00465964" w:rsidRDefault="00465964" w:rsidP="00465964">
      <w:pPr>
        <w:rPr>
          <w:lang w:val="pt-PT"/>
        </w:rPr>
      </w:pPr>
      <w:r w:rsidRPr="00465964">
        <w:rPr>
          <w:lang w:val="pt-PT"/>
        </w:rPr>
        <w:t>2.   Os prestadores de serviços de criptoativos que prestam consultoria sobre criptoativos devem, antes de prestarem consultoria sobre criptoativos, informar atempadamente os potenciais clientes sobre se:</w:t>
      </w:r>
    </w:p>
    <w:tbl>
      <w:tblPr>
        <w:tblW w:w="5000" w:type="pct"/>
        <w:tblCellMar>
          <w:left w:w="0" w:type="dxa"/>
          <w:right w:w="0" w:type="dxa"/>
        </w:tblCellMar>
        <w:tblLook w:val="04A0" w:firstRow="1" w:lastRow="0" w:firstColumn="1" w:lastColumn="0" w:noHBand="0" w:noVBand="1"/>
      </w:tblPr>
      <w:tblGrid>
        <w:gridCol w:w="356"/>
        <w:gridCol w:w="8670"/>
      </w:tblGrid>
      <w:tr w:rsidR="00465964" w:rsidRPr="00465964" w14:paraId="5D8A96A3" w14:textId="77777777" w:rsidTr="00465964">
        <w:tc>
          <w:tcPr>
            <w:tcW w:w="0" w:type="auto"/>
            <w:shd w:val="clear" w:color="auto" w:fill="auto"/>
            <w:hideMark/>
          </w:tcPr>
          <w:p w14:paraId="312C4E17" w14:textId="77777777" w:rsidR="00465964" w:rsidRPr="00465964" w:rsidRDefault="00465964" w:rsidP="00465964">
            <w:r w:rsidRPr="00465964">
              <w:t>a)</w:t>
            </w:r>
          </w:p>
        </w:tc>
        <w:tc>
          <w:tcPr>
            <w:tcW w:w="0" w:type="auto"/>
            <w:shd w:val="clear" w:color="auto" w:fill="auto"/>
            <w:hideMark/>
          </w:tcPr>
          <w:p w14:paraId="0BBC9AC8" w14:textId="77777777" w:rsidR="00465964" w:rsidRPr="00465964" w:rsidRDefault="00465964" w:rsidP="00465964">
            <w:pPr>
              <w:rPr>
                <w:lang w:val="pt-PT"/>
              </w:rPr>
            </w:pPr>
            <w:r w:rsidRPr="00465964">
              <w:rPr>
                <w:lang w:val="pt-PT"/>
              </w:rPr>
              <w:t>A consultoria é prestada a título independente;</w:t>
            </w:r>
          </w:p>
        </w:tc>
      </w:tr>
    </w:tbl>
    <w:p w14:paraId="28C1DCF5"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8"/>
        <w:gridCol w:w="8838"/>
      </w:tblGrid>
      <w:tr w:rsidR="00465964" w:rsidRPr="00465964" w14:paraId="328AF58F" w14:textId="77777777" w:rsidTr="00465964">
        <w:tc>
          <w:tcPr>
            <w:tcW w:w="0" w:type="auto"/>
            <w:shd w:val="clear" w:color="auto" w:fill="auto"/>
            <w:hideMark/>
          </w:tcPr>
          <w:p w14:paraId="30467281" w14:textId="77777777" w:rsidR="00465964" w:rsidRPr="00465964" w:rsidRDefault="00465964" w:rsidP="00465964">
            <w:r w:rsidRPr="00465964">
              <w:t>b)</w:t>
            </w:r>
          </w:p>
        </w:tc>
        <w:tc>
          <w:tcPr>
            <w:tcW w:w="0" w:type="auto"/>
            <w:shd w:val="clear" w:color="auto" w:fill="auto"/>
            <w:hideMark/>
          </w:tcPr>
          <w:p w14:paraId="19A38DFD" w14:textId="77777777" w:rsidR="00465964" w:rsidRPr="00465964" w:rsidRDefault="00465964" w:rsidP="00465964">
            <w:pPr>
              <w:rPr>
                <w:lang w:val="pt-PT"/>
              </w:rPr>
            </w:pPr>
            <w:r w:rsidRPr="00465964">
              <w:rPr>
                <w:lang w:val="pt-PT"/>
              </w:rPr>
              <w:t>A consultoria tem por base uma análise do mercado mais ampla ou mais limitada de diferentes criptoativos, nomeadamente se a consultoria é limitada a criptoativos emitidos ou disponibilizados por entidades que mantenham com o prestador de serviços de criptoativos uma relação estreita ou quaisquer outras relações jurídicas ou económicas, tais como relações contratuais, suscetíveis de colocar em risco a independência da consultoria prestada.</w:t>
            </w:r>
          </w:p>
        </w:tc>
      </w:tr>
    </w:tbl>
    <w:p w14:paraId="17FB2FD7" w14:textId="77777777" w:rsidR="00465964" w:rsidRPr="00465964" w:rsidRDefault="00465964" w:rsidP="00465964">
      <w:pPr>
        <w:rPr>
          <w:lang w:val="pt-PT"/>
        </w:rPr>
      </w:pPr>
      <w:r w:rsidRPr="00465964">
        <w:rPr>
          <w:lang w:val="pt-PT"/>
        </w:rPr>
        <w:lastRenderedPageBreak/>
        <w:t>3.   Caso um prestador de serviços de criptoativos que presta consultoria sobre criptoativos informe o potencial cliente de que a consultoria é prestada a título independente, esse prestador de serviços de criptoativos:</w:t>
      </w:r>
    </w:p>
    <w:tbl>
      <w:tblPr>
        <w:tblW w:w="5000" w:type="pct"/>
        <w:tblCellMar>
          <w:left w:w="0" w:type="dxa"/>
          <w:right w:w="0" w:type="dxa"/>
        </w:tblCellMar>
        <w:tblLook w:val="04A0" w:firstRow="1" w:lastRow="0" w:firstColumn="1" w:lastColumn="0" w:noHBand="0" w:noVBand="1"/>
      </w:tblPr>
      <w:tblGrid>
        <w:gridCol w:w="182"/>
        <w:gridCol w:w="8844"/>
      </w:tblGrid>
      <w:tr w:rsidR="00465964" w:rsidRPr="00465964" w14:paraId="39CCD2E5" w14:textId="77777777" w:rsidTr="00465964">
        <w:tc>
          <w:tcPr>
            <w:tcW w:w="0" w:type="auto"/>
            <w:shd w:val="clear" w:color="auto" w:fill="auto"/>
            <w:hideMark/>
          </w:tcPr>
          <w:p w14:paraId="1A670A1F" w14:textId="77777777" w:rsidR="00465964" w:rsidRPr="00465964" w:rsidRDefault="00465964" w:rsidP="00465964">
            <w:r w:rsidRPr="00465964">
              <w:t>a)</w:t>
            </w:r>
          </w:p>
        </w:tc>
        <w:tc>
          <w:tcPr>
            <w:tcW w:w="0" w:type="auto"/>
            <w:shd w:val="clear" w:color="auto" w:fill="auto"/>
            <w:hideMark/>
          </w:tcPr>
          <w:p w14:paraId="7DFC17E2" w14:textId="77777777" w:rsidR="00465964" w:rsidRPr="00465964" w:rsidRDefault="00465964" w:rsidP="00465964">
            <w:pPr>
              <w:rPr>
                <w:lang w:val="pt-PT"/>
              </w:rPr>
            </w:pPr>
            <w:r w:rsidRPr="00465964">
              <w:rPr>
                <w:lang w:val="pt-PT"/>
              </w:rPr>
              <w:t>Deve avaliar uma gama suficiente de criptoativos disponíveis no mercado a qual tem de ser suficientemente diversificada para assegurar que os objetivos de investimento do cliente possam ser adequadamente atingidos e que não se podem limitar aos criptoativos emitidos ou disponibilizados por:</w:t>
            </w:r>
          </w:p>
          <w:tbl>
            <w:tblPr>
              <w:tblW w:w="5000" w:type="pct"/>
              <w:tblCellMar>
                <w:left w:w="0" w:type="dxa"/>
                <w:right w:w="0" w:type="dxa"/>
              </w:tblCellMar>
              <w:tblLook w:val="04A0" w:firstRow="1" w:lastRow="0" w:firstColumn="1" w:lastColumn="0" w:noHBand="0" w:noVBand="1"/>
            </w:tblPr>
            <w:tblGrid>
              <w:gridCol w:w="211"/>
              <w:gridCol w:w="8633"/>
            </w:tblGrid>
            <w:tr w:rsidR="00465964" w:rsidRPr="00465964" w14:paraId="30BC880A" w14:textId="77777777">
              <w:tc>
                <w:tcPr>
                  <w:tcW w:w="0" w:type="auto"/>
                  <w:shd w:val="clear" w:color="auto" w:fill="auto"/>
                  <w:hideMark/>
                </w:tcPr>
                <w:p w14:paraId="4B2D2406" w14:textId="77777777" w:rsidR="00465964" w:rsidRPr="00465964" w:rsidRDefault="00465964" w:rsidP="00465964">
                  <w:proofErr w:type="spellStart"/>
                  <w:r w:rsidRPr="00465964">
                    <w:t>i</w:t>
                  </w:r>
                  <w:proofErr w:type="spellEnd"/>
                  <w:r w:rsidRPr="00465964">
                    <w:t>)</w:t>
                  </w:r>
                </w:p>
              </w:tc>
              <w:tc>
                <w:tcPr>
                  <w:tcW w:w="0" w:type="auto"/>
                  <w:shd w:val="clear" w:color="auto" w:fill="auto"/>
                  <w:hideMark/>
                </w:tcPr>
                <w:p w14:paraId="1DCBDBD0" w14:textId="77777777" w:rsidR="00465964" w:rsidRPr="00465964" w:rsidRDefault="00465964" w:rsidP="00465964">
                  <w:pPr>
                    <w:rPr>
                      <w:lang w:val="pt-PT"/>
                    </w:rPr>
                  </w:pPr>
                  <w:r w:rsidRPr="00465964">
                    <w:rPr>
                      <w:lang w:val="pt-PT"/>
                    </w:rPr>
                    <w:t>esse mesmo prestador de serviços de criptoativos,</w:t>
                  </w:r>
                </w:p>
              </w:tc>
            </w:tr>
          </w:tbl>
          <w:p w14:paraId="4BBBBA6E"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70"/>
              <w:gridCol w:w="8674"/>
            </w:tblGrid>
            <w:tr w:rsidR="00465964" w:rsidRPr="00465964" w14:paraId="6CB417FA" w14:textId="77777777">
              <w:tc>
                <w:tcPr>
                  <w:tcW w:w="0" w:type="auto"/>
                  <w:shd w:val="clear" w:color="auto" w:fill="auto"/>
                  <w:hideMark/>
                </w:tcPr>
                <w:p w14:paraId="7BEBDCC8" w14:textId="77777777" w:rsidR="00465964" w:rsidRPr="00465964" w:rsidRDefault="00465964" w:rsidP="00465964">
                  <w:r w:rsidRPr="00465964">
                    <w:t>ii)</w:t>
                  </w:r>
                </w:p>
              </w:tc>
              <w:tc>
                <w:tcPr>
                  <w:tcW w:w="0" w:type="auto"/>
                  <w:shd w:val="clear" w:color="auto" w:fill="auto"/>
                  <w:hideMark/>
                </w:tcPr>
                <w:p w14:paraId="2281E828" w14:textId="77777777" w:rsidR="00465964" w:rsidRPr="00465964" w:rsidRDefault="00465964" w:rsidP="00465964">
                  <w:pPr>
                    <w:rPr>
                      <w:lang w:val="pt-PT"/>
                    </w:rPr>
                  </w:pPr>
                  <w:r w:rsidRPr="00465964">
                    <w:rPr>
                      <w:lang w:val="pt-PT"/>
                    </w:rPr>
                    <w:t>entidades que mantenham uma relação estreita com esse mesmo prestador de serviços de criptoativos, ou</w:t>
                  </w:r>
                </w:p>
              </w:tc>
            </w:tr>
          </w:tbl>
          <w:p w14:paraId="5408BCAB"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223"/>
              <w:gridCol w:w="8621"/>
            </w:tblGrid>
            <w:tr w:rsidR="00465964" w:rsidRPr="00465964" w14:paraId="71F78FDB" w14:textId="77777777">
              <w:tc>
                <w:tcPr>
                  <w:tcW w:w="0" w:type="auto"/>
                  <w:shd w:val="clear" w:color="auto" w:fill="auto"/>
                  <w:hideMark/>
                </w:tcPr>
                <w:p w14:paraId="6E3AC6DB" w14:textId="77777777" w:rsidR="00465964" w:rsidRPr="00465964" w:rsidRDefault="00465964" w:rsidP="00465964">
                  <w:r w:rsidRPr="00465964">
                    <w:t>iii)</w:t>
                  </w:r>
                </w:p>
              </w:tc>
              <w:tc>
                <w:tcPr>
                  <w:tcW w:w="0" w:type="auto"/>
                  <w:shd w:val="clear" w:color="auto" w:fill="auto"/>
                  <w:hideMark/>
                </w:tcPr>
                <w:p w14:paraId="5FEBBE7C" w14:textId="77777777" w:rsidR="00465964" w:rsidRPr="00465964" w:rsidRDefault="00465964" w:rsidP="00465964">
                  <w:pPr>
                    <w:rPr>
                      <w:lang w:val="pt-PT"/>
                    </w:rPr>
                  </w:pPr>
                  <w:r w:rsidRPr="00465964">
                    <w:rPr>
                      <w:lang w:val="pt-PT"/>
                    </w:rPr>
                    <w:t>outras entidades com as quais esse mesmo prestador de serviços de criptoativos mantém relações jurídicas ou económicas de tal modo estreitas, tais como relações contratuais, que são suscetíveis de colocar em risco a independência da consultoria prestada;</w:t>
                  </w:r>
                </w:p>
              </w:tc>
            </w:tr>
          </w:tbl>
          <w:p w14:paraId="4156CB94" w14:textId="77777777" w:rsidR="00465964" w:rsidRPr="00465964" w:rsidRDefault="00465964" w:rsidP="00465964">
            <w:pPr>
              <w:rPr>
                <w:lang w:val="pt-PT"/>
              </w:rPr>
            </w:pPr>
          </w:p>
        </w:tc>
      </w:tr>
    </w:tbl>
    <w:p w14:paraId="01C364C6"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8"/>
        <w:gridCol w:w="8838"/>
      </w:tblGrid>
      <w:tr w:rsidR="00465964" w:rsidRPr="00465964" w14:paraId="1C54DFC3" w14:textId="77777777" w:rsidTr="00465964">
        <w:tc>
          <w:tcPr>
            <w:tcW w:w="0" w:type="auto"/>
            <w:shd w:val="clear" w:color="auto" w:fill="auto"/>
            <w:hideMark/>
          </w:tcPr>
          <w:p w14:paraId="3FFDC1A4" w14:textId="77777777" w:rsidR="00465964" w:rsidRPr="00465964" w:rsidRDefault="00465964" w:rsidP="00465964">
            <w:r w:rsidRPr="00465964">
              <w:t>b)</w:t>
            </w:r>
          </w:p>
        </w:tc>
        <w:tc>
          <w:tcPr>
            <w:tcW w:w="0" w:type="auto"/>
            <w:shd w:val="clear" w:color="auto" w:fill="auto"/>
            <w:hideMark/>
          </w:tcPr>
          <w:p w14:paraId="04FA95E3" w14:textId="77777777" w:rsidR="00465964" w:rsidRPr="00465964" w:rsidRDefault="00465964" w:rsidP="00465964">
            <w:pPr>
              <w:rPr>
                <w:lang w:val="pt-PT"/>
              </w:rPr>
            </w:pPr>
            <w:r w:rsidRPr="00465964">
              <w:rPr>
                <w:lang w:val="pt-PT"/>
              </w:rPr>
              <w:t>Não pode aceitar nem receber comissões, pagamento de encargos ou quaisquer benefícios pecuniários ou não pecuniários pagos ou concedidos por qualquer terceiro ou por uma pessoa que atue em nome de um terceiro em relação à prestação do serviço aos clientes.</w:t>
            </w:r>
          </w:p>
        </w:tc>
      </w:tr>
    </w:tbl>
    <w:p w14:paraId="7F18FB73" w14:textId="77777777" w:rsidR="00465964" w:rsidRPr="00465964" w:rsidRDefault="00465964" w:rsidP="00465964">
      <w:pPr>
        <w:rPr>
          <w:lang w:val="pt-PT"/>
        </w:rPr>
      </w:pPr>
      <w:r w:rsidRPr="00465964">
        <w:rPr>
          <w:lang w:val="pt-PT"/>
        </w:rPr>
        <w:t>Não obstante o disposto na alínea b) do primeiro parágrafo, os pequenos benefícios não pecuniários que sejam capazes de melhorar a qualidade dos serviços de criptoativos prestados a um cliente e que sejam de proporções e de natureza que não prejudiquem o cumprimento do dever do prestador de serviços de criptoativos de agir no melhor interesse do seu cliente são permitidos no caso de serem claramente divulgados ao cliente.</w:t>
      </w:r>
    </w:p>
    <w:p w14:paraId="7C737325" w14:textId="77777777" w:rsidR="00465964" w:rsidRPr="00465964" w:rsidRDefault="00465964" w:rsidP="00465964">
      <w:pPr>
        <w:rPr>
          <w:lang w:val="pt-PT"/>
        </w:rPr>
      </w:pPr>
      <w:r w:rsidRPr="00465964">
        <w:rPr>
          <w:lang w:val="pt-PT"/>
        </w:rPr>
        <w:t>4.   Os prestadores de serviços de criptoativos que prestam consultoria sobre criptoativos prestam também aos potenciais clientes informações sobre todos os custos e encargos associados, incluindo o custo da consultoria, quando aplicável, o custo dos criptoativos recomendados ou comercializados ao cliente e a forma como o cliente pode pagar os criptoativos, incluindo também quaisquer pagamentos a terceiros.</w:t>
      </w:r>
    </w:p>
    <w:p w14:paraId="741542C2" w14:textId="77777777" w:rsidR="00465964" w:rsidRPr="00465964" w:rsidRDefault="00465964" w:rsidP="00465964">
      <w:pPr>
        <w:rPr>
          <w:lang w:val="pt-PT"/>
        </w:rPr>
      </w:pPr>
      <w:r w:rsidRPr="00465964">
        <w:rPr>
          <w:lang w:val="pt-PT"/>
        </w:rPr>
        <w:t>5.   Os prestadores de serviços de criptoativos que prestam serviços de gestão de carteiras de criptoativos não podem aceitar nem receber comissões, pagamento de encargos ou quaisquer benefícios pecuniários ou não pecuniários pagos ou concedidos por um emitente, um oferente, uma pessoa que solicita a admissão à negociação ou qualquer terceiro, ou por uma pessoa que atue em nome de um terceiro, em relação à prestação de gestão da carteira de criptoativos aos seus clientes.</w:t>
      </w:r>
    </w:p>
    <w:p w14:paraId="6EAEF11A" w14:textId="77777777" w:rsidR="00465964" w:rsidRPr="00465964" w:rsidRDefault="00465964" w:rsidP="00465964">
      <w:pPr>
        <w:rPr>
          <w:lang w:val="pt-PT"/>
        </w:rPr>
      </w:pPr>
      <w:r w:rsidRPr="00465964">
        <w:rPr>
          <w:lang w:val="pt-PT"/>
        </w:rPr>
        <w:t>6.   Caso um prestador de serviços de criptoativos informe um potencial cliente de que a sua consultoria é prestada a título não independente, esse prestador de serviços pode receber incentivos desde que o pagamento ou a prestação:</w:t>
      </w:r>
    </w:p>
    <w:tbl>
      <w:tblPr>
        <w:tblW w:w="5000" w:type="pct"/>
        <w:tblCellMar>
          <w:left w:w="0" w:type="dxa"/>
          <w:right w:w="0" w:type="dxa"/>
        </w:tblCellMar>
        <w:tblLook w:val="04A0" w:firstRow="1" w:lastRow="0" w:firstColumn="1" w:lastColumn="0" w:noHBand="0" w:noVBand="1"/>
      </w:tblPr>
      <w:tblGrid>
        <w:gridCol w:w="235"/>
        <w:gridCol w:w="8791"/>
      </w:tblGrid>
      <w:tr w:rsidR="00465964" w:rsidRPr="00465964" w14:paraId="0D806A25" w14:textId="77777777" w:rsidTr="00465964">
        <w:tc>
          <w:tcPr>
            <w:tcW w:w="0" w:type="auto"/>
            <w:shd w:val="clear" w:color="auto" w:fill="auto"/>
            <w:hideMark/>
          </w:tcPr>
          <w:p w14:paraId="4864708D" w14:textId="77777777" w:rsidR="00465964" w:rsidRPr="00465964" w:rsidRDefault="00465964" w:rsidP="00465964">
            <w:r w:rsidRPr="00465964">
              <w:t>a)</w:t>
            </w:r>
          </w:p>
        </w:tc>
        <w:tc>
          <w:tcPr>
            <w:tcW w:w="0" w:type="auto"/>
            <w:shd w:val="clear" w:color="auto" w:fill="auto"/>
            <w:hideMark/>
          </w:tcPr>
          <w:p w14:paraId="503E9FAC" w14:textId="77777777" w:rsidR="00465964" w:rsidRPr="00465964" w:rsidRDefault="00465964" w:rsidP="00465964">
            <w:pPr>
              <w:rPr>
                <w:lang w:val="pt-PT"/>
              </w:rPr>
            </w:pPr>
            <w:r w:rsidRPr="00465964">
              <w:rPr>
                <w:lang w:val="pt-PT"/>
              </w:rPr>
              <w:t>Se destine a melhorar a qualidade do serviço pertinente para o cliente; e</w:t>
            </w:r>
          </w:p>
        </w:tc>
      </w:tr>
    </w:tbl>
    <w:p w14:paraId="1274CD0F"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8"/>
        <w:gridCol w:w="8838"/>
      </w:tblGrid>
      <w:tr w:rsidR="00465964" w:rsidRPr="00465964" w14:paraId="0528590B" w14:textId="77777777" w:rsidTr="00465964">
        <w:tc>
          <w:tcPr>
            <w:tcW w:w="0" w:type="auto"/>
            <w:shd w:val="clear" w:color="auto" w:fill="auto"/>
            <w:hideMark/>
          </w:tcPr>
          <w:p w14:paraId="25EB7418" w14:textId="77777777" w:rsidR="00465964" w:rsidRPr="00465964" w:rsidRDefault="00465964" w:rsidP="00465964">
            <w:r w:rsidRPr="00465964">
              <w:t>b)</w:t>
            </w:r>
          </w:p>
        </w:tc>
        <w:tc>
          <w:tcPr>
            <w:tcW w:w="0" w:type="auto"/>
            <w:shd w:val="clear" w:color="auto" w:fill="auto"/>
            <w:hideMark/>
          </w:tcPr>
          <w:p w14:paraId="54D186AC" w14:textId="77777777" w:rsidR="00465964" w:rsidRPr="00465964" w:rsidRDefault="00465964" w:rsidP="00465964">
            <w:pPr>
              <w:rPr>
                <w:lang w:val="pt-PT"/>
              </w:rPr>
            </w:pPr>
            <w:r w:rsidRPr="00465964">
              <w:rPr>
                <w:lang w:val="pt-PT"/>
              </w:rPr>
              <w:t>Não prejudique o cumprimento do dever dos prestadores de serviços de criptoativos de agir de forma honesta, leal e profissional, em conformidade com o melhor interesse dos seus clientes.</w:t>
            </w:r>
          </w:p>
        </w:tc>
      </w:tr>
    </w:tbl>
    <w:p w14:paraId="77ECA554" w14:textId="77777777" w:rsidR="00465964" w:rsidRPr="00465964" w:rsidRDefault="00465964" w:rsidP="00465964">
      <w:pPr>
        <w:rPr>
          <w:lang w:val="pt-PT"/>
        </w:rPr>
      </w:pPr>
      <w:r w:rsidRPr="00465964">
        <w:rPr>
          <w:lang w:val="pt-PT"/>
        </w:rPr>
        <w:t xml:space="preserve">A existência, a natureza e o montante do pagamento ou da prestação a que se refere o </w:t>
      </w:r>
      <w:proofErr w:type="spellStart"/>
      <w:r w:rsidRPr="00465964">
        <w:rPr>
          <w:lang w:val="pt-PT"/>
        </w:rPr>
        <w:t>n.</w:t>
      </w:r>
      <w:r w:rsidRPr="00465964">
        <w:rPr>
          <w:vertAlign w:val="superscript"/>
          <w:lang w:val="pt-PT"/>
        </w:rPr>
        <w:t>o</w:t>
      </w:r>
      <w:proofErr w:type="spellEnd"/>
      <w:r w:rsidRPr="00465964">
        <w:rPr>
          <w:lang w:val="pt-PT"/>
        </w:rPr>
        <w:t xml:space="preserve"> 4 ou, se o montante não puder ser determinado, o método de cálculo desse montante, são </w:t>
      </w:r>
      <w:r w:rsidRPr="00465964">
        <w:rPr>
          <w:lang w:val="pt-PT"/>
        </w:rPr>
        <w:lastRenderedPageBreak/>
        <w:t>claramente divulgados ao cliente de modo completo, exato e compreensível, antes da prestação do serviço de criptoativos pertinente.</w:t>
      </w:r>
    </w:p>
    <w:p w14:paraId="4C8F7968" w14:textId="77777777" w:rsidR="00465964" w:rsidRPr="00465964" w:rsidRDefault="00465964" w:rsidP="00465964">
      <w:pPr>
        <w:rPr>
          <w:lang w:val="pt-PT"/>
        </w:rPr>
      </w:pPr>
      <w:r w:rsidRPr="00465964">
        <w:rPr>
          <w:lang w:val="pt-PT"/>
        </w:rPr>
        <w:t>7.   Os prestadores de serviços de criptoativos que prestam consultoria sobre criptoativos devem assegurar que as pessoas singulares que prestam aconselhamento ou informações sobre criptoativos ou um serviço de criptoativos em seu nome possuem os conhecimentos e a competência necessários para o cumprimento das suas obrigações. Os Estados-Membros publicam os critérios a utilizar para avaliar tais conhecimentos e competência.</w:t>
      </w:r>
    </w:p>
    <w:p w14:paraId="37316838" w14:textId="77777777" w:rsidR="00465964" w:rsidRPr="00465964" w:rsidRDefault="00465964" w:rsidP="00465964">
      <w:pPr>
        <w:rPr>
          <w:lang w:val="pt-PT"/>
        </w:rPr>
      </w:pPr>
      <w:r w:rsidRPr="00465964">
        <w:rPr>
          <w:lang w:val="pt-PT"/>
        </w:rPr>
        <w:t xml:space="preserve">8.   Para efeitos da avaliação da adequação a que se refere o </w:t>
      </w:r>
      <w:proofErr w:type="spellStart"/>
      <w:r w:rsidRPr="00465964">
        <w:rPr>
          <w:lang w:val="pt-PT"/>
        </w:rPr>
        <w:t>n.</w:t>
      </w:r>
      <w:r w:rsidRPr="00465964">
        <w:rPr>
          <w:vertAlign w:val="superscript"/>
          <w:lang w:val="pt-PT"/>
        </w:rPr>
        <w:t>o</w:t>
      </w:r>
      <w:proofErr w:type="spellEnd"/>
      <w:r w:rsidRPr="00465964">
        <w:rPr>
          <w:lang w:val="pt-PT"/>
        </w:rPr>
        <w:t> 1, os prestadores de serviços de criptoativos que prestam consultoria sobre criptoativos ou que prestam serviços de gestão de carteiras de criptoativos obtêm dos seus clientes ou dos seus potenciais clientes as informações necessárias sobre os seus conhecimentos e experiência em investimentos, nomeadamente em criptoativos, os seus objetivos de investimento, incluindo a sua tolerância ao risco, a sua situação financeira, nomeadamente a sua capacidade para suportar perdas, e a sua compreensão básica dos riscos envolvidos na aquisição de criptoativos, de modo a permitir que os prestadores de serviços de criptoativos apresentem aos clientes ou aos potenciais clientes uma recomendação sobre se os criptoativos são ou não adequados para si e, em especial, se estão em conformidade com a sua tolerância ao risco e a sua capacidade para suportar as perdas.</w:t>
      </w:r>
    </w:p>
    <w:p w14:paraId="7D77F339" w14:textId="77777777" w:rsidR="00465964" w:rsidRPr="00465964" w:rsidRDefault="00465964" w:rsidP="00465964">
      <w:pPr>
        <w:rPr>
          <w:lang w:val="pt-PT"/>
        </w:rPr>
      </w:pPr>
      <w:r w:rsidRPr="00465964">
        <w:rPr>
          <w:lang w:val="pt-PT"/>
        </w:rPr>
        <w:t>9.   Os prestadores de serviços de criptoativos que prestam consultoria sobre criptoativos ou que prestam serviços de gestão de carteiras de criptoativos devem advertir os clientes ou os potenciais clientes de que:</w:t>
      </w:r>
    </w:p>
    <w:tbl>
      <w:tblPr>
        <w:tblW w:w="5000" w:type="pct"/>
        <w:tblCellMar>
          <w:left w:w="0" w:type="dxa"/>
          <w:right w:w="0" w:type="dxa"/>
        </w:tblCellMar>
        <w:tblLook w:val="04A0" w:firstRow="1" w:lastRow="0" w:firstColumn="1" w:lastColumn="0" w:noHBand="0" w:noVBand="1"/>
      </w:tblPr>
      <w:tblGrid>
        <w:gridCol w:w="446"/>
        <w:gridCol w:w="8580"/>
      </w:tblGrid>
      <w:tr w:rsidR="00465964" w:rsidRPr="00465964" w14:paraId="18AEAF2B" w14:textId="77777777" w:rsidTr="00465964">
        <w:tc>
          <w:tcPr>
            <w:tcW w:w="0" w:type="auto"/>
            <w:shd w:val="clear" w:color="auto" w:fill="auto"/>
            <w:hideMark/>
          </w:tcPr>
          <w:p w14:paraId="7DBACB76" w14:textId="77777777" w:rsidR="00465964" w:rsidRPr="00465964" w:rsidRDefault="00465964" w:rsidP="00465964">
            <w:r w:rsidRPr="00465964">
              <w:t>a)</w:t>
            </w:r>
          </w:p>
        </w:tc>
        <w:tc>
          <w:tcPr>
            <w:tcW w:w="0" w:type="auto"/>
            <w:shd w:val="clear" w:color="auto" w:fill="auto"/>
            <w:hideMark/>
          </w:tcPr>
          <w:p w14:paraId="021C7484" w14:textId="77777777" w:rsidR="00465964" w:rsidRPr="00465964" w:rsidRDefault="00465964" w:rsidP="00465964">
            <w:pPr>
              <w:rPr>
                <w:lang w:val="pt-PT"/>
              </w:rPr>
            </w:pPr>
            <w:r w:rsidRPr="00465964">
              <w:rPr>
                <w:lang w:val="pt-PT"/>
              </w:rPr>
              <w:t>O valor dos criptoativos pode flutuar;</w:t>
            </w:r>
          </w:p>
        </w:tc>
      </w:tr>
    </w:tbl>
    <w:p w14:paraId="0082B57B"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272"/>
        <w:gridCol w:w="8754"/>
      </w:tblGrid>
      <w:tr w:rsidR="00465964" w:rsidRPr="00465964" w14:paraId="2C2B6CEE" w14:textId="77777777" w:rsidTr="00465964">
        <w:tc>
          <w:tcPr>
            <w:tcW w:w="0" w:type="auto"/>
            <w:shd w:val="clear" w:color="auto" w:fill="auto"/>
            <w:hideMark/>
          </w:tcPr>
          <w:p w14:paraId="3178E449" w14:textId="77777777" w:rsidR="00465964" w:rsidRPr="00465964" w:rsidRDefault="00465964" w:rsidP="00465964">
            <w:r w:rsidRPr="00465964">
              <w:t>b)</w:t>
            </w:r>
          </w:p>
        </w:tc>
        <w:tc>
          <w:tcPr>
            <w:tcW w:w="0" w:type="auto"/>
            <w:shd w:val="clear" w:color="auto" w:fill="auto"/>
            <w:hideMark/>
          </w:tcPr>
          <w:p w14:paraId="05DA8BA2" w14:textId="77777777" w:rsidR="00465964" w:rsidRPr="00465964" w:rsidRDefault="00465964" w:rsidP="00465964">
            <w:pPr>
              <w:rPr>
                <w:lang w:val="pt-PT"/>
              </w:rPr>
            </w:pPr>
            <w:r w:rsidRPr="00465964">
              <w:rPr>
                <w:lang w:val="pt-PT"/>
              </w:rPr>
              <w:t>Os criptoativos podem estar sujeitos a perdas totais ou parciais;</w:t>
            </w:r>
          </w:p>
        </w:tc>
      </w:tr>
    </w:tbl>
    <w:p w14:paraId="18FEA298"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413"/>
        <w:gridCol w:w="8613"/>
      </w:tblGrid>
      <w:tr w:rsidR="00465964" w:rsidRPr="00465964" w14:paraId="1927ECD2" w14:textId="77777777" w:rsidTr="00465964">
        <w:tc>
          <w:tcPr>
            <w:tcW w:w="0" w:type="auto"/>
            <w:shd w:val="clear" w:color="auto" w:fill="auto"/>
            <w:hideMark/>
          </w:tcPr>
          <w:p w14:paraId="7BB05EEB" w14:textId="77777777" w:rsidR="00465964" w:rsidRPr="00465964" w:rsidRDefault="00465964" w:rsidP="00465964">
            <w:r w:rsidRPr="00465964">
              <w:t>c)</w:t>
            </w:r>
          </w:p>
        </w:tc>
        <w:tc>
          <w:tcPr>
            <w:tcW w:w="0" w:type="auto"/>
            <w:shd w:val="clear" w:color="auto" w:fill="auto"/>
            <w:hideMark/>
          </w:tcPr>
          <w:p w14:paraId="383660AF" w14:textId="77777777" w:rsidR="00465964" w:rsidRPr="00465964" w:rsidRDefault="00465964" w:rsidP="00465964">
            <w:pPr>
              <w:rPr>
                <w:lang w:val="pt-PT"/>
              </w:rPr>
            </w:pPr>
            <w:r w:rsidRPr="00465964">
              <w:rPr>
                <w:lang w:val="pt-PT"/>
              </w:rPr>
              <w:t>Os criptoativos podem não ser líquidos;</w:t>
            </w:r>
          </w:p>
        </w:tc>
      </w:tr>
    </w:tbl>
    <w:p w14:paraId="2BB50690"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8"/>
        <w:gridCol w:w="8838"/>
      </w:tblGrid>
      <w:tr w:rsidR="00465964" w:rsidRPr="00465964" w14:paraId="07D7A5C5" w14:textId="77777777" w:rsidTr="00465964">
        <w:tc>
          <w:tcPr>
            <w:tcW w:w="0" w:type="auto"/>
            <w:shd w:val="clear" w:color="auto" w:fill="auto"/>
            <w:hideMark/>
          </w:tcPr>
          <w:p w14:paraId="5AC986B9" w14:textId="77777777" w:rsidR="00465964" w:rsidRPr="00465964" w:rsidRDefault="00465964" w:rsidP="00465964">
            <w:r w:rsidRPr="00465964">
              <w:t>d)</w:t>
            </w:r>
          </w:p>
        </w:tc>
        <w:tc>
          <w:tcPr>
            <w:tcW w:w="0" w:type="auto"/>
            <w:shd w:val="clear" w:color="auto" w:fill="auto"/>
            <w:hideMark/>
          </w:tcPr>
          <w:p w14:paraId="00423AD5" w14:textId="77777777" w:rsidR="00465964" w:rsidRPr="00465964" w:rsidRDefault="00465964" w:rsidP="00465964">
            <w:pPr>
              <w:rPr>
                <w:lang w:val="pt-PT"/>
              </w:rPr>
            </w:pPr>
            <w:r w:rsidRPr="00465964">
              <w:rPr>
                <w:lang w:val="pt-PT"/>
              </w:rPr>
              <w:t>Se for caso disso, os criptoativos não estão abrangidos pelos sistemas de indemnização dos investidores previstos na Diretiva 97/9/CE;</w:t>
            </w:r>
          </w:p>
        </w:tc>
      </w:tr>
    </w:tbl>
    <w:p w14:paraId="76FF265E"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1"/>
        <w:gridCol w:w="8845"/>
      </w:tblGrid>
      <w:tr w:rsidR="00465964" w:rsidRPr="00465964" w14:paraId="327FB592" w14:textId="77777777" w:rsidTr="00465964">
        <w:tc>
          <w:tcPr>
            <w:tcW w:w="0" w:type="auto"/>
            <w:shd w:val="clear" w:color="auto" w:fill="auto"/>
            <w:hideMark/>
          </w:tcPr>
          <w:p w14:paraId="356FEE62" w14:textId="77777777" w:rsidR="00465964" w:rsidRPr="00465964" w:rsidRDefault="00465964" w:rsidP="00465964">
            <w:r w:rsidRPr="00465964">
              <w:t>e)</w:t>
            </w:r>
          </w:p>
        </w:tc>
        <w:tc>
          <w:tcPr>
            <w:tcW w:w="0" w:type="auto"/>
            <w:shd w:val="clear" w:color="auto" w:fill="auto"/>
            <w:hideMark/>
          </w:tcPr>
          <w:p w14:paraId="2218F51A" w14:textId="77777777" w:rsidR="00465964" w:rsidRPr="00465964" w:rsidRDefault="00465964" w:rsidP="00465964">
            <w:pPr>
              <w:rPr>
                <w:lang w:val="pt-PT"/>
              </w:rPr>
            </w:pPr>
            <w:r w:rsidRPr="00465964">
              <w:rPr>
                <w:lang w:val="pt-PT"/>
              </w:rPr>
              <w:t>Os criptoativos não estão abrangidos pelos sistemas de garantia de depósitos previstos na Diretiva 2014/49/UE.</w:t>
            </w:r>
          </w:p>
        </w:tc>
      </w:tr>
    </w:tbl>
    <w:p w14:paraId="686574AF" w14:textId="77777777" w:rsidR="00465964" w:rsidRPr="00465964" w:rsidRDefault="00465964" w:rsidP="00465964">
      <w:pPr>
        <w:rPr>
          <w:lang w:val="pt-PT"/>
        </w:rPr>
      </w:pPr>
      <w:r w:rsidRPr="00465964">
        <w:rPr>
          <w:lang w:val="pt-PT"/>
        </w:rPr>
        <w:t xml:space="preserve">10.   Os prestadores de serviços de criptoativos que prestam consultoria sobre criptoativos ou que prestam serviços de gestão de carteiras de criptoativos criam, mantêm e aplicam políticas e procedimentos que lhes permitam recolher e avaliar todas as informações necessárias para a realização da avaliação referida no </w:t>
      </w:r>
      <w:proofErr w:type="spellStart"/>
      <w:r w:rsidRPr="00465964">
        <w:rPr>
          <w:lang w:val="pt-PT"/>
        </w:rPr>
        <w:t>n.</w:t>
      </w:r>
      <w:r w:rsidRPr="00465964">
        <w:rPr>
          <w:vertAlign w:val="superscript"/>
          <w:lang w:val="pt-PT"/>
        </w:rPr>
        <w:t>o</w:t>
      </w:r>
      <w:proofErr w:type="spellEnd"/>
      <w:r w:rsidRPr="00465964">
        <w:rPr>
          <w:lang w:val="pt-PT"/>
        </w:rPr>
        <w:t> 1 para cada cliente. Devem tomar todas as medidas razoáveis para assegurar que as informações recolhidas sobre os seus clientes efetivos ou potenciais sejam fiáveis.</w:t>
      </w:r>
    </w:p>
    <w:p w14:paraId="173A44D4" w14:textId="77777777" w:rsidR="00465964" w:rsidRPr="00465964" w:rsidRDefault="00465964" w:rsidP="00465964">
      <w:pPr>
        <w:rPr>
          <w:lang w:val="pt-PT"/>
        </w:rPr>
      </w:pPr>
      <w:r w:rsidRPr="00465964">
        <w:rPr>
          <w:lang w:val="pt-PT"/>
        </w:rPr>
        <w:t xml:space="preserve">11.   Caso os clientes não forneçam as informações exigidas nos termos do </w:t>
      </w:r>
      <w:proofErr w:type="spellStart"/>
      <w:r w:rsidRPr="00465964">
        <w:rPr>
          <w:lang w:val="pt-PT"/>
        </w:rPr>
        <w:t>n.</w:t>
      </w:r>
      <w:r w:rsidRPr="00465964">
        <w:rPr>
          <w:vertAlign w:val="superscript"/>
          <w:lang w:val="pt-PT"/>
        </w:rPr>
        <w:t>o</w:t>
      </w:r>
      <w:proofErr w:type="spellEnd"/>
      <w:r w:rsidRPr="00465964">
        <w:rPr>
          <w:lang w:val="pt-PT"/>
        </w:rPr>
        <w:t> 8, ou caso os prestadores de serviços de criptoativos que prestam consultoria sobre criptoativos ou que prestam serviços de gestão de carteiras de criptoativos considerem que os serviços de criptoativos ou os criptoativos não são adequados para os seus clientes, estes prestadores de serviços não podem recomendar esses serviços de criptoativos nem esses criptoativos, nem iniciar a prestação de serviços de gestão de carteiras de criptoativos.</w:t>
      </w:r>
    </w:p>
    <w:p w14:paraId="316F3808" w14:textId="77777777" w:rsidR="00465964" w:rsidRPr="00465964" w:rsidRDefault="00465964" w:rsidP="00465964">
      <w:pPr>
        <w:rPr>
          <w:lang w:val="pt-PT"/>
        </w:rPr>
      </w:pPr>
      <w:r w:rsidRPr="00465964">
        <w:rPr>
          <w:lang w:val="pt-PT"/>
        </w:rPr>
        <w:t xml:space="preserve">12.   Os prestadores de serviços de criptoativos que prestam consultoria sobre criptoativos ou que prestam serviços de gestão de carteiras de criptoativos revêm regularmente, para cada </w:t>
      </w:r>
      <w:r w:rsidRPr="00465964">
        <w:rPr>
          <w:lang w:val="pt-PT"/>
        </w:rPr>
        <w:lastRenderedPageBreak/>
        <w:t xml:space="preserve">cliente, a avaliação da adequação a que se refere o </w:t>
      </w:r>
      <w:proofErr w:type="spellStart"/>
      <w:r w:rsidRPr="00465964">
        <w:rPr>
          <w:lang w:val="pt-PT"/>
        </w:rPr>
        <w:t>n.</w:t>
      </w:r>
      <w:r w:rsidRPr="00465964">
        <w:rPr>
          <w:vertAlign w:val="superscript"/>
          <w:lang w:val="pt-PT"/>
        </w:rPr>
        <w:t>o</w:t>
      </w:r>
      <w:proofErr w:type="spellEnd"/>
      <w:r w:rsidRPr="00465964">
        <w:rPr>
          <w:lang w:val="pt-PT"/>
        </w:rPr>
        <w:t> 1, pelo menos todos os anos após a avaliação inicial efetuada nos termos desse número.</w:t>
      </w:r>
    </w:p>
    <w:p w14:paraId="12C55B88" w14:textId="77777777" w:rsidR="00465964" w:rsidRPr="00465964" w:rsidRDefault="00465964" w:rsidP="00465964">
      <w:r w:rsidRPr="00465964">
        <w:rPr>
          <w:lang w:val="pt-PT"/>
        </w:rPr>
        <w:t xml:space="preserve">13.   Uma vez efetuada a avaliação da adequação a que se refere o </w:t>
      </w:r>
      <w:proofErr w:type="spellStart"/>
      <w:r w:rsidRPr="00465964">
        <w:rPr>
          <w:lang w:val="pt-PT"/>
        </w:rPr>
        <w:t>n.</w:t>
      </w:r>
      <w:r w:rsidRPr="00465964">
        <w:rPr>
          <w:vertAlign w:val="superscript"/>
          <w:lang w:val="pt-PT"/>
        </w:rPr>
        <w:t>o</w:t>
      </w:r>
      <w:proofErr w:type="spellEnd"/>
      <w:r w:rsidRPr="00465964">
        <w:rPr>
          <w:lang w:val="pt-PT"/>
        </w:rPr>
        <w:t xml:space="preserve"> 1 ou a sua reapreciação nos termos do </w:t>
      </w:r>
      <w:proofErr w:type="spellStart"/>
      <w:r w:rsidRPr="00465964">
        <w:rPr>
          <w:lang w:val="pt-PT"/>
        </w:rPr>
        <w:t>n.</w:t>
      </w:r>
      <w:r w:rsidRPr="00465964">
        <w:rPr>
          <w:vertAlign w:val="superscript"/>
          <w:lang w:val="pt-PT"/>
        </w:rPr>
        <w:t>o</w:t>
      </w:r>
      <w:proofErr w:type="spellEnd"/>
      <w:r w:rsidRPr="00465964">
        <w:rPr>
          <w:lang w:val="pt-PT"/>
        </w:rPr>
        <w:t> 12, os prestadores de serviços de criptoativos que prestam consultoria sobre criptoativos fornecem aos clientes um relatório sobre a adequação, especificando a consultoria prestada e a forma como essa consultoria vai ao encontro das preferências, dos objetivos e de outras características dos cliente</w:t>
      </w:r>
      <w:r w:rsidRPr="00465964">
        <w:rPr>
          <w:b/>
          <w:bCs/>
          <w:lang w:val="pt-PT"/>
        </w:rPr>
        <w:t>s</w:t>
      </w:r>
      <w:r w:rsidRPr="00465964">
        <w:rPr>
          <w:lang w:val="pt-PT"/>
        </w:rPr>
        <w:t xml:space="preserve">. Esse relatório deve ser elaborado e comunicado aos clientes em formato eletrónico. </w:t>
      </w:r>
      <w:r w:rsidRPr="00465964">
        <w:t xml:space="preserve">Esse </w:t>
      </w:r>
      <w:proofErr w:type="spellStart"/>
      <w:r w:rsidRPr="00465964">
        <w:t>relatório</w:t>
      </w:r>
      <w:proofErr w:type="spellEnd"/>
      <w:r w:rsidRPr="00465964">
        <w:t xml:space="preserve"> </w:t>
      </w:r>
      <w:proofErr w:type="spellStart"/>
      <w:r w:rsidRPr="00465964">
        <w:t>deve</w:t>
      </w:r>
      <w:proofErr w:type="spellEnd"/>
      <w:r w:rsidRPr="00465964">
        <w:t xml:space="preserve">, no </w:t>
      </w:r>
      <w:proofErr w:type="spellStart"/>
      <w:r w:rsidRPr="00465964">
        <w:t>mínimo</w:t>
      </w:r>
      <w:proofErr w:type="spellEnd"/>
      <w:r w:rsidRPr="00465964">
        <w:t>:</w:t>
      </w:r>
    </w:p>
    <w:tbl>
      <w:tblPr>
        <w:tblW w:w="5000" w:type="pct"/>
        <w:tblCellMar>
          <w:left w:w="0" w:type="dxa"/>
          <w:right w:w="0" w:type="dxa"/>
        </w:tblCellMar>
        <w:tblLook w:val="04A0" w:firstRow="1" w:lastRow="0" w:firstColumn="1" w:lastColumn="0" w:noHBand="0" w:noVBand="1"/>
      </w:tblPr>
      <w:tblGrid>
        <w:gridCol w:w="237"/>
        <w:gridCol w:w="8789"/>
      </w:tblGrid>
      <w:tr w:rsidR="00465964" w:rsidRPr="00465964" w14:paraId="527FE264" w14:textId="77777777" w:rsidTr="00465964">
        <w:tc>
          <w:tcPr>
            <w:tcW w:w="0" w:type="auto"/>
            <w:shd w:val="clear" w:color="auto" w:fill="auto"/>
            <w:hideMark/>
          </w:tcPr>
          <w:p w14:paraId="385534F7" w14:textId="77777777" w:rsidR="00465964" w:rsidRPr="00465964" w:rsidRDefault="00465964" w:rsidP="00465964">
            <w:r w:rsidRPr="00465964">
              <w:t>a)</w:t>
            </w:r>
          </w:p>
        </w:tc>
        <w:tc>
          <w:tcPr>
            <w:tcW w:w="0" w:type="auto"/>
            <w:shd w:val="clear" w:color="auto" w:fill="auto"/>
            <w:hideMark/>
          </w:tcPr>
          <w:p w14:paraId="37DDC94A" w14:textId="77777777" w:rsidR="00465964" w:rsidRPr="00465964" w:rsidRDefault="00465964" w:rsidP="00465964">
            <w:pPr>
              <w:rPr>
                <w:lang w:val="pt-PT"/>
              </w:rPr>
            </w:pPr>
            <w:r w:rsidRPr="00465964">
              <w:rPr>
                <w:lang w:val="pt-PT"/>
              </w:rPr>
              <w:t xml:space="preserve">Incluir informação atualizada sobre a avaliação a que se refere o </w:t>
            </w:r>
            <w:proofErr w:type="spellStart"/>
            <w:r w:rsidRPr="00465964">
              <w:rPr>
                <w:lang w:val="pt-PT"/>
              </w:rPr>
              <w:t>n.</w:t>
            </w:r>
            <w:r w:rsidRPr="00465964">
              <w:rPr>
                <w:vertAlign w:val="superscript"/>
                <w:lang w:val="pt-PT"/>
              </w:rPr>
              <w:t>o</w:t>
            </w:r>
            <w:proofErr w:type="spellEnd"/>
            <w:r w:rsidRPr="00465964">
              <w:rPr>
                <w:lang w:val="pt-PT"/>
              </w:rPr>
              <w:t> 1; e</w:t>
            </w:r>
          </w:p>
        </w:tc>
      </w:tr>
    </w:tbl>
    <w:p w14:paraId="0F1CED40"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337"/>
        <w:gridCol w:w="8689"/>
      </w:tblGrid>
      <w:tr w:rsidR="00465964" w:rsidRPr="00465964" w14:paraId="34304C88" w14:textId="77777777" w:rsidTr="00465964">
        <w:tc>
          <w:tcPr>
            <w:tcW w:w="0" w:type="auto"/>
            <w:shd w:val="clear" w:color="auto" w:fill="auto"/>
            <w:hideMark/>
          </w:tcPr>
          <w:p w14:paraId="63C65856" w14:textId="77777777" w:rsidR="00465964" w:rsidRPr="00465964" w:rsidRDefault="00465964" w:rsidP="00465964">
            <w:r w:rsidRPr="00465964">
              <w:t>b)</w:t>
            </w:r>
          </w:p>
        </w:tc>
        <w:tc>
          <w:tcPr>
            <w:tcW w:w="0" w:type="auto"/>
            <w:shd w:val="clear" w:color="auto" w:fill="auto"/>
            <w:hideMark/>
          </w:tcPr>
          <w:p w14:paraId="4B37BBE6" w14:textId="77777777" w:rsidR="00465964" w:rsidRPr="00465964" w:rsidRDefault="00465964" w:rsidP="00465964">
            <w:pPr>
              <w:rPr>
                <w:lang w:val="pt-PT"/>
              </w:rPr>
            </w:pPr>
            <w:r w:rsidRPr="00465964">
              <w:rPr>
                <w:lang w:val="pt-PT"/>
              </w:rPr>
              <w:t>Apresentar em linhas gerais a consultoria prestada.</w:t>
            </w:r>
          </w:p>
        </w:tc>
      </w:tr>
    </w:tbl>
    <w:p w14:paraId="3BF4DF6A" w14:textId="77777777" w:rsidR="00465964" w:rsidRPr="00465964" w:rsidRDefault="00465964" w:rsidP="00465964">
      <w:pPr>
        <w:rPr>
          <w:lang w:val="pt-PT"/>
        </w:rPr>
      </w:pPr>
      <w:r w:rsidRPr="00465964">
        <w:rPr>
          <w:lang w:val="pt-PT"/>
        </w:rPr>
        <w:t>O relatório sobre a adequação a que se refere o primeiro parágrafo deve deixar claro que a consultoria se baseia nos conhecimentos e na experiência do cliente em matéria de investimento em criptoativos, nos objetivos de investimento do cliente, na sua tolerância ao risco, na sua situação financeira e na sua capacidade para suportar perdas.</w:t>
      </w:r>
    </w:p>
    <w:p w14:paraId="3C2BAF76" w14:textId="77777777" w:rsidR="00465964" w:rsidRPr="00465964" w:rsidRDefault="00465964" w:rsidP="00465964">
      <w:pPr>
        <w:rPr>
          <w:lang w:val="pt-PT"/>
        </w:rPr>
      </w:pPr>
      <w:r w:rsidRPr="00465964">
        <w:rPr>
          <w:lang w:val="pt-PT"/>
        </w:rPr>
        <w:t xml:space="preserve">14.   Os prestadores de serviços de criptoativos que prestam serviços de gestão de carteiras de criptoativos fornecem aos seus clientes, em formato eletrónico, mapas periódicos das atividades de gestão de carteiras realizadas em seu nome. Esses mapas periódicos devem conter uma análise justa e equilibrada das atividades realizadas e do desempenho da carteira durante o período de referência, uma declaração atualizada sobre a forma como as atividades realizadas satisfazem as preferências, os objetivos e outras características do cliente, bem como informações atualizadas sobre a avaliação da adequação a que se refere o </w:t>
      </w:r>
      <w:proofErr w:type="spellStart"/>
      <w:r w:rsidRPr="00465964">
        <w:rPr>
          <w:lang w:val="pt-PT"/>
        </w:rPr>
        <w:t>n.</w:t>
      </w:r>
      <w:r w:rsidRPr="00465964">
        <w:rPr>
          <w:vertAlign w:val="superscript"/>
          <w:lang w:val="pt-PT"/>
        </w:rPr>
        <w:t>o</w:t>
      </w:r>
      <w:proofErr w:type="spellEnd"/>
      <w:r w:rsidRPr="00465964">
        <w:rPr>
          <w:lang w:val="pt-PT"/>
        </w:rPr>
        <w:t xml:space="preserve"> 1 ou a sua reapreciação nos termos do </w:t>
      </w:r>
      <w:proofErr w:type="spellStart"/>
      <w:r w:rsidRPr="00465964">
        <w:rPr>
          <w:lang w:val="pt-PT"/>
        </w:rPr>
        <w:t>n.</w:t>
      </w:r>
      <w:r w:rsidRPr="00465964">
        <w:rPr>
          <w:vertAlign w:val="superscript"/>
          <w:lang w:val="pt-PT"/>
        </w:rPr>
        <w:t>o</w:t>
      </w:r>
      <w:proofErr w:type="spellEnd"/>
      <w:r w:rsidRPr="00465964">
        <w:rPr>
          <w:lang w:val="pt-PT"/>
        </w:rPr>
        <w:t> 12.</w:t>
      </w:r>
    </w:p>
    <w:p w14:paraId="72F7266B" w14:textId="77777777" w:rsidR="00465964" w:rsidRPr="00465964" w:rsidRDefault="00465964" w:rsidP="00465964">
      <w:pPr>
        <w:rPr>
          <w:lang w:val="pt-PT"/>
        </w:rPr>
      </w:pPr>
      <w:r w:rsidRPr="00465964">
        <w:rPr>
          <w:lang w:val="pt-PT"/>
        </w:rPr>
        <w:t xml:space="preserve">O mapa periódico a que se refere o primeiro parágrafo do presente número deve ser apresentado de três em três meses, exceto nos casos em que um cliente tem acesso a um sistema em linha em que é possível aceder a avaliações atualizadas da carteira do cliente e a informações atualizadas sobre a avaliação da adequação a que se refere o </w:t>
      </w:r>
      <w:proofErr w:type="spellStart"/>
      <w:r w:rsidRPr="00465964">
        <w:rPr>
          <w:lang w:val="pt-PT"/>
        </w:rPr>
        <w:t>n.</w:t>
      </w:r>
      <w:r w:rsidRPr="00465964">
        <w:rPr>
          <w:vertAlign w:val="superscript"/>
          <w:lang w:val="pt-PT"/>
        </w:rPr>
        <w:t>o</w:t>
      </w:r>
      <w:proofErr w:type="spellEnd"/>
      <w:r w:rsidRPr="00465964">
        <w:rPr>
          <w:lang w:val="pt-PT"/>
        </w:rPr>
        <w:t> 1, e desde que o prestador de serviços de criptoativos tenha provas de que o cliente acedeu a uma avaliação pelo menos uma vez durante o trimestre em causa. Tal sistema em linha é considerado um formato eletrónico.</w:t>
      </w:r>
    </w:p>
    <w:p w14:paraId="0E89CDEF" w14:textId="77777777" w:rsidR="00465964" w:rsidRPr="00465964" w:rsidRDefault="00465964" w:rsidP="00465964">
      <w:pPr>
        <w:rPr>
          <w:lang w:val="pt-PT"/>
        </w:rPr>
      </w:pPr>
      <w:r w:rsidRPr="00465964">
        <w:rPr>
          <w:lang w:val="pt-PT"/>
        </w:rPr>
        <w:t>15.   Até 30 de dezembro de 2024, a ESMA emite orientações em conformidade com o artigo 16.</w:t>
      </w:r>
      <w:r w:rsidRPr="00465964">
        <w:rPr>
          <w:vertAlign w:val="superscript"/>
          <w:lang w:val="pt-PT"/>
        </w:rPr>
        <w:t>o</w:t>
      </w:r>
      <w:r w:rsidRPr="00465964">
        <w:rPr>
          <w:lang w:val="pt-PT"/>
        </w:rPr>
        <w:t xml:space="preserve"> do Regulamento (UE) </w:t>
      </w:r>
      <w:proofErr w:type="spellStart"/>
      <w:r w:rsidRPr="00465964">
        <w:rPr>
          <w:lang w:val="pt-PT"/>
        </w:rPr>
        <w:t>n.</w:t>
      </w:r>
      <w:r w:rsidRPr="00465964">
        <w:rPr>
          <w:vertAlign w:val="superscript"/>
          <w:lang w:val="pt-PT"/>
        </w:rPr>
        <w:t>o</w:t>
      </w:r>
      <w:proofErr w:type="spellEnd"/>
      <w:r w:rsidRPr="00465964">
        <w:rPr>
          <w:lang w:val="pt-PT"/>
        </w:rPr>
        <w:t> 1095/2010 que especifiquem:</w:t>
      </w:r>
    </w:p>
    <w:tbl>
      <w:tblPr>
        <w:tblW w:w="5000" w:type="pct"/>
        <w:tblCellMar>
          <w:left w:w="0" w:type="dxa"/>
          <w:right w:w="0" w:type="dxa"/>
        </w:tblCellMar>
        <w:tblLook w:val="04A0" w:firstRow="1" w:lastRow="0" w:firstColumn="1" w:lastColumn="0" w:noHBand="0" w:noVBand="1"/>
      </w:tblPr>
      <w:tblGrid>
        <w:gridCol w:w="182"/>
        <w:gridCol w:w="8844"/>
      </w:tblGrid>
      <w:tr w:rsidR="00465964" w:rsidRPr="00465964" w14:paraId="53767820" w14:textId="77777777" w:rsidTr="00465964">
        <w:tc>
          <w:tcPr>
            <w:tcW w:w="0" w:type="auto"/>
            <w:shd w:val="clear" w:color="auto" w:fill="auto"/>
            <w:hideMark/>
          </w:tcPr>
          <w:p w14:paraId="57AE156D" w14:textId="77777777" w:rsidR="00465964" w:rsidRPr="00465964" w:rsidRDefault="00465964" w:rsidP="00465964">
            <w:r w:rsidRPr="00465964">
              <w:t>a)</w:t>
            </w:r>
          </w:p>
        </w:tc>
        <w:tc>
          <w:tcPr>
            <w:tcW w:w="0" w:type="auto"/>
            <w:shd w:val="clear" w:color="auto" w:fill="auto"/>
            <w:hideMark/>
          </w:tcPr>
          <w:p w14:paraId="4C78DB00" w14:textId="77777777" w:rsidR="00465964" w:rsidRPr="00465964" w:rsidRDefault="00465964" w:rsidP="00465964">
            <w:pPr>
              <w:rPr>
                <w:lang w:val="pt-PT"/>
              </w:rPr>
            </w:pPr>
            <w:r w:rsidRPr="00465964">
              <w:rPr>
                <w:lang w:val="pt-PT"/>
              </w:rPr>
              <w:t xml:space="preserve">Os critérios de avaliação dos conhecimentos e da competência do cliente em conformidade com o </w:t>
            </w:r>
            <w:proofErr w:type="spellStart"/>
            <w:r w:rsidRPr="00465964">
              <w:rPr>
                <w:lang w:val="pt-PT"/>
              </w:rPr>
              <w:t>n.</w:t>
            </w:r>
            <w:r w:rsidRPr="00465964">
              <w:rPr>
                <w:vertAlign w:val="superscript"/>
                <w:lang w:val="pt-PT"/>
              </w:rPr>
              <w:t>o</w:t>
            </w:r>
            <w:proofErr w:type="spellEnd"/>
            <w:r w:rsidRPr="00465964">
              <w:rPr>
                <w:lang w:val="pt-PT"/>
              </w:rPr>
              <w:t> 2;</w:t>
            </w:r>
          </w:p>
        </w:tc>
      </w:tr>
    </w:tbl>
    <w:p w14:paraId="02EB3766"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429"/>
        <w:gridCol w:w="8597"/>
      </w:tblGrid>
      <w:tr w:rsidR="00465964" w:rsidRPr="00465964" w14:paraId="5EBA1D80" w14:textId="77777777" w:rsidTr="00465964">
        <w:tc>
          <w:tcPr>
            <w:tcW w:w="0" w:type="auto"/>
            <w:shd w:val="clear" w:color="auto" w:fill="auto"/>
            <w:hideMark/>
          </w:tcPr>
          <w:p w14:paraId="14B8FA61" w14:textId="77777777" w:rsidR="00465964" w:rsidRPr="00465964" w:rsidRDefault="00465964" w:rsidP="00465964">
            <w:r w:rsidRPr="00465964">
              <w:t>b)</w:t>
            </w:r>
          </w:p>
        </w:tc>
        <w:tc>
          <w:tcPr>
            <w:tcW w:w="0" w:type="auto"/>
            <w:shd w:val="clear" w:color="auto" w:fill="auto"/>
            <w:hideMark/>
          </w:tcPr>
          <w:p w14:paraId="176A292B" w14:textId="77777777" w:rsidR="00465964" w:rsidRPr="00465964" w:rsidRDefault="00465964" w:rsidP="00465964">
            <w:pPr>
              <w:rPr>
                <w:lang w:val="pt-PT"/>
              </w:rPr>
            </w:pPr>
            <w:r w:rsidRPr="00465964">
              <w:rPr>
                <w:lang w:val="pt-PT"/>
              </w:rPr>
              <w:t xml:space="preserve">As informações a que se refere o </w:t>
            </w:r>
            <w:proofErr w:type="spellStart"/>
            <w:r w:rsidRPr="00465964">
              <w:rPr>
                <w:lang w:val="pt-PT"/>
              </w:rPr>
              <w:t>n.</w:t>
            </w:r>
            <w:r w:rsidRPr="00465964">
              <w:rPr>
                <w:vertAlign w:val="superscript"/>
                <w:lang w:val="pt-PT"/>
              </w:rPr>
              <w:t>o</w:t>
            </w:r>
            <w:proofErr w:type="spellEnd"/>
            <w:r w:rsidRPr="00465964">
              <w:rPr>
                <w:lang w:val="pt-PT"/>
              </w:rPr>
              <w:t> 8; e</w:t>
            </w:r>
          </w:p>
        </w:tc>
      </w:tr>
    </w:tbl>
    <w:p w14:paraId="250AB143"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312"/>
        <w:gridCol w:w="8714"/>
      </w:tblGrid>
      <w:tr w:rsidR="00465964" w:rsidRPr="00465964" w14:paraId="2CA080AE" w14:textId="77777777" w:rsidTr="00465964">
        <w:tc>
          <w:tcPr>
            <w:tcW w:w="0" w:type="auto"/>
            <w:shd w:val="clear" w:color="auto" w:fill="auto"/>
            <w:hideMark/>
          </w:tcPr>
          <w:p w14:paraId="263F1130" w14:textId="77777777" w:rsidR="00465964" w:rsidRPr="00465964" w:rsidRDefault="00465964" w:rsidP="00465964">
            <w:r w:rsidRPr="00465964">
              <w:t>c)</w:t>
            </w:r>
          </w:p>
        </w:tc>
        <w:tc>
          <w:tcPr>
            <w:tcW w:w="0" w:type="auto"/>
            <w:shd w:val="clear" w:color="auto" w:fill="auto"/>
            <w:hideMark/>
          </w:tcPr>
          <w:p w14:paraId="5C831A9A" w14:textId="77777777" w:rsidR="00465964" w:rsidRPr="00465964" w:rsidRDefault="00465964" w:rsidP="00465964">
            <w:pPr>
              <w:rPr>
                <w:lang w:val="pt-PT"/>
              </w:rPr>
            </w:pPr>
            <w:r w:rsidRPr="00465964">
              <w:rPr>
                <w:lang w:val="pt-PT"/>
              </w:rPr>
              <w:t xml:space="preserve">O formato do mapa periódico a que se refere o </w:t>
            </w:r>
            <w:proofErr w:type="spellStart"/>
            <w:r w:rsidRPr="00465964">
              <w:rPr>
                <w:lang w:val="pt-PT"/>
              </w:rPr>
              <w:t>n.</w:t>
            </w:r>
            <w:r w:rsidRPr="00465964">
              <w:rPr>
                <w:vertAlign w:val="superscript"/>
                <w:lang w:val="pt-PT"/>
              </w:rPr>
              <w:t>o</w:t>
            </w:r>
            <w:proofErr w:type="spellEnd"/>
            <w:r w:rsidRPr="00465964">
              <w:rPr>
                <w:lang w:val="pt-PT"/>
              </w:rPr>
              <w:t> 14.</w:t>
            </w:r>
          </w:p>
        </w:tc>
      </w:tr>
    </w:tbl>
    <w:p w14:paraId="24755AEB" w14:textId="77777777" w:rsidR="00465964" w:rsidRPr="00465964" w:rsidRDefault="00465964" w:rsidP="00465964">
      <w:pPr>
        <w:rPr>
          <w:i/>
          <w:iCs/>
          <w:lang w:val="pt-PT"/>
        </w:rPr>
      </w:pPr>
      <w:r w:rsidRPr="00465964">
        <w:rPr>
          <w:i/>
          <w:iCs/>
          <w:lang w:val="pt-PT"/>
        </w:rPr>
        <w:t>Artigo 82.</w:t>
      </w:r>
      <w:r w:rsidRPr="00465964">
        <w:rPr>
          <w:i/>
          <w:iCs/>
          <w:vertAlign w:val="superscript"/>
          <w:lang w:val="pt-PT"/>
        </w:rPr>
        <w:t>o</w:t>
      </w:r>
    </w:p>
    <w:p w14:paraId="452DBCB1" w14:textId="77777777" w:rsidR="00465964" w:rsidRPr="00465964" w:rsidRDefault="00465964" w:rsidP="00465964">
      <w:pPr>
        <w:rPr>
          <w:b/>
          <w:bCs/>
          <w:lang w:val="pt-PT"/>
        </w:rPr>
      </w:pPr>
      <w:r w:rsidRPr="00465964">
        <w:rPr>
          <w:b/>
          <w:bCs/>
          <w:lang w:val="pt-PT"/>
        </w:rPr>
        <w:t>Serviços de transferência de criptoativos em nome de clientes</w:t>
      </w:r>
    </w:p>
    <w:p w14:paraId="06ACAB8B" w14:textId="77777777" w:rsidR="00465964" w:rsidRPr="00465964" w:rsidRDefault="00465964" w:rsidP="00465964">
      <w:pPr>
        <w:rPr>
          <w:lang w:val="pt-PT"/>
        </w:rPr>
      </w:pPr>
      <w:r w:rsidRPr="00465964">
        <w:rPr>
          <w:lang w:val="pt-PT"/>
        </w:rPr>
        <w:t>1.   Os prestadores de serviços de criptoativos que prestam serviços de transferência de criptoativos em nome de clientes devem celebrar um acordo com os seus clientes para especificar as suas funções e responsabilidades. Esse acordo deve incluir pelo menos os seguintes elementos:</w:t>
      </w:r>
    </w:p>
    <w:tbl>
      <w:tblPr>
        <w:tblW w:w="5000" w:type="pct"/>
        <w:tblCellMar>
          <w:left w:w="0" w:type="dxa"/>
          <w:right w:w="0" w:type="dxa"/>
        </w:tblCellMar>
        <w:tblLook w:val="04A0" w:firstRow="1" w:lastRow="0" w:firstColumn="1" w:lastColumn="0" w:noHBand="0" w:noVBand="1"/>
      </w:tblPr>
      <w:tblGrid>
        <w:gridCol w:w="472"/>
        <w:gridCol w:w="8554"/>
      </w:tblGrid>
      <w:tr w:rsidR="00465964" w:rsidRPr="00465964" w14:paraId="555236AE" w14:textId="77777777" w:rsidTr="00465964">
        <w:tc>
          <w:tcPr>
            <w:tcW w:w="0" w:type="auto"/>
            <w:shd w:val="clear" w:color="auto" w:fill="auto"/>
            <w:hideMark/>
          </w:tcPr>
          <w:p w14:paraId="293DB3C9" w14:textId="77777777" w:rsidR="00465964" w:rsidRPr="00465964" w:rsidRDefault="00465964" w:rsidP="00465964">
            <w:r w:rsidRPr="00465964">
              <w:lastRenderedPageBreak/>
              <w:t>a)</w:t>
            </w:r>
          </w:p>
        </w:tc>
        <w:tc>
          <w:tcPr>
            <w:tcW w:w="0" w:type="auto"/>
            <w:shd w:val="clear" w:color="auto" w:fill="auto"/>
            <w:hideMark/>
          </w:tcPr>
          <w:p w14:paraId="3F26FA04" w14:textId="77777777" w:rsidR="00465964" w:rsidRPr="00465964" w:rsidRDefault="00465964" w:rsidP="00465964">
            <w:pPr>
              <w:rPr>
                <w:lang w:val="pt-PT"/>
              </w:rPr>
            </w:pPr>
            <w:r w:rsidRPr="00465964">
              <w:rPr>
                <w:lang w:val="pt-PT"/>
              </w:rPr>
              <w:t>A identidade das partes no acordo;</w:t>
            </w:r>
          </w:p>
        </w:tc>
      </w:tr>
    </w:tbl>
    <w:p w14:paraId="4E089923"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247"/>
        <w:gridCol w:w="8779"/>
      </w:tblGrid>
      <w:tr w:rsidR="00465964" w:rsidRPr="00465964" w14:paraId="2CBC00FA" w14:textId="77777777" w:rsidTr="00465964">
        <w:tc>
          <w:tcPr>
            <w:tcW w:w="0" w:type="auto"/>
            <w:shd w:val="clear" w:color="auto" w:fill="auto"/>
            <w:hideMark/>
          </w:tcPr>
          <w:p w14:paraId="3AE7AB15" w14:textId="77777777" w:rsidR="00465964" w:rsidRPr="00465964" w:rsidRDefault="00465964" w:rsidP="00465964">
            <w:r w:rsidRPr="00465964">
              <w:t>b)</w:t>
            </w:r>
          </w:p>
        </w:tc>
        <w:tc>
          <w:tcPr>
            <w:tcW w:w="0" w:type="auto"/>
            <w:shd w:val="clear" w:color="auto" w:fill="auto"/>
            <w:hideMark/>
          </w:tcPr>
          <w:p w14:paraId="649B1686" w14:textId="77777777" w:rsidR="00465964" w:rsidRPr="00465964" w:rsidRDefault="00465964" w:rsidP="00465964">
            <w:pPr>
              <w:rPr>
                <w:lang w:val="pt-PT"/>
              </w:rPr>
            </w:pPr>
            <w:r w:rsidRPr="00465964">
              <w:rPr>
                <w:lang w:val="pt-PT"/>
              </w:rPr>
              <w:t>Uma descrição das modalidades do serviço de transferência prestado;</w:t>
            </w:r>
          </w:p>
        </w:tc>
      </w:tr>
    </w:tbl>
    <w:p w14:paraId="437E38AF"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0"/>
        <w:gridCol w:w="8846"/>
      </w:tblGrid>
      <w:tr w:rsidR="00465964" w:rsidRPr="00465964" w14:paraId="1E8F9605" w14:textId="77777777" w:rsidTr="00465964">
        <w:tc>
          <w:tcPr>
            <w:tcW w:w="0" w:type="auto"/>
            <w:shd w:val="clear" w:color="auto" w:fill="auto"/>
            <w:hideMark/>
          </w:tcPr>
          <w:p w14:paraId="5C515E73" w14:textId="77777777" w:rsidR="00465964" w:rsidRPr="00465964" w:rsidRDefault="00465964" w:rsidP="00465964">
            <w:r w:rsidRPr="00465964">
              <w:t>c)</w:t>
            </w:r>
          </w:p>
        </w:tc>
        <w:tc>
          <w:tcPr>
            <w:tcW w:w="0" w:type="auto"/>
            <w:shd w:val="clear" w:color="auto" w:fill="auto"/>
            <w:hideMark/>
          </w:tcPr>
          <w:p w14:paraId="38A1498E" w14:textId="77777777" w:rsidR="00465964" w:rsidRPr="00465964" w:rsidRDefault="00465964" w:rsidP="00465964">
            <w:pPr>
              <w:rPr>
                <w:lang w:val="pt-PT"/>
              </w:rPr>
            </w:pPr>
            <w:r w:rsidRPr="00465964">
              <w:rPr>
                <w:lang w:val="pt-PT"/>
              </w:rPr>
              <w:t>Uma descrição dos sistemas de segurança utilizados pelo prestador de serviços de criptoativos;</w:t>
            </w:r>
          </w:p>
        </w:tc>
      </w:tr>
    </w:tbl>
    <w:p w14:paraId="057AF199"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270"/>
        <w:gridCol w:w="8756"/>
      </w:tblGrid>
      <w:tr w:rsidR="00465964" w:rsidRPr="00465964" w14:paraId="7018CAE0" w14:textId="77777777" w:rsidTr="00465964">
        <w:tc>
          <w:tcPr>
            <w:tcW w:w="0" w:type="auto"/>
            <w:shd w:val="clear" w:color="auto" w:fill="auto"/>
            <w:hideMark/>
          </w:tcPr>
          <w:p w14:paraId="58931B66" w14:textId="77777777" w:rsidR="00465964" w:rsidRPr="00465964" w:rsidRDefault="00465964" w:rsidP="00465964">
            <w:r w:rsidRPr="00465964">
              <w:t>d)</w:t>
            </w:r>
          </w:p>
        </w:tc>
        <w:tc>
          <w:tcPr>
            <w:tcW w:w="0" w:type="auto"/>
            <w:shd w:val="clear" w:color="auto" w:fill="auto"/>
            <w:hideMark/>
          </w:tcPr>
          <w:p w14:paraId="1E8F0753" w14:textId="77777777" w:rsidR="00465964" w:rsidRPr="00465964" w:rsidRDefault="00465964" w:rsidP="00465964">
            <w:pPr>
              <w:rPr>
                <w:lang w:val="pt-PT"/>
              </w:rPr>
            </w:pPr>
            <w:r w:rsidRPr="00465964">
              <w:rPr>
                <w:lang w:val="pt-PT"/>
              </w:rPr>
              <w:t>Comissões aplicadas pelo prestador de serviços de criptoativos;</w:t>
            </w:r>
          </w:p>
        </w:tc>
      </w:tr>
    </w:tbl>
    <w:p w14:paraId="022BD769"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061"/>
        <w:gridCol w:w="7965"/>
      </w:tblGrid>
      <w:tr w:rsidR="00465964" w:rsidRPr="00465964" w14:paraId="00815226" w14:textId="77777777" w:rsidTr="00465964">
        <w:tc>
          <w:tcPr>
            <w:tcW w:w="0" w:type="auto"/>
            <w:shd w:val="clear" w:color="auto" w:fill="auto"/>
            <w:hideMark/>
          </w:tcPr>
          <w:p w14:paraId="66F37723" w14:textId="77777777" w:rsidR="00465964" w:rsidRPr="00465964" w:rsidRDefault="00465964" w:rsidP="00465964">
            <w:r w:rsidRPr="00465964">
              <w:t>e)</w:t>
            </w:r>
          </w:p>
        </w:tc>
        <w:tc>
          <w:tcPr>
            <w:tcW w:w="0" w:type="auto"/>
            <w:shd w:val="clear" w:color="auto" w:fill="auto"/>
            <w:hideMark/>
          </w:tcPr>
          <w:p w14:paraId="252E6910" w14:textId="77777777" w:rsidR="00465964" w:rsidRPr="00465964" w:rsidRDefault="00465964" w:rsidP="00465964">
            <w:r w:rsidRPr="00465964">
              <w:t xml:space="preserve">A lei </w:t>
            </w:r>
            <w:proofErr w:type="spellStart"/>
            <w:r w:rsidRPr="00465964">
              <w:t>aplicável</w:t>
            </w:r>
            <w:proofErr w:type="spellEnd"/>
            <w:r w:rsidRPr="00465964">
              <w:t>.</w:t>
            </w:r>
          </w:p>
        </w:tc>
      </w:tr>
    </w:tbl>
    <w:p w14:paraId="7C392C48" w14:textId="77777777" w:rsidR="00465964" w:rsidRPr="00465964" w:rsidRDefault="00465964" w:rsidP="00465964">
      <w:pPr>
        <w:rPr>
          <w:lang w:val="pt-PT"/>
        </w:rPr>
      </w:pPr>
      <w:r w:rsidRPr="00465964">
        <w:rPr>
          <w:lang w:val="pt-PT"/>
        </w:rPr>
        <w:t>2.   A ESMA, em estreita cooperação com a EBA, emite orientações em conformidade com o artigo 16.</w:t>
      </w:r>
      <w:r w:rsidRPr="00465964">
        <w:rPr>
          <w:vertAlign w:val="superscript"/>
          <w:lang w:val="pt-PT"/>
        </w:rPr>
        <w:t>o</w:t>
      </w:r>
      <w:r w:rsidRPr="00465964">
        <w:rPr>
          <w:lang w:val="pt-PT"/>
        </w:rPr>
        <w:t xml:space="preserve"> do Regulamento (UE) </w:t>
      </w:r>
      <w:proofErr w:type="spellStart"/>
      <w:r w:rsidRPr="00465964">
        <w:rPr>
          <w:lang w:val="pt-PT"/>
        </w:rPr>
        <w:t>n.</w:t>
      </w:r>
      <w:r w:rsidRPr="00465964">
        <w:rPr>
          <w:vertAlign w:val="superscript"/>
          <w:lang w:val="pt-PT"/>
        </w:rPr>
        <w:t>o</w:t>
      </w:r>
      <w:proofErr w:type="spellEnd"/>
      <w:r w:rsidRPr="00465964">
        <w:rPr>
          <w:lang w:val="pt-PT"/>
        </w:rPr>
        <w:t> 1095/2010 para os prestadores de serviços de criptoativos que prestam serviços de transferência de criptoativos em nome de clientes no que diz respeito aos procedimentos e políticas, nomeadamente os direitos dos clientes, no contexto dos serviços de transferência de criptoativos.</w:t>
      </w:r>
    </w:p>
    <w:p w14:paraId="3864B401" w14:textId="77777777" w:rsidR="00465964" w:rsidRPr="00465964" w:rsidRDefault="00465964" w:rsidP="00465964">
      <w:pPr>
        <w:rPr>
          <w:b/>
          <w:bCs/>
          <w:lang w:val="pt-PT"/>
        </w:rPr>
      </w:pPr>
      <w:r w:rsidRPr="00465964">
        <w:rPr>
          <w:b/>
          <w:bCs/>
          <w:i/>
          <w:iCs/>
          <w:lang w:val="pt-PT"/>
        </w:rPr>
        <w:t>CAPÍTULO 4</w:t>
      </w:r>
    </w:p>
    <w:p w14:paraId="0A5A5452" w14:textId="77777777" w:rsidR="00465964" w:rsidRPr="00465964" w:rsidRDefault="00465964" w:rsidP="00465964">
      <w:pPr>
        <w:rPr>
          <w:b/>
          <w:bCs/>
          <w:lang w:val="pt-PT"/>
        </w:rPr>
      </w:pPr>
      <w:r w:rsidRPr="00465964">
        <w:rPr>
          <w:b/>
          <w:bCs/>
          <w:i/>
          <w:iCs/>
          <w:lang w:val="pt-PT"/>
        </w:rPr>
        <w:t>Aquisição de prestadores de serviços de criptoativos</w:t>
      </w:r>
    </w:p>
    <w:p w14:paraId="46618BFB" w14:textId="77777777" w:rsidR="00465964" w:rsidRPr="00465964" w:rsidRDefault="00465964" w:rsidP="00465964">
      <w:pPr>
        <w:rPr>
          <w:i/>
          <w:iCs/>
          <w:lang w:val="pt-PT"/>
        </w:rPr>
      </w:pPr>
      <w:r w:rsidRPr="00465964">
        <w:rPr>
          <w:i/>
          <w:iCs/>
          <w:lang w:val="pt-PT"/>
        </w:rPr>
        <w:t>Artigo 83.</w:t>
      </w:r>
      <w:r w:rsidRPr="00465964">
        <w:rPr>
          <w:i/>
          <w:iCs/>
          <w:vertAlign w:val="superscript"/>
          <w:lang w:val="pt-PT"/>
        </w:rPr>
        <w:t>o</w:t>
      </w:r>
    </w:p>
    <w:p w14:paraId="2743ECE2" w14:textId="77777777" w:rsidR="00465964" w:rsidRPr="00465964" w:rsidRDefault="00465964" w:rsidP="00465964">
      <w:pPr>
        <w:rPr>
          <w:b/>
          <w:bCs/>
          <w:lang w:val="pt-PT"/>
        </w:rPr>
      </w:pPr>
      <w:r w:rsidRPr="00465964">
        <w:rPr>
          <w:b/>
          <w:bCs/>
          <w:lang w:val="pt-PT"/>
        </w:rPr>
        <w:t>Avaliação das aquisições potenciais de prestadores de serviços de criptoativos</w:t>
      </w:r>
    </w:p>
    <w:p w14:paraId="73E365A0" w14:textId="77777777" w:rsidR="00465964" w:rsidRPr="00465964" w:rsidRDefault="00465964" w:rsidP="00465964">
      <w:pPr>
        <w:rPr>
          <w:lang w:val="pt-PT"/>
        </w:rPr>
      </w:pPr>
      <w:r w:rsidRPr="00465964">
        <w:rPr>
          <w:lang w:val="pt-PT"/>
        </w:rPr>
        <w:t>1.   Qualquer pessoa singular ou coletiva que, individualmente ou em concertação, tenha tomado a decisão de adquirir, direta ou indiretamente, (o «potencial adquirente») uma participação qualificada num prestador de serviços de criptoativos ou de aumentar essa participação, de forma direta ou indireta, de modo que a sua percentagem de direitos de voto ou de participação no capital atinja ou exceda os limiares de 20 %, 30 % ou 50 %, ou que o prestador de serviços de criptoativos passe a ser sua filial, notifica por escrito essa intenção à autoridade competente do prestador de serviços de criptoativos, indicando o montante da participação pretendida e as informações exigidas em conformidade com as normas técnicas de regulamentação adotadas pela Comissão nos termos do artigo 84.</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4.</w:t>
      </w:r>
    </w:p>
    <w:p w14:paraId="75BEAEEC" w14:textId="77777777" w:rsidR="00465964" w:rsidRPr="00465964" w:rsidRDefault="00465964" w:rsidP="00465964">
      <w:pPr>
        <w:rPr>
          <w:lang w:val="pt-PT"/>
        </w:rPr>
      </w:pPr>
      <w:r w:rsidRPr="00465964">
        <w:rPr>
          <w:lang w:val="pt-PT"/>
        </w:rPr>
        <w:t>2.   Qualquer pessoa singular ou coletiva que pretenda alienar, direta ou indiretamente, uma participação qualificada num prestador de serviços de criptoativos notifica esse facto, por escrito, à autoridade competente antes de alienar a referida participação e indica o montante da participação em causa. A referida pessoa notifica também a autoridade competente no caso de ter decidido reduzir a sua participação qualificada de tal modo que a sua percentagem de direitos de voto ou de participação no capital passe a ser inferior aos limiares de 10 %, 20 %, 30 % ou 50 % ou que o prestador de serviços de criptoativos deixe de ser sua filial.</w:t>
      </w:r>
    </w:p>
    <w:p w14:paraId="2F49810E" w14:textId="77777777" w:rsidR="00465964" w:rsidRPr="00465964" w:rsidRDefault="00465964" w:rsidP="00465964">
      <w:pPr>
        <w:rPr>
          <w:lang w:val="pt-PT"/>
        </w:rPr>
      </w:pPr>
      <w:r w:rsidRPr="00465964">
        <w:rPr>
          <w:lang w:val="pt-PT"/>
        </w:rPr>
        <w:t xml:space="preserve">3.   A autoridade competente deve comunicar por escrito a receção de uma notificação nos termos do </w:t>
      </w:r>
      <w:proofErr w:type="spellStart"/>
      <w:r w:rsidRPr="00465964">
        <w:rPr>
          <w:lang w:val="pt-PT"/>
        </w:rPr>
        <w:t>n.</w:t>
      </w:r>
      <w:r w:rsidRPr="00465964">
        <w:rPr>
          <w:vertAlign w:val="superscript"/>
          <w:lang w:val="pt-PT"/>
        </w:rPr>
        <w:t>o</w:t>
      </w:r>
      <w:proofErr w:type="spellEnd"/>
      <w:r w:rsidRPr="00465964">
        <w:rPr>
          <w:lang w:val="pt-PT"/>
        </w:rPr>
        <w:t> 1, com a maior brevidade e em qualquer caso no prazo de dois dias úteis a contar da data de receção.</w:t>
      </w:r>
    </w:p>
    <w:p w14:paraId="31E8D087" w14:textId="77777777" w:rsidR="00465964" w:rsidRPr="00465964" w:rsidRDefault="00465964" w:rsidP="00465964">
      <w:pPr>
        <w:rPr>
          <w:lang w:val="pt-PT"/>
        </w:rPr>
      </w:pPr>
      <w:r w:rsidRPr="00465964">
        <w:rPr>
          <w:lang w:val="pt-PT"/>
        </w:rPr>
        <w:t xml:space="preserve">4.   A autoridade competente avalia a aquisição potencial a que se refere o </w:t>
      </w:r>
      <w:proofErr w:type="spellStart"/>
      <w:r w:rsidRPr="00465964">
        <w:rPr>
          <w:lang w:val="pt-PT"/>
        </w:rPr>
        <w:t>n.</w:t>
      </w:r>
      <w:r w:rsidRPr="00465964">
        <w:rPr>
          <w:vertAlign w:val="superscript"/>
          <w:lang w:val="pt-PT"/>
        </w:rPr>
        <w:t>o</w:t>
      </w:r>
      <w:proofErr w:type="spellEnd"/>
      <w:r w:rsidRPr="00465964">
        <w:rPr>
          <w:lang w:val="pt-PT"/>
        </w:rPr>
        <w:t> 1 do presente artigo e as informações exigidas em conformidade com as normas técnicas de regulamentação adotadas pela Comissão nos termos do artigo 84.</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xml:space="preserve"> 4, no prazo de 60 dias úteis a contar da data do aviso de receção a que se refere o </w:t>
      </w:r>
      <w:proofErr w:type="spellStart"/>
      <w:r w:rsidRPr="00465964">
        <w:rPr>
          <w:lang w:val="pt-PT"/>
        </w:rPr>
        <w:t>n.</w:t>
      </w:r>
      <w:r w:rsidRPr="00465964">
        <w:rPr>
          <w:vertAlign w:val="superscript"/>
          <w:lang w:val="pt-PT"/>
        </w:rPr>
        <w:t>o</w:t>
      </w:r>
      <w:proofErr w:type="spellEnd"/>
      <w:r w:rsidRPr="00465964">
        <w:rPr>
          <w:lang w:val="pt-PT"/>
        </w:rPr>
        <w:t> 3 do presente artigo. Ao acusar a receção da notificação, a autoridade competente informa o potencial adquirente da data em que termina o prazo de avaliação.</w:t>
      </w:r>
    </w:p>
    <w:p w14:paraId="4B9487BC" w14:textId="77777777" w:rsidR="00465964" w:rsidRPr="00465964" w:rsidRDefault="00465964" w:rsidP="00465964">
      <w:pPr>
        <w:rPr>
          <w:lang w:val="pt-PT"/>
        </w:rPr>
      </w:pPr>
      <w:r w:rsidRPr="00465964">
        <w:rPr>
          <w:lang w:val="pt-PT"/>
        </w:rPr>
        <w:lastRenderedPageBreak/>
        <w:t xml:space="preserve">5.   Para efeitos da avaliação a que se refere o </w:t>
      </w:r>
      <w:proofErr w:type="spellStart"/>
      <w:r w:rsidRPr="00465964">
        <w:rPr>
          <w:lang w:val="pt-PT"/>
        </w:rPr>
        <w:t>n.</w:t>
      </w:r>
      <w:r w:rsidRPr="00465964">
        <w:rPr>
          <w:vertAlign w:val="superscript"/>
          <w:lang w:val="pt-PT"/>
        </w:rPr>
        <w:t>o</w:t>
      </w:r>
      <w:proofErr w:type="spellEnd"/>
      <w:r w:rsidRPr="00465964">
        <w:rPr>
          <w:lang w:val="pt-PT"/>
        </w:rPr>
        <w:t> 4, a autoridade competente pode consultar as autoridades competentes em matéria de luta contra o branqueamento de capitais e o financiamento do terrorismo, bem como as unidades de informação financeira, e deve ter devidamente em conta os seus pontos de vista.</w:t>
      </w:r>
    </w:p>
    <w:p w14:paraId="1C281615" w14:textId="77777777" w:rsidR="00465964" w:rsidRPr="00465964" w:rsidRDefault="00465964" w:rsidP="00465964">
      <w:pPr>
        <w:rPr>
          <w:lang w:val="pt-PT"/>
        </w:rPr>
      </w:pPr>
      <w:r w:rsidRPr="00465964">
        <w:rPr>
          <w:lang w:val="pt-PT"/>
        </w:rPr>
        <w:t xml:space="preserve">6.   Ao efetuar a avaliação a que se refere o </w:t>
      </w:r>
      <w:proofErr w:type="spellStart"/>
      <w:r w:rsidRPr="00465964">
        <w:rPr>
          <w:lang w:val="pt-PT"/>
        </w:rPr>
        <w:t>n.</w:t>
      </w:r>
      <w:r w:rsidRPr="00465964">
        <w:rPr>
          <w:vertAlign w:val="superscript"/>
          <w:lang w:val="pt-PT"/>
        </w:rPr>
        <w:t>o</w:t>
      </w:r>
      <w:proofErr w:type="spellEnd"/>
      <w:r w:rsidRPr="00465964">
        <w:rPr>
          <w:lang w:val="pt-PT"/>
        </w:rPr>
        <w:t xml:space="preserve"> 4, a autoridade competente pode solicitar ao potencial adquirente quaisquer informações adicionais que sejam necessárias para a conclusão dessa avaliação. Esse pedido é efetuado antes da finalização da avaliação e, em qualquer caso, no prazo máximo de 50 dias úteis a contar da data do aviso de receção a que se refere o </w:t>
      </w:r>
      <w:proofErr w:type="spellStart"/>
      <w:r w:rsidRPr="00465964">
        <w:rPr>
          <w:lang w:val="pt-PT"/>
        </w:rPr>
        <w:t>n.</w:t>
      </w:r>
      <w:r w:rsidRPr="00465964">
        <w:rPr>
          <w:vertAlign w:val="superscript"/>
          <w:lang w:val="pt-PT"/>
        </w:rPr>
        <w:t>o</w:t>
      </w:r>
      <w:proofErr w:type="spellEnd"/>
      <w:r w:rsidRPr="00465964">
        <w:rPr>
          <w:lang w:val="pt-PT"/>
        </w:rPr>
        <w:t> 3. Estes pedidos devem ser apresentados por escrito e especificar as informações adicionais necessárias.</w:t>
      </w:r>
    </w:p>
    <w:p w14:paraId="48E3F4DA" w14:textId="77777777" w:rsidR="00465964" w:rsidRPr="00465964" w:rsidRDefault="00465964" w:rsidP="00465964">
      <w:pPr>
        <w:rPr>
          <w:lang w:val="pt-PT"/>
        </w:rPr>
      </w:pPr>
      <w:r w:rsidRPr="00465964">
        <w:rPr>
          <w:lang w:val="pt-PT"/>
        </w:rPr>
        <w:t xml:space="preserve">A autoridade competente suspende o prazo de avaliação a que se refere o </w:t>
      </w:r>
      <w:proofErr w:type="spellStart"/>
      <w:r w:rsidRPr="00465964">
        <w:rPr>
          <w:lang w:val="pt-PT"/>
        </w:rPr>
        <w:t>n.</w:t>
      </w:r>
      <w:r w:rsidRPr="00465964">
        <w:rPr>
          <w:vertAlign w:val="superscript"/>
          <w:lang w:val="pt-PT"/>
        </w:rPr>
        <w:t>o</w:t>
      </w:r>
      <w:proofErr w:type="spellEnd"/>
      <w:r w:rsidRPr="00465964">
        <w:rPr>
          <w:lang w:val="pt-PT"/>
        </w:rPr>
        <w:t> 4 até ter recebido as informações adicionais mencionadas no primeiro parágrafo do presente número. A suspensão não pode ser superior a 20 dias úteis. Quaisquer outros eventuais pedidos de informações adicionais ou de esclarecimento das informações recebidas por parte da autoridade competente não podem dar lugar a uma suspensão adicional do prazo de avaliação.</w:t>
      </w:r>
    </w:p>
    <w:p w14:paraId="6C352523" w14:textId="77777777" w:rsidR="00465964" w:rsidRPr="00465964" w:rsidRDefault="00465964" w:rsidP="00465964">
      <w:pPr>
        <w:rPr>
          <w:lang w:val="pt-PT"/>
        </w:rPr>
      </w:pPr>
      <w:r w:rsidRPr="00465964">
        <w:rPr>
          <w:lang w:val="pt-PT"/>
        </w:rPr>
        <w:t>A autoridade competente pode prorrogar a suspensão a que se refere o segundo parágrafo do presente número por um máximo de 30 dias úteis, se o potencial adquirente estiver estabelecido fora da União ou for regulamentado pelo direito de um país terceiro.</w:t>
      </w:r>
    </w:p>
    <w:p w14:paraId="4DDE96AA" w14:textId="77777777" w:rsidR="00465964" w:rsidRPr="00465964" w:rsidRDefault="00465964" w:rsidP="00465964">
      <w:pPr>
        <w:rPr>
          <w:lang w:val="pt-PT"/>
        </w:rPr>
      </w:pPr>
      <w:r w:rsidRPr="00465964">
        <w:rPr>
          <w:lang w:val="pt-PT"/>
        </w:rPr>
        <w:t xml:space="preserve">7.   A autoridade competente que, após a conclusão da avaliação a que se refere o </w:t>
      </w:r>
      <w:proofErr w:type="spellStart"/>
      <w:r w:rsidRPr="00465964">
        <w:rPr>
          <w:lang w:val="pt-PT"/>
        </w:rPr>
        <w:t>n.</w:t>
      </w:r>
      <w:r w:rsidRPr="00465964">
        <w:rPr>
          <w:vertAlign w:val="superscript"/>
          <w:lang w:val="pt-PT"/>
        </w:rPr>
        <w:t>o</w:t>
      </w:r>
      <w:proofErr w:type="spellEnd"/>
      <w:r w:rsidRPr="00465964">
        <w:rPr>
          <w:lang w:val="pt-PT"/>
        </w:rPr>
        <w:t xml:space="preserve"> 4, decida opor-se à aquisição potencial a que se refere o </w:t>
      </w:r>
      <w:proofErr w:type="spellStart"/>
      <w:r w:rsidRPr="00465964">
        <w:rPr>
          <w:lang w:val="pt-PT"/>
        </w:rPr>
        <w:t>n.</w:t>
      </w:r>
      <w:r w:rsidRPr="00465964">
        <w:rPr>
          <w:vertAlign w:val="superscript"/>
          <w:lang w:val="pt-PT"/>
        </w:rPr>
        <w:t>o</w:t>
      </w:r>
      <w:proofErr w:type="spellEnd"/>
      <w:r w:rsidRPr="00465964">
        <w:rPr>
          <w:lang w:val="pt-PT"/>
        </w:rPr>
        <w:t xml:space="preserve"> 1 notifica o potencial adquirente dessa oposição no prazo de dois dias úteis e em qualquer caso antes da data mencionada no </w:t>
      </w:r>
      <w:proofErr w:type="spellStart"/>
      <w:r w:rsidRPr="00465964">
        <w:rPr>
          <w:lang w:val="pt-PT"/>
        </w:rPr>
        <w:t>n.</w:t>
      </w:r>
      <w:r w:rsidRPr="00465964">
        <w:rPr>
          <w:vertAlign w:val="superscript"/>
          <w:lang w:val="pt-PT"/>
        </w:rPr>
        <w:t>o</w:t>
      </w:r>
      <w:proofErr w:type="spellEnd"/>
      <w:r w:rsidRPr="00465964">
        <w:rPr>
          <w:lang w:val="pt-PT"/>
        </w:rPr>
        <w:t xml:space="preserve"> 4 prorrogada, se aplicável, nos termos do </w:t>
      </w:r>
      <w:proofErr w:type="spellStart"/>
      <w:r w:rsidRPr="00465964">
        <w:rPr>
          <w:lang w:val="pt-PT"/>
        </w:rPr>
        <w:t>n.</w:t>
      </w:r>
      <w:r w:rsidRPr="00465964">
        <w:rPr>
          <w:vertAlign w:val="superscript"/>
          <w:lang w:val="pt-PT"/>
        </w:rPr>
        <w:t>o</w:t>
      </w:r>
      <w:proofErr w:type="spellEnd"/>
      <w:r w:rsidRPr="00465964">
        <w:rPr>
          <w:lang w:val="pt-PT"/>
        </w:rPr>
        <w:t> 6, segundo e terceiro parágrafos. A notificação deve apresentar os motivos de tal decisão.</w:t>
      </w:r>
    </w:p>
    <w:p w14:paraId="6F46E7C6" w14:textId="77777777" w:rsidR="00465964" w:rsidRPr="00465964" w:rsidRDefault="00465964" w:rsidP="00465964">
      <w:pPr>
        <w:rPr>
          <w:lang w:val="pt-PT"/>
        </w:rPr>
      </w:pPr>
      <w:r w:rsidRPr="00465964">
        <w:rPr>
          <w:lang w:val="pt-PT"/>
        </w:rPr>
        <w:t xml:space="preserve">8.   Caso a autoridade competente não se oponha à aquisição potencial a que se refere o </w:t>
      </w:r>
      <w:proofErr w:type="spellStart"/>
      <w:r w:rsidRPr="00465964">
        <w:rPr>
          <w:lang w:val="pt-PT"/>
        </w:rPr>
        <w:t>n.</w:t>
      </w:r>
      <w:r w:rsidRPr="00465964">
        <w:rPr>
          <w:vertAlign w:val="superscript"/>
          <w:lang w:val="pt-PT"/>
        </w:rPr>
        <w:t>o</w:t>
      </w:r>
      <w:proofErr w:type="spellEnd"/>
      <w:r w:rsidRPr="00465964">
        <w:rPr>
          <w:lang w:val="pt-PT"/>
        </w:rPr>
        <w:t xml:space="preserve"> 1 antes da data mencionada no </w:t>
      </w:r>
      <w:proofErr w:type="spellStart"/>
      <w:r w:rsidRPr="00465964">
        <w:rPr>
          <w:lang w:val="pt-PT"/>
        </w:rPr>
        <w:t>n.</w:t>
      </w:r>
      <w:r w:rsidRPr="00465964">
        <w:rPr>
          <w:vertAlign w:val="superscript"/>
          <w:lang w:val="pt-PT"/>
        </w:rPr>
        <w:t>o</w:t>
      </w:r>
      <w:proofErr w:type="spellEnd"/>
      <w:r w:rsidRPr="00465964">
        <w:rPr>
          <w:lang w:val="pt-PT"/>
        </w:rPr>
        <w:t xml:space="preserve"> 4 prorrogada, se aplicável, nos termos do </w:t>
      </w:r>
      <w:proofErr w:type="spellStart"/>
      <w:r w:rsidRPr="00465964">
        <w:rPr>
          <w:lang w:val="pt-PT"/>
        </w:rPr>
        <w:t>n.</w:t>
      </w:r>
      <w:r w:rsidRPr="00465964">
        <w:rPr>
          <w:vertAlign w:val="superscript"/>
          <w:lang w:val="pt-PT"/>
        </w:rPr>
        <w:t>o</w:t>
      </w:r>
      <w:proofErr w:type="spellEnd"/>
      <w:r w:rsidRPr="00465964">
        <w:rPr>
          <w:lang w:val="pt-PT"/>
        </w:rPr>
        <w:t> 6, segundo e terceiro parágrafos, a aquisição potencial será considerada aprovada.</w:t>
      </w:r>
    </w:p>
    <w:p w14:paraId="0E3685FA" w14:textId="77777777" w:rsidR="00465964" w:rsidRPr="00465964" w:rsidRDefault="00465964" w:rsidP="00465964">
      <w:pPr>
        <w:rPr>
          <w:lang w:val="pt-PT"/>
        </w:rPr>
      </w:pPr>
      <w:r w:rsidRPr="00465964">
        <w:rPr>
          <w:lang w:val="pt-PT"/>
        </w:rPr>
        <w:t xml:space="preserve">9.   A autoridade competente pode fixar um prazo máximo para a conclusão da aquisição potencial a que se refere o </w:t>
      </w:r>
      <w:proofErr w:type="spellStart"/>
      <w:r w:rsidRPr="00465964">
        <w:rPr>
          <w:lang w:val="pt-PT"/>
        </w:rPr>
        <w:t>n.</w:t>
      </w:r>
      <w:r w:rsidRPr="00465964">
        <w:rPr>
          <w:vertAlign w:val="superscript"/>
          <w:lang w:val="pt-PT"/>
        </w:rPr>
        <w:t>o</w:t>
      </w:r>
      <w:proofErr w:type="spellEnd"/>
      <w:r w:rsidRPr="00465964">
        <w:rPr>
          <w:lang w:val="pt-PT"/>
        </w:rPr>
        <w:t> 1 e prorrogar esse prazo máximo, se for caso disso.</w:t>
      </w:r>
    </w:p>
    <w:p w14:paraId="5CBE82CA" w14:textId="77777777" w:rsidR="00465964" w:rsidRPr="00465964" w:rsidRDefault="00465964" w:rsidP="00465964">
      <w:pPr>
        <w:rPr>
          <w:i/>
          <w:iCs/>
          <w:lang w:val="pt-PT"/>
        </w:rPr>
      </w:pPr>
      <w:r w:rsidRPr="00465964">
        <w:rPr>
          <w:i/>
          <w:iCs/>
          <w:lang w:val="pt-PT"/>
        </w:rPr>
        <w:t>Artigo 84.</w:t>
      </w:r>
      <w:r w:rsidRPr="00465964">
        <w:rPr>
          <w:i/>
          <w:iCs/>
          <w:vertAlign w:val="superscript"/>
          <w:lang w:val="pt-PT"/>
        </w:rPr>
        <w:t>o</w:t>
      </w:r>
    </w:p>
    <w:p w14:paraId="13AC575A" w14:textId="77777777" w:rsidR="00465964" w:rsidRPr="00465964" w:rsidRDefault="00465964" w:rsidP="00465964">
      <w:pPr>
        <w:rPr>
          <w:b/>
          <w:bCs/>
          <w:lang w:val="pt-PT"/>
        </w:rPr>
      </w:pPr>
      <w:r w:rsidRPr="00465964">
        <w:rPr>
          <w:b/>
          <w:bCs/>
          <w:lang w:val="pt-PT"/>
        </w:rPr>
        <w:t>Conteúdo da avaliação das aquisições potenciais de prestadores de serviços de criptoativos</w:t>
      </w:r>
    </w:p>
    <w:p w14:paraId="559FD49C" w14:textId="77777777" w:rsidR="00465964" w:rsidRPr="00465964" w:rsidRDefault="00465964" w:rsidP="00465964">
      <w:pPr>
        <w:rPr>
          <w:lang w:val="pt-PT"/>
        </w:rPr>
      </w:pPr>
      <w:r w:rsidRPr="00465964">
        <w:rPr>
          <w:lang w:val="pt-PT"/>
        </w:rPr>
        <w:t>1.   Ao realizar a avaliação a que se refere o artigo 83.</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4, a autoridade competente avalia a aptidão do potencial adquirente e a solidez financeira da aquisição potencial a que se refere o artigo 83.</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1, tendo em conta todos os seguintes critérios:</w:t>
      </w:r>
    </w:p>
    <w:tbl>
      <w:tblPr>
        <w:tblW w:w="5000" w:type="pct"/>
        <w:tblCellMar>
          <w:left w:w="0" w:type="dxa"/>
          <w:right w:w="0" w:type="dxa"/>
        </w:tblCellMar>
        <w:tblLook w:val="04A0" w:firstRow="1" w:lastRow="0" w:firstColumn="1" w:lastColumn="0" w:noHBand="0" w:noVBand="1"/>
      </w:tblPr>
      <w:tblGrid>
        <w:gridCol w:w="433"/>
        <w:gridCol w:w="8593"/>
      </w:tblGrid>
      <w:tr w:rsidR="00465964" w:rsidRPr="00465964" w14:paraId="7DDA0D14" w14:textId="77777777" w:rsidTr="00465964">
        <w:tc>
          <w:tcPr>
            <w:tcW w:w="0" w:type="auto"/>
            <w:shd w:val="clear" w:color="auto" w:fill="auto"/>
            <w:hideMark/>
          </w:tcPr>
          <w:p w14:paraId="6FAC585C" w14:textId="77777777" w:rsidR="00465964" w:rsidRPr="00465964" w:rsidRDefault="00465964" w:rsidP="00465964">
            <w:r w:rsidRPr="00465964">
              <w:t>a)</w:t>
            </w:r>
          </w:p>
        </w:tc>
        <w:tc>
          <w:tcPr>
            <w:tcW w:w="0" w:type="auto"/>
            <w:shd w:val="clear" w:color="auto" w:fill="auto"/>
            <w:hideMark/>
          </w:tcPr>
          <w:p w14:paraId="41C6ACA5" w14:textId="77777777" w:rsidR="00465964" w:rsidRPr="00465964" w:rsidRDefault="00465964" w:rsidP="00465964">
            <w:pPr>
              <w:rPr>
                <w:lang w:val="pt-PT"/>
              </w:rPr>
            </w:pPr>
            <w:r w:rsidRPr="00465964">
              <w:rPr>
                <w:lang w:val="pt-PT"/>
              </w:rPr>
              <w:t>A idoneidade do potencial adquirente;</w:t>
            </w:r>
          </w:p>
        </w:tc>
      </w:tr>
    </w:tbl>
    <w:p w14:paraId="3134C1FC"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8"/>
        <w:gridCol w:w="8838"/>
      </w:tblGrid>
      <w:tr w:rsidR="00465964" w:rsidRPr="00465964" w14:paraId="26A3337A" w14:textId="77777777" w:rsidTr="00465964">
        <w:tc>
          <w:tcPr>
            <w:tcW w:w="0" w:type="auto"/>
            <w:shd w:val="clear" w:color="auto" w:fill="auto"/>
            <w:hideMark/>
          </w:tcPr>
          <w:p w14:paraId="5002B4FE" w14:textId="77777777" w:rsidR="00465964" w:rsidRPr="00465964" w:rsidRDefault="00465964" w:rsidP="00465964">
            <w:r w:rsidRPr="00465964">
              <w:t>b)</w:t>
            </w:r>
          </w:p>
        </w:tc>
        <w:tc>
          <w:tcPr>
            <w:tcW w:w="0" w:type="auto"/>
            <w:shd w:val="clear" w:color="auto" w:fill="auto"/>
            <w:hideMark/>
          </w:tcPr>
          <w:p w14:paraId="12E642F4" w14:textId="77777777" w:rsidR="00465964" w:rsidRPr="00465964" w:rsidRDefault="00465964" w:rsidP="00465964">
            <w:pPr>
              <w:rPr>
                <w:lang w:val="pt-PT"/>
              </w:rPr>
            </w:pPr>
            <w:r w:rsidRPr="00465964">
              <w:rPr>
                <w:lang w:val="pt-PT"/>
              </w:rPr>
              <w:t>A idoneidade, os conhecimentos, as competências e a experiência da pessoa ou pessoas que administrarão a atividade do prestador de serviços de criptoativos em resultado da aquisição potencial;</w:t>
            </w:r>
          </w:p>
        </w:tc>
      </w:tr>
    </w:tbl>
    <w:p w14:paraId="5DFAA8EF"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0"/>
        <w:gridCol w:w="8846"/>
      </w:tblGrid>
      <w:tr w:rsidR="00465964" w:rsidRPr="00465964" w14:paraId="4F20A0F1" w14:textId="77777777" w:rsidTr="00465964">
        <w:tc>
          <w:tcPr>
            <w:tcW w:w="0" w:type="auto"/>
            <w:shd w:val="clear" w:color="auto" w:fill="auto"/>
            <w:hideMark/>
          </w:tcPr>
          <w:p w14:paraId="742FBBF4" w14:textId="77777777" w:rsidR="00465964" w:rsidRPr="00465964" w:rsidRDefault="00465964" w:rsidP="00465964">
            <w:r w:rsidRPr="00465964">
              <w:lastRenderedPageBreak/>
              <w:t>c)</w:t>
            </w:r>
          </w:p>
        </w:tc>
        <w:tc>
          <w:tcPr>
            <w:tcW w:w="0" w:type="auto"/>
            <w:shd w:val="clear" w:color="auto" w:fill="auto"/>
            <w:hideMark/>
          </w:tcPr>
          <w:p w14:paraId="664A6564" w14:textId="77777777" w:rsidR="00465964" w:rsidRPr="00465964" w:rsidRDefault="00465964" w:rsidP="00465964">
            <w:pPr>
              <w:rPr>
                <w:lang w:val="pt-PT"/>
              </w:rPr>
            </w:pPr>
            <w:r w:rsidRPr="00465964">
              <w:rPr>
                <w:lang w:val="pt-PT"/>
              </w:rPr>
              <w:t>A solidez financeira do potencial adquirente, designadamente em função do tipo de atividade a exercer e exercida no que se refere ao prestador de serviços de criptoativos que é objeto da aquisição potencial;</w:t>
            </w:r>
          </w:p>
        </w:tc>
      </w:tr>
    </w:tbl>
    <w:p w14:paraId="31CB21CE"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8"/>
        <w:gridCol w:w="8838"/>
      </w:tblGrid>
      <w:tr w:rsidR="00465964" w:rsidRPr="00465964" w14:paraId="3B465CBD" w14:textId="77777777" w:rsidTr="00465964">
        <w:tc>
          <w:tcPr>
            <w:tcW w:w="0" w:type="auto"/>
            <w:shd w:val="clear" w:color="auto" w:fill="auto"/>
            <w:hideMark/>
          </w:tcPr>
          <w:p w14:paraId="58DCB706" w14:textId="77777777" w:rsidR="00465964" w:rsidRPr="00465964" w:rsidRDefault="00465964" w:rsidP="00465964">
            <w:r w:rsidRPr="00465964">
              <w:t>d)</w:t>
            </w:r>
          </w:p>
        </w:tc>
        <w:tc>
          <w:tcPr>
            <w:tcW w:w="0" w:type="auto"/>
            <w:shd w:val="clear" w:color="auto" w:fill="auto"/>
            <w:hideMark/>
          </w:tcPr>
          <w:p w14:paraId="26663D32" w14:textId="77777777" w:rsidR="00465964" w:rsidRPr="00465964" w:rsidRDefault="00465964" w:rsidP="00465964">
            <w:pPr>
              <w:rPr>
                <w:lang w:val="pt-PT"/>
              </w:rPr>
            </w:pPr>
            <w:r w:rsidRPr="00465964">
              <w:rPr>
                <w:lang w:val="pt-PT"/>
              </w:rPr>
              <w:t>A capacidade do prestador de serviços de criptoativos para cumprir de forma continuada as disposições do presente título;</w:t>
            </w:r>
          </w:p>
        </w:tc>
      </w:tr>
    </w:tbl>
    <w:p w14:paraId="156093A2"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1"/>
        <w:gridCol w:w="8845"/>
      </w:tblGrid>
      <w:tr w:rsidR="00465964" w:rsidRPr="00465964" w14:paraId="1353D8EC" w14:textId="77777777" w:rsidTr="00465964">
        <w:tc>
          <w:tcPr>
            <w:tcW w:w="0" w:type="auto"/>
            <w:shd w:val="clear" w:color="auto" w:fill="auto"/>
            <w:hideMark/>
          </w:tcPr>
          <w:p w14:paraId="350C6094" w14:textId="77777777" w:rsidR="00465964" w:rsidRPr="00465964" w:rsidRDefault="00465964" w:rsidP="00465964">
            <w:r w:rsidRPr="00465964">
              <w:t>e)</w:t>
            </w:r>
          </w:p>
        </w:tc>
        <w:tc>
          <w:tcPr>
            <w:tcW w:w="0" w:type="auto"/>
            <w:shd w:val="clear" w:color="auto" w:fill="auto"/>
            <w:hideMark/>
          </w:tcPr>
          <w:p w14:paraId="36E1E67B" w14:textId="77777777" w:rsidR="00465964" w:rsidRPr="00465964" w:rsidRDefault="00465964" w:rsidP="00465964">
            <w:pPr>
              <w:rPr>
                <w:lang w:val="pt-PT"/>
              </w:rPr>
            </w:pPr>
            <w:r w:rsidRPr="00465964">
              <w:rPr>
                <w:lang w:val="pt-PT"/>
              </w:rPr>
              <w:t xml:space="preserve">A existência de motivos razoáveis para suspeitar que, em ligação com a aquisição potencial, estão a ser ou foram cometidos ou tentados atos de branqueamento de capitais ou de financiamento do terrorismo na aceção, respetivamente, do artigo </w:t>
            </w:r>
            <w:proofErr w:type="gramStart"/>
            <w:r w:rsidRPr="00465964">
              <w:rPr>
                <w:lang w:val="pt-PT"/>
              </w:rPr>
              <w:t>1.</w:t>
            </w:r>
            <w:r w:rsidRPr="00465964">
              <w:rPr>
                <w:vertAlign w:val="superscript"/>
                <w:lang w:val="pt-PT"/>
              </w:rPr>
              <w:t>o</w:t>
            </w:r>
            <w:proofErr w:type="gramEnd"/>
            <w:r w:rsidRPr="00465964">
              <w:rPr>
                <w:lang w:val="pt-PT"/>
              </w:rPr>
              <w:t xml:space="preserve">, </w:t>
            </w:r>
            <w:proofErr w:type="spellStart"/>
            <w:r w:rsidRPr="00465964">
              <w:rPr>
                <w:lang w:val="pt-PT"/>
              </w:rPr>
              <w:t>n.</w:t>
            </w:r>
            <w:r w:rsidRPr="00465964">
              <w:rPr>
                <w:vertAlign w:val="superscript"/>
                <w:lang w:val="pt-PT"/>
              </w:rPr>
              <w:t>os</w:t>
            </w:r>
            <w:proofErr w:type="spellEnd"/>
            <w:r w:rsidRPr="00465964">
              <w:rPr>
                <w:lang w:val="pt-PT"/>
              </w:rPr>
              <w:t> 3 e 5, da Diretiva (UE) 2015/849 ou que a aquisição potencial poderá aumentar esse risco.</w:t>
            </w:r>
          </w:p>
        </w:tc>
      </w:tr>
    </w:tbl>
    <w:p w14:paraId="12B5A037" w14:textId="77777777" w:rsidR="00465964" w:rsidRPr="00465964" w:rsidRDefault="00465964" w:rsidP="00465964">
      <w:pPr>
        <w:rPr>
          <w:lang w:val="pt-PT"/>
        </w:rPr>
      </w:pPr>
      <w:r w:rsidRPr="00465964">
        <w:rPr>
          <w:lang w:val="pt-PT"/>
        </w:rPr>
        <w:t xml:space="preserve">2.   A autoridade competente só pode opor-se à aquisição potencial se para tanto existirem motivos razoáveis, com base nos critérios enunciados no </w:t>
      </w:r>
      <w:proofErr w:type="spellStart"/>
      <w:r w:rsidRPr="00465964">
        <w:rPr>
          <w:lang w:val="pt-PT"/>
        </w:rPr>
        <w:t>n.</w:t>
      </w:r>
      <w:r w:rsidRPr="00465964">
        <w:rPr>
          <w:vertAlign w:val="superscript"/>
          <w:lang w:val="pt-PT"/>
        </w:rPr>
        <w:t>o</w:t>
      </w:r>
      <w:proofErr w:type="spellEnd"/>
      <w:r w:rsidRPr="00465964">
        <w:rPr>
          <w:lang w:val="pt-PT"/>
        </w:rPr>
        <w:t> 1 do presente artigo, ou se as informações prestadas nos termos do artigo 83.</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4, forem incompletas ou falsas.</w:t>
      </w:r>
    </w:p>
    <w:p w14:paraId="5CD02696" w14:textId="77777777" w:rsidR="00465964" w:rsidRPr="00465964" w:rsidRDefault="00465964" w:rsidP="00465964">
      <w:pPr>
        <w:rPr>
          <w:lang w:val="pt-PT"/>
        </w:rPr>
      </w:pPr>
      <w:r w:rsidRPr="00465964">
        <w:rPr>
          <w:lang w:val="pt-PT"/>
        </w:rPr>
        <w:t>3.   Os Estados-Membros não podem impor quaisquer condições prévias quanto ao nível da participação qualificada que deve ser adquirida nos termos do presente regulamento, nem permitir que as suas autoridades competentes apreciem a aquisição proposta em termos das necessidades económicas do mercado.</w:t>
      </w:r>
    </w:p>
    <w:p w14:paraId="386522B5" w14:textId="77777777" w:rsidR="00465964" w:rsidRPr="00465964" w:rsidRDefault="00465964" w:rsidP="00465964">
      <w:pPr>
        <w:rPr>
          <w:lang w:val="pt-PT"/>
        </w:rPr>
      </w:pPr>
      <w:r w:rsidRPr="00465964">
        <w:rPr>
          <w:lang w:val="pt-PT"/>
        </w:rPr>
        <w:t>4.   A ESMA, em estreita colaboração com a EBA, elabora projetos de normas técnicas de regulamentação que especifiquem o conteúdo pormenorizado das informações necessárias para a realização da avaliação a que se refere o artigo 83.</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4, primeiro parágrafo. As informações exigidas devem ser relevantes para uma avaliação prudencial, bem como proporcionais e adaptadas à natureza do potencial adquirente e da aquisição potencial a que se refere o artigo 83.</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1.</w:t>
      </w:r>
    </w:p>
    <w:p w14:paraId="1AF147E8" w14:textId="77777777" w:rsidR="00465964" w:rsidRPr="00465964" w:rsidRDefault="00465964" w:rsidP="00465964">
      <w:pPr>
        <w:rPr>
          <w:lang w:val="pt-PT"/>
        </w:rPr>
      </w:pPr>
      <w:r w:rsidRPr="00465964">
        <w:rPr>
          <w:lang w:val="pt-PT"/>
        </w:rPr>
        <w:t>A ESMA apresenta à Comissão os projetos de normas técnicas de regulamentação referidos no primeiro parágrafo até 30 de junho de 2024.</w:t>
      </w:r>
    </w:p>
    <w:p w14:paraId="35605411" w14:textId="77777777" w:rsidR="00465964" w:rsidRPr="00465964" w:rsidRDefault="00465964" w:rsidP="00465964">
      <w:pPr>
        <w:rPr>
          <w:lang w:val="pt-PT"/>
        </w:rPr>
      </w:pPr>
      <w:r w:rsidRPr="00465964">
        <w:rPr>
          <w:lang w:val="pt-PT"/>
        </w:rPr>
        <w:t>É delegado na Comissão o poder de completar o presente regulamento através da adoção das normas técnicas de regulamentação a que se refere o primeiro parágrafo do presente número em conformidade com os artigos 10.</w:t>
      </w:r>
      <w:r w:rsidRPr="00465964">
        <w:rPr>
          <w:vertAlign w:val="superscript"/>
          <w:lang w:val="pt-PT"/>
        </w:rPr>
        <w:t>o</w:t>
      </w:r>
      <w:r w:rsidRPr="00465964">
        <w:rPr>
          <w:lang w:val="pt-PT"/>
        </w:rPr>
        <w:t> a 14.</w:t>
      </w:r>
      <w:r w:rsidRPr="00465964">
        <w:rPr>
          <w:vertAlign w:val="superscript"/>
          <w:lang w:val="pt-PT"/>
        </w:rPr>
        <w:t>o</w:t>
      </w:r>
      <w:r w:rsidRPr="00465964">
        <w:rPr>
          <w:lang w:val="pt-PT"/>
        </w:rPr>
        <w:t xml:space="preserve"> do Regulamento (UE) </w:t>
      </w:r>
      <w:proofErr w:type="spellStart"/>
      <w:r w:rsidRPr="00465964">
        <w:rPr>
          <w:lang w:val="pt-PT"/>
        </w:rPr>
        <w:t>n.</w:t>
      </w:r>
      <w:r w:rsidRPr="00465964">
        <w:rPr>
          <w:vertAlign w:val="superscript"/>
          <w:lang w:val="pt-PT"/>
        </w:rPr>
        <w:t>o</w:t>
      </w:r>
      <w:proofErr w:type="spellEnd"/>
      <w:r w:rsidRPr="00465964">
        <w:rPr>
          <w:lang w:val="pt-PT"/>
        </w:rPr>
        <w:t> 1095/2010.</w:t>
      </w:r>
    </w:p>
    <w:p w14:paraId="4B85E046" w14:textId="77777777" w:rsidR="00465964" w:rsidRPr="00465964" w:rsidRDefault="00465964" w:rsidP="00465964">
      <w:pPr>
        <w:rPr>
          <w:b/>
          <w:bCs/>
          <w:lang w:val="pt-PT"/>
        </w:rPr>
      </w:pPr>
      <w:r w:rsidRPr="00465964">
        <w:rPr>
          <w:b/>
          <w:bCs/>
          <w:i/>
          <w:iCs/>
          <w:lang w:val="pt-PT"/>
        </w:rPr>
        <w:t>CAPÍTULO 5</w:t>
      </w:r>
    </w:p>
    <w:p w14:paraId="69F9BDEF" w14:textId="77777777" w:rsidR="00465964" w:rsidRPr="00465964" w:rsidRDefault="00465964" w:rsidP="00465964">
      <w:pPr>
        <w:rPr>
          <w:b/>
          <w:bCs/>
          <w:lang w:val="pt-PT"/>
        </w:rPr>
      </w:pPr>
      <w:r w:rsidRPr="00465964">
        <w:rPr>
          <w:b/>
          <w:bCs/>
          <w:i/>
          <w:iCs/>
          <w:lang w:val="pt-PT"/>
        </w:rPr>
        <w:t>Prestadores significativos de serviços de criptoativos</w:t>
      </w:r>
    </w:p>
    <w:p w14:paraId="2CF8783B" w14:textId="77777777" w:rsidR="00465964" w:rsidRPr="00465964" w:rsidRDefault="00465964" w:rsidP="00465964">
      <w:pPr>
        <w:rPr>
          <w:i/>
          <w:iCs/>
          <w:lang w:val="pt-PT"/>
        </w:rPr>
      </w:pPr>
      <w:r w:rsidRPr="00465964">
        <w:rPr>
          <w:i/>
          <w:iCs/>
          <w:lang w:val="pt-PT"/>
        </w:rPr>
        <w:t>Artigo 85.</w:t>
      </w:r>
      <w:r w:rsidRPr="00465964">
        <w:rPr>
          <w:i/>
          <w:iCs/>
          <w:vertAlign w:val="superscript"/>
          <w:lang w:val="pt-PT"/>
        </w:rPr>
        <w:t>o</w:t>
      </w:r>
    </w:p>
    <w:p w14:paraId="53293351" w14:textId="77777777" w:rsidR="00465964" w:rsidRPr="00465964" w:rsidRDefault="00465964" w:rsidP="00465964">
      <w:pPr>
        <w:rPr>
          <w:b/>
          <w:bCs/>
          <w:lang w:val="pt-PT"/>
        </w:rPr>
      </w:pPr>
      <w:r w:rsidRPr="00465964">
        <w:rPr>
          <w:b/>
          <w:bCs/>
          <w:lang w:val="pt-PT"/>
        </w:rPr>
        <w:t>Identificação dos prestadores significativos de serviços de criptoativos</w:t>
      </w:r>
    </w:p>
    <w:p w14:paraId="6EA299FE" w14:textId="77777777" w:rsidR="00465964" w:rsidRPr="00465964" w:rsidRDefault="00465964" w:rsidP="00465964">
      <w:pPr>
        <w:rPr>
          <w:lang w:val="pt-PT"/>
        </w:rPr>
      </w:pPr>
      <w:r w:rsidRPr="00465964">
        <w:rPr>
          <w:lang w:val="pt-PT"/>
        </w:rPr>
        <w:t>1.   Um prestador de serviços de criptoativos é considerado significativo se tiver pelo menos 15 milhões de utilizadores ativos na União, em média, num ano civil, sendo a média calculada como a média do número diário de utilizadores ativos durante o ano civil anterior.</w:t>
      </w:r>
    </w:p>
    <w:p w14:paraId="6EFA90DE" w14:textId="77777777" w:rsidR="00465964" w:rsidRPr="00465964" w:rsidRDefault="00465964" w:rsidP="00465964">
      <w:pPr>
        <w:rPr>
          <w:lang w:val="pt-PT"/>
        </w:rPr>
      </w:pPr>
      <w:r w:rsidRPr="00465964">
        <w:rPr>
          <w:lang w:val="pt-PT"/>
        </w:rPr>
        <w:t xml:space="preserve">2.   Os prestadores de serviços de criptoativos devem notificar as suas autoridades competentes no prazo de dois meses após ter atingido o número de utilizadores ativos previstos no </w:t>
      </w:r>
      <w:proofErr w:type="spellStart"/>
      <w:r w:rsidRPr="00465964">
        <w:rPr>
          <w:lang w:val="pt-PT"/>
        </w:rPr>
        <w:t>n.</w:t>
      </w:r>
      <w:r w:rsidRPr="00465964">
        <w:rPr>
          <w:vertAlign w:val="superscript"/>
          <w:lang w:val="pt-PT"/>
        </w:rPr>
        <w:t>o</w:t>
      </w:r>
      <w:proofErr w:type="spellEnd"/>
      <w:r w:rsidRPr="00465964">
        <w:rPr>
          <w:lang w:val="pt-PT"/>
        </w:rPr>
        <w:t xml:space="preserve"> 1. Caso a autoridade competente concorde que o limiar estabelecido no </w:t>
      </w:r>
      <w:proofErr w:type="spellStart"/>
      <w:r w:rsidRPr="00465964">
        <w:rPr>
          <w:lang w:val="pt-PT"/>
        </w:rPr>
        <w:t>n.</w:t>
      </w:r>
      <w:r w:rsidRPr="00465964">
        <w:rPr>
          <w:vertAlign w:val="superscript"/>
          <w:lang w:val="pt-PT"/>
        </w:rPr>
        <w:t>o</w:t>
      </w:r>
      <w:proofErr w:type="spellEnd"/>
      <w:r w:rsidRPr="00465964">
        <w:rPr>
          <w:lang w:val="pt-PT"/>
        </w:rPr>
        <w:t> 1 é atingido, notifica deste facto a ESMA.</w:t>
      </w:r>
    </w:p>
    <w:p w14:paraId="1D948E8F" w14:textId="77777777" w:rsidR="00465964" w:rsidRPr="00465964" w:rsidRDefault="00465964" w:rsidP="00465964">
      <w:pPr>
        <w:rPr>
          <w:lang w:val="pt-PT"/>
        </w:rPr>
      </w:pPr>
      <w:r w:rsidRPr="00465964">
        <w:rPr>
          <w:lang w:val="pt-PT"/>
        </w:rPr>
        <w:t xml:space="preserve">3.   Sem prejuízo das responsabilidades das autoridades competentes nos termos do presente regulamento, as autoridades competentes dos Estados-Membros de origem prestam </w:t>
      </w:r>
      <w:r w:rsidRPr="00465964">
        <w:rPr>
          <w:lang w:val="pt-PT"/>
        </w:rPr>
        <w:lastRenderedPageBreak/>
        <w:t>anualmente ao Conselho de Supervisores da ESMA informação atualizada sobre os seguintes desenvolvimentos em matéria de supervisão relativamente aos prestadores de serviços de criptoativos significativos:</w:t>
      </w:r>
    </w:p>
    <w:tbl>
      <w:tblPr>
        <w:tblW w:w="5000" w:type="pct"/>
        <w:tblCellMar>
          <w:left w:w="0" w:type="dxa"/>
          <w:right w:w="0" w:type="dxa"/>
        </w:tblCellMar>
        <w:tblLook w:val="04A0" w:firstRow="1" w:lastRow="0" w:firstColumn="1" w:lastColumn="0" w:noHBand="0" w:noVBand="1"/>
      </w:tblPr>
      <w:tblGrid>
        <w:gridCol w:w="257"/>
        <w:gridCol w:w="8769"/>
      </w:tblGrid>
      <w:tr w:rsidR="00465964" w:rsidRPr="00465964" w14:paraId="3F488CB7" w14:textId="77777777" w:rsidTr="00465964">
        <w:tc>
          <w:tcPr>
            <w:tcW w:w="0" w:type="auto"/>
            <w:shd w:val="clear" w:color="auto" w:fill="auto"/>
            <w:hideMark/>
          </w:tcPr>
          <w:p w14:paraId="672DCBCE" w14:textId="77777777" w:rsidR="00465964" w:rsidRPr="00465964" w:rsidRDefault="00465964" w:rsidP="00465964">
            <w:r w:rsidRPr="00465964">
              <w:t>a)</w:t>
            </w:r>
          </w:p>
        </w:tc>
        <w:tc>
          <w:tcPr>
            <w:tcW w:w="0" w:type="auto"/>
            <w:shd w:val="clear" w:color="auto" w:fill="auto"/>
            <w:hideMark/>
          </w:tcPr>
          <w:p w14:paraId="62F07F17" w14:textId="77777777" w:rsidR="00465964" w:rsidRPr="00465964" w:rsidRDefault="00465964" w:rsidP="00465964">
            <w:pPr>
              <w:rPr>
                <w:lang w:val="pt-PT"/>
              </w:rPr>
            </w:pPr>
            <w:r w:rsidRPr="00465964">
              <w:rPr>
                <w:lang w:val="pt-PT"/>
              </w:rPr>
              <w:t>Autorizações em curso ou concluídas a que se refere o artigo 59.</w:t>
            </w:r>
            <w:r w:rsidRPr="00465964">
              <w:rPr>
                <w:vertAlign w:val="superscript"/>
                <w:lang w:val="pt-PT"/>
              </w:rPr>
              <w:t>o</w:t>
            </w:r>
            <w:r w:rsidRPr="00465964">
              <w:rPr>
                <w:lang w:val="pt-PT"/>
              </w:rPr>
              <w:t>;</w:t>
            </w:r>
          </w:p>
        </w:tc>
      </w:tr>
    </w:tbl>
    <w:p w14:paraId="5D4B2FE1"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8"/>
        <w:gridCol w:w="8838"/>
      </w:tblGrid>
      <w:tr w:rsidR="00465964" w:rsidRPr="00465964" w14:paraId="51FFABE7" w14:textId="77777777" w:rsidTr="00465964">
        <w:tc>
          <w:tcPr>
            <w:tcW w:w="0" w:type="auto"/>
            <w:shd w:val="clear" w:color="auto" w:fill="auto"/>
            <w:hideMark/>
          </w:tcPr>
          <w:p w14:paraId="2878BE0E" w14:textId="77777777" w:rsidR="00465964" w:rsidRPr="00465964" w:rsidRDefault="00465964" w:rsidP="00465964">
            <w:r w:rsidRPr="00465964">
              <w:t>b)</w:t>
            </w:r>
          </w:p>
        </w:tc>
        <w:tc>
          <w:tcPr>
            <w:tcW w:w="0" w:type="auto"/>
            <w:shd w:val="clear" w:color="auto" w:fill="auto"/>
            <w:hideMark/>
          </w:tcPr>
          <w:p w14:paraId="3B1FE778" w14:textId="77777777" w:rsidR="00465964" w:rsidRPr="00465964" w:rsidRDefault="00465964" w:rsidP="00465964">
            <w:pPr>
              <w:rPr>
                <w:lang w:val="pt-PT"/>
              </w:rPr>
            </w:pPr>
            <w:r w:rsidRPr="00465964">
              <w:rPr>
                <w:lang w:val="pt-PT"/>
              </w:rPr>
              <w:t>Processos em curso ou concluídos de revogação de autorizações a que se refere o artigo 64.</w:t>
            </w:r>
            <w:r w:rsidRPr="00465964">
              <w:rPr>
                <w:vertAlign w:val="superscript"/>
                <w:lang w:val="pt-PT"/>
              </w:rPr>
              <w:t>o</w:t>
            </w:r>
            <w:r w:rsidRPr="00465964">
              <w:rPr>
                <w:lang w:val="pt-PT"/>
              </w:rPr>
              <w:t>;</w:t>
            </w:r>
          </w:p>
        </w:tc>
      </w:tr>
    </w:tbl>
    <w:p w14:paraId="5872976E"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0"/>
        <w:gridCol w:w="8846"/>
      </w:tblGrid>
      <w:tr w:rsidR="00465964" w:rsidRPr="00465964" w14:paraId="0DC68F38" w14:textId="77777777" w:rsidTr="00465964">
        <w:tc>
          <w:tcPr>
            <w:tcW w:w="0" w:type="auto"/>
            <w:shd w:val="clear" w:color="auto" w:fill="auto"/>
            <w:hideMark/>
          </w:tcPr>
          <w:p w14:paraId="3F2840FC" w14:textId="77777777" w:rsidR="00465964" w:rsidRPr="00465964" w:rsidRDefault="00465964" w:rsidP="00465964">
            <w:r w:rsidRPr="00465964">
              <w:t>c)</w:t>
            </w:r>
          </w:p>
        </w:tc>
        <w:tc>
          <w:tcPr>
            <w:tcW w:w="0" w:type="auto"/>
            <w:shd w:val="clear" w:color="auto" w:fill="auto"/>
            <w:hideMark/>
          </w:tcPr>
          <w:p w14:paraId="0651DE37" w14:textId="77777777" w:rsidR="00465964" w:rsidRPr="00465964" w:rsidRDefault="00465964" w:rsidP="00465964">
            <w:pPr>
              <w:rPr>
                <w:lang w:val="pt-PT"/>
              </w:rPr>
            </w:pPr>
            <w:r w:rsidRPr="00465964">
              <w:rPr>
                <w:lang w:val="pt-PT"/>
              </w:rPr>
              <w:t>O exercício dos poderes de supervisão previstos no artigo 94.</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xml:space="preserve"> 1, primeiro parágrafo, alíneas b), c), e), f), g), y) e </w:t>
            </w:r>
            <w:proofErr w:type="spellStart"/>
            <w:r w:rsidRPr="00465964">
              <w:rPr>
                <w:lang w:val="pt-PT"/>
              </w:rPr>
              <w:t>a-A</w:t>
            </w:r>
            <w:proofErr w:type="spellEnd"/>
            <w:r w:rsidRPr="00465964">
              <w:rPr>
                <w:lang w:val="pt-PT"/>
              </w:rPr>
              <w:t>).</w:t>
            </w:r>
          </w:p>
        </w:tc>
      </w:tr>
    </w:tbl>
    <w:p w14:paraId="15710368" w14:textId="77777777" w:rsidR="00465964" w:rsidRPr="00465964" w:rsidRDefault="00465964" w:rsidP="00465964">
      <w:pPr>
        <w:rPr>
          <w:lang w:val="pt-PT"/>
        </w:rPr>
      </w:pPr>
      <w:r w:rsidRPr="00465964">
        <w:rPr>
          <w:lang w:val="pt-PT"/>
        </w:rPr>
        <w:t>A autoridade competente do Estado-Membro de origem pode prestar ao Conselho de Supervisores da ESMA atualizações da informação com mais frequência, ou notificá-lo antes de qualquer decisão tomada pela autoridade competente do Estado-Membro de origem no que diz respeito ao primeiro parágrafo, alíneas a), b) ou c).</w:t>
      </w:r>
    </w:p>
    <w:p w14:paraId="2B9C58C4" w14:textId="77777777" w:rsidR="00465964" w:rsidRPr="00465964" w:rsidRDefault="00465964" w:rsidP="00465964">
      <w:pPr>
        <w:rPr>
          <w:lang w:val="pt-PT"/>
        </w:rPr>
      </w:pPr>
      <w:r w:rsidRPr="00465964">
        <w:rPr>
          <w:lang w:val="pt-PT"/>
        </w:rPr>
        <w:t xml:space="preserve">4.   A transmissão de informações atualizadas a que se refere o </w:t>
      </w:r>
      <w:proofErr w:type="spellStart"/>
      <w:r w:rsidRPr="00465964">
        <w:rPr>
          <w:lang w:val="pt-PT"/>
        </w:rPr>
        <w:t>n.</w:t>
      </w:r>
      <w:r w:rsidRPr="00465964">
        <w:rPr>
          <w:vertAlign w:val="superscript"/>
          <w:lang w:val="pt-PT"/>
        </w:rPr>
        <w:t>o</w:t>
      </w:r>
      <w:proofErr w:type="spellEnd"/>
      <w:r w:rsidRPr="00465964">
        <w:rPr>
          <w:lang w:val="pt-PT"/>
        </w:rPr>
        <w:t> 3, segundo parágrafo, pode ser seguida de uma troca de pontos de vista no Conselho de Supervisores da ESMA.</w:t>
      </w:r>
    </w:p>
    <w:p w14:paraId="28062295" w14:textId="77777777" w:rsidR="00465964" w:rsidRPr="00465964" w:rsidRDefault="00465964" w:rsidP="00465964">
      <w:pPr>
        <w:rPr>
          <w:lang w:val="pt-PT"/>
        </w:rPr>
      </w:pPr>
      <w:r w:rsidRPr="00465964">
        <w:rPr>
          <w:lang w:val="pt-PT"/>
        </w:rPr>
        <w:t>5.   Se for caso disso, a ESMA pode fazer uso dos seus poderes nos termos dos artigos 29.</w:t>
      </w:r>
      <w:r w:rsidRPr="00465964">
        <w:rPr>
          <w:vertAlign w:val="superscript"/>
          <w:lang w:val="pt-PT"/>
        </w:rPr>
        <w:t>o</w:t>
      </w:r>
      <w:r w:rsidRPr="00465964">
        <w:rPr>
          <w:lang w:val="pt-PT"/>
        </w:rPr>
        <w:t>, 30.</w:t>
      </w:r>
      <w:r w:rsidRPr="00465964">
        <w:rPr>
          <w:vertAlign w:val="superscript"/>
          <w:lang w:val="pt-PT"/>
        </w:rPr>
        <w:t>o</w:t>
      </w:r>
      <w:r w:rsidRPr="00465964">
        <w:rPr>
          <w:lang w:val="pt-PT"/>
        </w:rPr>
        <w:t>, 31.</w:t>
      </w:r>
      <w:r w:rsidRPr="00465964">
        <w:rPr>
          <w:vertAlign w:val="superscript"/>
          <w:lang w:val="pt-PT"/>
        </w:rPr>
        <w:t>o</w:t>
      </w:r>
      <w:r w:rsidRPr="00465964">
        <w:rPr>
          <w:lang w:val="pt-PT"/>
        </w:rPr>
        <w:t> e 31.</w:t>
      </w:r>
      <w:r w:rsidRPr="00465964">
        <w:rPr>
          <w:vertAlign w:val="superscript"/>
          <w:lang w:val="pt-PT"/>
        </w:rPr>
        <w:t>o</w:t>
      </w:r>
      <w:r w:rsidRPr="00465964">
        <w:rPr>
          <w:lang w:val="pt-PT"/>
        </w:rPr>
        <w:t xml:space="preserve">-B do Regulamento (UE) </w:t>
      </w:r>
      <w:proofErr w:type="spellStart"/>
      <w:r w:rsidRPr="00465964">
        <w:rPr>
          <w:lang w:val="pt-PT"/>
        </w:rPr>
        <w:t>n.</w:t>
      </w:r>
      <w:r w:rsidRPr="00465964">
        <w:rPr>
          <w:vertAlign w:val="superscript"/>
          <w:lang w:val="pt-PT"/>
        </w:rPr>
        <w:t>o</w:t>
      </w:r>
      <w:proofErr w:type="spellEnd"/>
      <w:r w:rsidRPr="00465964">
        <w:rPr>
          <w:lang w:val="pt-PT"/>
        </w:rPr>
        <w:t> 1095/2010.</w:t>
      </w:r>
    </w:p>
    <w:p w14:paraId="0E697DA2" w14:textId="77777777" w:rsidR="00465964" w:rsidRPr="00465964" w:rsidRDefault="00465964" w:rsidP="00465964">
      <w:pPr>
        <w:rPr>
          <w:b/>
          <w:bCs/>
          <w:lang w:val="pt-PT"/>
        </w:rPr>
      </w:pPr>
      <w:r w:rsidRPr="00465964">
        <w:rPr>
          <w:b/>
          <w:bCs/>
          <w:lang w:val="pt-PT"/>
        </w:rPr>
        <w:t>TÍTULO VI</w:t>
      </w:r>
    </w:p>
    <w:p w14:paraId="0005589E" w14:textId="77777777" w:rsidR="00465964" w:rsidRPr="00465964" w:rsidRDefault="00465964" w:rsidP="00465964">
      <w:pPr>
        <w:rPr>
          <w:b/>
          <w:bCs/>
          <w:lang w:val="pt-PT"/>
        </w:rPr>
      </w:pPr>
      <w:r w:rsidRPr="00465964">
        <w:rPr>
          <w:b/>
          <w:bCs/>
          <w:lang w:val="pt-PT"/>
        </w:rPr>
        <w:t>PREVENÇÃO E PROIBIÇÃO DOS ABUSOS DE MERCADO LIGADOS A CRIPTOATIVOS</w:t>
      </w:r>
    </w:p>
    <w:p w14:paraId="682551AE" w14:textId="77777777" w:rsidR="00465964" w:rsidRPr="00465964" w:rsidRDefault="00465964" w:rsidP="00465964">
      <w:pPr>
        <w:rPr>
          <w:i/>
          <w:iCs/>
          <w:lang w:val="pt-PT"/>
        </w:rPr>
      </w:pPr>
      <w:r w:rsidRPr="00465964">
        <w:rPr>
          <w:i/>
          <w:iCs/>
          <w:lang w:val="pt-PT"/>
        </w:rPr>
        <w:t>Artigo 86.</w:t>
      </w:r>
      <w:r w:rsidRPr="00465964">
        <w:rPr>
          <w:i/>
          <w:iCs/>
          <w:vertAlign w:val="superscript"/>
          <w:lang w:val="pt-PT"/>
        </w:rPr>
        <w:t>o</w:t>
      </w:r>
    </w:p>
    <w:p w14:paraId="7ABB6776" w14:textId="77777777" w:rsidR="00465964" w:rsidRPr="00465964" w:rsidRDefault="00465964" w:rsidP="00465964">
      <w:pPr>
        <w:rPr>
          <w:b/>
          <w:bCs/>
          <w:lang w:val="pt-PT"/>
        </w:rPr>
      </w:pPr>
      <w:r w:rsidRPr="00465964">
        <w:rPr>
          <w:b/>
          <w:bCs/>
          <w:lang w:val="pt-PT"/>
        </w:rPr>
        <w:t>Âmbito das regras em matéria de abuso de mercado</w:t>
      </w:r>
    </w:p>
    <w:p w14:paraId="027D0D1C" w14:textId="77777777" w:rsidR="00465964" w:rsidRPr="00465964" w:rsidRDefault="00465964" w:rsidP="00465964">
      <w:pPr>
        <w:rPr>
          <w:lang w:val="pt-PT"/>
        </w:rPr>
      </w:pPr>
      <w:r w:rsidRPr="00465964">
        <w:rPr>
          <w:lang w:val="pt-PT"/>
        </w:rPr>
        <w:t>1.   O presente título aplica-se aos atos realizados por qualquer pessoa que digam respeito a criptoativos admitidos à negociação ou em relação aos quais tenha sido efetuado um pedido de admissão à negociação.</w:t>
      </w:r>
    </w:p>
    <w:p w14:paraId="126CACBD" w14:textId="77777777" w:rsidR="00465964" w:rsidRPr="00465964" w:rsidRDefault="00465964" w:rsidP="00465964">
      <w:pPr>
        <w:rPr>
          <w:lang w:val="pt-PT"/>
        </w:rPr>
      </w:pPr>
      <w:r w:rsidRPr="00465964">
        <w:rPr>
          <w:lang w:val="pt-PT"/>
        </w:rPr>
        <w:t xml:space="preserve">2.   O presente título é igualmente aplicável a qualquer transação, ordem ou conduta que diga respeito a criptoativos referidos no </w:t>
      </w:r>
      <w:proofErr w:type="spellStart"/>
      <w:r w:rsidRPr="00465964">
        <w:rPr>
          <w:lang w:val="pt-PT"/>
        </w:rPr>
        <w:t>n.</w:t>
      </w:r>
      <w:r w:rsidRPr="00465964">
        <w:rPr>
          <w:vertAlign w:val="superscript"/>
          <w:lang w:val="pt-PT"/>
        </w:rPr>
        <w:t>o</w:t>
      </w:r>
      <w:proofErr w:type="spellEnd"/>
      <w:r w:rsidRPr="00465964">
        <w:rPr>
          <w:lang w:val="pt-PT"/>
        </w:rPr>
        <w:t> 1, independentemente de essa transação, ordem ou conduta ocorrer numa plataforma de negociação.</w:t>
      </w:r>
    </w:p>
    <w:p w14:paraId="6E2B7FAA" w14:textId="77777777" w:rsidR="00465964" w:rsidRPr="00465964" w:rsidRDefault="00465964" w:rsidP="00465964">
      <w:pPr>
        <w:rPr>
          <w:lang w:val="pt-PT"/>
        </w:rPr>
      </w:pPr>
      <w:r w:rsidRPr="00465964">
        <w:rPr>
          <w:lang w:val="pt-PT"/>
        </w:rPr>
        <w:t xml:space="preserve">3.   O presente título é aplicável às ações e omissões na União e em países terceiros no que diz respeito aos criptoativos referidos no </w:t>
      </w:r>
      <w:proofErr w:type="spellStart"/>
      <w:r w:rsidRPr="00465964">
        <w:rPr>
          <w:lang w:val="pt-PT"/>
        </w:rPr>
        <w:t>n.</w:t>
      </w:r>
      <w:r w:rsidRPr="00465964">
        <w:rPr>
          <w:vertAlign w:val="superscript"/>
          <w:lang w:val="pt-PT"/>
        </w:rPr>
        <w:t>o</w:t>
      </w:r>
      <w:proofErr w:type="spellEnd"/>
      <w:r w:rsidRPr="00465964">
        <w:rPr>
          <w:lang w:val="pt-PT"/>
        </w:rPr>
        <w:t> 1.</w:t>
      </w:r>
    </w:p>
    <w:p w14:paraId="15CD85A9" w14:textId="77777777" w:rsidR="00465964" w:rsidRPr="00465964" w:rsidRDefault="00465964" w:rsidP="00465964">
      <w:pPr>
        <w:rPr>
          <w:i/>
          <w:iCs/>
          <w:lang w:val="pt-PT"/>
        </w:rPr>
      </w:pPr>
      <w:r w:rsidRPr="00465964">
        <w:rPr>
          <w:i/>
          <w:iCs/>
          <w:lang w:val="pt-PT"/>
        </w:rPr>
        <w:t>Artigo 87.</w:t>
      </w:r>
      <w:r w:rsidRPr="00465964">
        <w:rPr>
          <w:i/>
          <w:iCs/>
          <w:vertAlign w:val="superscript"/>
          <w:lang w:val="pt-PT"/>
        </w:rPr>
        <w:t>o</w:t>
      </w:r>
    </w:p>
    <w:p w14:paraId="088D6343" w14:textId="77777777" w:rsidR="00465964" w:rsidRPr="00465964" w:rsidRDefault="00465964" w:rsidP="00465964">
      <w:pPr>
        <w:rPr>
          <w:b/>
          <w:bCs/>
          <w:lang w:val="pt-PT"/>
        </w:rPr>
      </w:pPr>
      <w:r w:rsidRPr="00465964">
        <w:rPr>
          <w:b/>
          <w:bCs/>
          <w:lang w:val="pt-PT"/>
        </w:rPr>
        <w:t>Informação privilegiada</w:t>
      </w:r>
    </w:p>
    <w:p w14:paraId="3325C407" w14:textId="77777777" w:rsidR="00465964" w:rsidRPr="00465964" w:rsidRDefault="00465964" w:rsidP="00465964">
      <w:pPr>
        <w:rPr>
          <w:lang w:val="pt-PT"/>
        </w:rPr>
      </w:pPr>
      <w:r w:rsidRPr="00465964">
        <w:rPr>
          <w:lang w:val="pt-PT"/>
        </w:rPr>
        <w:t>1.   Para efeitos do presente regulamento, a informação privilegiada engloba os seguintes tipos de informação:</w:t>
      </w:r>
    </w:p>
    <w:tbl>
      <w:tblPr>
        <w:tblW w:w="5000" w:type="pct"/>
        <w:tblCellMar>
          <w:left w:w="0" w:type="dxa"/>
          <w:right w:w="0" w:type="dxa"/>
        </w:tblCellMar>
        <w:tblLook w:val="04A0" w:firstRow="1" w:lastRow="0" w:firstColumn="1" w:lastColumn="0" w:noHBand="0" w:noVBand="1"/>
      </w:tblPr>
      <w:tblGrid>
        <w:gridCol w:w="182"/>
        <w:gridCol w:w="8844"/>
      </w:tblGrid>
      <w:tr w:rsidR="00465964" w:rsidRPr="00465964" w14:paraId="3CF3A4D8" w14:textId="77777777" w:rsidTr="00465964">
        <w:tc>
          <w:tcPr>
            <w:tcW w:w="0" w:type="auto"/>
            <w:shd w:val="clear" w:color="auto" w:fill="auto"/>
            <w:hideMark/>
          </w:tcPr>
          <w:p w14:paraId="4ADE0D58" w14:textId="77777777" w:rsidR="00465964" w:rsidRPr="00465964" w:rsidRDefault="00465964" w:rsidP="00465964">
            <w:r w:rsidRPr="00465964">
              <w:t>a)</w:t>
            </w:r>
          </w:p>
        </w:tc>
        <w:tc>
          <w:tcPr>
            <w:tcW w:w="0" w:type="auto"/>
            <w:shd w:val="clear" w:color="auto" w:fill="auto"/>
            <w:hideMark/>
          </w:tcPr>
          <w:p w14:paraId="43B2C9C7" w14:textId="77777777" w:rsidR="00465964" w:rsidRPr="00465964" w:rsidRDefault="00465964" w:rsidP="00465964">
            <w:pPr>
              <w:rPr>
                <w:lang w:val="pt-PT"/>
              </w:rPr>
            </w:pPr>
            <w:r w:rsidRPr="00465964">
              <w:rPr>
                <w:lang w:val="pt-PT"/>
              </w:rPr>
              <w:t>Informação com caráter preciso, que não tenha sido tornada pública e diga respeito, direta ou indiretamente, a um ou mais emitentes, oferentes ou pessoas que solicitam a admissão à negociação ou a um ou mais criptoativos e que, caso fosse tornada pública, seria suscetível de influenciar de forma significativa os preços desses criptoativos ou o preço de um criptoativo conexo;</w:t>
            </w:r>
          </w:p>
        </w:tc>
      </w:tr>
    </w:tbl>
    <w:p w14:paraId="6A07CC3B"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8"/>
        <w:gridCol w:w="8838"/>
      </w:tblGrid>
      <w:tr w:rsidR="00465964" w:rsidRPr="00465964" w14:paraId="15C2A0F1" w14:textId="77777777" w:rsidTr="00465964">
        <w:tc>
          <w:tcPr>
            <w:tcW w:w="0" w:type="auto"/>
            <w:shd w:val="clear" w:color="auto" w:fill="auto"/>
            <w:hideMark/>
          </w:tcPr>
          <w:p w14:paraId="4832E480" w14:textId="77777777" w:rsidR="00465964" w:rsidRPr="00465964" w:rsidRDefault="00465964" w:rsidP="00465964">
            <w:r w:rsidRPr="00465964">
              <w:t>b)</w:t>
            </w:r>
          </w:p>
        </w:tc>
        <w:tc>
          <w:tcPr>
            <w:tcW w:w="0" w:type="auto"/>
            <w:shd w:val="clear" w:color="auto" w:fill="auto"/>
            <w:hideMark/>
          </w:tcPr>
          <w:p w14:paraId="6374E002" w14:textId="77777777" w:rsidR="00465964" w:rsidRPr="00465964" w:rsidRDefault="00465964" w:rsidP="00465964">
            <w:pPr>
              <w:rPr>
                <w:lang w:val="pt-PT"/>
              </w:rPr>
            </w:pPr>
            <w:r w:rsidRPr="00465964">
              <w:rPr>
                <w:lang w:val="pt-PT"/>
              </w:rPr>
              <w:t xml:space="preserve">No caso das pessoas encarregadas da execução de ordens relativas a criptoativos em nome de clientes, engloba igualmente a informação com caráter preciso transmitida por um cliente </w:t>
            </w:r>
            <w:r w:rsidRPr="00465964">
              <w:rPr>
                <w:lang w:val="pt-PT"/>
              </w:rPr>
              <w:lastRenderedPageBreak/>
              <w:t>e relativa às ordens pendentes do cliente sobre criptoativos, que diga respeito, direta ou indiretamente, a um ou mais emitentes, oferentes ou pessoas que solicitam a admissão à negociação ou a um ou mais criptoativos e que, caso fosse tornada pública, provavelmente influenciaria de forma significativa os preços desses criptoativos ou o preço de um criptoativo conexo.</w:t>
            </w:r>
          </w:p>
        </w:tc>
      </w:tr>
    </w:tbl>
    <w:p w14:paraId="66A50CD3" w14:textId="77777777" w:rsidR="00465964" w:rsidRPr="00465964" w:rsidRDefault="00465964" w:rsidP="00465964">
      <w:pPr>
        <w:rPr>
          <w:lang w:val="pt-PT"/>
        </w:rPr>
      </w:pPr>
      <w:r w:rsidRPr="00465964">
        <w:rPr>
          <w:lang w:val="pt-PT"/>
        </w:rPr>
        <w:lastRenderedPageBreak/>
        <w:t xml:space="preserve">2.   Para efeitos do </w:t>
      </w:r>
      <w:proofErr w:type="spellStart"/>
      <w:r w:rsidRPr="00465964">
        <w:rPr>
          <w:lang w:val="pt-PT"/>
        </w:rPr>
        <w:t>n.</w:t>
      </w:r>
      <w:r w:rsidRPr="00465964">
        <w:rPr>
          <w:vertAlign w:val="superscript"/>
          <w:lang w:val="pt-PT"/>
        </w:rPr>
        <w:t>o</w:t>
      </w:r>
      <w:proofErr w:type="spellEnd"/>
      <w:r w:rsidRPr="00465964">
        <w:rPr>
          <w:lang w:val="pt-PT"/>
        </w:rPr>
        <w:t> 1, considera-se que a informação tem um caráter preciso se indicar um conjunto de circunstâncias que exista ou que possa razoavelmente prever-se que venha a existir, ou um acontecimento que tenha ocorrido ou possa razoavelmente prever-se que venha a ocorrer, e que seja suficientemente específica para permitir que sejam extraídas conclusões acerca do possível efeito desse conjunto de circunstâncias ou desse acontecimento sobre os preços de criptoativos. Neste contexto, no caso de um processo continuado no tempo que se destina a concretizar, ou que tem como resultado, determinadas circunstâncias ou um determinado acontecimento, essas circunstâncias futuras ou esse acontecimento futuro podem ser considerados informação com um caráter preciso, tal como as etapas intermédias desse processo que estão relacionadas com a concretização dessas circunstâncias futuras ou desse acontecimento futuro ou que têm como resultado essas circunstâncias ou esse acontecimento.</w:t>
      </w:r>
    </w:p>
    <w:p w14:paraId="64E9DB3C" w14:textId="77777777" w:rsidR="00465964" w:rsidRPr="00465964" w:rsidRDefault="00465964" w:rsidP="00465964">
      <w:pPr>
        <w:rPr>
          <w:lang w:val="pt-PT"/>
        </w:rPr>
      </w:pPr>
      <w:r w:rsidRPr="00465964">
        <w:rPr>
          <w:lang w:val="pt-PT"/>
        </w:rPr>
        <w:t xml:space="preserve">3.   Uma etapa intermédia num processo continuado no tempo constitui informação privilegiada se, em si e por si, cumprir os critérios da informação privilegiada referidos no </w:t>
      </w:r>
      <w:proofErr w:type="spellStart"/>
      <w:r w:rsidRPr="00465964">
        <w:rPr>
          <w:lang w:val="pt-PT"/>
        </w:rPr>
        <w:t>n.</w:t>
      </w:r>
      <w:r w:rsidRPr="00465964">
        <w:rPr>
          <w:vertAlign w:val="superscript"/>
          <w:lang w:val="pt-PT"/>
        </w:rPr>
        <w:t>o</w:t>
      </w:r>
      <w:proofErr w:type="spellEnd"/>
      <w:r w:rsidRPr="00465964">
        <w:rPr>
          <w:lang w:val="pt-PT"/>
        </w:rPr>
        <w:t> 2.</w:t>
      </w:r>
    </w:p>
    <w:p w14:paraId="7A8C6BCD" w14:textId="77777777" w:rsidR="00465964" w:rsidRPr="00465964" w:rsidRDefault="00465964" w:rsidP="00465964">
      <w:pPr>
        <w:rPr>
          <w:lang w:val="pt-PT"/>
        </w:rPr>
      </w:pPr>
      <w:r w:rsidRPr="00465964">
        <w:rPr>
          <w:lang w:val="pt-PT"/>
        </w:rPr>
        <w:t xml:space="preserve">4.   Para efeitos do </w:t>
      </w:r>
      <w:proofErr w:type="spellStart"/>
      <w:r w:rsidRPr="00465964">
        <w:rPr>
          <w:lang w:val="pt-PT"/>
        </w:rPr>
        <w:t>n.</w:t>
      </w:r>
      <w:r w:rsidRPr="00465964">
        <w:rPr>
          <w:vertAlign w:val="superscript"/>
          <w:lang w:val="pt-PT"/>
        </w:rPr>
        <w:t>o</w:t>
      </w:r>
      <w:proofErr w:type="spellEnd"/>
      <w:r w:rsidRPr="00465964">
        <w:rPr>
          <w:lang w:val="pt-PT"/>
        </w:rPr>
        <w:t> 1, entende-se por informação que, caso fosse tornada pública, seria suscetível de influenciar de forma significativa os preços dos criptoativos, a informação que um detentor razoável de criptoativos utilizaria provavelmente como um dos elementos para fundamentar as suas decisões de investimento.</w:t>
      </w:r>
    </w:p>
    <w:p w14:paraId="7810A3F6" w14:textId="77777777" w:rsidR="00465964" w:rsidRPr="00465964" w:rsidRDefault="00465964" w:rsidP="00465964">
      <w:pPr>
        <w:rPr>
          <w:i/>
          <w:iCs/>
          <w:lang w:val="pt-PT"/>
        </w:rPr>
      </w:pPr>
      <w:r w:rsidRPr="00465964">
        <w:rPr>
          <w:i/>
          <w:iCs/>
          <w:lang w:val="pt-PT"/>
        </w:rPr>
        <w:t>Artigo 88.</w:t>
      </w:r>
      <w:r w:rsidRPr="00465964">
        <w:rPr>
          <w:i/>
          <w:iCs/>
          <w:vertAlign w:val="superscript"/>
          <w:lang w:val="pt-PT"/>
        </w:rPr>
        <w:t>o</w:t>
      </w:r>
    </w:p>
    <w:p w14:paraId="316F0463" w14:textId="77777777" w:rsidR="00465964" w:rsidRPr="00465964" w:rsidRDefault="00465964" w:rsidP="00465964">
      <w:pPr>
        <w:rPr>
          <w:b/>
          <w:bCs/>
          <w:lang w:val="pt-PT"/>
        </w:rPr>
      </w:pPr>
      <w:r w:rsidRPr="00465964">
        <w:rPr>
          <w:b/>
          <w:bCs/>
          <w:lang w:val="pt-PT"/>
        </w:rPr>
        <w:t>Divulgação pública de informação privilegiada</w:t>
      </w:r>
    </w:p>
    <w:p w14:paraId="0B0812B9" w14:textId="77777777" w:rsidR="00465964" w:rsidRPr="00465964" w:rsidRDefault="00465964" w:rsidP="00465964">
      <w:pPr>
        <w:rPr>
          <w:lang w:val="pt-PT"/>
        </w:rPr>
      </w:pPr>
      <w:r w:rsidRPr="00465964">
        <w:rPr>
          <w:lang w:val="pt-PT"/>
        </w:rPr>
        <w:t>1.   Os emitentes, os oferentes e as pessoas que solicitam a admissão à negociação devem informar o público, o mais rapidamente possível, da informação privilegiada referida no artigo 87.</w:t>
      </w:r>
      <w:r w:rsidRPr="00465964">
        <w:rPr>
          <w:vertAlign w:val="superscript"/>
          <w:lang w:val="pt-PT"/>
        </w:rPr>
        <w:t>o</w:t>
      </w:r>
      <w:r w:rsidRPr="00465964">
        <w:rPr>
          <w:lang w:val="pt-PT"/>
        </w:rPr>
        <w:t> que lhes diga diretamente respeito, de uma forma que permita um acesso rápido e uma avaliação completa, correta e atempada da informação pelo público. Os emitentes, os oferentes e as pessoas que solicitam a admissão à negociação não podem combinar a divulgação de informação privilegiada ao público com a promoção das suas atividades. Os emitentes, os oferentes e as pessoas que solicitam a admissão à negociação publicam e mantêm no seu sítio Web durante um período de, pelo menos, cinco anos, todas as informações privilegiadas que são obrigados a tornar públicas.</w:t>
      </w:r>
    </w:p>
    <w:p w14:paraId="4FC304FE" w14:textId="77777777" w:rsidR="00465964" w:rsidRPr="00465964" w:rsidRDefault="00465964" w:rsidP="00465964">
      <w:pPr>
        <w:rPr>
          <w:lang w:val="pt-PT"/>
        </w:rPr>
      </w:pPr>
      <w:r w:rsidRPr="00465964">
        <w:rPr>
          <w:lang w:val="pt-PT"/>
        </w:rPr>
        <w:t>2.   Os emitentes, os oferentes e as pessoas que solicitam a admissão à negociação podem, sob sua responsabilidade, diferir a divulgação pública de informação privilegiada referida no artigo 87.</w:t>
      </w:r>
      <w:r w:rsidRPr="00465964">
        <w:rPr>
          <w:vertAlign w:val="superscript"/>
          <w:lang w:val="pt-PT"/>
        </w:rPr>
        <w:t>o</w:t>
      </w:r>
      <w:r w:rsidRPr="00465964">
        <w:rPr>
          <w:lang w:val="pt-PT"/>
        </w:rPr>
        <w:t>, desde que estejam reunidas todas as seguintes condições:</w:t>
      </w:r>
    </w:p>
    <w:tbl>
      <w:tblPr>
        <w:tblW w:w="5000" w:type="pct"/>
        <w:tblCellMar>
          <w:left w:w="0" w:type="dxa"/>
          <w:right w:w="0" w:type="dxa"/>
        </w:tblCellMar>
        <w:tblLook w:val="04A0" w:firstRow="1" w:lastRow="0" w:firstColumn="1" w:lastColumn="0" w:noHBand="0" w:noVBand="1"/>
      </w:tblPr>
      <w:tblGrid>
        <w:gridCol w:w="182"/>
        <w:gridCol w:w="8844"/>
      </w:tblGrid>
      <w:tr w:rsidR="00465964" w:rsidRPr="00465964" w14:paraId="31E19BBF" w14:textId="77777777" w:rsidTr="00465964">
        <w:tc>
          <w:tcPr>
            <w:tcW w:w="0" w:type="auto"/>
            <w:shd w:val="clear" w:color="auto" w:fill="auto"/>
            <w:hideMark/>
          </w:tcPr>
          <w:p w14:paraId="07A3708C" w14:textId="77777777" w:rsidR="00465964" w:rsidRPr="00465964" w:rsidRDefault="00465964" w:rsidP="00465964">
            <w:r w:rsidRPr="00465964">
              <w:t>a)</w:t>
            </w:r>
          </w:p>
        </w:tc>
        <w:tc>
          <w:tcPr>
            <w:tcW w:w="0" w:type="auto"/>
            <w:shd w:val="clear" w:color="auto" w:fill="auto"/>
            <w:hideMark/>
          </w:tcPr>
          <w:p w14:paraId="24217065" w14:textId="77777777" w:rsidR="00465964" w:rsidRPr="00465964" w:rsidRDefault="00465964" w:rsidP="00465964">
            <w:pPr>
              <w:rPr>
                <w:lang w:val="pt-PT"/>
              </w:rPr>
            </w:pPr>
            <w:r w:rsidRPr="00465964">
              <w:rPr>
                <w:lang w:val="pt-PT"/>
              </w:rPr>
              <w:t>A divulgação imediata é suscetível de prejudicar os interesses legítimos dos emitentes, dos oferentes ou das pessoas que solicitam a admissão à negociação;</w:t>
            </w:r>
          </w:p>
        </w:tc>
      </w:tr>
    </w:tbl>
    <w:p w14:paraId="3720CC0C"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237"/>
        <w:gridCol w:w="8789"/>
      </w:tblGrid>
      <w:tr w:rsidR="00465964" w:rsidRPr="00465964" w14:paraId="6E406F13" w14:textId="77777777" w:rsidTr="00465964">
        <w:tc>
          <w:tcPr>
            <w:tcW w:w="0" w:type="auto"/>
            <w:shd w:val="clear" w:color="auto" w:fill="auto"/>
            <w:hideMark/>
          </w:tcPr>
          <w:p w14:paraId="0040C427" w14:textId="77777777" w:rsidR="00465964" w:rsidRPr="00465964" w:rsidRDefault="00465964" w:rsidP="00465964">
            <w:r w:rsidRPr="00465964">
              <w:t>b)</w:t>
            </w:r>
          </w:p>
        </w:tc>
        <w:tc>
          <w:tcPr>
            <w:tcW w:w="0" w:type="auto"/>
            <w:shd w:val="clear" w:color="auto" w:fill="auto"/>
            <w:hideMark/>
          </w:tcPr>
          <w:p w14:paraId="4FB1ACD6" w14:textId="77777777" w:rsidR="00465964" w:rsidRPr="00465964" w:rsidRDefault="00465964" w:rsidP="00465964">
            <w:pPr>
              <w:rPr>
                <w:lang w:val="pt-PT"/>
              </w:rPr>
            </w:pPr>
            <w:r w:rsidRPr="00465964">
              <w:rPr>
                <w:lang w:val="pt-PT"/>
              </w:rPr>
              <w:t>O diferimento da divulgação não é suscetível de induzir o público em erro;</w:t>
            </w:r>
          </w:p>
        </w:tc>
      </w:tr>
    </w:tbl>
    <w:p w14:paraId="38F21241"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0"/>
        <w:gridCol w:w="8846"/>
      </w:tblGrid>
      <w:tr w:rsidR="00465964" w:rsidRPr="00465964" w14:paraId="2E52EDF5" w14:textId="77777777" w:rsidTr="00465964">
        <w:tc>
          <w:tcPr>
            <w:tcW w:w="0" w:type="auto"/>
            <w:shd w:val="clear" w:color="auto" w:fill="auto"/>
            <w:hideMark/>
          </w:tcPr>
          <w:p w14:paraId="39B32640" w14:textId="77777777" w:rsidR="00465964" w:rsidRPr="00465964" w:rsidRDefault="00465964" w:rsidP="00465964">
            <w:r w:rsidRPr="00465964">
              <w:t>c)</w:t>
            </w:r>
          </w:p>
        </w:tc>
        <w:tc>
          <w:tcPr>
            <w:tcW w:w="0" w:type="auto"/>
            <w:shd w:val="clear" w:color="auto" w:fill="auto"/>
            <w:hideMark/>
          </w:tcPr>
          <w:p w14:paraId="28CF288A" w14:textId="77777777" w:rsidR="00465964" w:rsidRPr="00465964" w:rsidRDefault="00465964" w:rsidP="00465964">
            <w:pPr>
              <w:rPr>
                <w:lang w:val="pt-PT"/>
              </w:rPr>
            </w:pPr>
            <w:r w:rsidRPr="00465964">
              <w:rPr>
                <w:lang w:val="pt-PT"/>
              </w:rPr>
              <w:t>Os emitentes, os oferentes ou as pessoas que solicitam a admissão à negociação estão em condições de assegurar a confidencialidade dessa informação.</w:t>
            </w:r>
          </w:p>
        </w:tc>
      </w:tr>
    </w:tbl>
    <w:p w14:paraId="3E7F8FD8" w14:textId="77777777" w:rsidR="00465964" w:rsidRPr="00465964" w:rsidRDefault="00465964" w:rsidP="00465964">
      <w:pPr>
        <w:rPr>
          <w:lang w:val="pt-PT"/>
        </w:rPr>
      </w:pPr>
      <w:r w:rsidRPr="00465964">
        <w:rPr>
          <w:lang w:val="pt-PT"/>
        </w:rPr>
        <w:lastRenderedPageBreak/>
        <w:t xml:space="preserve">3.   Caso um emitente, um oferente ou uma pessoa que solicita a admissão à negociação tenha adiado a divulgação de informação privilegiada em conformidade com o </w:t>
      </w:r>
      <w:proofErr w:type="spellStart"/>
      <w:r w:rsidRPr="00465964">
        <w:rPr>
          <w:lang w:val="pt-PT"/>
        </w:rPr>
        <w:t>n.</w:t>
      </w:r>
      <w:r w:rsidRPr="00465964">
        <w:rPr>
          <w:vertAlign w:val="superscript"/>
          <w:lang w:val="pt-PT"/>
        </w:rPr>
        <w:t>o</w:t>
      </w:r>
      <w:proofErr w:type="spellEnd"/>
      <w:r w:rsidRPr="00465964">
        <w:rPr>
          <w:lang w:val="pt-PT"/>
        </w:rPr>
        <w:t xml:space="preserve"> 2, informa a autoridade competente de que a divulgação da informação foi adiada e presta uma explicação por escrito do modo como foram cumpridas as condições estabelecidas no </w:t>
      </w:r>
      <w:proofErr w:type="spellStart"/>
      <w:r w:rsidRPr="00465964">
        <w:rPr>
          <w:lang w:val="pt-PT"/>
        </w:rPr>
        <w:t>n.</w:t>
      </w:r>
      <w:r w:rsidRPr="00465964">
        <w:rPr>
          <w:vertAlign w:val="superscript"/>
          <w:lang w:val="pt-PT"/>
        </w:rPr>
        <w:t>o</w:t>
      </w:r>
      <w:proofErr w:type="spellEnd"/>
      <w:r w:rsidRPr="00465964">
        <w:rPr>
          <w:lang w:val="pt-PT"/>
        </w:rPr>
        <w:t> 2, imediatamente após a divulgação da informação ao público. Em alternativa, os Estados-Membros podem prever que o registo dessa explicação só seja prestado a pedido da autoridade competente.</w:t>
      </w:r>
    </w:p>
    <w:p w14:paraId="3EBE2204" w14:textId="77777777" w:rsidR="00465964" w:rsidRPr="00465964" w:rsidRDefault="00465964" w:rsidP="00465964">
      <w:pPr>
        <w:rPr>
          <w:lang w:val="pt-PT"/>
        </w:rPr>
      </w:pPr>
      <w:r w:rsidRPr="00465964">
        <w:rPr>
          <w:lang w:val="pt-PT"/>
        </w:rPr>
        <w:t>4.   A fim de garantir condições uniformes de aplicação do presente artigo, a ESMA elabora projetos de normas técnicas de execução para determinar os meios técnicos para:</w:t>
      </w:r>
    </w:p>
    <w:tbl>
      <w:tblPr>
        <w:tblW w:w="5000" w:type="pct"/>
        <w:tblCellMar>
          <w:left w:w="0" w:type="dxa"/>
          <w:right w:w="0" w:type="dxa"/>
        </w:tblCellMar>
        <w:tblLook w:val="04A0" w:firstRow="1" w:lastRow="0" w:firstColumn="1" w:lastColumn="0" w:noHBand="0" w:noVBand="1"/>
      </w:tblPr>
      <w:tblGrid>
        <w:gridCol w:w="206"/>
        <w:gridCol w:w="8820"/>
      </w:tblGrid>
      <w:tr w:rsidR="00465964" w:rsidRPr="00465964" w14:paraId="6EDFF2FF" w14:textId="77777777" w:rsidTr="00465964">
        <w:tc>
          <w:tcPr>
            <w:tcW w:w="0" w:type="auto"/>
            <w:shd w:val="clear" w:color="auto" w:fill="auto"/>
            <w:hideMark/>
          </w:tcPr>
          <w:p w14:paraId="1F2BD769" w14:textId="77777777" w:rsidR="00465964" w:rsidRPr="00465964" w:rsidRDefault="00465964" w:rsidP="00465964">
            <w:r w:rsidRPr="00465964">
              <w:t>a)</w:t>
            </w:r>
          </w:p>
        </w:tc>
        <w:tc>
          <w:tcPr>
            <w:tcW w:w="0" w:type="auto"/>
            <w:shd w:val="clear" w:color="auto" w:fill="auto"/>
            <w:hideMark/>
          </w:tcPr>
          <w:p w14:paraId="6FF39675" w14:textId="77777777" w:rsidR="00465964" w:rsidRPr="00465964" w:rsidRDefault="00465964" w:rsidP="00465964">
            <w:pPr>
              <w:rPr>
                <w:lang w:val="pt-PT"/>
              </w:rPr>
            </w:pPr>
            <w:r w:rsidRPr="00465964">
              <w:rPr>
                <w:lang w:val="pt-PT"/>
              </w:rPr>
              <w:t xml:space="preserve">A divulgação pública adequada da informação privilegiada a que se refere o </w:t>
            </w:r>
            <w:proofErr w:type="spellStart"/>
            <w:r w:rsidRPr="00465964">
              <w:rPr>
                <w:lang w:val="pt-PT"/>
              </w:rPr>
              <w:t>n.</w:t>
            </w:r>
            <w:r w:rsidRPr="00465964">
              <w:rPr>
                <w:vertAlign w:val="superscript"/>
                <w:lang w:val="pt-PT"/>
              </w:rPr>
              <w:t>o</w:t>
            </w:r>
            <w:proofErr w:type="spellEnd"/>
            <w:r w:rsidRPr="00465964">
              <w:rPr>
                <w:lang w:val="pt-PT"/>
              </w:rPr>
              <w:t> 1; e</w:t>
            </w:r>
          </w:p>
        </w:tc>
      </w:tr>
    </w:tbl>
    <w:p w14:paraId="207A2171"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9"/>
        <w:gridCol w:w="8837"/>
      </w:tblGrid>
      <w:tr w:rsidR="00465964" w:rsidRPr="00465964" w14:paraId="1015C351" w14:textId="77777777" w:rsidTr="00465964">
        <w:tc>
          <w:tcPr>
            <w:tcW w:w="0" w:type="auto"/>
            <w:shd w:val="clear" w:color="auto" w:fill="auto"/>
            <w:hideMark/>
          </w:tcPr>
          <w:p w14:paraId="0861A8D2" w14:textId="77777777" w:rsidR="00465964" w:rsidRPr="00465964" w:rsidRDefault="00465964" w:rsidP="00465964">
            <w:r w:rsidRPr="00465964">
              <w:t>b)</w:t>
            </w:r>
          </w:p>
        </w:tc>
        <w:tc>
          <w:tcPr>
            <w:tcW w:w="0" w:type="auto"/>
            <w:shd w:val="clear" w:color="auto" w:fill="auto"/>
            <w:hideMark/>
          </w:tcPr>
          <w:p w14:paraId="25963FAE" w14:textId="77777777" w:rsidR="00465964" w:rsidRPr="00465964" w:rsidRDefault="00465964" w:rsidP="00465964">
            <w:pPr>
              <w:rPr>
                <w:lang w:val="pt-PT"/>
              </w:rPr>
            </w:pPr>
            <w:r w:rsidRPr="00465964">
              <w:rPr>
                <w:lang w:val="pt-PT"/>
              </w:rPr>
              <w:t xml:space="preserve">O diferimento da divulgação pública de informação privilegiada a que se referem os </w:t>
            </w:r>
            <w:proofErr w:type="spellStart"/>
            <w:proofErr w:type="gramStart"/>
            <w:r w:rsidRPr="00465964">
              <w:rPr>
                <w:lang w:val="pt-PT"/>
              </w:rPr>
              <w:t>n.</w:t>
            </w:r>
            <w:r w:rsidRPr="00465964">
              <w:rPr>
                <w:vertAlign w:val="superscript"/>
                <w:lang w:val="pt-PT"/>
              </w:rPr>
              <w:t>os</w:t>
            </w:r>
            <w:proofErr w:type="spellEnd"/>
            <w:proofErr w:type="gramEnd"/>
            <w:r w:rsidRPr="00465964">
              <w:rPr>
                <w:lang w:val="pt-PT"/>
              </w:rPr>
              <w:t> 2 e 3.</w:t>
            </w:r>
          </w:p>
        </w:tc>
      </w:tr>
    </w:tbl>
    <w:p w14:paraId="2DF2AA62" w14:textId="77777777" w:rsidR="00465964" w:rsidRPr="00465964" w:rsidRDefault="00465964" w:rsidP="00465964">
      <w:pPr>
        <w:rPr>
          <w:lang w:val="pt-PT"/>
        </w:rPr>
      </w:pPr>
      <w:r w:rsidRPr="00465964">
        <w:rPr>
          <w:lang w:val="pt-PT"/>
        </w:rPr>
        <w:t>A ESMA apresenta à Comissão os projetos de normas técnicas de execução referidos no primeiro parágrafo até 30 de junho de 2024.</w:t>
      </w:r>
    </w:p>
    <w:p w14:paraId="517F2EAB" w14:textId="77777777" w:rsidR="00465964" w:rsidRPr="00465964" w:rsidRDefault="00465964" w:rsidP="00465964">
      <w:pPr>
        <w:rPr>
          <w:lang w:val="pt-PT"/>
        </w:rPr>
      </w:pPr>
      <w:r w:rsidRPr="00465964">
        <w:rPr>
          <w:lang w:val="pt-PT"/>
        </w:rPr>
        <w:t>É conferido à Comissão o poder de adotar as normas técnicas de execução a que se refere o primeiro parágrafo do presente número, nos termos do artigo 15.</w:t>
      </w:r>
      <w:r w:rsidRPr="00465964">
        <w:rPr>
          <w:vertAlign w:val="superscript"/>
          <w:lang w:val="pt-PT"/>
        </w:rPr>
        <w:t>o</w:t>
      </w:r>
      <w:r w:rsidRPr="00465964">
        <w:rPr>
          <w:lang w:val="pt-PT"/>
        </w:rPr>
        <w:t xml:space="preserve"> do Regulamento (UE) </w:t>
      </w:r>
      <w:proofErr w:type="spellStart"/>
      <w:r w:rsidRPr="00465964">
        <w:rPr>
          <w:lang w:val="pt-PT"/>
        </w:rPr>
        <w:t>n.</w:t>
      </w:r>
      <w:r w:rsidRPr="00465964">
        <w:rPr>
          <w:vertAlign w:val="superscript"/>
          <w:lang w:val="pt-PT"/>
        </w:rPr>
        <w:t>o</w:t>
      </w:r>
      <w:proofErr w:type="spellEnd"/>
      <w:r w:rsidRPr="00465964">
        <w:rPr>
          <w:lang w:val="pt-PT"/>
        </w:rPr>
        <w:t> 1095/2010.</w:t>
      </w:r>
    </w:p>
    <w:p w14:paraId="172E3163" w14:textId="77777777" w:rsidR="00465964" w:rsidRPr="00465964" w:rsidRDefault="00465964" w:rsidP="00465964">
      <w:pPr>
        <w:rPr>
          <w:i/>
          <w:iCs/>
          <w:lang w:val="pt-PT"/>
        </w:rPr>
      </w:pPr>
      <w:r w:rsidRPr="00465964">
        <w:rPr>
          <w:i/>
          <w:iCs/>
          <w:lang w:val="pt-PT"/>
        </w:rPr>
        <w:t>Artigo 89.</w:t>
      </w:r>
      <w:r w:rsidRPr="00465964">
        <w:rPr>
          <w:i/>
          <w:iCs/>
          <w:vertAlign w:val="superscript"/>
          <w:lang w:val="pt-PT"/>
        </w:rPr>
        <w:t>o</w:t>
      </w:r>
    </w:p>
    <w:p w14:paraId="62295F94" w14:textId="77777777" w:rsidR="00465964" w:rsidRPr="00465964" w:rsidRDefault="00465964" w:rsidP="00465964">
      <w:pPr>
        <w:rPr>
          <w:b/>
          <w:bCs/>
          <w:lang w:val="pt-PT"/>
        </w:rPr>
      </w:pPr>
      <w:r w:rsidRPr="00465964">
        <w:rPr>
          <w:b/>
          <w:bCs/>
          <w:lang w:val="pt-PT"/>
        </w:rPr>
        <w:t>Proibição do abuso de informação privilegiada</w:t>
      </w:r>
    </w:p>
    <w:p w14:paraId="6844AEF1" w14:textId="77777777" w:rsidR="00465964" w:rsidRPr="00465964" w:rsidRDefault="00465964" w:rsidP="00465964">
      <w:pPr>
        <w:rPr>
          <w:lang w:val="pt-PT"/>
        </w:rPr>
      </w:pPr>
      <w:r w:rsidRPr="00465964">
        <w:rPr>
          <w:lang w:val="pt-PT"/>
        </w:rPr>
        <w:t>1.   Para efeitos do presente regulamento, considera-se que existe abuso de informação privilegiada quando uma pessoa dispõe de informação privilegiada e utiliza essa informação para adquirir ou alienar, por sua conta ou por conta de terceiros, direta ou indiretamente, criptoativos a que essa informação diz respeito. Considera-se também abuso de informação privilegiada a utilização de informação privilegiada para anular ou alterar uma ordem relativa a um criptoativo a que essa informação diz respeito, quando a ordem tenha sido colocada antes de a pessoa em causa dispor da informação privilegiada. A utilização de informação privilegiada inclui igualmente a apresentação, a alteração ou a retirada de uma oferta por uma pessoa por sua própria conta ou por conta de terceiros.</w:t>
      </w:r>
    </w:p>
    <w:p w14:paraId="2DF84F42" w14:textId="77777777" w:rsidR="00465964" w:rsidRPr="00465964" w:rsidRDefault="00465964" w:rsidP="00465964">
      <w:pPr>
        <w:rPr>
          <w:lang w:val="pt-PT"/>
        </w:rPr>
      </w:pPr>
      <w:r w:rsidRPr="00465964">
        <w:rPr>
          <w:lang w:val="pt-PT"/>
        </w:rPr>
        <w:t>2.   É proibido a qualquer pessoa cometer ou tentar cometer abuso de informação privilegiada ou utilizar informação privilegiada sobre criptoativos para a aquisição ou a alienação desses criptoativos, direta ou indiretamente, quer por sua própria conta, quer por conta de terceiros. É proibido recomendar que um terceiro cometa abuso de informação privilegiada ou incitar essa pessoa a cometer abuso de informação privilegiada.</w:t>
      </w:r>
    </w:p>
    <w:p w14:paraId="2A056C8C" w14:textId="77777777" w:rsidR="00465964" w:rsidRPr="00465964" w:rsidRDefault="00465964" w:rsidP="00465964">
      <w:pPr>
        <w:rPr>
          <w:lang w:val="pt-PT"/>
        </w:rPr>
      </w:pPr>
      <w:r w:rsidRPr="00465964">
        <w:rPr>
          <w:lang w:val="pt-PT"/>
        </w:rPr>
        <w:t>3.   Nenhuma pessoa na posse de informação privilegiada sobre criptoativos pode, com base nessa informação privilegiada, recomendar ou incitar outra pessoa:</w:t>
      </w:r>
    </w:p>
    <w:tbl>
      <w:tblPr>
        <w:tblW w:w="5000" w:type="pct"/>
        <w:tblCellMar>
          <w:left w:w="0" w:type="dxa"/>
          <w:right w:w="0" w:type="dxa"/>
        </w:tblCellMar>
        <w:tblLook w:val="04A0" w:firstRow="1" w:lastRow="0" w:firstColumn="1" w:lastColumn="0" w:noHBand="0" w:noVBand="1"/>
      </w:tblPr>
      <w:tblGrid>
        <w:gridCol w:w="392"/>
        <w:gridCol w:w="8634"/>
      </w:tblGrid>
      <w:tr w:rsidR="00465964" w:rsidRPr="00465964" w14:paraId="74B0DC1F" w14:textId="77777777" w:rsidTr="00465964">
        <w:tc>
          <w:tcPr>
            <w:tcW w:w="0" w:type="auto"/>
            <w:shd w:val="clear" w:color="auto" w:fill="auto"/>
            <w:hideMark/>
          </w:tcPr>
          <w:p w14:paraId="2D21FAF8" w14:textId="77777777" w:rsidR="00465964" w:rsidRPr="00465964" w:rsidRDefault="00465964" w:rsidP="00465964">
            <w:r w:rsidRPr="00465964">
              <w:t>a)</w:t>
            </w:r>
          </w:p>
        </w:tc>
        <w:tc>
          <w:tcPr>
            <w:tcW w:w="0" w:type="auto"/>
            <w:shd w:val="clear" w:color="auto" w:fill="auto"/>
            <w:hideMark/>
          </w:tcPr>
          <w:p w14:paraId="0BA5DA35" w14:textId="77777777" w:rsidR="00465964" w:rsidRPr="00465964" w:rsidRDefault="00465964" w:rsidP="00465964">
            <w:pPr>
              <w:rPr>
                <w:lang w:val="pt-PT"/>
              </w:rPr>
            </w:pPr>
            <w:r w:rsidRPr="00465964">
              <w:rPr>
                <w:lang w:val="pt-PT"/>
              </w:rPr>
              <w:t>A adquirir ou alienar esses criptoativos; ou</w:t>
            </w:r>
          </w:p>
        </w:tc>
      </w:tr>
    </w:tbl>
    <w:p w14:paraId="3FF98C4B"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290"/>
        <w:gridCol w:w="8736"/>
      </w:tblGrid>
      <w:tr w:rsidR="00465964" w:rsidRPr="00465964" w14:paraId="01C240B8" w14:textId="77777777" w:rsidTr="00465964">
        <w:tc>
          <w:tcPr>
            <w:tcW w:w="0" w:type="auto"/>
            <w:shd w:val="clear" w:color="auto" w:fill="auto"/>
            <w:hideMark/>
          </w:tcPr>
          <w:p w14:paraId="6387FCF9" w14:textId="77777777" w:rsidR="00465964" w:rsidRPr="00465964" w:rsidRDefault="00465964" w:rsidP="00465964">
            <w:r w:rsidRPr="00465964">
              <w:t>b)</w:t>
            </w:r>
          </w:p>
        </w:tc>
        <w:tc>
          <w:tcPr>
            <w:tcW w:w="0" w:type="auto"/>
            <w:shd w:val="clear" w:color="auto" w:fill="auto"/>
            <w:hideMark/>
          </w:tcPr>
          <w:p w14:paraId="7300D397" w14:textId="77777777" w:rsidR="00465964" w:rsidRPr="00465964" w:rsidRDefault="00465964" w:rsidP="00465964">
            <w:pPr>
              <w:rPr>
                <w:lang w:val="pt-PT"/>
              </w:rPr>
            </w:pPr>
            <w:r w:rsidRPr="00465964">
              <w:rPr>
                <w:lang w:val="pt-PT"/>
              </w:rPr>
              <w:t>Cancelar ou alterar uma ordem relativa a esses criptoativos.</w:t>
            </w:r>
          </w:p>
        </w:tc>
      </w:tr>
    </w:tbl>
    <w:p w14:paraId="143985DF" w14:textId="77777777" w:rsidR="00465964" w:rsidRPr="00465964" w:rsidRDefault="00465964" w:rsidP="00465964">
      <w:pPr>
        <w:rPr>
          <w:lang w:val="pt-PT"/>
        </w:rPr>
      </w:pPr>
      <w:r w:rsidRPr="00465964">
        <w:rPr>
          <w:lang w:val="pt-PT"/>
        </w:rPr>
        <w:t xml:space="preserve">4.   A utilização de uma recomendação ou de um incitamento a que se refere o </w:t>
      </w:r>
      <w:proofErr w:type="spellStart"/>
      <w:r w:rsidRPr="00465964">
        <w:rPr>
          <w:lang w:val="pt-PT"/>
        </w:rPr>
        <w:t>n.</w:t>
      </w:r>
      <w:r w:rsidRPr="00465964">
        <w:rPr>
          <w:vertAlign w:val="superscript"/>
          <w:lang w:val="pt-PT"/>
        </w:rPr>
        <w:t>o</w:t>
      </w:r>
      <w:proofErr w:type="spellEnd"/>
      <w:r w:rsidRPr="00465964">
        <w:rPr>
          <w:lang w:val="pt-PT"/>
        </w:rPr>
        <w:t> 3 constitui abuso de informação privilegiada na aceção do presente artigo, caso a pessoa que recorre à recomendação ou ao incitamento saiba, ou devesse saber, que se baseia em informação privilegiada.</w:t>
      </w:r>
    </w:p>
    <w:p w14:paraId="7DD18A3C" w14:textId="77777777" w:rsidR="00465964" w:rsidRPr="00465964" w:rsidRDefault="00465964" w:rsidP="00465964">
      <w:pPr>
        <w:rPr>
          <w:lang w:val="pt-PT"/>
        </w:rPr>
      </w:pPr>
      <w:r w:rsidRPr="00465964">
        <w:rPr>
          <w:lang w:val="pt-PT"/>
        </w:rPr>
        <w:lastRenderedPageBreak/>
        <w:t>5.   O presente artigo aplica-se a qualquer pessoa que possua informação privilegiada em virtude de:</w:t>
      </w:r>
    </w:p>
    <w:tbl>
      <w:tblPr>
        <w:tblW w:w="5000" w:type="pct"/>
        <w:tblCellMar>
          <w:left w:w="0" w:type="dxa"/>
          <w:right w:w="0" w:type="dxa"/>
        </w:tblCellMar>
        <w:tblLook w:val="04A0" w:firstRow="1" w:lastRow="0" w:firstColumn="1" w:lastColumn="0" w:noHBand="0" w:noVBand="1"/>
      </w:tblPr>
      <w:tblGrid>
        <w:gridCol w:w="182"/>
        <w:gridCol w:w="8844"/>
      </w:tblGrid>
      <w:tr w:rsidR="00465964" w:rsidRPr="00465964" w14:paraId="0247A59C" w14:textId="77777777" w:rsidTr="00465964">
        <w:tc>
          <w:tcPr>
            <w:tcW w:w="0" w:type="auto"/>
            <w:shd w:val="clear" w:color="auto" w:fill="auto"/>
            <w:hideMark/>
          </w:tcPr>
          <w:p w14:paraId="6AB128EA" w14:textId="77777777" w:rsidR="00465964" w:rsidRPr="00465964" w:rsidRDefault="00465964" w:rsidP="00465964">
            <w:r w:rsidRPr="00465964">
              <w:t>a)</w:t>
            </w:r>
          </w:p>
        </w:tc>
        <w:tc>
          <w:tcPr>
            <w:tcW w:w="0" w:type="auto"/>
            <w:shd w:val="clear" w:color="auto" w:fill="auto"/>
            <w:hideMark/>
          </w:tcPr>
          <w:p w14:paraId="297B826F" w14:textId="77777777" w:rsidR="00465964" w:rsidRPr="00465964" w:rsidRDefault="00465964" w:rsidP="00465964">
            <w:pPr>
              <w:rPr>
                <w:lang w:val="pt-PT"/>
              </w:rPr>
            </w:pPr>
            <w:r w:rsidRPr="00465964">
              <w:rPr>
                <w:lang w:val="pt-PT"/>
              </w:rPr>
              <w:t>Ser membro dos órgãos de administração, direção ou fiscalização do emitente, do oferente ou da pessoa que solicita a admissão à negociação;</w:t>
            </w:r>
          </w:p>
        </w:tc>
      </w:tr>
    </w:tbl>
    <w:p w14:paraId="11A8F784"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8"/>
        <w:gridCol w:w="8838"/>
      </w:tblGrid>
      <w:tr w:rsidR="00465964" w:rsidRPr="00465964" w14:paraId="6C0378BC" w14:textId="77777777" w:rsidTr="00465964">
        <w:tc>
          <w:tcPr>
            <w:tcW w:w="0" w:type="auto"/>
            <w:shd w:val="clear" w:color="auto" w:fill="auto"/>
            <w:hideMark/>
          </w:tcPr>
          <w:p w14:paraId="1A2C2C05" w14:textId="77777777" w:rsidR="00465964" w:rsidRPr="00465964" w:rsidRDefault="00465964" w:rsidP="00465964">
            <w:r w:rsidRPr="00465964">
              <w:t>b)</w:t>
            </w:r>
          </w:p>
        </w:tc>
        <w:tc>
          <w:tcPr>
            <w:tcW w:w="0" w:type="auto"/>
            <w:shd w:val="clear" w:color="auto" w:fill="auto"/>
            <w:hideMark/>
          </w:tcPr>
          <w:p w14:paraId="2BA1749D" w14:textId="77777777" w:rsidR="00465964" w:rsidRPr="00465964" w:rsidRDefault="00465964" w:rsidP="00465964">
            <w:pPr>
              <w:rPr>
                <w:lang w:val="pt-PT"/>
              </w:rPr>
            </w:pPr>
            <w:r w:rsidRPr="00465964">
              <w:rPr>
                <w:lang w:val="pt-PT"/>
              </w:rPr>
              <w:t>Deter uma participação no capital do emitente, do oferente ou da pessoa que solicita admissão à negociação;</w:t>
            </w:r>
          </w:p>
        </w:tc>
      </w:tr>
    </w:tbl>
    <w:p w14:paraId="5C3BABFF"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0"/>
        <w:gridCol w:w="8846"/>
      </w:tblGrid>
      <w:tr w:rsidR="00465964" w:rsidRPr="00465964" w14:paraId="13E19FF3" w14:textId="77777777" w:rsidTr="00465964">
        <w:tc>
          <w:tcPr>
            <w:tcW w:w="0" w:type="auto"/>
            <w:shd w:val="clear" w:color="auto" w:fill="auto"/>
            <w:hideMark/>
          </w:tcPr>
          <w:p w14:paraId="78423E75" w14:textId="77777777" w:rsidR="00465964" w:rsidRPr="00465964" w:rsidRDefault="00465964" w:rsidP="00465964">
            <w:r w:rsidRPr="00465964">
              <w:t>c)</w:t>
            </w:r>
          </w:p>
        </w:tc>
        <w:tc>
          <w:tcPr>
            <w:tcW w:w="0" w:type="auto"/>
            <w:shd w:val="clear" w:color="auto" w:fill="auto"/>
            <w:hideMark/>
          </w:tcPr>
          <w:p w14:paraId="20631321" w14:textId="77777777" w:rsidR="00465964" w:rsidRPr="00465964" w:rsidRDefault="00465964" w:rsidP="00465964">
            <w:pPr>
              <w:rPr>
                <w:lang w:val="pt-PT"/>
              </w:rPr>
            </w:pPr>
            <w:r w:rsidRPr="00465964">
              <w:rPr>
                <w:lang w:val="pt-PT"/>
              </w:rPr>
              <w:t>Ter acesso às informações através do exercício de uma atividade laboral, de uma profissão ou de funções ou pelo seu papel na tecnologia de registo distribuído ou tecnologia similar; ou</w:t>
            </w:r>
          </w:p>
        </w:tc>
      </w:tr>
    </w:tbl>
    <w:p w14:paraId="51C1E147"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468"/>
        <w:gridCol w:w="8558"/>
      </w:tblGrid>
      <w:tr w:rsidR="00465964" w:rsidRPr="00465964" w14:paraId="48B698CA" w14:textId="77777777" w:rsidTr="00465964">
        <w:tc>
          <w:tcPr>
            <w:tcW w:w="0" w:type="auto"/>
            <w:shd w:val="clear" w:color="auto" w:fill="auto"/>
            <w:hideMark/>
          </w:tcPr>
          <w:p w14:paraId="15EC3CE2" w14:textId="77777777" w:rsidR="00465964" w:rsidRPr="00465964" w:rsidRDefault="00465964" w:rsidP="00465964">
            <w:r w:rsidRPr="00465964">
              <w:t>d)</w:t>
            </w:r>
          </w:p>
        </w:tc>
        <w:tc>
          <w:tcPr>
            <w:tcW w:w="0" w:type="auto"/>
            <w:shd w:val="clear" w:color="auto" w:fill="auto"/>
            <w:hideMark/>
          </w:tcPr>
          <w:p w14:paraId="22E866A5" w14:textId="77777777" w:rsidR="00465964" w:rsidRPr="00465964" w:rsidRDefault="00465964" w:rsidP="00465964">
            <w:proofErr w:type="spellStart"/>
            <w:r w:rsidRPr="00465964">
              <w:t>Participar</w:t>
            </w:r>
            <w:proofErr w:type="spellEnd"/>
            <w:r w:rsidRPr="00465964">
              <w:t xml:space="preserve"> </w:t>
            </w:r>
            <w:proofErr w:type="spellStart"/>
            <w:r w:rsidRPr="00465964">
              <w:t>em</w:t>
            </w:r>
            <w:proofErr w:type="spellEnd"/>
            <w:r w:rsidRPr="00465964">
              <w:t xml:space="preserve"> </w:t>
            </w:r>
            <w:proofErr w:type="spellStart"/>
            <w:r w:rsidRPr="00465964">
              <w:t>atividades</w:t>
            </w:r>
            <w:proofErr w:type="spellEnd"/>
            <w:r w:rsidRPr="00465964">
              <w:t xml:space="preserve"> </w:t>
            </w:r>
            <w:proofErr w:type="spellStart"/>
            <w:r w:rsidRPr="00465964">
              <w:t>criminosas</w:t>
            </w:r>
            <w:proofErr w:type="spellEnd"/>
            <w:r w:rsidRPr="00465964">
              <w:t>.</w:t>
            </w:r>
          </w:p>
        </w:tc>
      </w:tr>
    </w:tbl>
    <w:p w14:paraId="201056D9" w14:textId="77777777" w:rsidR="00465964" w:rsidRPr="00465964" w:rsidRDefault="00465964" w:rsidP="00465964">
      <w:pPr>
        <w:rPr>
          <w:lang w:val="pt-PT"/>
        </w:rPr>
      </w:pPr>
      <w:r w:rsidRPr="00465964">
        <w:rPr>
          <w:lang w:val="pt-PT"/>
        </w:rPr>
        <w:t>O presente artigo aplica-se igualmente a qualquer pessoa que disponha de informação privilegiada em circunstâncias distintas das especificadas no primeiro parágrafo e quando essa pessoa saiba ou devesse saber que se trata de informação privilegiada.</w:t>
      </w:r>
    </w:p>
    <w:p w14:paraId="2DE09807" w14:textId="77777777" w:rsidR="00465964" w:rsidRPr="00465964" w:rsidRDefault="00465964" w:rsidP="00465964">
      <w:pPr>
        <w:rPr>
          <w:lang w:val="pt-PT"/>
        </w:rPr>
      </w:pPr>
      <w:r w:rsidRPr="00465964">
        <w:rPr>
          <w:lang w:val="pt-PT"/>
        </w:rPr>
        <w:t xml:space="preserve">6.   Quando a pessoa a que se refere o </w:t>
      </w:r>
      <w:proofErr w:type="spellStart"/>
      <w:r w:rsidRPr="00465964">
        <w:rPr>
          <w:lang w:val="pt-PT"/>
        </w:rPr>
        <w:t>n.</w:t>
      </w:r>
      <w:r w:rsidRPr="00465964">
        <w:rPr>
          <w:vertAlign w:val="superscript"/>
          <w:lang w:val="pt-PT"/>
        </w:rPr>
        <w:t>o</w:t>
      </w:r>
      <w:proofErr w:type="spellEnd"/>
      <w:r w:rsidRPr="00465964">
        <w:rPr>
          <w:lang w:val="pt-PT"/>
        </w:rPr>
        <w:t> 1 for uma pessoa coletiva, o presente artigo é aplicável, nos termos do direito nacional, às pessoas singulares que participem na decisão de efetuar a aquisição, a alienação, o cancelamento ou a alteração de uma ordem por conta da pessoa coletiva em causa.</w:t>
      </w:r>
    </w:p>
    <w:p w14:paraId="1C350C2D" w14:textId="77777777" w:rsidR="00465964" w:rsidRPr="00465964" w:rsidRDefault="00465964" w:rsidP="00465964">
      <w:pPr>
        <w:rPr>
          <w:i/>
          <w:iCs/>
          <w:lang w:val="pt-PT"/>
        </w:rPr>
      </w:pPr>
      <w:r w:rsidRPr="00465964">
        <w:rPr>
          <w:i/>
          <w:iCs/>
          <w:lang w:val="pt-PT"/>
        </w:rPr>
        <w:t>Artigo 90.</w:t>
      </w:r>
      <w:r w:rsidRPr="00465964">
        <w:rPr>
          <w:i/>
          <w:iCs/>
          <w:vertAlign w:val="superscript"/>
          <w:lang w:val="pt-PT"/>
        </w:rPr>
        <w:t>o</w:t>
      </w:r>
    </w:p>
    <w:p w14:paraId="3A20E6B3" w14:textId="77777777" w:rsidR="00465964" w:rsidRPr="00465964" w:rsidRDefault="00465964" w:rsidP="00465964">
      <w:pPr>
        <w:rPr>
          <w:b/>
          <w:bCs/>
          <w:lang w:val="pt-PT"/>
        </w:rPr>
      </w:pPr>
      <w:r w:rsidRPr="00465964">
        <w:rPr>
          <w:b/>
          <w:bCs/>
          <w:lang w:val="pt-PT"/>
        </w:rPr>
        <w:t>Proibição da divulgação ilícita de informação privilegiada</w:t>
      </w:r>
    </w:p>
    <w:p w14:paraId="1B3F3E64" w14:textId="77777777" w:rsidR="00465964" w:rsidRPr="00465964" w:rsidRDefault="00465964" w:rsidP="00465964">
      <w:pPr>
        <w:rPr>
          <w:lang w:val="pt-PT"/>
        </w:rPr>
      </w:pPr>
      <w:r w:rsidRPr="00465964">
        <w:rPr>
          <w:lang w:val="pt-PT"/>
        </w:rPr>
        <w:t>1.   Nenhuma pessoa na posse de informação privilegiada pode divulgar ilicitamente informação privilegiada a terceiros, exceto quando tal divulgação é efetuada durante o exercício normal de uma atividade laboral, de uma profissão ou de funções.</w:t>
      </w:r>
    </w:p>
    <w:p w14:paraId="6449423D" w14:textId="77777777" w:rsidR="00465964" w:rsidRPr="00465964" w:rsidRDefault="00465964" w:rsidP="00465964">
      <w:pPr>
        <w:rPr>
          <w:lang w:val="pt-PT"/>
        </w:rPr>
      </w:pPr>
      <w:r w:rsidRPr="00465964">
        <w:rPr>
          <w:lang w:val="pt-PT"/>
        </w:rPr>
        <w:t>2.   A divulgação subsequente das recomendações ou dos incitamentos referidos no artigo 89.</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4, constitui divulgação ilícita de informação privilegiada, caso a pessoa que divulga a recomendação ou o incitamento saiba, ou devesse saber, que os mesmos se baseavam em informação privilegiada.</w:t>
      </w:r>
    </w:p>
    <w:p w14:paraId="697F1C0A" w14:textId="77777777" w:rsidR="00465964" w:rsidRPr="00465964" w:rsidRDefault="00465964" w:rsidP="00465964">
      <w:pPr>
        <w:rPr>
          <w:i/>
          <w:iCs/>
          <w:lang w:val="pt-PT"/>
        </w:rPr>
      </w:pPr>
      <w:r w:rsidRPr="00465964">
        <w:rPr>
          <w:i/>
          <w:iCs/>
          <w:lang w:val="pt-PT"/>
        </w:rPr>
        <w:t>Artigo 91.</w:t>
      </w:r>
      <w:r w:rsidRPr="00465964">
        <w:rPr>
          <w:i/>
          <w:iCs/>
          <w:vertAlign w:val="superscript"/>
          <w:lang w:val="pt-PT"/>
        </w:rPr>
        <w:t>o</w:t>
      </w:r>
    </w:p>
    <w:p w14:paraId="4C638B77" w14:textId="77777777" w:rsidR="00465964" w:rsidRPr="00465964" w:rsidRDefault="00465964" w:rsidP="00465964">
      <w:pPr>
        <w:rPr>
          <w:b/>
          <w:bCs/>
          <w:lang w:val="pt-PT"/>
        </w:rPr>
      </w:pPr>
      <w:r w:rsidRPr="00465964">
        <w:rPr>
          <w:b/>
          <w:bCs/>
          <w:lang w:val="pt-PT"/>
        </w:rPr>
        <w:t>Proibição de manipulação de mercado</w:t>
      </w:r>
    </w:p>
    <w:p w14:paraId="21EA3A49" w14:textId="77777777" w:rsidR="00465964" w:rsidRPr="00465964" w:rsidRDefault="00465964" w:rsidP="00465964">
      <w:pPr>
        <w:rPr>
          <w:lang w:val="pt-PT"/>
        </w:rPr>
      </w:pPr>
      <w:r w:rsidRPr="00465964">
        <w:rPr>
          <w:lang w:val="pt-PT"/>
        </w:rPr>
        <w:t>1.   É proibido a qualquer pessoa cometer ou tentar cometer manipulação de mercado.</w:t>
      </w:r>
    </w:p>
    <w:p w14:paraId="31CAC522" w14:textId="77777777" w:rsidR="00465964" w:rsidRPr="00465964" w:rsidRDefault="00465964" w:rsidP="00465964">
      <w:pPr>
        <w:rPr>
          <w:lang w:val="pt-PT"/>
        </w:rPr>
      </w:pPr>
      <w:r w:rsidRPr="00465964">
        <w:rPr>
          <w:lang w:val="pt-PT"/>
        </w:rPr>
        <w:t>2.   Para efeitos do presente regulamento, manipulação de mercado engloba qualquer das seguintes atividades:</w:t>
      </w:r>
    </w:p>
    <w:tbl>
      <w:tblPr>
        <w:tblW w:w="5000" w:type="pct"/>
        <w:tblCellMar>
          <w:left w:w="0" w:type="dxa"/>
          <w:right w:w="0" w:type="dxa"/>
        </w:tblCellMar>
        <w:tblLook w:val="04A0" w:firstRow="1" w:lastRow="0" w:firstColumn="1" w:lastColumn="0" w:noHBand="0" w:noVBand="1"/>
      </w:tblPr>
      <w:tblGrid>
        <w:gridCol w:w="182"/>
        <w:gridCol w:w="8844"/>
      </w:tblGrid>
      <w:tr w:rsidR="00465964" w:rsidRPr="00465964" w14:paraId="7E0BC84A" w14:textId="77777777" w:rsidTr="00465964">
        <w:tc>
          <w:tcPr>
            <w:tcW w:w="0" w:type="auto"/>
            <w:shd w:val="clear" w:color="auto" w:fill="auto"/>
            <w:hideMark/>
          </w:tcPr>
          <w:p w14:paraId="4AF96F2F" w14:textId="77777777" w:rsidR="00465964" w:rsidRPr="00465964" w:rsidRDefault="00465964" w:rsidP="00465964">
            <w:r w:rsidRPr="00465964">
              <w:t>a)</w:t>
            </w:r>
          </w:p>
        </w:tc>
        <w:tc>
          <w:tcPr>
            <w:tcW w:w="0" w:type="auto"/>
            <w:shd w:val="clear" w:color="auto" w:fill="auto"/>
            <w:hideMark/>
          </w:tcPr>
          <w:p w14:paraId="5E2B4300" w14:textId="77777777" w:rsidR="00465964" w:rsidRPr="00465964" w:rsidRDefault="00465964" w:rsidP="00465964">
            <w:pPr>
              <w:rPr>
                <w:lang w:val="pt-PT"/>
              </w:rPr>
            </w:pPr>
            <w:r w:rsidRPr="00465964">
              <w:rPr>
                <w:lang w:val="pt-PT"/>
              </w:rPr>
              <w:t>Exceto se por razões legítimas, realizar uma transação, colocar uma ordem de negociação ou praticar qualquer outra conduta que:</w:t>
            </w:r>
          </w:p>
          <w:tbl>
            <w:tblPr>
              <w:tblW w:w="5000" w:type="pct"/>
              <w:tblCellMar>
                <w:left w:w="0" w:type="dxa"/>
                <w:right w:w="0" w:type="dxa"/>
              </w:tblCellMar>
              <w:tblLook w:val="04A0" w:firstRow="1" w:lastRow="0" w:firstColumn="1" w:lastColumn="0" w:noHBand="0" w:noVBand="1"/>
            </w:tblPr>
            <w:tblGrid>
              <w:gridCol w:w="117"/>
              <w:gridCol w:w="8727"/>
            </w:tblGrid>
            <w:tr w:rsidR="00465964" w:rsidRPr="00465964" w14:paraId="66B0812E" w14:textId="77777777">
              <w:tc>
                <w:tcPr>
                  <w:tcW w:w="0" w:type="auto"/>
                  <w:shd w:val="clear" w:color="auto" w:fill="auto"/>
                  <w:hideMark/>
                </w:tcPr>
                <w:p w14:paraId="3CB64A8A" w14:textId="77777777" w:rsidR="00465964" w:rsidRPr="00465964" w:rsidRDefault="00465964" w:rsidP="00465964">
                  <w:proofErr w:type="spellStart"/>
                  <w:r w:rsidRPr="00465964">
                    <w:t>i</w:t>
                  </w:r>
                  <w:proofErr w:type="spellEnd"/>
                  <w:r w:rsidRPr="00465964">
                    <w:t>)</w:t>
                  </w:r>
                </w:p>
              </w:tc>
              <w:tc>
                <w:tcPr>
                  <w:tcW w:w="0" w:type="auto"/>
                  <w:shd w:val="clear" w:color="auto" w:fill="auto"/>
                  <w:hideMark/>
                </w:tcPr>
                <w:p w14:paraId="38566D6B" w14:textId="77777777" w:rsidR="00465964" w:rsidRPr="00465964" w:rsidRDefault="00465964" w:rsidP="00465964">
                  <w:pPr>
                    <w:rPr>
                      <w:lang w:val="pt-PT"/>
                    </w:rPr>
                  </w:pPr>
                  <w:r w:rsidRPr="00465964">
                    <w:rPr>
                      <w:lang w:val="pt-PT"/>
                    </w:rPr>
                    <w:t>dê ou seja suscetível de dar, indicações falsas ou enganosas no que respeita à oferta, à procura ou ao preço de um criptoativo,</w:t>
                  </w:r>
                </w:p>
              </w:tc>
            </w:tr>
          </w:tbl>
          <w:p w14:paraId="1C589D5A"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70"/>
              <w:gridCol w:w="8674"/>
            </w:tblGrid>
            <w:tr w:rsidR="00465964" w:rsidRPr="00465964" w14:paraId="3DCCF239" w14:textId="77777777">
              <w:tc>
                <w:tcPr>
                  <w:tcW w:w="0" w:type="auto"/>
                  <w:shd w:val="clear" w:color="auto" w:fill="auto"/>
                  <w:hideMark/>
                </w:tcPr>
                <w:p w14:paraId="0E993ECB" w14:textId="77777777" w:rsidR="00465964" w:rsidRPr="00465964" w:rsidRDefault="00465964" w:rsidP="00465964">
                  <w:r w:rsidRPr="00465964">
                    <w:t>ii)</w:t>
                  </w:r>
                </w:p>
              </w:tc>
              <w:tc>
                <w:tcPr>
                  <w:tcW w:w="0" w:type="auto"/>
                  <w:shd w:val="clear" w:color="auto" w:fill="auto"/>
                  <w:hideMark/>
                </w:tcPr>
                <w:p w14:paraId="280AB4F5" w14:textId="77777777" w:rsidR="00465964" w:rsidRPr="00465964" w:rsidRDefault="00465964" w:rsidP="00465964">
                  <w:pPr>
                    <w:rPr>
                      <w:lang w:val="pt-PT"/>
                    </w:rPr>
                  </w:pPr>
                  <w:r w:rsidRPr="00465964">
                    <w:rPr>
                      <w:lang w:val="pt-PT"/>
                    </w:rPr>
                    <w:t>mantenha ou seja suscetível de manter o preço de um ou mais criptoativos a um nível anormal ou artificial;</w:t>
                  </w:r>
                </w:p>
              </w:tc>
            </w:tr>
          </w:tbl>
          <w:p w14:paraId="7A7538AA" w14:textId="77777777" w:rsidR="00465964" w:rsidRPr="00465964" w:rsidRDefault="00465964" w:rsidP="00465964">
            <w:pPr>
              <w:rPr>
                <w:lang w:val="pt-PT"/>
              </w:rPr>
            </w:pPr>
          </w:p>
        </w:tc>
      </w:tr>
    </w:tbl>
    <w:p w14:paraId="250FCCE0"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8"/>
        <w:gridCol w:w="8838"/>
      </w:tblGrid>
      <w:tr w:rsidR="00465964" w:rsidRPr="00465964" w14:paraId="3107363B" w14:textId="77777777" w:rsidTr="00465964">
        <w:tc>
          <w:tcPr>
            <w:tcW w:w="0" w:type="auto"/>
            <w:shd w:val="clear" w:color="auto" w:fill="auto"/>
            <w:hideMark/>
          </w:tcPr>
          <w:p w14:paraId="6A3368F1" w14:textId="77777777" w:rsidR="00465964" w:rsidRPr="00465964" w:rsidRDefault="00465964" w:rsidP="00465964">
            <w:r w:rsidRPr="00465964">
              <w:lastRenderedPageBreak/>
              <w:t>b)</w:t>
            </w:r>
          </w:p>
        </w:tc>
        <w:tc>
          <w:tcPr>
            <w:tcW w:w="0" w:type="auto"/>
            <w:shd w:val="clear" w:color="auto" w:fill="auto"/>
            <w:hideMark/>
          </w:tcPr>
          <w:p w14:paraId="514DCEE6" w14:textId="77777777" w:rsidR="00465964" w:rsidRPr="00465964" w:rsidRDefault="00465964" w:rsidP="00465964">
            <w:pPr>
              <w:rPr>
                <w:lang w:val="pt-PT"/>
              </w:rPr>
            </w:pPr>
            <w:r w:rsidRPr="00465964">
              <w:rPr>
                <w:lang w:val="pt-PT"/>
              </w:rPr>
              <w:t>Realizar transações, colocar uma ordem de negociação ou praticar qualquer outra atividade ou conduta que afete, ou seja suscetível de afetar, o preço de um ou mais criptoativos, recorrendo a procedimentos fictícios ou a quaisquer outras formas de engano ou artifício;</w:t>
            </w:r>
          </w:p>
        </w:tc>
      </w:tr>
    </w:tbl>
    <w:p w14:paraId="7CB845C1"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0"/>
        <w:gridCol w:w="8846"/>
      </w:tblGrid>
      <w:tr w:rsidR="00465964" w:rsidRPr="00465964" w14:paraId="3F8E8E16" w14:textId="77777777" w:rsidTr="00465964">
        <w:tc>
          <w:tcPr>
            <w:tcW w:w="0" w:type="auto"/>
            <w:shd w:val="clear" w:color="auto" w:fill="auto"/>
            <w:hideMark/>
          </w:tcPr>
          <w:p w14:paraId="4458F287" w14:textId="77777777" w:rsidR="00465964" w:rsidRPr="00465964" w:rsidRDefault="00465964" w:rsidP="00465964">
            <w:r w:rsidRPr="00465964">
              <w:t>c)</w:t>
            </w:r>
          </w:p>
        </w:tc>
        <w:tc>
          <w:tcPr>
            <w:tcW w:w="0" w:type="auto"/>
            <w:shd w:val="clear" w:color="auto" w:fill="auto"/>
            <w:hideMark/>
          </w:tcPr>
          <w:p w14:paraId="235CF0CC" w14:textId="77777777" w:rsidR="00465964" w:rsidRPr="00465964" w:rsidRDefault="00465964" w:rsidP="00465964">
            <w:pPr>
              <w:rPr>
                <w:lang w:val="pt-PT"/>
              </w:rPr>
            </w:pPr>
            <w:r w:rsidRPr="00465964">
              <w:rPr>
                <w:lang w:val="pt-PT"/>
              </w:rPr>
              <w:t>Divulgar informações através dos meios de comunicação social, incluindo a Internet, ou através de outros meios, que deem ou sejam suscetíveis de dar indicações falsas ou enganosas quanto à oferta, à procura ou ao preço de um ou de vários criptoativos, ou mantenham ou sejam suscetíveis de manter o preço de um ou mais criptoativos a um nível anormal ou artificial, incluindo a divulgação de rumores, quando a pessoa que procedeu à divulgação sabia ou devesse saber que essas informações eram falsas ou enganosas.</w:t>
            </w:r>
          </w:p>
        </w:tc>
      </w:tr>
    </w:tbl>
    <w:p w14:paraId="5AEDC2E0" w14:textId="77777777" w:rsidR="00465964" w:rsidRPr="00465964" w:rsidRDefault="00465964" w:rsidP="00465964">
      <w:pPr>
        <w:rPr>
          <w:lang w:val="pt-PT"/>
        </w:rPr>
      </w:pPr>
      <w:r w:rsidRPr="00465964">
        <w:rPr>
          <w:lang w:val="pt-PT"/>
        </w:rPr>
        <w:t>3.   São consideradas manipulação de mercado, entre outras, as seguintes condutas:</w:t>
      </w:r>
    </w:p>
    <w:tbl>
      <w:tblPr>
        <w:tblW w:w="5000" w:type="pct"/>
        <w:tblCellMar>
          <w:left w:w="0" w:type="dxa"/>
          <w:right w:w="0" w:type="dxa"/>
        </w:tblCellMar>
        <w:tblLook w:val="04A0" w:firstRow="1" w:lastRow="0" w:firstColumn="1" w:lastColumn="0" w:noHBand="0" w:noVBand="1"/>
      </w:tblPr>
      <w:tblGrid>
        <w:gridCol w:w="182"/>
        <w:gridCol w:w="8844"/>
      </w:tblGrid>
      <w:tr w:rsidR="00465964" w:rsidRPr="00465964" w14:paraId="5A24C1E5" w14:textId="77777777" w:rsidTr="00465964">
        <w:tc>
          <w:tcPr>
            <w:tcW w:w="0" w:type="auto"/>
            <w:shd w:val="clear" w:color="auto" w:fill="auto"/>
            <w:hideMark/>
          </w:tcPr>
          <w:p w14:paraId="6E59DFE4" w14:textId="77777777" w:rsidR="00465964" w:rsidRPr="00465964" w:rsidRDefault="00465964" w:rsidP="00465964">
            <w:r w:rsidRPr="00465964">
              <w:t>a)</w:t>
            </w:r>
          </w:p>
        </w:tc>
        <w:tc>
          <w:tcPr>
            <w:tcW w:w="0" w:type="auto"/>
            <w:shd w:val="clear" w:color="auto" w:fill="auto"/>
            <w:hideMark/>
          </w:tcPr>
          <w:p w14:paraId="08EF29D7" w14:textId="77777777" w:rsidR="00465964" w:rsidRPr="00465964" w:rsidRDefault="00465964" w:rsidP="00465964">
            <w:pPr>
              <w:rPr>
                <w:lang w:val="pt-PT"/>
              </w:rPr>
            </w:pPr>
            <w:r w:rsidRPr="00465964">
              <w:rPr>
                <w:lang w:val="pt-PT"/>
              </w:rPr>
              <w:t>Assegurar uma posição dominante sobre a oferta ou a procura de um criptoativo, que tenha ou possa ter por efeito a fixação, de forma direta ou indireta, de preços de compra ou de venda ou que crie, ou seja suscetível de criar, outras condições de negociação desleais;</w:t>
            </w:r>
          </w:p>
        </w:tc>
      </w:tr>
    </w:tbl>
    <w:p w14:paraId="4F2F4F26"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8"/>
        <w:gridCol w:w="8838"/>
      </w:tblGrid>
      <w:tr w:rsidR="00465964" w:rsidRPr="00465964" w14:paraId="194D2C5C" w14:textId="77777777" w:rsidTr="00465964">
        <w:tc>
          <w:tcPr>
            <w:tcW w:w="0" w:type="auto"/>
            <w:shd w:val="clear" w:color="auto" w:fill="auto"/>
            <w:hideMark/>
          </w:tcPr>
          <w:p w14:paraId="64FC404A" w14:textId="77777777" w:rsidR="00465964" w:rsidRPr="00465964" w:rsidRDefault="00465964" w:rsidP="00465964">
            <w:r w:rsidRPr="00465964">
              <w:t>b)</w:t>
            </w:r>
          </w:p>
        </w:tc>
        <w:tc>
          <w:tcPr>
            <w:tcW w:w="0" w:type="auto"/>
            <w:shd w:val="clear" w:color="auto" w:fill="auto"/>
            <w:hideMark/>
          </w:tcPr>
          <w:p w14:paraId="3C3B4EC5" w14:textId="77777777" w:rsidR="00465964" w:rsidRPr="00465964" w:rsidRDefault="00465964" w:rsidP="00465964">
            <w:pPr>
              <w:rPr>
                <w:lang w:val="pt-PT"/>
              </w:rPr>
            </w:pPr>
            <w:r w:rsidRPr="00465964">
              <w:rPr>
                <w:lang w:val="pt-PT"/>
              </w:rPr>
              <w:t xml:space="preserve">Colocar ordens de negociação numa plataforma de negociação de criptoativos, incluindo o seu cancelamento ou alteração, por meio de qualquer mecanismo de negociação, que tenha um dos efeitos referidos no </w:t>
            </w:r>
            <w:proofErr w:type="spellStart"/>
            <w:r w:rsidRPr="00465964">
              <w:rPr>
                <w:lang w:val="pt-PT"/>
              </w:rPr>
              <w:t>n.</w:t>
            </w:r>
            <w:r w:rsidRPr="00465964">
              <w:rPr>
                <w:vertAlign w:val="superscript"/>
                <w:lang w:val="pt-PT"/>
              </w:rPr>
              <w:t>o</w:t>
            </w:r>
            <w:proofErr w:type="spellEnd"/>
            <w:r w:rsidRPr="00465964">
              <w:rPr>
                <w:lang w:val="pt-PT"/>
              </w:rPr>
              <w:t> 2, alínea a):</w:t>
            </w:r>
          </w:p>
          <w:tbl>
            <w:tblPr>
              <w:tblW w:w="5000" w:type="pct"/>
              <w:tblCellMar>
                <w:left w:w="0" w:type="dxa"/>
                <w:right w:w="0" w:type="dxa"/>
              </w:tblCellMar>
              <w:tblLook w:val="04A0" w:firstRow="1" w:lastRow="0" w:firstColumn="1" w:lastColumn="0" w:noHBand="0" w:noVBand="1"/>
            </w:tblPr>
            <w:tblGrid>
              <w:gridCol w:w="117"/>
              <w:gridCol w:w="8721"/>
            </w:tblGrid>
            <w:tr w:rsidR="00465964" w:rsidRPr="00465964" w14:paraId="406A5886" w14:textId="77777777">
              <w:tc>
                <w:tcPr>
                  <w:tcW w:w="0" w:type="auto"/>
                  <w:shd w:val="clear" w:color="auto" w:fill="auto"/>
                  <w:hideMark/>
                </w:tcPr>
                <w:p w14:paraId="4A49A705" w14:textId="77777777" w:rsidR="00465964" w:rsidRPr="00465964" w:rsidRDefault="00465964" w:rsidP="00465964">
                  <w:proofErr w:type="spellStart"/>
                  <w:r w:rsidRPr="00465964">
                    <w:t>i</w:t>
                  </w:r>
                  <w:proofErr w:type="spellEnd"/>
                  <w:r w:rsidRPr="00465964">
                    <w:t>)</w:t>
                  </w:r>
                </w:p>
              </w:tc>
              <w:tc>
                <w:tcPr>
                  <w:tcW w:w="0" w:type="auto"/>
                  <w:shd w:val="clear" w:color="auto" w:fill="auto"/>
                  <w:hideMark/>
                </w:tcPr>
                <w:p w14:paraId="0699414A" w14:textId="77777777" w:rsidR="00465964" w:rsidRPr="00465964" w:rsidRDefault="00465964" w:rsidP="00465964">
                  <w:pPr>
                    <w:rPr>
                      <w:lang w:val="pt-PT"/>
                    </w:rPr>
                  </w:pPr>
                  <w:r w:rsidRPr="00465964">
                    <w:rPr>
                      <w:lang w:val="pt-PT"/>
                    </w:rPr>
                    <w:t>perturbando ou diferindo o funcionamento da plataforma de negociação de criptoativos ou participando em atividades suscetíveis de ter esse efeito,</w:t>
                  </w:r>
                </w:p>
              </w:tc>
            </w:tr>
          </w:tbl>
          <w:p w14:paraId="4AD2DFB3"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70"/>
              <w:gridCol w:w="8668"/>
            </w:tblGrid>
            <w:tr w:rsidR="00465964" w:rsidRPr="00465964" w14:paraId="1FE221C0" w14:textId="77777777">
              <w:tc>
                <w:tcPr>
                  <w:tcW w:w="0" w:type="auto"/>
                  <w:shd w:val="clear" w:color="auto" w:fill="auto"/>
                  <w:hideMark/>
                </w:tcPr>
                <w:p w14:paraId="16DCB9C2" w14:textId="77777777" w:rsidR="00465964" w:rsidRPr="00465964" w:rsidRDefault="00465964" w:rsidP="00465964">
                  <w:r w:rsidRPr="00465964">
                    <w:t>ii)</w:t>
                  </w:r>
                </w:p>
              </w:tc>
              <w:tc>
                <w:tcPr>
                  <w:tcW w:w="0" w:type="auto"/>
                  <w:shd w:val="clear" w:color="auto" w:fill="auto"/>
                  <w:hideMark/>
                </w:tcPr>
                <w:p w14:paraId="2CCF1840" w14:textId="77777777" w:rsidR="00465964" w:rsidRPr="00465964" w:rsidRDefault="00465964" w:rsidP="00465964">
                  <w:pPr>
                    <w:rPr>
                      <w:lang w:val="pt-PT"/>
                    </w:rPr>
                  </w:pPr>
                  <w:r w:rsidRPr="00465964">
                    <w:rPr>
                      <w:lang w:val="pt-PT"/>
                    </w:rPr>
                    <w:t>dificultando a identificação por outras pessoas de verdadeiras ordens na plataforma de negociação de criptoativos ou participando em atividades suscetíveis de ter esse efeito, nomeadamente através da introdução de ordens de negociação que resultem na desestabilização do funcionamento normal da plataforma de negociação de criptoativos,</w:t>
                  </w:r>
                </w:p>
              </w:tc>
            </w:tr>
          </w:tbl>
          <w:p w14:paraId="413575B4"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223"/>
              <w:gridCol w:w="8615"/>
            </w:tblGrid>
            <w:tr w:rsidR="00465964" w:rsidRPr="00465964" w14:paraId="734DA950" w14:textId="77777777">
              <w:tc>
                <w:tcPr>
                  <w:tcW w:w="0" w:type="auto"/>
                  <w:shd w:val="clear" w:color="auto" w:fill="auto"/>
                  <w:hideMark/>
                </w:tcPr>
                <w:p w14:paraId="3AF141A6" w14:textId="77777777" w:rsidR="00465964" w:rsidRPr="00465964" w:rsidRDefault="00465964" w:rsidP="00465964">
                  <w:r w:rsidRPr="00465964">
                    <w:t>iii)</w:t>
                  </w:r>
                </w:p>
              </w:tc>
              <w:tc>
                <w:tcPr>
                  <w:tcW w:w="0" w:type="auto"/>
                  <w:shd w:val="clear" w:color="auto" w:fill="auto"/>
                  <w:hideMark/>
                </w:tcPr>
                <w:p w14:paraId="54704D2D" w14:textId="77777777" w:rsidR="00465964" w:rsidRPr="00465964" w:rsidRDefault="00465964" w:rsidP="00465964">
                  <w:pPr>
                    <w:rPr>
                      <w:lang w:val="pt-PT"/>
                    </w:rPr>
                  </w:pPr>
                  <w:r w:rsidRPr="00465964">
                    <w:rPr>
                      <w:lang w:val="pt-PT"/>
                    </w:rPr>
                    <w:t>criando uma indicação falsa ou enganosa sobre a oferta, a procura ou o preço de um criptoativo, nomeadamente através da introdução de ordens de negociação para iniciar ou exacerbar uma tendência ou participando em atividades suscetíveis de ter esse efeito;</w:t>
                  </w:r>
                </w:p>
              </w:tc>
            </w:tr>
          </w:tbl>
          <w:p w14:paraId="05654678" w14:textId="77777777" w:rsidR="00465964" w:rsidRPr="00465964" w:rsidRDefault="00465964" w:rsidP="00465964">
            <w:pPr>
              <w:rPr>
                <w:lang w:val="pt-PT"/>
              </w:rPr>
            </w:pPr>
          </w:p>
        </w:tc>
      </w:tr>
    </w:tbl>
    <w:p w14:paraId="40AB72D4"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0"/>
        <w:gridCol w:w="8846"/>
      </w:tblGrid>
      <w:tr w:rsidR="00465964" w:rsidRPr="00465964" w14:paraId="7266E7AA" w14:textId="77777777" w:rsidTr="00465964">
        <w:tc>
          <w:tcPr>
            <w:tcW w:w="0" w:type="auto"/>
            <w:shd w:val="clear" w:color="auto" w:fill="auto"/>
            <w:hideMark/>
          </w:tcPr>
          <w:p w14:paraId="0C610BB5" w14:textId="77777777" w:rsidR="00465964" w:rsidRPr="00465964" w:rsidRDefault="00465964" w:rsidP="00465964">
            <w:r w:rsidRPr="00465964">
              <w:t>c)</w:t>
            </w:r>
          </w:p>
        </w:tc>
        <w:tc>
          <w:tcPr>
            <w:tcW w:w="0" w:type="auto"/>
            <w:shd w:val="clear" w:color="auto" w:fill="auto"/>
            <w:hideMark/>
          </w:tcPr>
          <w:p w14:paraId="020AC652" w14:textId="77777777" w:rsidR="00465964" w:rsidRPr="00465964" w:rsidRDefault="00465964" w:rsidP="00465964">
            <w:pPr>
              <w:rPr>
                <w:lang w:val="pt-PT"/>
              </w:rPr>
            </w:pPr>
            <w:r w:rsidRPr="00465964">
              <w:rPr>
                <w:lang w:val="pt-PT"/>
              </w:rPr>
              <w:t>Tirar partido do acesso pontual ou regular aos meios de comunicação social (tradicionais ou eletrónicos) emitindo opiniões sobre um criptoativo, tendo previamente assumido posições nesse criptoativo e tirando seguidamente partido do impacto dessas opiniões no preço desse criptoativo, sem simultaneamente ter revelado ao público, de forma adequada e eficaz, esse conflito de interesses.</w:t>
            </w:r>
          </w:p>
        </w:tc>
      </w:tr>
    </w:tbl>
    <w:p w14:paraId="70D26795" w14:textId="77777777" w:rsidR="00465964" w:rsidRPr="00465964" w:rsidRDefault="00465964" w:rsidP="00465964">
      <w:pPr>
        <w:rPr>
          <w:i/>
          <w:iCs/>
          <w:lang w:val="pt-PT"/>
        </w:rPr>
      </w:pPr>
      <w:r w:rsidRPr="00465964">
        <w:rPr>
          <w:i/>
          <w:iCs/>
          <w:lang w:val="pt-PT"/>
        </w:rPr>
        <w:t>Artigo 92.</w:t>
      </w:r>
      <w:r w:rsidRPr="00465964">
        <w:rPr>
          <w:i/>
          <w:iCs/>
          <w:vertAlign w:val="superscript"/>
          <w:lang w:val="pt-PT"/>
        </w:rPr>
        <w:t>o</w:t>
      </w:r>
    </w:p>
    <w:p w14:paraId="52DCB597" w14:textId="77777777" w:rsidR="00465964" w:rsidRPr="00465964" w:rsidRDefault="00465964" w:rsidP="00465964">
      <w:pPr>
        <w:rPr>
          <w:b/>
          <w:bCs/>
          <w:lang w:val="pt-PT"/>
        </w:rPr>
      </w:pPr>
      <w:r w:rsidRPr="00465964">
        <w:rPr>
          <w:b/>
          <w:bCs/>
          <w:lang w:val="pt-PT"/>
        </w:rPr>
        <w:t>Prevenção e deteção de abuso de mercado</w:t>
      </w:r>
    </w:p>
    <w:p w14:paraId="782F426F" w14:textId="77777777" w:rsidR="00465964" w:rsidRPr="00465964" w:rsidRDefault="00465964" w:rsidP="00465964">
      <w:pPr>
        <w:rPr>
          <w:lang w:val="pt-PT"/>
        </w:rPr>
      </w:pPr>
      <w:r w:rsidRPr="00465964">
        <w:rPr>
          <w:lang w:val="pt-PT"/>
        </w:rPr>
        <w:t>1.   Qualquer pessoa que, a título profissional, organize ou execute transações de criptoativos deve dispor de mecanismos, sistemas e procedimentos eficazes para prevenir e detetar o abuso de mercado. Essa pessoa fica sujeita às regras em matéria de notificação do Estado-Membro em que está registada ou em que tem a sua sede social ou, no caso de uma sucursal, do Estado-Membro em que se situa a sucursal, e deve comunicar sem demora à autoridade competente desse Estado-Membro qualquer suspeita razoável quanto a uma ordem ou a uma transação, nomeadamente qualquer cancelamento ou alteração desta ordem ou desta transação, e outros aspetos do funcionamento da tecnologia de registo distribuído, tais como o mecanismo de consenso, caso existam circunstâncias que indiciem que foi, está a ser ou é suscetível de ser praticado abuso de mercado.</w:t>
      </w:r>
    </w:p>
    <w:p w14:paraId="4814A1B2" w14:textId="77777777" w:rsidR="00465964" w:rsidRPr="00465964" w:rsidRDefault="00465964" w:rsidP="00465964">
      <w:pPr>
        <w:rPr>
          <w:lang w:val="pt-PT"/>
        </w:rPr>
      </w:pPr>
      <w:r w:rsidRPr="00465964">
        <w:rPr>
          <w:lang w:val="pt-PT"/>
        </w:rPr>
        <w:lastRenderedPageBreak/>
        <w:t>As autoridades competentes que recebam uma comunicação de ordens ou de transações suspeitas devem transmitir imediatamente estas informações às autoridades competentes das plataformas de negociação em causa.</w:t>
      </w:r>
    </w:p>
    <w:p w14:paraId="5A8C0FCA" w14:textId="77777777" w:rsidR="00465964" w:rsidRPr="00465964" w:rsidRDefault="00465964" w:rsidP="00465964">
      <w:pPr>
        <w:rPr>
          <w:lang w:val="pt-PT"/>
        </w:rPr>
      </w:pPr>
      <w:r w:rsidRPr="00465964">
        <w:rPr>
          <w:lang w:val="pt-PT"/>
        </w:rPr>
        <w:t>2.   A ESMA elabora projetos de normas técnicas de regulamentação para especificar mais pormenorizadamente:</w:t>
      </w:r>
    </w:p>
    <w:tbl>
      <w:tblPr>
        <w:tblW w:w="5000" w:type="pct"/>
        <w:tblCellMar>
          <w:left w:w="0" w:type="dxa"/>
          <w:right w:w="0" w:type="dxa"/>
        </w:tblCellMar>
        <w:tblLook w:val="04A0" w:firstRow="1" w:lastRow="0" w:firstColumn="1" w:lastColumn="0" w:noHBand="0" w:noVBand="1"/>
      </w:tblPr>
      <w:tblGrid>
        <w:gridCol w:w="182"/>
        <w:gridCol w:w="8844"/>
      </w:tblGrid>
      <w:tr w:rsidR="00465964" w:rsidRPr="00465964" w14:paraId="09DC7661" w14:textId="77777777" w:rsidTr="00465964">
        <w:tc>
          <w:tcPr>
            <w:tcW w:w="0" w:type="auto"/>
            <w:shd w:val="clear" w:color="auto" w:fill="auto"/>
            <w:hideMark/>
          </w:tcPr>
          <w:p w14:paraId="4A46A853" w14:textId="77777777" w:rsidR="00465964" w:rsidRPr="00465964" w:rsidRDefault="00465964" w:rsidP="00465964">
            <w:r w:rsidRPr="00465964">
              <w:t>a)</w:t>
            </w:r>
          </w:p>
        </w:tc>
        <w:tc>
          <w:tcPr>
            <w:tcW w:w="0" w:type="auto"/>
            <w:shd w:val="clear" w:color="auto" w:fill="auto"/>
            <w:hideMark/>
          </w:tcPr>
          <w:p w14:paraId="13B4603B" w14:textId="77777777" w:rsidR="00465964" w:rsidRPr="00465964" w:rsidRDefault="00465964" w:rsidP="00465964">
            <w:pPr>
              <w:rPr>
                <w:lang w:val="pt-PT"/>
              </w:rPr>
            </w:pPr>
            <w:r w:rsidRPr="00465964">
              <w:rPr>
                <w:lang w:val="pt-PT"/>
              </w:rPr>
              <w:t xml:space="preserve">Disposições, sistemas e procedimentos adequados para que as pessoas deem cumprimento ao disposto no </w:t>
            </w:r>
            <w:proofErr w:type="spellStart"/>
            <w:r w:rsidRPr="00465964">
              <w:rPr>
                <w:lang w:val="pt-PT"/>
              </w:rPr>
              <w:t>n.</w:t>
            </w:r>
            <w:r w:rsidRPr="00465964">
              <w:rPr>
                <w:vertAlign w:val="superscript"/>
                <w:lang w:val="pt-PT"/>
              </w:rPr>
              <w:t>o</w:t>
            </w:r>
            <w:proofErr w:type="spellEnd"/>
            <w:r w:rsidRPr="00465964">
              <w:rPr>
                <w:lang w:val="pt-PT"/>
              </w:rPr>
              <w:t> 1;</w:t>
            </w:r>
          </w:p>
        </w:tc>
      </w:tr>
    </w:tbl>
    <w:p w14:paraId="69B60A87"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209"/>
        <w:gridCol w:w="8817"/>
      </w:tblGrid>
      <w:tr w:rsidR="00465964" w:rsidRPr="00465964" w14:paraId="7C0C0D60" w14:textId="77777777" w:rsidTr="00465964">
        <w:tc>
          <w:tcPr>
            <w:tcW w:w="0" w:type="auto"/>
            <w:shd w:val="clear" w:color="auto" w:fill="auto"/>
            <w:hideMark/>
          </w:tcPr>
          <w:p w14:paraId="07BECC17" w14:textId="77777777" w:rsidR="00465964" w:rsidRPr="00465964" w:rsidRDefault="00465964" w:rsidP="00465964">
            <w:r w:rsidRPr="00465964">
              <w:t>b)</w:t>
            </w:r>
          </w:p>
        </w:tc>
        <w:tc>
          <w:tcPr>
            <w:tcW w:w="0" w:type="auto"/>
            <w:shd w:val="clear" w:color="auto" w:fill="auto"/>
            <w:hideMark/>
          </w:tcPr>
          <w:p w14:paraId="3DA8492D" w14:textId="77777777" w:rsidR="00465964" w:rsidRPr="00465964" w:rsidRDefault="00465964" w:rsidP="00465964">
            <w:pPr>
              <w:rPr>
                <w:lang w:val="pt-PT"/>
              </w:rPr>
            </w:pPr>
            <w:r w:rsidRPr="00465964">
              <w:rPr>
                <w:lang w:val="pt-PT"/>
              </w:rPr>
              <w:t xml:space="preserve">O modelo a utilizar pelas pessoas para efeitos do cumprimento do disposto no </w:t>
            </w:r>
            <w:proofErr w:type="spellStart"/>
            <w:r w:rsidRPr="00465964">
              <w:rPr>
                <w:lang w:val="pt-PT"/>
              </w:rPr>
              <w:t>n.</w:t>
            </w:r>
            <w:r w:rsidRPr="00465964">
              <w:rPr>
                <w:vertAlign w:val="superscript"/>
                <w:lang w:val="pt-PT"/>
              </w:rPr>
              <w:t>o</w:t>
            </w:r>
            <w:proofErr w:type="spellEnd"/>
            <w:r w:rsidRPr="00465964">
              <w:rPr>
                <w:lang w:val="pt-PT"/>
              </w:rPr>
              <w:t> 1;</w:t>
            </w:r>
          </w:p>
        </w:tc>
      </w:tr>
    </w:tbl>
    <w:p w14:paraId="756A0765"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0"/>
        <w:gridCol w:w="8846"/>
      </w:tblGrid>
      <w:tr w:rsidR="00465964" w:rsidRPr="00465964" w14:paraId="7BAE39DC" w14:textId="77777777" w:rsidTr="00465964">
        <w:tc>
          <w:tcPr>
            <w:tcW w:w="0" w:type="auto"/>
            <w:shd w:val="clear" w:color="auto" w:fill="auto"/>
            <w:hideMark/>
          </w:tcPr>
          <w:p w14:paraId="7FAAA0B4" w14:textId="77777777" w:rsidR="00465964" w:rsidRPr="00465964" w:rsidRDefault="00465964" w:rsidP="00465964">
            <w:r w:rsidRPr="00465964">
              <w:t>c)</w:t>
            </w:r>
          </w:p>
        </w:tc>
        <w:tc>
          <w:tcPr>
            <w:tcW w:w="0" w:type="auto"/>
            <w:shd w:val="clear" w:color="auto" w:fill="auto"/>
            <w:hideMark/>
          </w:tcPr>
          <w:p w14:paraId="4FE412B3" w14:textId="77777777" w:rsidR="00465964" w:rsidRPr="00465964" w:rsidRDefault="00465964" w:rsidP="00465964">
            <w:pPr>
              <w:rPr>
                <w:lang w:val="pt-PT"/>
              </w:rPr>
            </w:pPr>
            <w:r w:rsidRPr="00465964">
              <w:rPr>
                <w:lang w:val="pt-PT"/>
              </w:rPr>
              <w:t>Para situações transfronteiriças de abuso de mercado, procedimentos de coordenação entre as autoridades competentes pertinentes para detetar e sancionar o abuso de mercado.</w:t>
            </w:r>
          </w:p>
        </w:tc>
      </w:tr>
    </w:tbl>
    <w:p w14:paraId="65EEAF25" w14:textId="77777777" w:rsidR="00465964" w:rsidRPr="00465964" w:rsidRDefault="00465964" w:rsidP="00465964">
      <w:pPr>
        <w:rPr>
          <w:lang w:val="pt-PT"/>
        </w:rPr>
      </w:pPr>
      <w:r w:rsidRPr="00465964">
        <w:rPr>
          <w:lang w:val="pt-PT"/>
        </w:rPr>
        <w:t>A ESMA apresenta à Comissão os projetos de normas técnicas de regulamentação referidos no primeiro parágrafo até 30 de dezembro de 2024.</w:t>
      </w:r>
    </w:p>
    <w:p w14:paraId="10C212F5" w14:textId="77777777" w:rsidR="00465964" w:rsidRPr="00465964" w:rsidRDefault="00465964" w:rsidP="00465964">
      <w:pPr>
        <w:rPr>
          <w:lang w:val="pt-PT"/>
        </w:rPr>
      </w:pPr>
      <w:r w:rsidRPr="00465964">
        <w:rPr>
          <w:lang w:val="pt-PT"/>
        </w:rPr>
        <w:t>3.   Para assegurar a coerência das práticas de supervisão nos termos do presente artigo, a ESMA, até 30 de junho de 2025, emite orientações em conformidade com o artigo 16.</w:t>
      </w:r>
      <w:r w:rsidRPr="00465964">
        <w:rPr>
          <w:vertAlign w:val="superscript"/>
          <w:lang w:val="pt-PT"/>
        </w:rPr>
        <w:t>o</w:t>
      </w:r>
      <w:r w:rsidRPr="00465964">
        <w:rPr>
          <w:lang w:val="pt-PT"/>
        </w:rPr>
        <w:t xml:space="preserve"> do Regulamento (UE) </w:t>
      </w:r>
      <w:proofErr w:type="spellStart"/>
      <w:r w:rsidRPr="00465964">
        <w:rPr>
          <w:lang w:val="pt-PT"/>
        </w:rPr>
        <w:t>n.</w:t>
      </w:r>
      <w:r w:rsidRPr="00465964">
        <w:rPr>
          <w:vertAlign w:val="superscript"/>
          <w:lang w:val="pt-PT"/>
        </w:rPr>
        <w:t>o</w:t>
      </w:r>
      <w:proofErr w:type="spellEnd"/>
      <w:r w:rsidRPr="00465964">
        <w:rPr>
          <w:lang w:val="pt-PT"/>
        </w:rPr>
        <w:t xml:space="preserve"> 1095/2010 sobre práticas de supervisão entre as autoridades competentes para prevenir e detetar o abuso de mercado, caso não estejam já abrangidas pelas normas técnicas de regulamentação a que se refere o </w:t>
      </w:r>
      <w:proofErr w:type="spellStart"/>
      <w:r w:rsidRPr="00465964">
        <w:rPr>
          <w:lang w:val="pt-PT"/>
        </w:rPr>
        <w:t>n.</w:t>
      </w:r>
      <w:r w:rsidRPr="00465964">
        <w:rPr>
          <w:vertAlign w:val="superscript"/>
          <w:lang w:val="pt-PT"/>
        </w:rPr>
        <w:t>o</w:t>
      </w:r>
      <w:proofErr w:type="spellEnd"/>
      <w:r w:rsidRPr="00465964">
        <w:rPr>
          <w:lang w:val="pt-PT"/>
        </w:rPr>
        <w:t> 2.</w:t>
      </w:r>
    </w:p>
    <w:p w14:paraId="005E05CB" w14:textId="77777777" w:rsidR="00465964" w:rsidRPr="00465964" w:rsidRDefault="00465964" w:rsidP="00465964">
      <w:pPr>
        <w:rPr>
          <w:b/>
          <w:bCs/>
          <w:lang w:val="pt-PT"/>
        </w:rPr>
      </w:pPr>
      <w:r w:rsidRPr="00465964">
        <w:rPr>
          <w:b/>
          <w:bCs/>
          <w:lang w:val="pt-PT"/>
        </w:rPr>
        <w:t>TÍTULO VII</w:t>
      </w:r>
    </w:p>
    <w:p w14:paraId="3210E67B" w14:textId="77777777" w:rsidR="00465964" w:rsidRPr="00465964" w:rsidRDefault="00465964" w:rsidP="00465964">
      <w:pPr>
        <w:rPr>
          <w:b/>
          <w:bCs/>
          <w:lang w:val="pt-PT"/>
        </w:rPr>
      </w:pPr>
      <w:r w:rsidRPr="00465964">
        <w:rPr>
          <w:b/>
          <w:bCs/>
          <w:lang w:val="pt-PT"/>
        </w:rPr>
        <w:t>AUTORIDADES COMPETENTES, EBA E ESMA</w:t>
      </w:r>
    </w:p>
    <w:p w14:paraId="4D66DD31" w14:textId="77777777" w:rsidR="00465964" w:rsidRPr="00465964" w:rsidRDefault="00465964" w:rsidP="00465964">
      <w:pPr>
        <w:rPr>
          <w:b/>
          <w:bCs/>
          <w:lang w:val="pt-PT"/>
        </w:rPr>
      </w:pPr>
      <w:r w:rsidRPr="00465964">
        <w:rPr>
          <w:b/>
          <w:bCs/>
          <w:i/>
          <w:iCs/>
          <w:lang w:val="pt-PT"/>
        </w:rPr>
        <w:t>CAPÍTULO 1</w:t>
      </w:r>
    </w:p>
    <w:p w14:paraId="7E408739" w14:textId="77777777" w:rsidR="00465964" w:rsidRPr="00465964" w:rsidRDefault="00465964" w:rsidP="00465964">
      <w:pPr>
        <w:rPr>
          <w:b/>
          <w:bCs/>
          <w:lang w:val="pt-PT"/>
        </w:rPr>
      </w:pPr>
      <w:r w:rsidRPr="00465964">
        <w:rPr>
          <w:b/>
          <w:bCs/>
          <w:i/>
          <w:iCs/>
          <w:lang w:val="pt-PT"/>
        </w:rPr>
        <w:t>Poderes das autoridades competentes e cooperação entre as autoridades competentes, a EBA e a ESMA</w:t>
      </w:r>
    </w:p>
    <w:p w14:paraId="0C90A187" w14:textId="77777777" w:rsidR="00465964" w:rsidRPr="00465964" w:rsidRDefault="00465964" w:rsidP="00465964">
      <w:pPr>
        <w:rPr>
          <w:i/>
          <w:iCs/>
          <w:lang w:val="pt-PT"/>
        </w:rPr>
      </w:pPr>
      <w:r w:rsidRPr="00465964">
        <w:rPr>
          <w:i/>
          <w:iCs/>
          <w:lang w:val="pt-PT"/>
        </w:rPr>
        <w:t>Artigo 93.</w:t>
      </w:r>
      <w:r w:rsidRPr="00465964">
        <w:rPr>
          <w:i/>
          <w:iCs/>
          <w:vertAlign w:val="superscript"/>
          <w:lang w:val="pt-PT"/>
        </w:rPr>
        <w:t>o</w:t>
      </w:r>
    </w:p>
    <w:p w14:paraId="2391696C" w14:textId="77777777" w:rsidR="00465964" w:rsidRPr="00465964" w:rsidRDefault="00465964" w:rsidP="00465964">
      <w:pPr>
        <w:rPr>
          <w:b/>
          <w:bCs/>
          <w:lang w:val="pt-PT"/>
        </w:rPr>
      </w:pPr>
      <w:r w:rsidRPr="00465964">
        <w:rPr>
          <w:b/>
          <w:bCs/>
          <w:lang w:val="pt-PT"/>
        </w:rPr>
        <w:t>Autoridades competentes</w:t>
      </w:r>
    </w:p>
    <w:p w14:paraId="1C86229D" w14:textId="77777777" w:rsidR="00465964" w:rsidRPr="00465964" w:rsidRDefault="00465964" w:rsidP="00465964">
      <w:pPr>
        <w:rPr>
          <w:lang w:val="pt-PT"/>
        </w:rPr>
      </w:pPr>
      <w:r w:rsidRPr="00465964">
        <w:rPr>
          <w:lang w:val="pt-PT"/>
        </w:rPr>
        <w:t>1.   Os Estados-Membros designam as autoridades competentes responsáveis pelo exercício das funções e dos deveres previstos no presente regulamento. Os Estados-Membros informam a EBA e a ESMA das autoridades competentes designadas.</w:t>
      </w:r>
    </w:p>
    <w:p w14:paraId="60EA945C" w14:textId="77777777" w:rsidR="00465964" w:rsidRPr="00465964" w:rsidRDefault="00465964" w:rsidP="00465964">
      <w:pPr>
        <w:rPr>
          <w:lang w:val="pt-PT"/>
        </w:rPr>
      </w:pPr>
      <w:r w:rsidRPr="00465964">
        <w:rPr>
          <w:lang w:val="pt-PT"/>
        </w:rPr>
        <w:t xml:space="preserve">2.   Nos casos em que os Estados-Membros designem mais do que uma autoridade competente nos termos do </w:t>
      </w:r>
      <w:proofErr w:type="spellStart"/>
      <w:r w:rsidRPr="00465964">
        <w:rPr>
          <w:lang w:val="pt-PT"/>
        </w:rPr>
        <w:t>n.</w:t>
      </w:r>
      <w:r w:rsidRPr="00465964">
        <w:rPr>
          <w:vertAlign w:val="superscript"/>
          <w:lang w:val="pt-PT"/>
        </w:rPr>
        <w:t>o</w:t>
      </w:r>
      <w:proofErr w:type="spellEnd"/>
      <w:r w:rsidRPr="00465964">
        <w:rPr>
          <w:lang w:val="pt-PT"/>
        </w:rPr>
        <w:t> 1, determinam as respetivas atribuições e designam uma autoridade competente como ponto de contacto único para efeitos de cooperação administrativa transfronteiriça entre autoridades competentes, bem como com a EBA e a ESMA. Os Estados-Membros podem designar um ponto de contacto diferente para cada um destes tipos de cooperação administrativa.</w:t>
      </w:r>
    </w:p>
    <w:p w14:paraId="224A7786" w14:textId="77777777" w:rsidR="00465964" w:rsidRPr="00465964" w:rsidRDefault="00465964" w:rsidP="00465964">
      <w:pPr>
        <w:rPr>
          <w:lang w:val="pt-PT"/>
        </w:rPr>
      </w:pPr>
      <w:r w:rsidRPr="00465964">
        <w:rPr>
          <w:lang w:val="pt-PT"/>
        </w:rPr>
        <w:t xml:space="preserve">3.   A ESMA publica no seu sítio Web a lista das autoridades competentes designadas nos termos dos </w:t>
      </w:r>
      <w:proofErr w:type="spellStart"/>
      <w:proofErr w:type="gramStart"/>
      <w:r w:rsidRPr="00465964">
        <w:rPr>
          <w:lang w:val="pt-PT"/>
        </w:rPr>
        <w:t>n.</w:t>
      </w:r>
      <w:r w:rsidRPr="00465964">
        <w:rPr>
          <w:vertAlign w:val="superscript"/>
          <w:lang w:val="pt-PT"/>
        </w:rPr>
        <w:t>os</w:t>
      </w:r>
      <w:proofErr w:type="spellEnd"/>
      <w:proofErr w:type="gramEnd"/>
      <w:r w:rsidRPr="00465964">
        <w:rPr>
          <w:lang w:val="pt-PT"/>
        </w:rPr>
        <w:t> 1 e 2.</w:t>
      </w:r>
    </w:p>
    <w:p w14:paraId="1DD80AF3" w14:textId="77777777" w:rsidR="00465964" w:rsidRPr="00465964" w:rsidRDefault="00465964" w:rsidP="00465964">
      <w:pPr>
        <w:rPr>
          <w:i/>
          <w:iCs/>
          <w:lang w:val="pt-PT"/>
        </w:rPr>
      </w:pPr>
      <w:r w:rsidRPr="00465964">
        <w:rPr>
          <w:i/>
          <w:iCs/>
          <w:lang w:val="pt-PT"/>
        </w:rPr>
        <w:t>Artigo 94.</w:t>
      </w:r>
      <w:r w:rsidRPr="00465964">
        <w:rPr>
          <w:i/>
          <w:iCs/>
          <w:vertAlign w:val="superscript"/>
          <w:lang w:val="pt-PT"/>
        </w:rPr>
        <w:t>o</w:t>
      </w:r>
    </w:p>
    <w:p w14:paraId="0428D9C2" w14:textId="77777777" w:rsidR="00465964" w:rsidRPr="00465964" w:rsidRDefault="00465964" w:rsidP="00465964">
      <w:pPr>
        <w:rPr>
          <w:b/>
          <w:bCs/>
          <w:lang w:val="pt-PT"/>
        </w:rPr>
      </w:pPr>
      <w:r w:rsidRPr="00465964">
        <w:rPr>
          <w:b/>
          <w:bCs/>
          <w:lang w:val="pt-PT"/>
        </w:rPr>
        <w:t>Poderes das autoridades competentes</w:t>
      </w:r>
    </w:p>
    <w:p w14:paraId="2E3693E9" w14:textId="77777777" w:rsidR="00465964" w:rsidRPr="00465964" w:rsidRDefault="00465964" w:rsidP="00465964">
      <w:pPr>
        <w:rPr>
          <w:lang w:val="pt-PT"/>
        </w:rPr>
      </w:pPr>
      <w:r w:rsidRPr="00465964">
        <w:rPr>
          <w:lang w:val="pt-PT"/>
        </w:rPr>
        <w:lastRenderedPageBreak/>
        <w:t>1.   Para o desempenho das suas funções previstas nos títulos II a VI do presente regulamento, as autoridades competentes dispõem pelo menos, nos termos do direito nacional, dos seguintes poderes de supervisão e investigação:</w:t>
      </w:r>
    </w:p>
    <w:tbl>
      <w:tblPr>
        <w:tblW w:w="5000" w:type="pct"/>
        <w:tblCellMar>
          <w:left w:w="0" w:type="dxa"/>
          <w:right w:w="0" w:type="dxa"/>
        </w:tblCellMar>
        <w:tblLook w:val="04A0" w:firstRow="1" w:lastRow="0" w:firstColumn="1" w:lastColumn="0" w:noHBand="0" w:noVBand="1"/>
      </w:tblPr>
      <w:tblGrid>
        <w:gridCol w:w="182"/>
        <w:gridCol w:w="8844"/>
      </w:tblGrid>
      <w:tr w:rsidR="00465964" w:rsidRPr="00465964" w14:paraId="57636F61" w14:textId="77777777" w:rsidTr="00465964">
        <w:tc>
          <w:tcPr>
            <w:tcW w:w="0" w:type="auto"/>
            <w:shd w:val="clear" w:color="auto" w:fill="auto"/>
            <w:hideMark/>
          </w:tcPr>
          <w:p w14:paraId="7ED52077" w14:textId="77777777" w:rsidR="00465964" w:rsidRPr="00465964" w:rsidRDefault="00465964" w:rsidP="00465964">
            <w:r w:rsidRPr="00465964">
              <w:t>a)</w:t>
            </w:r>
          </w:p>
        </w:tc>
        <w:tc>
          <w:tcPr>
            <w:tcW w:w="0" w:type="auto"/>
            <w:shd w:val="clear" w:color="auto" w:fill="auto"/>
            <w:hideMark/>
          </w:tcPr>
          <w:p w14:paraId="514B78BB" w14:textId="77777777" w:rsidR="00465964" w:rsidRPr="00465964" w:rsidRDefault="00465964" w:rsidP="00465964">
            <w:pPr>
              <w:rPr>
                <w:lang w:val="pt-PT"/>
              </w:rPr>
            </w:pPr>
            <w:r w:rsidRPr="00465964">
              <w:rPr>
                <w:lang w:val="pt-PT"/>
              </w:rPr>
              <w:t>Exigir a qualquer pessoa que preste informações e documentos que as autoridades competentes considerem relevantes para o exercício das suas funções;</w:t>
            </w:r>
          </w:p>
        </w:tc>
      </w:tr>
    </w:tbl>
    <w:p w14:paraId="1CB4C717"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8"/>
        <w:gridCol w:w="8838"/>
      </w:tblGrid>
      <w:tr w:rsidR="00465964" w:rsidRPr="00465964" w14:paraId="031B8806" w14:textId="77777777" w:rsidTr="00465964">
        <w:tc>
          <w:tcPr>
            <w:tcW w:w="0" w:type="auto"/>
            <w:shd w:val="clear" w:color="auto" w:fill="auto"/>
            <w:hideMark/>
          </w:tcPr>
          <w:p w14:paraId="5E467194" w14:textId="77777777" w:rsidR="00465964" w:rsidRPr="00465964" w:rsidRDefault="00465964" w:rsidP="00465964">
            <w:r w:rsidRPr="00465964">
              <w:t>b)</w:t>
            </w:r>
          </w:p>
        </w:tc>
        <w:tc>
          <w:tcPr>
            <w:tcW w:w="0" w:type="auto"/>
            <w:shd w:val="clear" w:color="auto" w:fill="auto"/>
            <w:hideMark/>
          </w:tcPr>
          <w:p w14:paraId="4F802BC2" w14:textId="77777777" w:rsidR="00465964" w:rsidRPr="00465964" w:rsidRDefault="00465964" w:rsidP="00465964">
            <w:pPr>
              <w:rPr>
                <w:lang w:val="pt-PT"/>
              </w:rPr>
            </w:pPr>
            <w:r w:rsidRPr="00465964">
              <w:rPr>
                <w:lang w:val="pt-PT"/>
              </w:rPr>
              <w:t>Suspender, ou exigir que um prestador de serviços de criptoativos suspenda, a prestação de serviços de criptoativos por um período máximo de 30 dias úteis consecutivos de cada vez, sempre que existam motivos razoáveis para suspeitar de uma infração ao presente regulamento;</w:t>
            </w:r>
          </w:p>
        </w:tc>
      </w:tr>
    </w:tbl>
    <w:p w14:paraId="523DF9CA"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0"/>
        <w:gridCol w:w="8846"/>
      </w:tblGrid>
      <w:tr w:rsidR="00465964" w:rsidRPr="00465964" w14:paraId="494C16E3" w14:textId="77777777" w:rsidTr="00465964">
        <w:tc>
          <w:tcPr>
            <w:tcW w:w="0" w:type="auto"/>
            <w:shd w:val="clear" w:color="auto" w:fill="auto"/>
            <w:hideMark/>
          </w:tcPr>
          <w:p w14:paraId="2EA48949" w14:textId="77777777" w:rsidR="00465964" w:rsidRPr="00465964" w:rsidRDefault="00465964" w:rsidP="00465964">
            <w:r w:rsidRPr="00465964">
              <w:t>c)</w:t>
            </w:r>
          </w:p>
        </w:tc>
        <w:tc>
          <w:tcPr>
            <w:tcW w:w="0" w:type="auto"/>
            <w:shd w:val="clear" w:color="auto" w:fill="auto"/>
            <w:hideMark/>
          </w:tcPr>
          <w:p w14:paraId="79338A43" w14:textId="77777777" w:rsidR="00465964" w:rsidRPr="00465964" w:rsidRDefault="00465964" w:rsidP="00465964">
            <w:pPr>
              <w:rPr>
                <w:lang w:val="pt-PT"/>
              </w:rPr>
            </w:pPr>
            <w:r w:rsidRPr="00465964">
              <w:rPr>
                <w:lang w:val="pt-PT"/>
              </w:rPr>
              <w:t>Proibir a prestação de serviços de criptoativos nos casos em que constatem uma infração ao presente regulamento;</w:t>
            </w:r>
          </w:p>
        </w:tc>
      </w:tr>
    </w:tbl>
    <w:p w14:paraId="0716E7B2"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8"/>
        <w:gridCol w:w="8838"/>
      </w:tblGrid>
      <w:tr w:rsidR="00465964" w:rsidRPr="00465964" w14:paraId="075617F3" w14:textId="77777777" w:rsidTr="00465964">
        <w:tc>
          <w:tcPr>
            <w:tcW w:w="0" w:type="auto"/>
            <w:shd w:val="clear" w:color="auto" w:fill="auto"/>
            <w:hideMark/>
          </w:tcPr>
          <w:p w14:paraId="14C35A5A" w14:textId="77777777" w:rsidR="00465964" w:rsidRPr="00465964" w:rsidRDefault="00465964" w:rsidP="00465964">
            <w:r w:rsidRPr="00465964">
              <w:t>d)</w:t>
            </w:r>
          </w:p>
        </w:tc>
        <w:tc>
          <w:tcPr>
            <w:tcW w:w="0" w:type="auto"/>
            <w:shd w:val="clear" w:color="auto" w:fill="auto"/>
            <w:hideMark/>
          </w:tcPr>
          <w:p w14:paraId="256DFB80" w14:textId="77777777" w:rsidR="00465964" w:rsidRPr="00465964" w:rsidRDefault="00465964" w:rsidP="00465964">
            <w:pPr>
              <w:rPr>
                <w:lang w:val="pt-PT"/>
              </w:rPr>
            </w:pPr>
            <w:r w:rsidRPr="00465964">
              <w:rPr>
                <w:lang w:val="pt-PT"/>
              </w:rPr>
              <w:t>Divulgar, ou exigir que um prestador de serviços de criptoativos divulgue, todas as informações relevantes suscetíveis de influenciar a prestação dos serviços de criptoativos em causa, no intuito de assegurar a proteção dos interesses dos clientes, em particular dos detentores não profissionais, ou o regular funcionamento do mercado;</w:t>
            </w:r>
          </w:p>
        </w:tc>
      </w:tr>
    </w:tbl>
    <w:p w14:paraId="0CE16C78"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1"/>
        <w:gridCol w:w="8845"/>
      </w:tblGrid>
      <w:tr w:rsidR="00465964" w:rsidRPr="00465964" w14:paraId="331AFE1E" w14:textId="77777777" w:rsidTr="00465964">
        <w:tc>
          <w:tcPr>
            <w:tcW w:w="0" w:type="auto"/>
            <w:shd w:val="clear" w:color="auto" w:fill="auto"/>
            <w:hideMark/>
          </w:tcPr>
          <w:p w14:paraId="3F0AEAFF" w14:textId="77777777" w:rsidR="00465964" w:rsidRPr="00465964" w:rsidRDefault="00465964" w:rsidP="00465964">
            <w:r w:rsidRPr="00465964">
              <w:t>e)</w:t>
            </w:r>
          </w:p>
        </w:tc>
        <w:tc>
          <w:tcPr>
            <w:tcW w:w="0" w:type="auto"/>
            <w:shd w:val="clear" w:color="auto" w:fill="auto"/>
            <w:hideMark/>
          </w:tcPr>
          <w:p w14:paraId="20E60358" w14:textId="77777777" w:rsidR="00465964" w:rsidRPr="00465964" w:rsidRDefault="00465964" w:rsidP="00465964">
            <w:pPr>
              <w:rPr>
                <w:lang w:val="pt-PT"/>
              </w:rPr>
            </w:pPr>
            <w:r w:rsidRPr="00465964">
              <w:rPr>
                <w:lang w:val="pt-PT"/>
              </w:rPr>
              <w:t>Tornar público o facto de que um prestador de serviços de criptoativos não cumpre as suas obrigações;</w:t>
            </w:r>
          </w:p>
        </w:tc>
      </w:tr>
    </w:tbl>
    <w:p w14:paraId="2D9392C0"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36"/>
        <w:gridCol w:w="8890"/>
      </w:tblGrid>
      <w:tr w:rsidR="00465964" w:rsidRPr="00465964" w14:paraId="3027DCDA" w14:textId="77777777" w:rsidTr="00465964">
        <w:tc>
          <w:tcPr>
            <w:tcW w:w="0" w:type="auto"/>
            <w:shd w:val="clear" w:color="auto" w:fill="auto"/>
            <w:hideMark/>
          </w:tcPr>
          <w:p w14:paraId="11719F07" w14:textId="77777777" w:rsidR="00465964" w:rsidRPr="00465964" w:rsidRDefault="00465964" w:rsidP="00465964">
            <w:r w:rsidRPr="00465964">
              <w:t>f)</w:t>
            </w:r>
          </w:p>
        </w:tc>
        <w:tc>
          <w:tcPr>
            <w:tcW w:w="0" w:type="auto"/>
            <w:shd w:val="clear" w:color="auto" w:fill="auto"/>
            <w:hideMark/>
          </w:tcPr>
          <w:p w14:paraId="4EEE89C3" w14:textId="77777777" w:rsidR="00465964" w:rsidRPr="00465964" w:rsidRDefault="00465964" w:rsidP="00465964">
            <w:pPr>
              <w:rPr>
                <w:lang w:val="pt-PT"/>
              </w:rPr>
            </w:pPr>
            <w:r w:rsidRPr="00465964">
              <w:rPr>
                <w:lang w:val="pt-PT"/>
              </w:rPr>
              <w:t>Suspender, ou exigir que um prestador de serviços de criptoativos suspenda, a prestação de serviços de criptoativos nos casos em que as autoridades competentes considerem que a situação desse prestador é tal que a prestação do referido serviço prejudicaria os interesses dos clientes, em particular dos detentores não profissionais;</w:t>
            </w:r>
          </w:p>
        </w:tc>
      </w:tr>
    </w:tbl>
    <w:p w14:paraId="045056F7"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74"/>
        <w:gridCol w:w="8852"/>
      </w:tblGrid>
      <w:tr w:rsidR="00465964" w:rsidRPr="00465964" w14:paraId="5EBC7236" w14:textId="77777777" w:rsidTr="00465964">
        <w:tc>
          <w:tcPr>
            <w:tcW w:w="0" w:type="auto"/>
            <w:shd w:val="clear" w:color="auto" w:fill="auto"/>
            <w:hideMark/>
          </w:tcPr>
          <w:p w14:paraId="1924E4F3" w14:textId="77777777" w:rsidR="00465964" w:rsidRPr="00465964" w:rsidRDefault="00465964" w:rsidP="00465964">
            <w:r w:rsidRPr="00465964">
              <w:t>g)</w:t>
            </w:r>
          </w:p>
        </w:tc>
        <w:tc>
          <w:tcPr>
            <w:tcW w:w="0" w:type="auto"/>
            <w:shd w:val="clear" w:color="auto" w:fill="auto"/>
            <w:hideMark/>
          </w:tcPr>
          <w:p w14:paraId="376FFFFE" w14:textId="77777777" w:rsidR="00465964" w:rsidRPr="00465964" w:rsidRDefault="00465964" w:rsidP="00465964">
            <w:pPr>
              <w:rPr>
                <w:lang w:val="pt-PT"/>
              </w:rPr>
            </w:pPr>
            <w:r w:rsidRPr="00465964">
              <w:rPr>
                <w:lang w:val="pt-PT"/>
              </w:rPr>
              <w:t>Exigir a transferência dos contratos em vigor para outro prestador de serviços de criptoativos nos casos em que a autorização de um prestador de serviços de criptoativos seja revogada nos termos do artigo 64.</w:t>
            </w:r>
            <w:r w:rsidRPr="00465964">
              <w:rPr>
                <w:vertAlign w:val="superscript"/>
                <w:lang w:val="pt-PT"/>
              </w:rPr>
              <w:t>o</w:t>
            </w:r>
            <w:r w:rsidRPr="00465964">
              <w:rPr>
                <w:lang w:val="pt-PT"/>
              </w:rPr>
              <w:t>, sujeito ao acordo dos clientes e do prestador de serviços de criptoativos para o qual os contratos são transferidos;</w:t>
            </w:r>
          </w:p>
        </w:tc>
      </w:tr>
    </w:tbl>
    <w:p w14:paraId="7E7671A2"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6"/>
        <w:gridCol w:w="8840"/>
      </w:tblGrid>
      <w:tr w:rsidR="00465964" w:rsidRPr="00465964" w14:paraId="73A1E8A5" w14:textId="77777777" w:rsidTr="00465964">
        <w:tc>
          <w:tcPr>
            <w:tcW w:w="0" w:type="auto"/>
            <w:shd w:val="clear" w:color="auto" w:fill="auto"/>
            <w:hideMark/>
          </w:tcPr>
          <w:p w14:paraId="20F242E6" w14:textId="77777777" w:rsidR="00465964" w:rsidRPr="00465964" w:rsidRDefault="00465964" w:rsidP="00465964">
            <w:r w:rsidRPr="00465964">
              <w:t>h)</w:t>
            </w:r>
          </w:p>
        </w:tc>
        <w:tc>
          <w:tcPr>
            <w:tcW w:w="0" w:type="auto"/>
            <w:shd w:val="clear" w:color="auto" w:fill="auto"/>
            <w:hideMark/>
          </w:tcPr>
          <w:p w14:paraId="08FD2C87" w14:textId="77777777" w:rsidR="00465964" w:rsidRPr="00465964" w:rsidRDefault="00465964" w:rsidP="00465964">
            <w:pPr>
              <w:rPr>
                <w:lang w:val="pt-PT"/>
              </w:rPr>
            </w:pPr>
            <w:r w:rsidRPr="00465964">
              <w:rPr>
                <w:lang w:val="pt-PT"/>
              </w:rPr>
              <w:t>Sempre que existam motivos para presumir que uma pessoa presta serviços de criptoativos sem autorização, ordenar a cessação imediata da atividade, sem aviso prévio ou imposição de um prazo para o efeito;</w:t>
            </w:r>
          </w:p>
        </w:tc>
      </w:tr>
    </w:tbl>
    <w:p w14:paraId="2566E539"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17"/>
        <w:gridCol w:w="8909"/>
      </w:tblGrid>
      <w:tr w:rsidR="00465964" w:rsidRPr="00465964" w14:paraId="0091A9F3" w14:textId="77777777" w:rsidTr="00465964">
        <w:tc>
          <w:tcPr>
            <w:tcW w:w="0" w:type="auto"/>
            <w:shd w:val="clear" w:color="auto" w:fill="auto"/>
            <w:hideMark/>
          </w:tcPr>
          <w:p w14:paraId="7774891B" w14:textId="77777777" w:rsidR="00465964" w:rsidRPr="00465964" w:rsidRDefault="00465964" w:rsidP="00465964">
            <w:proofErr w:type="spellStart"/>
            <w:r w:rsidRPr="00465964">
              <w:t>i</w:t>
            </w:r>
            <w:proofErr w:type="spellEnd"/>
            <w:r w:rsidRPr="00465964">
              <w:t>)</w:t>
            </w:r>
          </w:p>
        </w:tc>
        <w:tc>
          <w:tcPr>
            <w:tcW w:w="0" w:type="auto"/>
            <w:shd w:val="clear" w:color="auto" w:fill="auto"/>
            <w:hideMark/>
          </w:tcPr>
          <w:p w14:paraId="4CBCC300" w14:textId="0AB09F4D" w:rsidR="00465964" w:rsidRPr="00465964" w:rsidRDefault="00465964" w:rsidP="00465964">
            <w:pPr>
              <w:rPr>
                <w:lang w:val="pt-PT"/>
              </w:rPr>
            </w:pPr>
            <w:r w:rsidRPr="00465964">
              <w:rPr>
                <w:lang w:val="pt-PT"/>
              </w:rPr>
              <w:t xml:space="preserve">Exigir que os oferentes, as pessoas que solicitam a admissão à negociação de criptoativos ou os emitentes de </w:t>
            </w:r>
            <w:r>
              <w:rPr>
                <w:lang w:val="pt-PT"/>
              </w:rPr>
              <w:t>criptomoedas</w:t>
            </w:r>
            <w:r w:rsidRPr="00465964">
              <w:rPr>
                <w:lang w:val="pt-PT"/>
              </w:rPr>
              <w:t xml:space="preserve"> referenciadas a ativos ou de </w:t>
            </w:r>
            <w:r>
              <w:rPr>
                <w:lang w:val="pt-PT"/>
              </w:rPr>
              <w:t>criptomoedas</w:t>
            </w:r>
            <w:r w:rsidRPr="00465964">
              <w:rPr>
                <w:lang w:val="pt-PT"/>
              </w:rPr>
              <w:t xml:space="preserve"> de moeda eletrónica alterem o seu livrete do criptoativo ou alterem novamente o seu livrete do criptoativo modificado, caso considerem que o livrete do criptoativo ou o livrete do criptoativo modificado não contém as informações exigidas pelo artigo 6.</w:t>
            </w:r>
            <w:r w:rsidRPr="00465964">
              <w:rPr>
                <w:vertAlign w:val="superscript"/>
                <w:lang w:val="pt-PT"/>
              </w:rPr>
              <w:t>o</w:t>
            </w:r>
            <w:r w:rsidRPr="00465964">
              <w:rPr>
                <w:lang w:val="pt-PT"/>
              </w:rPr>
              <w:t>, 19.</w:t>
            </w:r>
            <w:r w:rsidRPr="00465964">
              <w:rPr>
                <w:vertAlign w:val="superscript"/>
                <w:lang w:val="pt-PT"/>
              </w:rPr>
              <w:t>o</w:t>
            </w:r>
            <w:r w:rsidRPr="00465964">
              <w:rPr>
                <w:lang w:val="pt-PT"/>
              </w:rPr>
              <w:t> ou 51.</w:t>
            </w:r>
            <w:r w:rsidRPr="00465964">
              <w:rPr>
                <w:vertAlign w:val="superscript"/>
                <w:lang w:val="pt-PT"/>
              </w:rPr>
              <w:t>o</w:t>
            </w:r>
            <w:r w:rsidRPr="00465964">
              <w:rPr>
                <w:lang w:val="pt-PT"/>
              </w:rPr>
              <w:t>;</w:t>
            </w:r>
          </w:p>
        </w:tc>
      </w:tr>
    </w:tbl>
    <w:p w14:paraId="6F3185AC"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17"/>
        <w:gridCol w:w="8909"/>
      </w:tblGrid>
      <w:tr w:rsidR="00465964" w:rsidRPr="00465964" w14:paraId="03BC553C" w14:textId="77777777" w:rsidTr="00465964">
        <w:tc>
          <w:tcPr>
            <w:tcW w:w="0" w:type="auto"/>
            <w:shd w:val="clear" w:color="auto" w:fill="auto"/>
            <w:hideMark/>
          </w:tcPr>
          <w:p w14:paraId="59E212BE" w14:textId="77777777" w:rsidR="00465964" w:rsidRPr="00465964" w:rsidRDefault="00465964" w:rsidP="00465964">
            <w:r w:rsidRPr="00465964">
              <w:t>j)</w:t>
            </w:r>
          </w:p>
        </w:tc>
        <w:tc>
          <w:tcPr>
            <w:tcW w:w="0" w:type="auto"/>
            <w:shd w:val="clear" w:color="auto" w:fill="auto"/>
            <w:hideMark/>
          </w:tcPr>
          <w:p w14:paraId="50F5E0C2" w14:textId="4A56330C" w:rsidR="00465964" w:rsidRPr="00465964" w:rsidRDefault="00465964" w:rsidP="00465964">
            <w:pPr>
              <w:rPr>
                <w:lang w:val="pt-PT"/>
              </w:rPr>
            </w:pPr>
            <w:r w:rsidRPr="00465964">
              <w:rPr>
                <w:lang w:val="pt-PT"/>
              </w:rPr>
              <w:t xml:space="preserve">Exigir que os oferentes, as pessoas que solicitam a admissão à negociação de criptoativos ou os emitentes de </w:t>
            </w:r>
            <w:r>
              <w:rPr>
                <w:lang w:val="pt-PT"/>
              </w:rPr>
              <w:t>criptomoedas</w:t>
            </w:r>
            <w:r w:rsidRPr="00465964">
              <w:rPr>
                <w:lang w:val="pt-PT"/>
              </w:rPr>
              <w:t xml:space="preserve"> referenciadas a ativos ou de </w:t>
            </w:r>
            <w:r>
              <w:rPr>
                <w:lang w:val="pt-PT"/>
              </w:rPr>
              <w:t>criptomoedas</w:t>
            </w:r>
            <w:r w:rsidRPr="00465964">
              <w:rPr>
                <w:lang w:val="pt-PT"/>
              </w:rPr>
              <w:t xml:space="preserve"> de moeda eletrónica alterem as suas comunicações comerciais, caso considerem que as comunicações comerciais não são conformes com os requisitos estabelecidos no artigo 7.</w:t>
            </w:r>
            <w:r w:rsidRPr="00465964">
              <w:rPr>
                <w:vertAlign w:val="superscript"/>
                <w:lang w:val="pt-PT"/>
              </w:rPr>
              <w:t>o</w:t>
            </w:r>
            <w:r w:rsidRPr="00465964">
              <w:rPr>
                <w:lang w:val="pt-PT"/>
              </w:rPr>
              <w:t>, 29.</w:t>
            </w:r>
            <w:r w:rsidRPr="00465964">
              <w:rPr>
                <w:vertAlign w:val="superscript"/>
                <w:lang w:val="pt-PT"/>
              </w:rPr>
              <w:t>o</w:t>
            </w:r>
            <w:r w:rsidRPr="00465964">
              <w:rPr>
                <w:lang w:val="pt-PT"/>
              </w:rPr>
              <w:t> ou 53.</w:t>
            </w:r>
            <w:r w:rsidRPr="00465964">
              <w:rPr>
                <w:vertAlign w:val="superscript"/>
                <w:lang w:val="pt-PT"/>
              </w:rPr>
              <w:t>o</w:t>
            </w:r>
            <w:r w:rsidRPr="00465964">
              <w:rPr>
                <w:lang w:val="pt-PT"/>
              </w:rPr>
              <w:t> do presente regulamento;</w:t>
            </w:r>
          </w:p>
        </w:tc>
      </w:tr>
    </w:tbl>
    <w:p w14:paraId="6B1EA1B5"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72"/>
        <w:gridCol w:w="8854"/>
      </w:tblGrid>
      <w:tr w:rsidR="00465964" w:rsidRPr="00465964" w14:paraId="4F2750BD" w14:textId="77777777" w:rsidTr="00465964">
        <w:tc>
          <w:tcPr>
            <w:tcW w:w="0" w:type="auto"/>
            <w:shd w:val="clear" w:color="auto" w:fill="auto"/>
            <w:hideMark/>
          </w:tcPr>
          <w:p w14:paraId="112E7E77" w14:textId="77777777" w:rsidR="00465964" w:rsidRPr="00465964" w:rsidRDefault="00465964" w:rsidP="00465964">
            <w:r w:rsidRPr="00465964">
              <w:t>k)</w:t>
            </w:r>
          </w:p>
        </w:tc>
        <w:tc>
          <w:tcPr>
            <w:tcW w:w="0" w:type="auto"/>
            <w:shd w:val="clear" w:color="auto" w:fill="auto"/>
            <w:hideMark/>
          </w:tcPr>
          <w:p w14:paraId="3FB64950" w14:textId="50B85C6F" w:rsidR="00465964" w:rsidRPr="00465964" w:rsidRDefault="00465964" w:rsidP="00465964">
            <w:pPr>
              <w:rPr>
                <w:lang w:val="pt-PT"/>
              </w:rPr>
            </w:pPr>
            <w:r w:rsidRPr="00465964">
              <w:rPr>
                <w:lang w:val="pt-PT"/>
              </w:rPr>
              <w:t xml:space="preserve">Exigir que os oferentes, as pessoas que solicitam a admissão à negociação de criptoativos ou os emitentes de </w:t>
            </w:r>
            <w:r>
              <w:rPr>
                <w:lang w:val="pt-PT"/>
              </w:rPr>
              <w:t>criptomoedas</w:t>
            </w:r>
            <w:r w:rsidRPr="00465964">
              <w:rPr>
                <w:lang w:val="pt-PT"/>
              </w:rPr>
              <w:t xml:space="preserve"> referenciadas a ativos ou de </w:t>
            </w:r>
            <w:r>
              <w:rPr>
                <w:lang w:val="pt-PT"/>
              </w:rPr>
              <w:t>criptomoedas</w:t>
            </w:r>
            <w:r w:rsidRPr="00465964">
              <w:rPr>
                <w:lang w:val="pt-PT"/>
              </w:rPr>
              <w:t xml:space="preserve"> de moeda eletrónica incluam informações adicionais nos seus livretes do criptoativo, sempre que tal </w:t>
            </w:r>
            <w:r w:rsidRPr="00465964">
              <w:rPr>
                <w:lang w:val="pt-PT"/>
              </w:rPr>
              <w:lastRenderedPageBreak/>
              <w:t>seja necessário para a estabilidade financeira, a proteção dos interesses dos detentores de criptoativos, em particular os detentores não profissionais;</w:t>
            </w:r>
          </w:p>
        </w:tc>
      </w:tr>
    </w:tbl>
    <w:p w14:paraId="325131DC"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22"/>
        <w:gridCol w:w="8904"/>
      </w:tblGrid>
      <w:tr w:rsidR="00465964" w:rsidRPr="00465964" w14:paraId="5232ED62" w14:textId="77777777" w:rsidTr="00465964">
        <w:tc>
          <w:tcPr>
            <w:tcW w:w="0" w:type="auto"/>
            <w:shd w:val="clear" w:color="auto" w:fill="auto"/>
            <w:hideMark/>
          </w:tcPr>
          <w:p w14:paraId="6FF29E89" w14:textId="77777777" w:rsidR="00465964" w:rsidRPr="00465964" w:rsidRDefault="00465964" w:rsidP="00465964">
            <w:r w:rsidRPr="00465964">
              <w:t>l)</w:t>
            </w:r>
          </w:p>
        </w:tc>
        <w:tc>
          <w:tcPr>
            <w:tcW w:w="0" w:type="auto"/>
            <w:shd w:val="clear" w:color="auto" w:fill="auto"/>
            <w:hideMark/>
          </w:tcPr>
          <w:p w14:paraId="49B8D0E6" w14:textId="77777777" w:rsidR="00465964" w:rsidRPr="00465964" w:rsidRDefault="00465964" w:rsidP="00465964">
            <w:pPr>
              <w:rPr>
                <w:lang w:val="pt-PT"/>
              </w:rPr>
            </w:pPr>
            <w:r w:rsidRPr="00465964">
              <w:rPr>
                <w:lang w:val="pt-PT"/>
              </w:rPr>
              <w:t>Suspender uma oferta pública ou uma admissão à negociação de criptoativos por um período máximo de 30 dias úteis consecutivos de cada vez que haja motivos razoáveis para suspeitar de uma infração ao presente regulamento;</w:t>
            </w:r>
          </w:p>
        </w:tc>
      </w:tr>
    </w:tbl>
    <w:p w14:paraId="06C99CAD"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253"/>
        <w:gridCol w:w="8773"/>
      </w:tblGrid>
      <w:tr w:rsidR="00465964" w:rsidRPr="00465964" w14:paraId="30349032" w14:textId="77777777" w:rsidTr="00465964">
        <w:tc>
          <w:tcPr>
            <w:tcW w:w="0" w:type="auto"/>
            <w:shd w:val="clear" w:color="auto" w:fill="auto"/>
            <w:hideMark/>
          </w:tcPr>
          <w:p w14:paraId="7F8C44AD" w14:textId="77777777" w:rsidR="00465964" w:rsidRPr="00465964" w:rsidRDefault="00465964" w:rsidP="00465964">
            <w:r w:rsidRPr="00465964">
              <w:t>m)</w:t>
            </w:r>
          </w:p>
        </w:tc>
        <w:tc>
          <w:tcPr>
            <w:tcW w:w="0" w:type="auto"/>
            <w:shd w:val="clear" w:color="auto" w:fill="auto"/>
            <w:hideMark/>
          </w:tcPr>
          <w:p w14:paraId="4333AB04" w14:textId="77777777" w:rsidR="00465964" w:rsidRPr="00465964" w:rsidRDefault="00465964" w:rsidP="00465964">
            <w:pPr>
              <w:rPr>
                <w:lang w:val="pt-PT"/>
              </w:rPr>
            </w:pPr>
            <w:r w:rsidRPr="00465964">
              <w:rPr>
                <w:lang w:val="pt-PT"/>
              </w:rPr>
              <w:t>Proibir uma oferta pública de criptoativos ou uma admissão à negociação de criptoativos, caso constatem uma infração ao presente regulamento ou haja motivos razoáveis para suspeitar que será infringido;</w:t>
            </w:r>
          </w:p>
        </w:tc>
      </w:tr>
    </w:tbl>
    <w:p w14:paraId="6B8C9C89"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6"/>
        <w:gridCol w:w="8840"/>
      </w:tblGrid>
      <w:tr w:rsidR="00465964" w:rsidRPr="00465964" w14:paraId="5F673C77" w14:textId="77777777" w:rsidTr="00465964">
        <w:tc>
          <w:tcPr>
            <w:tcW w:w="0" w:type="auto"/>
            <w:shd w:val="clear" w:color="auto" w:fill="auto"/>
            <w:hideMark/>
          </w:tcPr>
          <w:p w14:paraId="0C5E33D3" w14:textId="77777777" w:rsidR="00465964" w:rsidRPr="00465964" w:rsidRDefault="00465964" w:rsidP="00465964">
            <w:r w:rsidRPr="00465964">
              <w:t>n)</w:t>
            </w:r>
          </w:p>
        </w:tc>
        <w:tc>
          <w:tcPr>
            <w:tcW w:w="0" w:type="auto"/>
            <w:shd w:val="clear" w:color="auto" w:fill="auto"/>
            <w:hideMark/>
          </w:tcPr>
          <w:p w14:paraId="14F6E977" w14:textId="77777777" w:rsidR="00465964" w:rsidRPr="00465964" w:rsidRDefault="00465964" w:rsidP="00465964">
            <w:pPr>
              <w:rPr>
                <w:lang w:val="pt-PT"/>
              </w:rPr>
            </w:pPr>
            <w:r w:rsidRPr="00465964">
              <w:rPr>
                <w:lang w:val="pt-PT"/>
              </w:rPr>
              <w:t>Suspender, ou exigir que um prestador de serviços de criptoativos que opera uma plataforma de negociação de criptoativos suspenda, a negociação dos criptoativos por um período máximo de 30 dias úteis consecutivos de cada vez, sempre que existam motivos razoáveis para suspeitar de uma infração ao presente regulamento;</w:t>
            </w:r>
          </w:p>
        </w:tc>
      </w:tr>
    </w:tbl>
    <w:p w14:paraId="168790F4"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6"/>
        <w:gridCol w:w="8840"/>
      </w:tblGrid>
      <w:tr w:rsidR="00465964" w:rsidRPr="00465964" w14:paraId="29DA2E29" w14:textId="77777777" w:rsidTr="00465964">
        <w:tc>
          <w:tcPr>
            <w:tcW w:w="0" w:type="auto"/>
            <w:shd w:val="clear" w:color="auto" w:fill="auto"/>
            <w:hideMark/>
          </w:tcPr>
          <w:p w14:paraId="69D08D72" w14:textId="77777777" w:rsidR="00465964" w:rsidRPr="00465964" w:rsidRDefault="00465964" w:rsidP="00465964">
            <w:r w:rsidRPr="00465964">
              <w:t>o)</w:t>
            </w:r>
          </w:p>
        </w:tc>
        <w:tc>
          <w:tcPr>
            <w:tcW w:w="0" w:type="auto"/>
            <w:shd w:val="clear" w:color="auto" w:fill="auto"/>
            <w:hideMark/>
          </w:tcPr>
          <w:p w14:paraId="00CF4016" w14:textId="77777777" w:rsidR="00465964" w:rsidRPr="00465964" w:rsidRDefault="00465964" w:rsidP="00465964">
            <w:pPr>
              <w:rPr>
                <w:lang w:val="pt-PT"/>
              </w:rPr>
            </w:pPr>
            <w:r w:rsidRPr="00465964">
              <w:rPr>
                <w:lang w:val="pt-PT"/>
              </w:rPr>
              <w:t>Proibir uma negociação de criptoativos numa plataforma de negociação de criptoativos, caso constatem uma infração ao presente regulamento ou haja motivos razoáveis para suspeitar que será infringido;</w:t>
            </w:r>
          </w:p>
        </w:tc>
      </w:tr>
    </w:tbl>
    <w:p w14:paraId="3229AE24"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8"/>
        <w:gridCol w:w="8838"/>
      </w:tblGrid>
      <w:tr w:rsidR="00465964" w:rsidRPr="00465964" w14:paraId="2A218FA6" w14:textId="77777777" w:rsidTr="00465964">
        <w:tc>
          <w:tcPr>
            <w:tcW w:w="0" w:type="auto"/>
            <w:shd w:val="clear" w:color="auto" w:fill="auto"/>
            <w:hideMark/>
          </w:tcPr>
          <w:p w14:paraId="040A78DB" w14:textId="77777777" w:rsidR="00465964" w:rsidRPr="00465964" w:rsidRDefault="00465964" w:rsidP="00465964">
            <w:r w:rsidRPr="00465964">
              <w:t>p)</w:t>
            </w:r>
          </w:p>
        </w:tc>
        <w:tc>
          <w:tcPr>
            <w:tcW w:w="0" w:type="auto"/>
            <w:shd w:val="clear" w:color="auto" w:fill="auto"/>
            <w:hideMark/>
          </w:tcPr>
          <w:p w14:paraId="20CB1641" w14:textId="77777777" w:rsidR="00465964" w:rsidRPr="00465964" w:rsidRDefault="00465964" w:rsidP="00465964">
            <w:pPr>
              <w:rPr>
                <w:lang w:val="pt-PT"/>
              </w:rPr>
            </w:pPr>
            <w:r w:rsidRPr="00465964">
              <w:rPr>
                <w:lang w:val="pt-PT"/>
              </w:rPr>
              <w:t>Suspender ou proibir comunicações comerciais sempre que haja motivos razoáveis para suspeitar de uma infração ao presente regulamento;</w:t>
            </w:r>
          </w:p>
        </w:tc>
      </w:tr>
    </w:tbl>
    <w:p w14:paraId="64908ED5"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8"/>
        <w:gridCol w:w="8838"/>
      </w:tblGrid>
      <w:tr w:rsidR="00465964" w:rsidRPr="00465964" w14:paraId="4FAE5B5E" w14:textId="77777777" w:rsidTr="00465964">
        <w:tc>
          <w:tcPr>
            <w:tcW w:w="0" w:type="auto"/>
            <w:shd w:val="clear" w:color="auto" w:fill="auto"/>
            <w:hideMark/>
          </w:tcPr>
          <w:p w14:paraId="18C47A6E" w14:textId="77777777" w:rsidR="00465964" w:rsidRPr="00465964" w:rsidRDefault="00465964" w:rsidP="00465964">
            <w:r w:rsidRPr="00465964">
              <w:t>q)</w:t>
            </w:r>
          </w:p>
        </w:tc>
        <w:tc>
          <w:tcPr>
            <w:tcW w:w="0" w:type="auto"/>
            <w:shd w:val="clear" w:color="auto" w:fill="auto"/>
            <w:hideMark/>
          </w:tcPr>
          <w:p w14:paraId="44997F1D" w14:textId="0CBD805A" w:rsidR="00465964" w:rsidRPr="00465964" w:rsidRDefault="00465964" w:rsidP="00465964">
            <w:pPr>
              <w:rPr>
                <w:lang w:val="pt-PT"/>
              </w:rPr>
            </w:pPr>
            <w:r w:rsidRPr="00465964">
              <w:rPr>
                <w:lang w:val="pt-PT"/>
              </w:rPr>
              <w:t xml:space="preserve">Exigir que oferentes, pessoas que solicitam a admissão à negociação de criptoativos, emitentes de </w:t>
            </w:r>
            <w:r>
              <w:rPr>
                <w:lang w:val="pt-PT"/>
              </w:rPr>
              <w:t>criptomoedas</w:t>
            </w:r>
            <w:r w:rsidRPr="00465964">
              <w:rPr>
                <w:lang w:val="pt-PT"/>
              </w:rPr>
              <w:t xml:space="preserve"> referenciadas a ativos ou </w:t>
            </w:r>
            <w:r>
              <w:rPr>
                <w:lang w:val="pt-PT"/>
              </w:rPr>
              <w:t>criptomoedas</w:t>
            </w:r>
            <w:r w:rsidRPr="00465964">
              <w:rPr>
                <w:lang w:val="pt-PT"/>
              </w:rPr>
              <w:t xml:space="preserve"> de moeda eletrónica ou prestadores de serviços de criptoativos pertinentes cessem ou suspendam comunicações comerciais por um período máximo de 30 dias úteis consecutivos de cada vez que haja motivos razoáveis para suspeitar de uma infração ao presente regulamento;</w:t>
            </w:r>
          </w:p>
        </w:tc>
      </w:tr>
    </w:tbl>
    <w:p w14:paraId="6EF40B33"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39"/>
        <w:gridCol w:w="8887"/>
      </w:tblGrid>
      <w:tr w:rsidR="00465964" w:rsidRPr="00465964" w14:paraId="4047CF77" w14:textId="77777777" w:rsidTr="00465964">
        <w:tc>
          <w:tcPr>
            <w:tcW w:w="0" w:type="auto"/>
            <w:shd w:val="clear" w:color="auto" w:fill="auto"/>
            <w:hideMark/>
          </w:tcPr>
          <w:p w14:paraId="235E8C81" w14:textId="77777777" w:rsidR="00465964" w:rsidRPr="00465964" w:rsidRDefault="00465964" w:rsidP="00465964">
            <w:r w:rsidRPr="00465964">
              <w:t>r)</w:t>
            </w:r>
          </w:p>
        </w:tc>
        <w:tc>
          <w:tcPr>
            <w:tcW w:w="0" w:type="auto"/>
            <w:shd w:val="clear" w:color="auto" w:fill="auto"/>
            <w:hideMark/>
          </w:tcPr>
          <w:p w14:paraId="7D40F6C5" w14:textId="77777777" w:rsidR="00465964" w:rsidRPr="00465964" w:rsidRDefault="00465964" w:rsidP="00465964">
            <w:pPr>
              <w:rPr>
                <w:lang w:val="pt-PT"/>
              </w:rPr>
            </w:pPr>
            <w:r w:rsidRPr="00465964">
              <w:rPr>
                <w:lang w:val="pt-PT"/>
              </w:rPr>
              <w:t xml:space="preserve">Tornar público o facto de que um oferente, uma pessoa que solicita a admissão à negociação de um criptoativo ou um emitente de uma </w:t>
            </w:r>
            <w:proofErr w:type="spellStart"/>
            <w:r w:rsidRPr="00465964">
              <w:rPr>
                <w:lang w:val="pt-PT"/>
              </w:rPr>
              <w:t>criptoficha</w:t>
            </w:r>
            <w:proofErr w:type="spellEnd"/>
            <w:r w:rsidRPr="00465964">
              <w:rPr>
                <w:lang w:val="pt-PT"/>
              </w:rPr>
              <w:t xml:space="preserve"> referenciada a ativos ou de uma </w:t>
            </w:r>
            <w:proofErr w:type="spellStart"/>
            <w:r w:rsidRPr="00465964">
              <w:rPr>
                <w:lang w:val="pt-PT"/>
              </w:rPr>
              <w:t>criptoficha</w:t>
            </w:r>
            <w:proofErr w:type="spellEnd"/>
            <w:r w:rsidRPr="00465964">
              <w:rPr>
                <w:lang w:val="pt-PT"/>
              </w:rPr>
              <w:t xml:space="preserve"> de moeda eletrónica não cumpre as suas obrigações previstas no presente regulamento;</w:t>
            </w:r>
          </w:p>
        </w:tc>
      </w:tr>
    </w:tbl>
    <w:p w14:paraId="1DEED14A"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72"/>
        <w:gridCol w:w="8854"/>
      </w:tblGrid>
      <w:tr w:rsidR="00465964" w:rsidRPr="00465964" w14:paraId="5685889B" w14:textId="77777777" w:rsidTr="00465964">
        <w:tc>
          <w:tcPr>
            <w:tcW w:w="0" w:type="auto"/>
            <w:shd w:val="clear" w:color="auto" w:fill="auto"/>
            <w:hideMark/>
          </w:tcPr>
          <w:p w14:paraId="6DDFBB2D" w14:textId="77777777" w:rsidR="00465964" w:rsidRPr="00465964" w:rsidRDefault="00465964" w:rsidP="00465964">
            <w:r w:rsidRPr="00465964">
              <w:t>s)</w:t>
            </w:r>
          </w:p>
        </w:tc>
        <w:tc>
          <w:tcPr>
            <w:tcW w:w="0" w:type="auto"/>
            <w:shd w:val="clear" w:color="auto" w:fill="auto"/>
            <w:hideMark/>
          </w:tcPr>
          <w:p w14:paraId="3B1CAF80" w14:textId="77777777" w:rsidR="00465964" w:rsidRPr="00465964" w:rsidRDefault="00465964" w:rsidP="00465964">
            <w:pPr>
              <w:rPr>
                <w:lang w:val="pt-PT"/>
              </w:rPr>
            </w:pPr>
            <w:r w:rsidRPr="00465964">
              <w:rPr>
                <w:lang w:val="pt-PT"/>
              </w:rPr>
              <w:t xml:space="preserve">Divulgar, ou exigir que o oferente, a pessoa que solicita a admissão à negociação de um criptoativo ou o emitente da </w:t>
            </w:r>
            <w:proofErr w:type="spellStart"/>
            <w:r w:rsidRPr="00465964">
              <w:rPr>
                <w:lang w:val="pt-PT"/>
              </w:rPr>
              <w:t>criptoficha</w:t>
            </w:r>
            <w:proofErr w:type="spellEnd"/>
            <w:r w:rsidRPr="00465964">
              <w:rPr>
                <w:lang w:val="pt-PT"/>
              </w:rPr>
              <w:t xml:space="preserve"> referenciada a ativos ou da </w:t>
            </w:r>
            <w:proofErr w:type="spellStart"/>
            <w:r w:rsidRPr="00465964">
              <w:rPr>
                <w:lang w:val="pt-PT"/>
              </w:rPr>
              <w:t>criptoficha</w:t>
            </w:r>
            <w:proofErr w:type="spellEnd"/>
            <w:r w:rsidRPr="00465964">
              <w:rPr>
                <w:lang w:val="pt-PT"/>
              </w:rPr>
              <w:t xml:space="preserve"> de moeda eletrónica divulgue toda a informação relevante suscetível de influenciar a avaliação do criptoativo objeto de oferta pública ou a admitir à negociação, no intuito de assegurar a proteção dos interesses dos detentores de criptoativos, em particular dos detentores não profissionais, ou o regular funcionamento do mercado;</w:t>
            </w:r>
          </w:p>
        </w:tc>
      </w:tr>
    </w:tbl>
    <w:p w14:paraId="5BD68A9B"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36"/>
        <w:gridCol w:w="8890"/>
      </w:tblGrid>
      <w:tr w:rsidR="00465964" w:rsidRPr="00465964" w14:paraId="4A35CF7A" w14:textId="77777777" w:rsidTr="00465964">
        <w:tc>
          <w:tcPr>
            <w:tcW w:w="0" w:type="auto"/>
            <w:shd w:val="clear" w:color="auto" w:fill="auto"/>
            <w:hideMark/>
          </w:tcPr>
          <w:p w14:paraId="50905684" w14:textId="77777777" w:rsidR="00465964" w:rsidRPr="00465964" w:rsidRDefault="00465964" w:rsidP="00465964">
            <w:r w:rsidRPr="00465964">
              <w:t>t)</w:t>
            </w:r>
          </w:p>
        </w:tc>
        <w:tc>
          <w:tcPr>
            <w:tcW w:w="0" w:type="auto"/>
            <w:shd w:val="clear" w:color="auto" w:fill="auto"/>
            <w:hideMark/>
          </w:tcPr>
          <w:p w14:paraId="4C53E99B" w14:textId="77777777" w:rsidR="00465964" w:rsidRPr="00465964" w:rsidRDefault="00465964" w:rsidP="00465964">
            <w:pPr>
              <w:rPr>
                <w:lang w:val="pt-PT"/>
              </w:rPr>
            </w:pPr>
            <w:r w:rsidRPr="00465964">
              <w:rPr>
                <w:lang w:val="pt-PT"/>
              </w:rPr>
              <w:t xml:space="preserve">Suspender, ou exigir que o prestador de serviços de criptoativos pertinente que opera uma plataforma de negociação de criptoativos suspenda a negociação dos criptoativos, caso considerem que a situação do oferente, da pessoa que solicita a admissão à negociação de um criptoativo ou do emitente de uma </w:t>
            </w:r>
            <w:proofErr w:type="spellStart"/>
            <w:r w:rsidRPr="00465964">
              <w:rPr>
                <w:lang w:val="pt-PT"/>
              </w:rPr>
              <w:t>criptoficha</w:t>
            </w:r>
            <w:proofErr w:type="spellEnd"/>
            <w:r w:rsidRPr="00465964">
              <w:rPr>
                <w:lang w:val="pt-PT"/>
              </w:rPr>
              <w:t xml:space="preserve"> referenciada a ativos ou de uma </w:t>
            </w:r>
            <w:proofErr w:type="spellStart"/>
            <w:r w:rsidRPr="00465964">
              <w:rPr>
                <w:lang w:val="pt-PT"/>
              </w:rPr>
              <w:t>criptoficha</w:t>
            </w:r>
            <w:proofErr w:type="spellEnd"/>
            <w:r w:rsidRPr="00465964">
              <w:rPr>
                <w:lang w:val="pt-PT"/>
              </w:rPr>
              <w:t xml:space="preserve"> de moeda eletrónica é tal que essa negociação prejudicaria os interesses dos detentores de criptoativos, em particular dos detentores não profissionais;</w:t>
            </w:r>
          </w:p>
        </w:tc>
      </w:tr>
    </w:tbl>
    <w:p w14:paraId="0D6551F1"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8"/>
        <w:gridCol w:w="8838"/>
      </w:tblGrid>
      <w:tr w:rsidR="00465964" w:rsidRPr="00465964" w14:paraId="52A974AF" w14:textId="77777777" w:rsidTr="00465964">
        <w:tc>
          <w:tcPr>
            <w:tcW w:w="0" w:type="auto"/>
            <w:shd w:val="clear" w:color="auto" w:fill="auto"/>
            <w:hideMark/>
          </w:tcPr>
          <w:p w14:paraId="03053D22" w14:textId="77777777" w:rsidR="00465964" w:rsidRPr="00465964" w:rsidRDefault="00465964" w:rsidP="00465964">
            <w:r w:rsidRPr="00465964">
              <w:t>u)</w:t>
            </w:r>
          </w:p>
        </w:tc>
        <w:tc>
          <w:tcPr>
            <w:tcW w:w="0" w:type="auto"/>
            <w:shd w:val="clear" w:color="auto" w:fill="auto"/>
            <w:hideMark/>
          </w:tcPr>
          <w:p w14:paraId="7B06E5C3" w14:textId="3EBD8BCE" w:rsidR="00465964" w:rsidRPr="00465964" w:rsidRDefault="00465964" w:rsidP="00465964">
            <w:pPr>
              <w:rPr>
                <w:lang w:val="pt-PT"/>
              </w:rPr>
            </w:pPr>
            <w:r w:rsidRPr="00465964">
              <w:rPr>
                <w:lang w:val="pt-PT"/>
              </w:rPr>
              <w:t xml:space="preserve">Caso haja razões para supor que uma pessoa emite </w:t>
            </w:r>
            <w:r>
              <w:rPr>
                <w:lang w:val="pt-PT"/>
              </w:rPr>
              <w:t>criptomoedas</w:t>
            </w:r>
            <w:r w:rsidRPr="00465964">
              <w:rPr>
                <w:lang w:val="pt-PT"/>
              </w:rPr>
              <w:t xml:space="preserve"> referenciadas a ativos ou </w:t>
            </w:r>
            <w:r>
              <w:rPr>
                <w:lang w:val="pt-PT"/>
              </w:rPr>
              <w:t>criptomoedas</w:t>
            </w:r>
            <w:r w:rsidRPr="00465964">
              <w:rPr>
                <w:lang w:val="pt-PT"/>
              </w:rPr>
              <w:t xml:space="preserve"> de moeda eletrónica sem autorização, ou que uma pessoa oferece criptoativos ou solicita a admissão à negociação de criptoativos que não sejam </w:t>
            </w:r>
            <w:r>
              <w:rPr>
                <w:lang w:val="pt-PT"/>
              </w:rPr>
              <w:t>criptomoedas</w:t>
            </w:r>
            <w:r w:rsidRPr="00465964">
              <w:rPr>
                <w:lang w:val="pt-PT"/>
              </w:rPr>
              <w:t xml:space="preserve"> referenciadas a ativos nem </w:t>
            </w:r>
            <w:r>
              <w:rPr>
                <w:lang w:val="pt-PT"/>
              </w:rPr>
              <w:t>criptomoedas</w:t>
            </w:r>
            <w:r w:rsidRPr="00465964">
              <w:rPr>
                <w:lang w:val="pt-PT"/>
              </w:rPr>
              <w:t xml:space="preserve"> de moeda eletrónica sem ter notificado um livrete </w:t>
            </w:r>
            <w:r w:rsidRPr="00465964">
              <w:rPr>
                <w:lang w:val="pt-PT"/>
              </w:rPr>
              <w:lastRenderedPageBreak/>
              <w:t>do criptoativo nos termos do artigo 8.</w:t>
            </w:r>
            <w:r w:rsidRPr="00465964">
              <w:rPr>
                <w:vertAlign w:val="superscript"/>
                <w:lang w:val="pt-PT"/>
              </w:rPr>
              <w:t>o</w:t>
            </w:r>
            <w:r w:rsidRPr="00465964">
              <w:rPr>
                <w:lang w:val="pt-PT"/>
              </w:rPr>
              <w:t>, ordenar a cessação imediata da atividade sem aviso prévio ou a imposição de um prazo para o efeito;</w:t>
            </w:r>
          </w:p>
        </w:tc>
      </w:tr>
    </w:tbl>
    <w:p w14:paraId="49EE3E4E"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64"/>
        <w:gridCol w:w="8862"/>
      </w:tblGrid>
      <w:tr w:rsidR="00465964" w:rsidRPr="00465964" w14:paraId="36E9F353" w14:textId="77777777" w:rsidTr="00465964">
        <w:tc>
          <w:tcPr>
            <w:tcW w:w="0" w:type="auto"/>
            <w:shd w:val="clear" w:color="auto" w:fill="auto"/>
            <w:hideMark/>
          </w:tcPr>
          <w:p w14:paraId="53D92348" w14:textId="77777777" w:rsidR="00465964" w:rsidRPr="00465964" w:rsidRDefault="00465964" w:rsidP="00465964">
            <w:r w:rsidRPr="00465964">
              <w:t>v)</w:t>
            </w:r>
          </w:p>
        </w:tc>
        <w:tc>
          <w:tcPr>
            <w:tcW w:w="0" w:type="auto"/>
            <w:shd w:val="clear" w:color="auto" w:fill="auto"/>
            <w:hideMark/>
          </w:tcPr>
          <w:p w14:paraId="4C2B5F0A" w14:textId="77777777" w:rsidR="00465964" w:rsidRPr="00465964" w:rsidRDefault="00465964" w:rsidP="00465964">
            <w:pPr>
              <w:rPr>
                <w:lang w:val="pt-PT"/>
              </w:rPr>
            </w:pPr>
            <w:r w:rsidRPr="00465964">
              <w:rPr>
                <w:lang w:val="pt-PT"/>
              </w:rPr>
              <w:t xml:space="preserve">Tomar qualquer tipo de medida para assegurar que um oferente ou uma pessoa que solicita a admissão à negociação de criptoativos, um emitente de uma </w:t>
            </w:r>
            <w:proofErr w:type="spellStart"/>
            <w:r w:rsidRPr="00465964">
              <w:rPr>
                <w:lang w:val="pt-PT"/>
              </w:rPr>
              <w:t>criptoficha</w:t>
            </w:r>
            <w:proofErr w:type="spellEnd"/>
            <w:r w:rsidRPr="00465964">
              <w:rPr>
                <w:lang w:val="pt-PT"/>
              </w:rPr>
              <w:t xml:space="preserve"> referenciada a ativos ou de uma </w:t>
            </w:r>
            <w:proofErr w:type="spellStart"/>
            <w:r w:rsidRPr="00465964">
              <w:rPr>
                <w:lang w:val="pt-PT"/>
              </w:rPr>
              <w:t>criptoficha</w:t>
            </w:r>
            <w:proofErr w:type="spellEnd"/>
            <w:r w:rsidRPr="00465964">
              <w:rPr>
                <w:lang w:val="pt-PT"/>
              </w:rPr>
              <w:t xml:space="preserve"> de moeda eletrónica ou um prestador de serviços de criptoativos cumpre o disposto no presente regulamento, nomeadamente exigir a cessação de qualquer prática ou conduta que as autoridades competentes considerem contrária ao presente regulamento;</w:t>
            </w:r>
          </w:p>
        </w:tc>
      </w:tr>
    </w:tbl>
    <w:p w14:paraId="4828982F"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224"/>
        <w:gridCol w:w="8802"/>
      </w:tblGrid>
      <w:tr w:rsidR="00465964" w:rsidRPr="00465964" w14:paraId="16369408" w14:textId="77777777" w:rsidTr="00465964">
        <w:tc>
          <w:tcPr>
            <w:tcW w:w="0" w:type="auto"/>
            <w:shd w:val="clear" w:color="auto" w:fill="auto"/>
            <w:hideMark/>
          </w:tcPr>
          <w:p w14:paraId="58632587" w14:textId="77777777" w:rsidR="00465964" w:rsidRPr="00465964" w:rsidRDefault="00465964" w:rsidP="00465964">
            <w:r w:rsidRPr="00465964">
              <w:t>w)</w:t>
            </w:r>
          </w:p>
        </w:tc>
        <w:tc>
          <w:tcPr>
            <w:tcW w:w="0" w:type="auto"/>
            <w:shd w:val="clear" w:color="auto" w:fill="auto"/>
            <w:hideMark/>
          </w:tcPr>
          <w:p w14:paraId="6EA39FCE" w14:textId="77777777" w:rsidR="00465964" w:rsidRPr="00465964" w:rsidRDefault="00465964" w:rsidP="00465964">
            <w:pPr>
              <w:rPr>
                <w:lang w:val="pt-PT"/>
              </w:rPr>
            </w:pPr>
            <w:r w:rsidRPr="00465964">
              <w:rPr>
                <w:lang w:val="pt-PT"/>
              </w:rPr>
              <w:t>Realizar inspeções no local ou investigações em locais que não as residências privadas de pessoas singulares e, para esse efeito, entrar nas instalações a fim de aceder a documentos e a outros dados sob qualquer forma;</w:t>
            </w:r>
          </w:p>
        </w:tc>
      </w:tr>
    </w:tbl>
    <w:p w14:paraId="46D9A37D"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234"/>
        <w:gridCol w:w="8792"/>
      </w:tblGrid>
      <w:tr w:rsidR="00465964" w:rsidRPr="00465964" w14:paraId="1CE34CDD" w14:textId="77777777" w:rsidTr="00465964">
        <w:tc>
          <w:tcPr>
            <w:tcW w:w="0" w:type="auto"/>
            <w:shd w:val="clear" w:color="auto" w:fill="auto"/>
            <w:hideMark/>
          </w:tcPr>
          <w:p w14:paraId="2661CF2C" w14:textId="77777777" w:rsidR="00465964" w:rsidRPr="00465964" w:rsidRDefault="00465964" w:rsidP="00465964">
            <w:r w:rsidRPr="00465964">
              <w:t>x)</w:t>
            </w:r>
          </w:p>
        </w:tc>
        <w:tc>
          <w:tcPr>
            <w:tcW w:w="0" w:type="auto"/>
            <w:shd w:val="clear" w:color="auto" w:fill="auto"/>
            <w:hideMark/>
          </w:tcPr>
          <w:p w14:paraId="11559FE2" w14:textId="77777777" w:rsidR="00465964" w:rsidRPr="00465964" w:rsidRDefault="00465964" w:rsidP="00465964">
            <w:pPr>
              <w:rPr>
                <w:lang w:val="pt-PT"/>
              </w:rPr>
            </w:pPr>
            <w:r w:rsidRPr="00465964">
              <w:rPr>
                <w:lang w:val="pt-PT"/>
              </w:rPr>
              <w:t>Externalizar verificações ou investigações a auditores ou peritos;</w:t>
            </w:r>
          </w:p>
        </w:tc>
      </w:tr>
    </w:tbl>
    <w:p w14:paraId="570870C2"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64"/>
        <w:gridCol w:w="8862"/>
      </w:tblGrid>
      <w:tr w:rsidR="00465964" w:rsidRPr="00465964" w14:paraId="3EBD4098" w14:textId="77777777" w:rsidTr="00465964">
        <w:tc>
          <w:tcPr>
            <w:tcW w:w="0" w:type="auto"/>
            <w:shd w:val="clear" w:color="auto" w:fill="auto"/>
            <w:hideMark/>
          </w:tcPr>
          <w:p w14:paraId="79DA9E56" w14:textId="77777777" w:rsidR="00465964" w:rsidRPr="00465964" w:rsidRDefault="00465964" w:rsidP="00465964">
            <w:r w:rsidRPr="00465964">
              <w:t>y)</w:t>
            </w:r>
          </w:p>
        </w:tc>
        <w:tc>
          <w:tcPr>
            <w:tcW w:w="0" w:type="auto"/>
            <w:shd w:val="clear" w:color="auto" w:fill="auto"/>
            <w:hideMark/>
          </w:tcPr>
          <w:p w14:paraId="52F93D9B" w14:textId="77777777" w:rsidR="00465964" w:rsidRPr="00465964" w:rsidRDefault="00465964" w:rsidP="00465964">
            <w:pPr>
              <w:rPr>
                <w:lang w:val="pt-PT"/>
              </w:rPr>
            </w:pPr>
            <w:r w:rsidRPr="00465964">
              <w:rPr>
                <w:lang w:val="pt-PT"/>
              </w:rPr>
              <w:t xml:space="preserve">Exigir a saída de uma pessoa singular do órgão de administração de um emitente de uma </w:t>
            </w:r>
            <w:proofErr w:type="spellStart"/>
            <w:r w:rsidRPr="00465964">
              <w:rPr>
                <w:lang w:val="pt-PT"/>
              </w:rPr>
              <w:t>criptoficha</w:t>
            </w:r>
            <w:proofErr w:type="spellEnd"/>
            <w:r w:rsidRPr="00465964">
              <w:rPr>
                <w:lang w:val="pt-PT"/>
              </w:rPr>
              <w:t xml:space="preserve"> referenciada a ativos ou de um prestador de serviços de criptoativos;</w:t>
            </w:r>
          </w:p>
        </w:tc>
      </w:tr>
    </w:tbl>
    <w:p w14:paraId="7D63E686"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61"/>
        <w:gridCol w:w="8865"/>
      </w:tblGrid>
      <w:tr w:rsidR="00465964" w:rsidRPr="00465964" w14:paraId="751717A3" w14:textId="77777777" w:rsidTr="00465964">
        <w:tc>
          <w:tcPr>
            <w:tcW w:w="0" w:type="auto"/>
            <w:shd w:val="clear" w:color="auto" w:fill="auto"/>
            <w:hideMark/>
          </w:tcPr>
          <w:p w14:paraId="7C8FA4AD" w14:textId="77777777" w:rsidR="00465964" w:rsidRPr="00465964" w:rsidRDefault="00465964" w:rsidP="00465964">
            <w:r w:rsidRPr="00465964">
              <w:t>z)</w:t>
            </w:r>
          </w:p>
        </w:tc>
        <w:tc>
          <w:tcPr>
            <w:tcW w:w="0" w:type="auto"/>
            <w:shd w:val="clear" w:color="auto" w:fill="auto"/>
            <w:hideMark/>
          </w:tcPr>
          <w:p w14:paraId="2DAD86BF" w14:textId="77777777" w:rsidR="00465964" w:rsidRPr="00465964" w:rsidRDefault="00465964" w:rsidP="00465964">
            <w:pPr>
              <w:rPr>
                <w:lang w:val="pt-PT"/>
              </w:rPr>
            </w:pPr>
            <w:r w:rsidRPr="00465964">
              <w:rPr>
                <w:lang w:val="pt-PT"/>
              </w:rPr>
              <w:t>Solicitar a qualquer pessoa que tome medidas para reduzir a dimensão da sua posição ou a sua exposição a criptoativos;</w:t>
            </w:r>
          </w:p>
        </w:tc>
      </w:tr>
    </w:tbl>
    <w:p w14:paraId="11F2C8A5"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297"/>
        <w:gridCol w:w="8729"/>
      </w:tblGrid>
      <w:tr w:rsidR="00465964" w:rsidRPr="00465964" w14:paraId="6D712439" w14:textId="77777777" w:rsidTr="00465964">
        <w:tc>
          <w:tcPr>
            <w:tcW w:w="0" w:type="auto"/>
            <w:shd w:val="clear" w:color="auto" w:fill="auto"/>
            <w:hideMark/>
          </w:tcPr>
          <w:p w14:paraId="2A08224E" w14:textId="77777777" w:rsidR="00465964" w:rsidRPr="00465964" w:rsidRDefault="00465964" w:rsidP="00465964">
            <w:r w:rsidRPr="00465964">
              <w:t>aa)</w:t>
            </w:r>
          </w:p>
        </w:tc>
        <w:tc>
          <w:tcPr>
            <w:tcW w:w="0" w:type="auto"/>
            <w:shd w:val="clear" w:color="auto" w:fill="auto"/>
            <w:hideMark/>
          </w:tcPr>
          <w:p w14:paraId="1518E54D" w14:textId="77777777" w:rsidR="00465964" w:rsidRPr="00465964" w:rsidRDefault="00465964" w:rsidP="00465964">
            <w:pPr>
              <w:rPr>
                <w:lang w:val="pt-PT"/>
              </w:rPr>
            </w:pPr>
            <w:r w:rsidRPr="00465964">
              <w:rPr>
                <w:lang w:val="pt-PT"/>
              </w:rPr>
              <w:t>Caso não estejam disponíveis outros meios eficazes para fazer cessar a infração ao presente regulamento, e a fim de evitar o risco de causar um prejuízo grave aos interesses dos clientes ou dos detentores de criptoativos, tomar todas as medidas necessárias, nomeadamente solicitando a um terceiro ou a uma autoridade pública que aplique tais medidos, para:</w:t>
            </w:r>
          </w:p>
          <w:tbl>
            <w:tblPr>
              <w:tblW w:w="5000" w:type="pct"/>
              <w:tblCellMar>
                <w:left w:w="0" w:type="dxa"/>
                <w:right w:w="0" w:type="dxa"/>
              </w:tblCellMar>
              <w:tblLook w:val="04A0" w:firstRow="1" w:lastRow="0" w:firstColumn="1" w:lastColumn="0" w:noHBand="0" w:noVBand="1"/>
            </w:tblPr>
            <w:tblGrid>
              <w:gridCol w:w="117"/>
              <w:gridCol w:w="8612"/>
            </w:tblGrid>
            <w:tr w:rsidR="00465964" w:rsidRPr="00465964" w14:paraId="107C8B86" w14:textId="77777777">
              <w:tc>
                <w:tcPr>
                  <w:tcW w:w="0" w:type="auto"/>
                  <w:shd w:val="clear" w:color="auto" w:fill="auto"/>
                  <w:hideMark/>
                </w:tcPr>
                <w:p w14:paraId="77218214" w14:textId="77777777" w:rsidR="00465964" w:rsidRPr="00465964" w:rsidRDefault="00465964" w:rsidP="00465964">
                  <w:proofErr w:type="spellStart"/>
                  <w:r w:rsidRPr="00465964">
                    <w:t>i</w:t>
                  </w:r>
                  <w:proofErr w:type="spellEnd"/>
                  <w:r w:rsidRPr="00465964">
                    <w:t>)</w:t>
                  </w:r>
                </w:p>
              </w:tc>
              <w:tc>
                <w:tcPr>
                  <w:tcW w:w="0" w:type="auto"/>
                  <w:shd w:val="clear" w:color="auto" w:fill="auto"/>
                  <w:hideMark/>
                </w:tcPr>
                <w:p w14:paraId="5B882190" w14:textId="77777777" w:rsidR="00465964" w:rsidRPr="00465964" w:rsidRDefault="00465964" w:rsidP="00465964">
                  <w:pPr>
                    <w:rPr>
                      <w:lang w:val="pt-PT"/>
                    </w:rPr>
                  </w:pPr>
                  <w:r w:rsidRPr="00465964">
                    <w:rPr>
                      <w:lang w:val="pt-PT"/>
                    </w:rPr>
                    <w:t>retirar conteúdos ou restringir o acesso a uma interface em linha, ou ordenar que seja explicitamente exibido um alerta destinado aos clientes e aos detentores de criptoativos quando estes acedem à interface em linha,</w:t>
                  </w:r>
                </w:p>
              </w:tc>
            </w:tr>
          </w:tbl>
          <w:p w14:paraId="150150F9"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70"/>
              <w:gridCol w:w="8559"/>
            </w:tblGrid>
            <w:tr w:rsidR="00465964" w:rsidRPr="00465964" w14:paraId="74CFE9F1" w14:textId="77777777">
              <w:tc>
                <w:tcPr>
                  <w:tcW w:w="0" w:type="auto"/>
                  <w:shd w:val="clear" w:color="auto" w:fill="auto"/>
                  <w:hideMark/>
                </w:tcPr>
                <w:p w14:paraId="6E8C2A42" w14:textId="77777777" w:rsidR="00465964" w:rsidRPr="00465964" w:rsidRDefault="00465964" w:rsidP="00465964">
                  <w:r w:rsidRPr="00465964">
                    <w:t>ii)</w:t>
                  </w:r>
                </w:p>
              </w:tc>
              <w:tc>
                <w:tcPr>
                  <w:tcW w:w="0" w:type="auto"/>
                  <w:shd w:val="clear" w:color="auto" w:fill="auto"/>
                  <w:hideMark/>
                </w:tcPr>
                <w:p w14:paraId="123E22F6" w14:textId="77777777" w:rsidR="00465964" w:rsidRPr="00465964" w:rsidRDefault="00465964" w:rsidP="00465964">
                  <w:pPr>
                    <w:rPr>
                      <w:lang w:val="pt-PT"/>
                    </w:rPr>
                  </w:pPr>
                  <w:r w:rsidRPr="00465964">
                    <w:rPr>
                      <w:lang w:val="pt-PT"/>
                    </w:rPr>
                    <w:t>ordenar a um prestador de serviços de alojamento virtual que elimine, desative ou restrinja o acesso a uma interface em linha, ou</w:t>
                  </w:r>
                </w:p>
              </w:tc>
            </w:tr>
          </w:tbl>
          <w:p w14:paraId="674EB3B1"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223"/>
              <w:gridCol w:w="8506"/>
            </w:tblGrid>
            <w:tr w:rsidR="00465964" w:rsidRPr="00465964" w14:paraId="3992AC65" w14:textId="77777777">
              <w:tc>
                <w:tcPr>
                  <w:tcW w:w="0" w:type="auto"/>
                  <w:shd w:val="clear" w:color="auto" w:fill="auto"/>
                  <w:hideMark/>
                </w:tcPr>
                <w:p w14:paraId="515071EE" w14:textId="77777777" w:rsidR="00465964" w:rsidRPr="00465964" w:rsidRDefault="00465964" w:rsidP="00465964">
                  <w:r w:rsidRPr="00465964">
                    <w:t>iii)</w:t>
                  </w:r>
                </w:p>
              </w:tc>
              <w:tc>
                <w:tcPr>
                  <w:tcW w:w="0" w:type="auto"/>
                  <w:shd w:val="clear" w:color="auto" w:fill="auto"/>
                  <w:hideMark/>
                </w:tcPr>
                <w:p w14:paraId="162F8F21" w14:textId="77777777" w:rsidR="00465964" w:rsidRPr="00465964" w:rsidRDefault="00465964" w:rsidP="00465964">
                  <w:pPr>
                    <w:rPr>
                      <w:lang w:val="pt-PT"/>
                    </w:rPr>
                  </w:pPr>
                  <w:r w:rsidRPr="00465964">
                    <w:rPr>
                      <w:lang w:val="pt-PT"/>
                    </w:rPr>
                    <w:t>exigir que os registos ou os operadores de registos de domínios suprimam um nome de domínio plenamente qualificado e permitir que a autoridade competente em causa o registe;</w:t>
                  </w:r>
                </w:p>
              </w:tc>
            </w:tr>
          </w:tbl>
          <w:p w14:paraId="4AEC7C80" w14:textId="77777777" w:rsidR="00465964" w:rsidRPr="00465964" w:rsidRDefault="00465964" w:rsidP="00465964">
            <w:pPr>
              <w:rPr>
                <w:lang w:val="pt-PT"/>
              </w:rPr>
            </w:pPr>
          </w:p>
        </w:tc>
      </w:tr>
    </w:tbl>
    <w:p w14:paraId="288783DD"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305"/>
        <w:gridCol w:w="8721"/>
      </w:tblGrid>
      <w:tr w:rsidR="00465964" w:rsidRPr="00465964" w14:paraId="30F418E2" w14:textId="77777777" w:rsidTr="00465964">
        <w:tc>
          <w:tcPr>
            <w:tcW w:w="0" w:type="auto"/>
            <w:shd w:val="clear" w:color="auto" w:fill="auto"/>
            <w:hideMark/>
          </w:tcPr>
          <w:p w14:paraId="71DA7126" w14:textId="77777777" w:rsidR="00465964" w:rsidRPr="00465964" w:rsidRDefault="00465964" w:rsidP="00465964">
            <w:r w:rsidRPr="00465964">
              <w:t>ab)</w:t>
            </w:r>
          </w:p>
        </w:tc>
        <w:tc>
          <w:tcPr>
            <w:tcW w:w="0" w:type="auto"/>
            <w:shd w:val="clear" w:color="auto" w:fill="auto"/>
            <w:hideMark/>
          </w:tcPr>
          <w:p w14:paraId="6433C406" w14:textId="77777777" w:rsidR="00465964" w:rsidRPr="00465964" w:rsidRDefault="00465964" w:rsidP="00465964">
            <w:pPr>
              <w:rPr>
                <w:lang w:val="pt-PT"/>
              </w:rPr>
            </w:pPr>
            <w:r w:rsidRPr="00465964">
              <w:rPr>
                <w:lang w:val="pt-PT"/>
              </w:rPr>
              <w:t xml:space="preserve">Exigir que um emitente de uma </w:t>
            </w:r>
            <w:proofErr w:type="spellStart"/>
            <w:r w:rsidRPr="00465964">
              <w:rPr>
                <w:lang w:val="pt-PT"/>
              </w:rPr>
              <w:t>criptoficha</w:t>
            </w:r>
            <w:proofErr w:type="spellEnd"/>
            <w:r w:rsidRPr="00465964">
              <w:rPr>
                <w:lang w:val="pt-PT"/>
              </w:rPr>
              <w:t xml:space="preserve"> referenciada a ativos ou de uma </w:t>
            </w:r>
            <w:proofErr w:type="spellStart"/>
            <w:r w:rsidRPr="00465964">
              <w:rPr>
                <w:lang w:val="pt-PT"/>
              </w:rPr>
              <w:t>criptoficha</w:t>
            </w:r>
            <w:proofErr w:type="spellEnd"/>
            <w:r w:rsidRPr="00465964">
              <w:rPr>
                <w:lang w:val="pt-PT"/>
              </w:rPr>
              <w:t xml:space="preserve"> de moeda eletrónica, em conformidade com o artigo 23.</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4, o artigo 24.</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3, ou o artigo 58.</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3, introduza um montante nominal mínimo ou limite o montante emitido.</w:t>
            </w:r>
          </w:p>
        </w:tc>
      </w:tr>
    </w:tbl>
    <w:p w14:paraId="1F6B75DD" w14:textId="77777777" w:rsidR="00465964" w:rsidRPr="00465964" w:rsidRDefault="00465964" w:rsidP="00465964">
      <w:pPr>
        <w:rPr>
          <w:lang w:val="pt-PT"/>
        </w:rPr>
      </w:pPr>
      <w:r w:rsidRPr="00465964">
        <w:rPr>
          <w:lang w:val="pt-PT"/>
        </w:rPr>
        <w:t xml:space="preserve">2.   Os poderes de supervisão e de investigação exercidos em relação aos oferentes, às pessoas que solicitam a admissão à negociação, aos emitentes e aos prestadores de serviços de criptoativos não prejudicam os poderes conferidos às mesmas ou a outras autoridades de supervisão no que diz respeito a essas entidades, nomeadamente os poderes conferidos às autoridades competentes relevantes nos termos das disposições do direito nacional que transpõem a Diretiva 2009/110/CE e os poderes de supervisão prudencial conferidos ao BCE ao abrigo do Regulamento (UE) </w:t>
      </w:r>
      <w:proofErr w:type="spellStart"/>
      <w:r w:rsidRPr="00465964">
        <w:rPr>
          <w:lang w:val="pt-PT"/>
        </w:rPr>
        <w:t>n.</w:t>
      </w:r>
      <w:r w:rsidRPr="00465964">
        <w:rPr>
          <w:vertAlign w:val="superscript"/>
          <w:lang w:val="pt-PT"/>
        </w:rPr>
        <w:t>o</w:t>
      </w:r>
      <w:proofErr w:type="spellEnd"/>
      <w:r w:rsidRPr="00465964">
        <w:rPr>
          <w:lang w:val="pt-PT"/>
        </w:rPr>
        <w:t> 1024/2013.</w:t>
      </w:r>
    </w:p>
    <w:p w14:paraId="78955801" w14:textId="77777777" w:rsidR="00465964" w:rsidRPr="00465964" w:rsidRDefault="00465964" w:rsidP="00465964">
      <w:pPr>
        <w:rPr>
          <w:lang w:val="pt-PT"/>
        </w:rPr>
      </w:pPr>
      <w:r w:rsidRPr="00465964">
        <w:rPr>
          <w:lang w:val="pt-PT"/>
        </w:rPr>
        <w:lastRenderedPageBreak/>
        <w:t xml:space="preserve">3.   Para o desempenho das suas funções previstas no título VI, as autoridades competentes devem dispor, nos termos do direito nacional, pelo menos dos seguintes poderes de supervisão e investigação, para além dos poderes a que se refere o </w:t>
      </w:r>
      <w:proofErr w:type="spellStart"/>
      <w:r w:rsidRPr="00465964">
        <w:rPr>
          <w:lang w:val="pt-PT"/>
        </w:rPr>
        <w:t>n.</w:t>
      </w:r>
      <w:r w:rsidRPr="00465964">
        <w:rPr>
          <w:vertAlign w:val="superscript"/>
          <w:lang w:val="pt-PT"/>
        </w:rPr>
        <w:t>o</w:t>
      </w:r>
      <w:proofErr w:type="spellEnd"/>
      <w:r w:rsidRPr="00465964">
        <w:rPr>
          <w:lang w:val="pt-PT"/>
        </w:rPr>
        <w:t> 1:</w:t>
      </w:r>
    </w:p>
    <w:tbl>
      <w:tblPr>
        <w:tblW w:w="5000" w:type="pct"/>
        <w:tblCellMar>
          <w:left w:w="0" w:type="dxa"/>
          <w:right w:w="0" w:type="dxa"/>
        </w:tblCellMar>
        <w:tblLook w:val="04A0" w:firstRow="1" w:lastRow="0" w:firstColumn="1" w:lastColumn="0" w:noHBand="0" w:noVBand="1"/>
      </w:tblPr>
      <w:tblGrid>
        <w:gridCol w:w="182"/>
        <w:gridCol w:w="8844"/>
      </w:tblGrid>
      <w:tr w:rsidR="00465964" w:rsidRPr="00465964" w14:paraId="1B571F9B" w14:textId="77777777" w:rsidTr="00465964">
        <w:tc>
          <w:tcPr>
            <w:tcW w:w="0" w:type="auto"/>
            <w:shd w:val="clear" w:color="auto" w:fill="auto"/>
            <w:hideMark/>
          </w:tcPr>
          <w:p w14:paraId="145E0B76" w14:textId="77777777" w:rsidR="00465964" w:rsidRPr="00465964" w:rsidRDefault="00465964" w:rsidP="00465964">
            <w:r w:rsidRPr="00465964">
              <w:t>a)</w:t>
            </w:r>
          </w:p>
        </w:tc>
        <w:tc>
          <w:tcPr>
            <w:tcW w:w="0" w:type="auto"/>
            <w:shd w:val="clear" w:color="auto" w:fill="auto"/>
            <w:hideMark/>
          </w:tcPr>
          <w:p w14:paraId="76EA7353" w14:textId="77777777" w:rsidR="00465964" w:rsidRPr="00465964" w:rsidRDefault="00465964" w:rsidP="00465964">
            <w:pPr>
              <w:rPr>
                <w:lang w:val="pt-PT"/>
              </w:rPr>
            </w:pPr>
            <w:r w:rsidRPr="00465964">
              <w:rPr>
                <w:lang w:val="pt-PT"/>
              </w:rPr>
              <w:t>Ter acesso a quaisquer documentos e dados, independentemente da sua forma, e receber ou fazer uma cópia dos mesmos;</w:t>
            </w:r>
          </w:p>
        </w:tc>
      </w:tr>
    </w:tbl>
    <w:p w14:paraId="786438E0"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8"/>
        <w:gridCol w:w="8838"/>
      </w:tblGrid>
      <w:tr w:rsidR="00465964" w:rsidRPr="00465964" w14:paraId="7C21CD2A" w14:textId="77777777" w:rsidTr="00465964">
        <w:tc>
          <w:tcPr>
            <w:tcW w:w="0" w:type="auto"/>
            <w:shd w:val="clear" w:color="auto" w:fill="auto"/>
            <w:hideMark/>
          </w:tcPr>
          <w:p w14:paraId="37E6D2BA" w14:textId="77777777" w:rsidR="00465964" w:rsidRPr="00465964" w:rsidRDefault="00465964" w:rsidP="00465964">
            <w:r w:rsidRPr="00465964">
              <w:t>b)</w:t>
            </w:r>
          </w:p>
        </w:tc>
        <w:tc>
          <w:tcPr>
            <w:tcW w:w="0" w:type="auto"/>
            <w:shd w:val="clear" w:color="auto" w:fill="auto"/>
            <w:hideMark/>
          </w:tcPr>
          <w:p w14:paraId="2D2EEC08" w14:textId="77777777" w:rsidR="00465964" w:rsidRPr="00465964" w:rsidRDefault="00465964" w:rsidP="00465964">
            <w:pPr>
              <w:rPr>
                <w:lang w:val="pt-PT"/>
              </w:rPr>
            </w:pPr>
            <w:r w:rsidRPr="00465964">
              <w:rPr>
                <w:lang w:val="pt-PT"/>
              </w:rPr>
              <w:t>Solicitar ou exigir informações a quaisquer pessoas, incluindo as pessoas que sucessivamente intervenham na transmissão de ordens ou na realização das operações em causa, bem como os seus comitentes, e, se necessário, convocar e inquirir essas pessoas com vista a obter informações;</w:t>
            </w:r>
          </w:p>
        </w:tc>
      </w:tr>
    </w:tbl>
    <w:p w14:paraId="37C8B16E"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0"/>
        <w:gridCol w:w="8846"/>
      </w:tblGrid>
      <w:tr w:rsidR="00465964" w:rsidRPr="00465964" w14:paraId="6466184A" w14:textId="77777777" w:rsidTr="00465964">
        <w:tc>
          <w:tcPr>
            <w:tcW w:w="0" w:type="auto"/>
            <w:shd w:val="clear" w:color="auto" w:fill="auto"/>
            <w:hideMark/>
          </w:tcPr>
          <w:p w14:paraId="294B9577" w14:textId="77777777" w:rsidR="00465964" w:rsidRPr="00465964" w:rsidRDefault="00465964" w:rsidP="00465964">
            <w:r w:rsidRPr="00465964">
              <w:t>c)</w:t>
            </w:r>
          </w:p>
        </w:tc>
        <w:tc>
          <w:tcPr>
            <w:tcW w:w="0" w:type="auto"/>
            <w:shd w:val="clear" w:color="auto" w:fill="auto"/>
            <w:hideMark/>
          </w:tcPr>
          <w:p w14:paraId="53B1BB2A" w14:textId="77777777" w:rsidR="00465964" w:rsidRPr="00465964" w:rsidRDefault="00465964" w:rsidP="00465964">
            <w:pPr>
              <w:rPr>
                <w:lang w:val="pt-PT"/>
              </w:rPr>
            </w:pPr>
            <w:r w:rsidRPr="00465964">
              <w:rPr>
                <w:lang w:val="pt-PT"/>
              </w:rPr>
              <w:t>Entrar em instalações de pessoas singulares e coletivas com o propósito de apreender documentos e outros dados, independentemente da sua forma, se houver motivos razoáveis para suspeitar que existem documentos ou dados relacionados com o objeto da inspeção ou investigação que possam ser pertinentes para fazer prova de abuso de informação privilegiada ou de manipulação de mercado;</w:t>
            </w:r>
          </w:p>
        </w:tc>
      </w:tr>
    </w:tbl>
    <w:p w14:paraId="3BBECD83"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333"/>
        <w:gridCol w:w="8693"/>
      </w:tblGrid>
      <w:tr w:rsidR="00465964" w:rsidRPr="00465964" w14:paraId="048FE2C7" w14:textId="77777777" w:rsidTr="00465964">
        <w:tc>
          <w:tcPr>
            <w:tcW w:w="0" w:type="auto"/>
            <w:shd w:val="clear" w:color="auto" w:fill="auto"/>
            <w:hideMark/>
          </w:tcPr>
          <w:p w14:paraId="21DEF362" w14:textId="77777777" w:rsidR="00465964" w:rsidRPr="00465964" w:rsidRDefault="00465964" w:rsidP="00465964">
            <w:r w:rsidRPr="00465964">
              <w:t>d)</w:t>
            </w:r>
          </w:p>
        </w:tc>
        <w:tc>
          <w:tcPr>
            <w:tcW w:w="0" w:type="auto"/>
            <w:shd w:val="clear" w:color="auto" w:fill="auto"/>
            <w:hideMark/>
          </w:tcPr>
          <w:p w14:paraId="012BB373" w14:textId="77777777" w:rsidR="00465964" w:rsidRPr="00465964" w:rsidRDefault="00465964" w:rsidP="00465964">
            <w:pPr>
              <w:rPr>
                <w:lang w:val="pt-PT"/>
              </w:rPr>
            </w:pPr>
            <w:r w:rsidRPr="00465964">
              <w:rPr>
                <w:lang w:val="pt-PT"/>
              </w:rPr>
              <w:t>Remeter os processos para exercício da ação penal;</w:t>
            </w:r>
          </w:p>
        </w:tc>
      </w:tr>
    </w:tbl>
    <w:p w14:paraId="1EFB8EEA"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1"/>
        <w:gridCol w:w="8845"/>
      </w:tblGrid>
      <w:tr w:rsidR="00465964" w:rsidRPr="00465964" w14:paraId="23895273" w14:textId="77777777" w:rsidTr="00465964">
        <w:tc>
          <w:tcPr>
            <w:tcW w:w="0" w:type="auto"/>
            <w:shd w:val="clear" w:color="auto" w:fill="auto"/>
            <w:hideMark/>
          </w:tcPr>
          <w:p w14:paraId="33A662D6" w14:textId="77777777" w:rsidR="00465964" w:rsidRPr="00465964" w:rsidRDefault="00465964" w:rsidP="00465964">
            <w:r w:rsidRPr="00465964">
              <w:t>e)</w:t>
            </w:r>
          </w:p>
        </w:tc>
        <w:tc>
          <w:tcPr>
            <w:tcW w:w="0" w:type="auto"/>
            <w:shd w:val="clear" w:color="auto" w:fill="auto"/>
            <w:hideMark/>
          </w:tcPr>
          <w:p w14:paraId="112A6C4C" w14:textId="77777777" w:rsidR="00465964" w:rsidRPr="00465964" w:rsidRDefault="00465964" w:rsidP="00465964">
            <w:pPr>
              <w:rPr>
                <w:lang w:val="pt-PT"/>
              </w:rPr>
            </w:pPr>
            <w:r w:rsidRPr="00465964">
              <w:rPr>
                <w:lang w:val="pt-PT"/>
              </w:rPr>
              <w:t>Solicitar, na medida em que o direito nacional o permita, os registos de tráfego de dados existentes na posse de um operador de telecomunicações, se houver motivos razoáveis para suspeitar de uma infração e se esses registos puderem ser pertinentes para a investigação de uma infração aos artigos 88.</w:t>
            </w:r>
            <w:r w:rsidRPr="00465964">
              <w:rPr>
                <w:vertAlign w:val="superscript"/>
                <w:lang w:val="pt-PT"/>
              </w:rPr>
              <w:t>o</w:t>
            </w:r>
            <w:r w:rsidRPr="00465964">
              <w:rPr>
                <w:lang w:val="pt-PT"/>
              </w:rPr>
              <w:t> a 91.</w:t>
            </w:r>
            <w:r w:rsidRPr="00465964">
              <w:rPr>
                <w:vertAlign w:val="superscript"/>
                <w:lang w:val="pt-PT"/>
              </w:rPr>
              <w:t>o</w:t>
            </w:r>
            <w:r w:rsidRPr="00465964">
              <w:rPr>
                <w:lang w:val="pt-PT"/>
              </w:rPr>
              <w:t>;</w:t>
            </w:r>
          </w:p>
        </w:tc>
      </w:tr>
    </w:tbl>
    <w:p w14:paraId="662CD5C3"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227"/>
        <w:gridCol w:w="8799"/>
      </w:tblGrid>
      <w:tr w:rsidR="00465964" w:rsidRPr="00465964" w14:paraId="294946F6" w14:textId="77777777" w:rsidTr="00465964">
        <w:tc>
          <w:tcPr>
            <w:tcW w:w="0" w:type="auto"/>
            <w:shd w:val="clear" w:color="auto" w:fill="auto"/>
            <w:hideMark/>
          </w:tcPr>
          <w:p w14:paraId="61118313" w14:textId="77777777" w:rsidR="00465964" w:rsidRPr="00465964" w:rsidRDefault="00465964" w:rsidP="00465964">
            <w:r w:rsidRPr="00465964">
              <w:t>f)</w:t>
            </w:r>
          </w:p>
        </w:tc>
        <w:tc>
          <w:tcPr>
            <w:tcW w:w="0" w:type="auto"/>
            <w:shd w:val="clear" w:color="auto" w:fill="auto"/>
            <w:hideMark/>
          </w:tcPr>
          <w:p w14:paraId="77DE6157" w14:textId="77777777" w:rsidR="00465964" w:rsidRPr="00465964" w:rsidRDefault="00465964" w:rsidP="00465964">
            <w:pPr>
              <w:rPr>
                <w:lang w:val="pt-PT"/>
              </w:rPr>
            </w:pPr>
            <w:r w:rsidRPr="00465964">
              <w:rPr>
                <w:lang w:val="pt-PT"/>
              </w:rPr>
              <w:t>Exigir o congelamento, a apreensão de bens, ou ambos;</w:t>
            </w:r>
          </w:p>
        </w:tc>
      </w:tr>
    </w:tbl>
    <w:p w14:paraId="7B3404AF"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227"/>
        <w:gridCol w:w="8799"/>
      </w:tblGrid>
      <w:tr w:rsidR="00465964" w:rsidRPr="00465964" w14:paraId="0A9265A3" w14:textId="77777777" w:rsidTr="00465964">
        <w:tc>
          <w:tcPr>
            <w:tcW w:w="0" w:type="auto"/>
            <w:shd w:val="clear" w:color="auto" w:fill="auto"/>
            <w:hideMark/>
          </w:tcPr>
          <w:p w14:paraId="15A4AC0E" w14:textId="77777777" w:rsidR="00465964" w:rsidRPr="00465964" w:rsidRDefault="00465964" w:rsidP="00465964">
            <w:r w:rsidRPr="00465964">
              <w:t>g)</w:t>
            </w:r>
          </w:p>
        </w:tc>
        <w:tc>
          <w:tcPr>
            <w:tcW w:w="0" w:type="auto"/>
            <w:shd w:val="clear" w:color="auto" w:fill="auto"/>
            <w:hideMark/>
          </w:tcPr>
          <w:p w14:paraId="69695FF0" w14:textId="77777777" w:rsidR="00465964" w:rsidRPr="00465964" w:rsidRDefault="00465964" w:rsidP="00465964">
            <w:pPr>
              <w:rPr>
                <w:lang w:val="pt-PT"/>
              </w:rPr>
            </w:pPr>
            <w:r w:rsidRPr="00465964">
              <w:rPr>
                <w:lang w:val="pt-PT"/>
              </w:rPr>
              <w:t>Impor uma interdição temporária do exercício da atividade profissional;</w:t>
            </w:r>
          </w:p>
        </w:tc>
      </w:tr>
    </w:tbl>
    <w:p w14:paraId="2D51E3D3"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6"/>
        <w:gridCol w:w="8840"/>
      </w:tblGrid>
      <w:tr w:rsidR="00465964" w:rsidRPr="00465964" w14:paraId="639F6D20" w14:textId="77777777" w:rsidTr="00465964">
        <w:tc>
          <w:tcPr>
            <w:tcW w:w="0" w:type="auto"/>
            <w:shd w:val="clear" w:color="auto" w:fill="auto"/>
            <w:hideMark/>
          </w:tcPr>
          <w:p w14:paraId="399DE5AD" w14:textId="77777777" w:rsidR="00465964" w:rsidRPr="00465964" w:rsidRDefault="00465964" w:rsidP="00465964">
            <w:r w:rsidRPr="00465964">
              <w:t>h)</w:t>
            </w:r>
          </w:p>
        </w:tc>
        <w:tc>
          <w:tcPr>
            <w:tcW w:w="0" w:type="auto"/>
            <w:shd w:val="clear" w:color="auto" w:fill="auto"/>
            <w:hideMark/>
          </w:tcPr>
          <w:p w14:paraId="7980F762" w14:textId="77777777" w:rsidR="00465964" w:rsidRPr="00465964" w:rsidRDefault="00465964" w:rsidP="00465964">
            <w:pPr>
              <w:rPr>
                <w:lang w:val="pt-PT"/>
              </w:rPr>
            </w:pPr>
            <w:r w:rsidRPr="00465964">
              <w:rPr>
                <w:lang w:val="pt-PT"/>
              </w:rPr>
              <w:t>Tomar todas as medidas necessárias para assegurar a informação adequada do público, incluindo a retificação de informações falsas ou deturpadas divulgadas, nomeadamente exigindo a publicação de uma declaração retificativa por parte de um oferente, de uma pessoa que solicite a admissão à negociação ou de um emitente ou outra pessoa responsável pela publicação ou difusão das informações falsas ou deturpadas.</w:t>
            </w:r>
          </w:p>
        </w:tc>
      </w:tr>
    </w:tbl>
    <w:p w14:paraId="762A4EA5" w14:textId="77777777" w:rsidR="00465964" w:rsidRPr="00465964" w:rsidRDefault="00465964" w:rsidP="00465964">
      <w:pPr>
        <w:rPr>
          <w:lang w:val="pt-PT"/>
        </w:rPr>
      </w:pPr>
      <w:r w:rsidRPr="00465964">
        <w:rPr>
          <w:lang w:val="pt-PT"/>
        </w:rPr>
        <w:t xml:space="preserve">4.   Se necessário nos termos do direito nacional, a autoridade competente pode solicitar ao tribunal competente que decida sobre o exercício dos poderes a que se referem os </w:t>
      </w:r>
      <w:proofErr w:type="spellStart"/>
      <w:proofErr w:type="gramStart"/>
      <w:r w:rsidRPr="00465964">
        <w:rPr>
          <w:lang w:val="pt-PT"/>
        </w:rPr>
        <w:t>n.</w:t>
      </w:r>
      <w:r w:rsidRPr="00465964">
        <w:rPr>
          <w:vertAlign w:val="superscript"/>
          <w:lang w:val="pt-PT"/>
        </w:rPr>
        <w:t>os</w:t>
      </w:r>
      <w:proofErr w:type="spellEnd"/>
      <w:proofErr w:type="gramEnd"/>
      <w:r w:rsidRPr="00465964">
        <w:rPr>
          <w:lang w:val="pt-PT"/>
        </w:rPr>
        <w:t> 1 e 2.</w:t>
      </w:r>
    </w:p>
    <w:p w14:paraId="501810F8" w14:textId="77777777" w:rsidR="00465964" w:rsidRPr="00465964" w:rsidRDefault="00465964" w:rsidP="00465964">
      <w:pPr>
        <w:rPr>
          <w:lang w:val="pt-PT"/>
        </w:rPr>
      </w:pPr>
      <w:r w:rsidRPr="00465964">
        <w:rPr>
          <w:lang w:val="pt-PT"/>
        </w:rPr>
        <w:t xml:space="preserve">5.   As autoridades competentes exercem os poderes a que se referem os </w:t>
      </w:r>
      <w:proofErr w:type="spellStart"/>
      <w:proofErr w:type="gramStart"/>
      <w:r w:rsidRPr="00465964">
        <w:rPr>
          <w:lang w:val="pt-PT"/>
        </w:rPr>
        <w:t>n.</w:t>
      </w:r>
      <w:r w:rsidRPr="00465964">
        <w:rPr>
          <w:vertAlign w:val="superscript"/>
          <w:lang w:val="pt-PT"/>
        </w:rPr>
        <w:t>os</w:t>
      </w:r>
      <w:proofErr w:type="spellEnd"/>
      <w:proofErr w:type="gramEnd"/>
      <w:r w:rsidRPr="00465964">
        <w:rPr>
          <w:lang w:val="pt-PT"/>
        </w:rPr>
        <w:t> 1 e 2 da seguinte forma:</w:t>
      </w:r>
    </w:p>
    <w:tbl>
      <w:tblPr>
        <w:tblW w:w="5000" w:type="pct"/>
        <w:tblCellMar>
          <w:left w:w="0" w:type="dxa"/>
          <w:right w:w="0" w:type="dxa"/>
        </w:tblCellMar>
        <w:tblLook w:val="04A0" w:firstRow="1" w:lastRow="0" w:firstColumn="1" w:lastColumn="0" w:noHBand="0" w:noVBand="1"/>
      </w:tblPr>
      <w:tblGrid>
        <w:gridCol w:w="1146"/>
        <w:gridCol w:w="7880"/>
      </w:tblGrid>
      <w:tr w:rsidR="00465964" w:rsidRPr="00465964" w14:paraId="3E95BA56" w14:textId="77777777" w:rsidTr="00465964">
        <w:tc>
          <w:tcPr>
            <w:tcW w:w="0" w:type="auto"/>
            <w:shd w:val="clear" w:color="auto" w:fill="auto"/>
            <w:hideMark/>
          </w:tcPr>
          <w:p w14:paraId="464FCBD7" w14:textId="77777777" w:rsidR="00465964" w:rsidRPr="00465964" w:rsidRDefault="00465964" w:rsidP="00465964">
            <w:r w:rsidRPr="00465964">
              <w:t>a)</w:t>
            </w:r>
          </w:p>
        </w:tc>
        <w:tc>
          <w:tcPr>
            <w:tcW w:w="0" w:type="auto"/>
            <w:shd w:val="clear" w:color="auto" w:fill="auto"/>
            <w:hideMark/>
          </w:tcPr>
          <w:p w14:paraId="7E4BD776" w14:textId="77777777" w:rsidR="00465964" w:rsidRPr="00465964" w:rsidRDefault="00465964" w:rsidP="00465964">
            <w:proofErr w:type="spellStart"/>
            <w:r w:rsidRPr="00465964">
              <w:t>Diretamente</w:t>
            </w:r>
            <w:proofErr w:type="spellEnd"/>
            <w:r w:rsidRPr="00465964">
              <w:t>;</w:t>
            </w:r>
          </w:p>
        </w:tc>
      </w:tr>
    </w:tbl>
    <w:p w14:paraId="111A4173"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8"/>
        <w:gridCol w:w="8838"/>
      </w:tblGrid>
      <w:tr w:rsidR="00465964" w:rsidRPr="00465964" w14:paraId="0B872A1C" w14:textId="77777777" w:rsidTr="00465964">
        <w:tc>
          <w:tcPr>
            <w:tcW w:w="0" w:type="auto"/>
            <w:shd w:val="clear" w:color="auto" w:fill="auto"/>
            <w:hideMark/>
          </w:tcPr>
          <w:p w14:paraId="374D81D7" w14:textId="77777777" w:rsidR="00465964" w:rsidRPr="00465964" w:rsidRDefault="00465964" w:rsidP="00465964">
            <w:r w:rsidRPr="00465964">
              <w:t>b)</w:t>
            </w:r>
          </w:p>
        </w:tc>
        <w:tc>
          <w:tcPr>
            <w:tcW w:w="0" w:type="auto"/>
            <w:shd w:val="clear" w:color="auto" w:fill="auto"/>
            <w:hideMark/>
          </w:tcPr>
          <w:p w14:paraId="337ADD43" w14:textId="77777777" w:rsidR="00465964" w:rsidRPr="00465964" w:rsidRDefault="00465964" w:rsidP="00465964">
            <w:pPr>
              <w:rPr>
                <w:lang w:val="pt-PT"/>
              </w:rPr>
            </w:pPr>
            <w:r w:rsidRPr="00465964">
              <w:rPr>
                <w:lang w:val="pt-PT"/>
              </w:rPr>
              <w:t>Em colaboração com outras autoridades, nomeadamente autoridades competentes em matéria de prevenção e luta contra o branqueamento de capitais e o financiamento do terrorismo;</w:t>
            </w:r>
          </w:p>
        </w:tc>
      </w:tr>
    </w:tbl>
    <w:p w14:paraId="5B6734AF"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205"/>
        <w:gridCol w:w="8821"/>
      </w:tblGrid>
      <w:tr w:rsidR="00465964" w:rsidRPr="00465964" w14:paraId="69DB351F" w14:textId="77777777" w:rsidTr="00465964">
        <w:tc>
          <w:tcPr>
            <w:tcW w:w="0" w:type="auto"/>
            <w:shd w:val="clear" w:color="auto" w:fill="auto"/>
            <w:hideMark/>
          </w:tcPr>
          <w:p w14:paraId="215D067A" w14:textId="77777777" w:rsidR="00465964" w:rsidRPr="00465964" w:rsidRDefault="00465964" w:rsidP="00465964">
            <w:r w:rsidRPr="00465964">
              <w:t>c)</w:t>
            </w:r>
          </w:p>
        </w:tc>
        <w:tc>
          <w:tcPr>
            <w:tcW w:w="0" w:type="auto"/>
            <w:shd w:val="clear" w:color="auto" w:fill="auto"/>
            <w:hideMark/>
          </w:tcPr>
          <w:p w14:paraId="08CE3530" w14:textId="77777777" w:rsidR="00465964" w:rsidRPr="00465964" w:rsidRDefault="00465964" w:rsidP="00465964">
            <w:pPr>
              <w:rPr>
                <w:lang w:val="pt-PT"/>
              </w:rPr>
            </w:pPr>
            <w:r w:rsidRPr="00465964">
              <w:rPr>
                <w:lang w:val="pt-PT"/>
              </w:rPr>
              <w:t>Sob a sua responsabilidade, por delegação nas autoridades referidas na alínea b);</w:t>
            </w:r>
          </w:p>
        </w:tc>
      </w:tr>
    </w:tbl>
    <w:p w14:paraId="1991D96E"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328"/>
        <w:gridCol w:w="8698"/>
      </w:tblGrid>
      <w:tr w:rsidR="00465964" w:rsidRPr="00465964" w14:paraId="1C4A30A5" w14:textId="77777777" w:rsidTr="00465964">
        <w:tc>
          <w:tcPr>
            <w:tcW w:w="0" w:type="auto"/>
            <w:shd w:val="clear" w:color="auto" w:fill="auto"/>
            <w:hideMark/>
          </w:tcPr>
          <w:p w14:paraId="0B4F0B69" w14:textId="77777777" w:rsidR="00465964" w:rsidRPr="00465964" w:rsidRDefault="00465964" w:rsidP="00465964">
            <w:r w:rsidRPr="00465964">
              <w:t>d)</w:t>
            </w:r>
          </w:p>
        </w:tc>
        <w:tc>
          <w:tcPr>
            <w:tcW w:w="0" w:type="auto"/>
            <w:shd w:val="clear" w:color="auto" w:fill="auto"/>
            <w:hideMark/>
          </w:tcPr>
          <w:p w14:paraId="72756254" w14:textId="77777777" w:rsidR="00465964" w:rsidRPr="00465964" w:rsidRDefault="00465964" w:rsidP="00465964">
            <w:pPr>
              <w:rPr>
                <w:lang w:val="pt-PT"/>
              </w:rPr>
            </w:pPr>
            <w:r w:rsidRPr="00465964">
              <w:rPr>
                <w:lang w:val="pt-PT"/>
              </w:rPr>
              <w:t>Mediante pedido dirigido aos tribunais competentes.</w:t>
            </w:r>
          </w:p>
        </w:tc>
      </w:tr>
    </w:tbl>
    <w:p w14:paraId="6538F4CB" w14:textId="77777777" w:rsidR="00465964" w:rsidRPr="00465964" w:rsidRDefault="00465964" w:rsidP="00465964">
      <w:pPr>
        <w:rPr>
          <w:lang w:val="pt-PT"/>
        </w:rPr>
      </w:pPr>
      <w:r w:rsidRPr="00465964">
        <w:rPr>
          <w:lang w:val="pt-PT"/>
        </w:rPr>
        <w:t>6.   Os Estados-Membros asseguram que existem medidas adequadas para que as autoridades competentes possam exercer os poderes de supervisão e investigação imprescindíveis ao desempenho das suas funções.</w:t>
      </w:r>
    </w:p>
    <w:p w14:paraId="5513FB31" w14:textId="77777777" w:rsidR="00465964" w:rsidRPr="00465964" w:rsidRDefault="00465964" w:rsidP="00465964">
      <w:pPr>
        <w:rPr>
          <w:lang w:val="pt-PT"/>
        </w:rPr>
      </w:pPr>
      <w:r w:rsidRPr="00465964">
        <w:rPr>
          <w:lang w:val="pt-PT"/>
        </w:rPr>
        <w:lastRenderedPageBreak/>
        <w:t>7.   A comunicação de informações às autoridades competentes nos termos do presente regulamento não é considerada uma infração a qualquer restrição relativa à divulgação de informações imposta contratualmente ou por qualquer disposição legislativa, regulamentar ou administrativa, não ficando a pessoa que efetua tal comunicação sujeita a qualquer tipo de responsabilidade com ela relacionada.</w:t>
      </w:r>
    </w:p>
    <w:p w14:paraId="7A9872C5" w14:textId="77777777" w:rsidR="00465964" w:rsidRPr="00465964" w:rsidRDefault="00465964" w:rsidP="00465964">
      <w:pPr>
        <w:rPr>
          <w:i/>
          <w:iCs/>
          <w:lang w:val="pt-PT"/>
        </w:rPr>
      </w:pPr>
      <w:r w:rsidRPr="00465964">
        <w:rPr>
          <w:i/>
          <w:iCs/>
          <w:lang w:val="pt-PT"/>
        </w:rPr>
        <w:t>Artigo 95.</w:t>
      </w:r>
      <w:r w:rsidRPr="00465964">
        <w:rPr>
          <w:i/>
          <w:iCs/>
          <w:vertAlign w:val="superscript"/>
          <w:lang w:val="pt-PT"/>
        </w:rPr>
        <w:t>o</w:t>
      </w:r>
    </w:p>
    <w:p w14:paraId="4577E5F4" w14:textId="77777777" w:rsidR="00465964" w:rsidRPr="00465964" w:rsidRDefault="00465964" w:rsidP="00465964">
      <w:pPr>
        <w:rPr>
          <w:b/>
          <w:bCs/>
          <w:lang w:val="pt-PT"/>
        </w:rPr>
      </w:pPr>
      <w:r w:rsidRPr="00465964">
        <w:rPr>
          <w:b/>
          <w:bCs/>
          <w:lang w:val="pt-PT"/>
        </w:rPr>
        <w:t>Cooperação entre as autoridades competentes</w:t>
      </w:r>
    </w:p>
    <w:p w14:paraId="23BD9B2F" w14:textId="77777777" w:rsidR="00465964" w:rsidRPr="00465964" w:rsidRDefault="00465964" w:rsidP="00465964">
      <w:pPr>
        <w:rPr>
          <w:lang w:val="pt-PT"/>
        </w:rPr>
      </w:pPr>
      <w:r w:rsidRPr="00465964">
        <w:rPr>
          <w:lang w:val="pt-PT"/>
        </w:rPr>
        <w:t>1.   As autoridades competentes cooperam entre si para efeito do presente regulamento. As autoridades competentes prestam assistência às autoridades competentes de outros Estados-Membros, bem como à EBA e à ESMA. Procedem à troca de informações sem demora injustificada e cooperam nas atividades de investigação, supervisão e execução da lei.</w:t>
      </w:r>
    </w:p>
    <w:p w14:paraId="3BF70FE0" w14:textId="77777777" w:rsidR="00465964" w:rsidRPr="00465964" w:rsidRDefault="00465964" w:rsidP="00465964">
      <w:pPr>
        <w:rPr>
          <w:lang w:val="pt-PT"/>
        </w:rPr>
      </w:pPr>
      <w:r w:rsidRPr="00465964">
        <w:rPr>
          <w:lang w:val="pt-PT"/>
        </w:rPr>
        <w:t>Caso os Estados-Membros tenham, nos termos do artigo 111.</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1, segundo parágrafo, estabelecido sanções penais pelas infrações ao presente regulamento a que se refere o artigo 111.</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1, primeiro parágrafo, devem assegurar que existem medidas adequadas para que as autoridades competentes disponham de todos os poderes necessários para assegurar a ligação com as autoridades judiciais, as autoridades competentes para o exercício da ação penal ou as autoridades de justiça penal na sua jurisdição, a fim de receberem informações específicas relacionadas com as investigações ou processos penais instaurados por infrações ao presente regulamento, e de prestarem essas mesmas informações a outras autoridades competentes, bem como à EBA e à ESMA, em cumprimento da sua obrigação de cooperação para efeitos do presente regulamento.</w:t>
      </w:r>
    </w:p>
    <w:p w14:paraId="1028C7E3" w14:textId="77777777" w:rsidR="00465964" w:rsidRPr="00465964" w:rsidRDefault="00465964" w:rsidP="00465964">
      <w:pPr>
        <w:rPr>
          <w:lang w:val="pt-PT"/>
        </w:rPr>
      </w:pPr>
      <w:r w:rsidRPr="00465964">
        <w:rPr>
          <w:lang w:val="pt-PT"/>
        </w:rPr>
        <w:t>2.   As autoridades competentes só podem indeferir um pedido de informação ou de cooperação com uma investigação nos seguintes casos:</w:t>
      </w:r>
    </w:p>
    <w:tbl>
      <w:tblPr>
        <w:tblW w:w="5000" w:type="pct"/>
        <w:tblCellMar>
          <w:left w:w="0" w:type="dxa"/>
          <w:right w:w="0" w:type="dxa"/>
        </w:tblCellMar>
        <w:tblLook w:val="04A0" w:firstRow="1" w:lastRow="0" w:firstColumn="1" w:lastColumn="0" w:noHBand="0" w:noVBand="1"/>
      </w:tblPr>
      <w:tblGrid>
        <w:gridCol w:w="182"/>
        <w:gridCol w:w="8844"/>
      </w:tblGrid>
      <w:tr w:rsidR="00465964" w:rsidRPr="00465964" w14:paraId="79142E3F" w14:textId="77777777" w:rsidTr="00465964">
        <w:tc>
          <w:tcPr>
            <w:tcW w:w="0" w:type="auto"/>
            <w:shd w:val="clear" w:color="auto" w:fill="auto"/>
            <w:hideMark/>
          </w:tcPr>
          <w:p w14:paraId="07891C32" w14:textId="77777777" w:rsidR="00465964" w:rsidRPr="00465964" w:rsidRDefault="00465964" w:rsidP="00465964">
            <w:r w:rsidRPr="00465964">
              <w:t>a)</w:t>
            </w:r>
          </w:p>
        </w:tc>
        <w:tc>
          <w:tcPr>
            <w:tcW w:w="0" w:type="auto"/>
            <w:shd w:val="clear" w:color="auto" w:fill="auto"/>
            <w:hideMark/>
          </w:tcPr>
          <w:p w14:paraId="320B5DA4" w14:textId="77777777" w:rsidR="00465964" w:rsidRPr="00465964" w:rsidRDefault="00465964" w:rsidP="00465964">
            <w:pPr>
              <w:rPr>
                <w:lang w:val="pt-PT"/>
              </w:rPr>
            </w:pPr>
            <w:r w:rsidRPr="00465964">
              <w:rPr>
                <w:lang w:val="pt-PT"/>
              </w:rPr>
              <w:t>Caso a comunicação das informações pertinentes possa prejudicar a segurança do Estado-Membro ao qual o pedido foi dirigido, em especial a luta contra o terrorismo e outras infrações graves;</w:t>
            </w:r>
          </w:p>
        </w:tc>
      </w:tr>
    </w:tbl>
    <w:p w14:paraId="163F26A4"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8"/>
        <w:gridCol w:w="8838"/>
      </w:tblGrid>
      <w:tr w:rsidR="00465964" w:rsidRPr="00465964" w14:paraId="42647FB9" w14:textId="77777777" w:rsidTr="00465964">
        <w:tc>
          <w:tcPr>
            <w:tcW w:w="0" w:type="auto"/>
            <w:shd w:val="clear" w:color="auto" w:fill="auto"/>
            <w:hideMark/>
          </w:tcPr>
          <w:p w14:paraId="0FBA2FE2" w14:textId="77777777" w:rsidR="00465964" w:rsidRPr="00465964" w:rsidRDefault="00465964" w:rsidP="00465964">
            <w:r w:rsidRPr="00465964">
              <w:t>b)</w:t>
            </w:r>
          </w:p>
        </w:tc>
        <w:tc>
          <w:tcPr>
            <w:tcW w:w="0" w:type="auto"/>
            <w:shd w:val="clear" w:color="auto" w:fill="auto"/>
            <w:hideMark/>
          </w:tcPr>
          <w:p w14:paraId="74CB9D75" w14:textId="77777777" w:rsidR="00465964" w:rsidRPr="00465964" w:rsidRDefault="00465964" w:rsidP="00465964">
            <w:pPr>
              <w:rPr>
                <w:lang w:val="pt-PT"/>
              </w:rPr>
            </w:pPr>
            <w:r w:rsidRPr="00465964">
              <w:rPr>
                <w:lang w:val="pt-PT"/>
              </w:rPr>
              <w:t>Caso o cumprimento do pedido possa prejudicar a sua própria investigação, as suas atividades de aplicação da lei ou, se for caso disso, uma investigação criminal;</w:t>
            </w:r>
          </w:p>
        </w:tc>
      </w:tr>
    </w:tbl>
    <w:p w14:paraId="2484BD8A"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0"/>
        <w:gridCol w:w="8846"/>
      </w:tblGrid>
      <w:tr w:rsidR="00465964" w:rsidRPr="00465964" w14:paraId="20B17E1D" w14:textId="77777777" w:rsidTr="00465964">
        <w:tc>
          <w:tcPr>
            <w:tcW w:w="0" w:type="auto"/>
            <w:shd w:val="clear" w:color="auto" w:fill="auto"/>
            <w:hideMark/>
          </w:tcPr>
          <w:p w14:paraId="13682F1A" w14:textId="77777777" w:rsidR="00465964" w:rsidRPr="00465964" w:rsidRDefault="00465964" w:rsidP="00465964">
            <w:r w:rsidRPr="00465964">
              <w:t>c)</w:t>
            </w:r>
          </w:p>
        </w:tc>
        <w:tc>
          <w:tcPr>
            <w:tcW w:w="0" w:type="auto"/>
            <w:shd w:val="clear" w:color="auto" w:fill="auto"/>
            <w:hideMark/>
          </w:tcPr>
          <w:p w14:paraId="1EE3B55D" w14:textId="77777777" w:rsidR="00465964" w:rsidRPr="00465964" w:rsidRDefault="00465964" w:rsidP="00465964">
            <w:pPr>
              <w:rPr>
                <w:lang w:val="pt-PT"/>
              </w:rPr>
            </w:pPr>
            <w:r w:rsidRPr="00465964">
              <w:rPr>
                <w:lang w:val="pt-PT"/>
              </w:rPr>
              <w:t>Caso já tenha sido intentada uma ação relativamente aos mesmos atos e contra as mesmas pessoas singulares ou coletivas nos tribunais do Estado-Membro ao qual o pedido foi dirigido;</w:t>
            </w:r>
          </w:p>
        </w:tc>
      </w:tr>
    </w:tbl>
    <w:p w14:paraId="543FE365"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8"/>
        <w:gridCol w:w="8838"/>
      </w:tblGrid>
      <w:tr w:rsidR="00465964" w:rsidRPr="00465964" w14:paraId="11205CB4" w14:textId="77777777" w:rsidTr="00465964">
        <w:tc>
          <w:tcPr>
            <w:tcW w:w="0" w:type="auto"/>
            <w:shd w:val="clear" w:color="auto" w:fill="auto"/>
            <w:hideMark/>
          </w:tcPr>
          <w:p w14:paraId="320370C2" w14:textId="77777777" w:rsidR="00465964" w:rsidRPr="00465964" w:rsidRDefault="00465964" w:rsidP="00465964">
            <w:r w:rsidRPr="00465964">
              <w:t>d)</w:t>
            </w:r>
          </w:p>
        </w:tc>
        <w:tc>
          <w:tcPr>
            <w:tcW w:w="0" w:type="auto"/>
            <w:shd w:val="clear" w:color="auto" w:fill="auto"/>
            <w:hideMark/>
          </w:tcPr>
          <w:p w14:paraId="49099EDD" w14:textId="77777777" w:rsidR="00465964" w:rsidRPr="00465964" w:rsidRDefault="00465964" w:rsidP="00465964">
            <w:pPr>
              <w:rPr>
                <w:lang w:val="pt-PT"/>
              </w:rPr>
            </w:pPr>
            <w:r w:rsidRPr="00465964">
              <w:rPr>
                <w:lang w:val="pt-PT"/>
              </w:rPr>
              <w:t>Caso já tenha transitado em julgado uma decisão relativamente aos mesmos factos e contra as mesmas pessoas singulares ou coletivas, no Estado-Membro ao qual o pedido foi dirigido.</w:t>
            </w:r>
          </w:p>
        </w:tc>
      </w:tr>
    </w:tbl>
    <w:p w14:paraId="219125C2" w14:textId="77777777" w:rsidR="00465964" w:rsidRPr="00465964" w:rsidRDefault="00465964" w:rsidP="00465964">
      <w:pPr>
        <w:rPr>
          <w:lang w:val="pt-PT"/>
        </w:rPr>
      </w:pPr>
      <w:r w:rsidRPr="00465964">
        <w:rPr>
          <w:lang w:val="pt-PT"/>
        </w:rPr>
        <w:t>3.   As autoridades competentes prestam sem demora injustificada, mediante pedido, quaisquer informações solicitadas para efeitos do presente regulamento.</w:t>
      </w:r>
    </w:p>
    <w:p w14:paraId="58623813" w14:textId="77777777" w:rsidR="00465964" w:rsidRPr="00465964" w:rsidRDefault="00465964" w:rsidP="00465964">
      <w:pPr>
        <w:rPr>
          <w:lang w:val="pt-PT"/>
        </w:rPr>
      </w:pPr>
      <w:r w:rsidRPr="00465964">
        <w:rPr>
          <w:lang w:val="pt-PT"/>
        </w:rPr>
        <w:t>4.   A autoridade competente pode solicitar assistência à autoridade competente de outro Estado-Membro no que respeita a investigações ou a inspeções no local.</w:t>
      </w:r>
    </w:p>
    <w:p w14:paraId="4B0E1E5F" w14:textId="77777777" w:rsidR="00465964" w:rsidRPr="00465964" w:rsidRDefault="00465964" w:rsidP="00465964">
      <w:pPr>
        <w:rPr>
          <w:lang w:val="pt-PT"/>
        </w:rPr>
      </w:pPr>
      <w:r w:rsidRPr="00465964">
        <w:rPr>
          <w:lang w:val="pt-PT"/>
        </w:rPr>
        <w:t>A autoridade competente requerente informa a EBA e a ESMA de qualquer pedido de assistência efetuado nos termos do primeiro parágrafo. Caso uma autoridade competente receba um pedido de uma autoridade competente de outro Estado-Membro para realizar uma investigação ou uma inspeção no local, pode:</w:t>
      </w:r>
    </w:p>
    <w:tbl>
      <w:tblPr>
        <w:tblW w:w="5000" w:type="pct"/>
        <w:tblCellMar>
          <w:left w:w="0" w:type="dxa"/>
          <w:right w:w="0" w:type="dxa"/>
        </w:tblCellMar>
        <w:tblLook w:val="04A0" w:firstRow="1" w:lastRow="0" w:firstColumn="1" w:lastColumn="0" w:noHBand="0" w:noVBand="1"/>
      </w:tblPr>
      <w:tblGrid>
        <w:gridCol w:w="292"/>
        <w:gridCol w:w="8734"/>
      </w:tblGrid>
      <w:tr w:rsidR="00465964" w:rsidRPr="00465964" w14:paraId="688BF682" w14:textId="77777777" w:rsidTr="00465964">
        <w:tc>
          <w:tcPr>
            <w:tcW w:w="0" w:type="auto"/>
            <w:shd w:val="clear" w:color="auto" w:fill="auto"/>
            <w:hideMark/>
          </w:tcPr>
          <w:p w14:paraId="77B00ACF" w14:textId="77777777" w:rsidR="00465964" w:rsidRPr="00465964" w:rsidRDefault="00465964" w:rsidP="00465964">
            <w:r w:rsidRPr="00465964">
              <w:lastRenderedPageBreak/>
              <w:t>a)</w:t>
            </w:r>
          </w:p>
        </w:tc>
        <w:tc>
          <w:tcPr>
            <w:tcW w:w="0" w:type="auto"/>
            <w:shd w:val="clear" w:color="auto" w:fill="auto"/>
            <w:hideMark/>
          </w:tcPr>
          <w:p w14:paraId="379BA168" w14:textId="77777777" w:rsidR="00465964" w:rsidRPr="00465964" w:rsidRDefault="00465964" w:rsidP="00465964">
            <w:pPr>
              <w:rPr>
                <w:lang w:val="pt-PT"/>
              </w:rPr>
            </w:pPr>
            <w:r w:rsidRPr="00465964">
              <w:rPr>
                <w:lang w:val="pt-PT"/>
              </w:rPr>
              <w:t>Realizar ela própria a investigação ou a inspeção no local;</w:t>
            </w:r>
          </w:p>
        </w:tc>
      </w:tr>
    </w:tbl>
    <w:p w14:paraId="5C7CD05C"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8"/>
        <w:gridCol w:w="8838"/>
      </w:tblGrid>
      <w:tr w:rsidR="00465964" w:rsidRPr="00465964" w14:paraId="7D138236" w14:textId="77777777" w:rsidTr="00465964">
        <w:tc>
          <w:tcPr>
            <w:tcW w:w="0" w:type="auto"/>
            <w:shd w:val="clear" w:color="auto" w:fill="auto"/>
            <w:hideMark/>
          </w:tcPr>
          <w:p w14:paraId="3B525248" w14:textId="77777777" w:rsidR="00465964" w:rsidRPr="00465964" w:rsidRDefault="00465964" w:rsidP="00465964">
            <w:r w:rsidRPr="00465964">
              <w:t>b)</w:t>
            </w:r>
          </w:p>
        </w:tc>
        <w:tc>
          <w:tcPr>
            <w:tcW w:w="0" w:type="auto"/>
            <w:shd w:val="clear" w:color="auto" w:fill="auto"/>
            <w:hideMark/>
          </w:tcPr>
          <w:p w14:paraId="602B6D78" w14:textId="77777777" w:rsidR="00465964" w:rsidRPr="00465964" w:rsidRDefault="00465964" w:rsidP="00465964">
            <w:pPr>
              <w:rPr>
                <w:lang w:val="pt-PT"/>
              </w:rPr>
            </w:pPr>
            <w:r w:rsidRPr="00465964">
              <w:rPr>
                <w:lang w:val="pt-PT"/>
              </w:rPr>
              <w:t>Autorizar a autoridade competente requerente a participar na investigação ou na inspeção no local;</w:t>
            </w:r>
          </w:p>
        </w:tc>
      </w:tr>
    </w:tbl>
    <w:p w14:paraId="707747DA"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0"/>
        <w:gridCol w:w="8846"/>
      </w:tblGrid>
      <w:tr w:rsidR="00465964" w:rsidRPr="00465964" w14:paraId="2E6DED63" w14:textId="77777777" w:rsidTr="00465964">
        <w:tc>
          <w:tcPr>
            <w:tcW w:w="0" w:type="auto"/>
            <w:shd w:val="clear" w:color="auto" w:fill="auto"/>
            <w:hideMark/>
          </w:tcPr>
          <w:p w14:paraId="2B0C6850" w14:textId="77777777" w:rsidR="00465964" w:rsidRPr="00465964" w:rsidRDefault="00465964" w:rsidP="00465964">
            <w:r w:rsidRPr="00465964">
              <w:t>c)</w:t>
            </w:r>
          </w:p>
        </w:tc>
        <w:tc>
          <w:tcPr>
            <w:tcW w:w="0" w:type="auto"/>
            <w:shd w:val="clear" w:color="auto" w:fill="auto"/>
            <w:hideMark/>
          </w:tcPr>
          <w:p w14:paraId="160A911E" w14:textId="77777777" w:rsidR="00465964" w:rsidRPr="00465964" w:rsidRDefault="00465964" w:rsidP="00465964">
            <w:pPr>
              <w:rPr>
                <w:lang w:val="pt-PT"/>
              </w:rPr>
            </w:pPr>
            <w:r w:rsidRPr="00465964">
              <w:rPr>
                <w:lang w:val="pt-PT"/>
              </w:rPr>
              <w:t>Autorizar a autoridade competente requerente a realizar ela própria a investigação ou a inspeção no local;</w:t>
            </w:r>
          </w:p>
        </w:tc>
      </w:tr>
    </w:tbl>
    <w:p w14:paraId="4A38BF5D"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8"/>
        <w:gridCol w:w="8838"/>
      </w:tblGrid>
      <w:tr w:rsidR="00465964" w:rsidRPr="00465964" w14:paraId="30649E27" w14:textId="77777777" w:rsidTr="00465964">
        <w:tc>
          <w:tcPr>
            <w:tcW w:w="0" w:type="auto"/>
            <w:shd w:val="clear" w:color="auto" w:fill="auto"/>
            <w:hideMark/>
          </w:tcPr>
          <w:p w14:paraId="7E1228CD" w14:textId="77777777" w:rsidR="00465964" w:rsidRPr="00465964" w:rsidRDefault="00465964" w:rsidP="00465964">
            <w:r w:rsidRPr="00465964">
              <w:t>d)</w:t>
            </w:r>
          </w:p>
        </w:tc>
        <w:tc>
          <w:tcPr>
            <w:tcW w:w="0" w:type="auto"/>
            <w:shd w:val="clear" w:color="auto" w:fill="auto"/>
            <w:hideMark/>
          </w:tcPr>
          <w:p w14:paraId="19B42E65" w14:textId="77777777" w:rsidR="00465964" w:rsidRPr="00465964" w:rsidRDefault="00465964" w:rsidP="00465964">
            <w:pPr>
              <w:rPr>
                <w:lang w:val="pt-PT"/>
              </w:rPr>
            </w:pPr>
            <w:r w:rsidRPr="00465964">
              <w:rPr>
                <w:lang w:val="pt-PT"/>
              </w:rPr>
              <w:t>Partilhar com as outras autoridades competentes funções específicas relacionadas com atividades de supervisão.</w:t>
            </w:r>
          </w:p>
        </w:tc>
      </w:tr>
    </w:tbl>
    <w:p w14:paraId="1F140042" w14:textId="77777777" w:rsidR="00465964" w:rsidRPr="00465964" w:rsidRDefault="00465964" w:rsidP="00465964">
      <w:pPr>
        <w:rPr>
          <w:lang w:val="pt-PT"/>
        </w:rPr>
      </w:pPr>
      <w:r w:rsidRPr="00465964">
        <w:rPr>
          <w:lang w:val="pt-PT"/>
        </w:rPr>
        <w:t xml:space="preserve">5.   No caso de uma investigação ou de uma inspeção no local referida no </w:t>
      </w:r>
      <w:proofErr w:type="spellStart"/>
      <w:r w:rsidRPr="00465964">
        <w:rPr>
          <w:lang w:val="pt-PT"/>
        </w:rPr>
        <w:t>n.</w:t>
      </w:r>
      <w:r w:rsidRPr="00465964">
        <w:rPr>
          <w:vertAlign w:val="superscript"/>
          <w:lang w:val="pt-PT"/>
        </w:rPr>
        <w:t>o</w:t>
      </w:r>
      <w:proofErr w:type="spellEnd"/>
      <w:r w:rsidRPr="00465964">
        <w:rPr>
          <w:lang w:val="pt-PT"/>
        </w:rPr>
        <w:t> 4, a ESMA coordena a inspeção ou a investigação sempre que tal lhe seja solicitado por uma das autoridades competentes.</w:t>
      </w:r>
    </w:p>
    <w:p w14:paraId="5D5A9F65" w14:textId="1B6D32D1" w:rsidR="00465964" w:rsidRPr="00465964" w:rsidRDefault="00465964" w:rsidP="00465964">
      <w:pPr>
        <w:rPr>
          <w:lang w:val="pt-PT"/>
        </w:rPr>
      </w:pPr>
      <w:r w:rsidRPr="00465964">
        <w:rPr>
          <w:lang w:val="pt-PT"/>
        </w:rPr>
        <w:t xml:space="preserve">Caso a investigação ou a inspeção no local referida no </w:t>
      </w:r>
      <w:proofErr w:type="spellStart"/>
      <w:r w:rsidRPr="00465964">
        <w:rPr>
          <w:lang w:val="pt-PT"/>
        </w:rPr>
        <w:t>n.</w:t>
      </w:r>
      <w:r w:rsidRPr="00465964">
        <w:rPr>
          <w:vertAlign w:val="superscript"/>
          <w:lang w:val="pt-PT"/>
        </w:rPr>
        <w:t>o</w:t>
      </w:r>
      <w:proofErr w:type="spellEnd"/>
      <w:r w:rsidRPr="00465964">
        <w:rPr>
          <w:lang w:val="pt-PT"/>
        </w:rPr>
        <w:t xml:space="preserve"> 4 diga respeito a um emitente de uma </w:t>
      </w:r>
      <w:proofErr w:type="spellStart"/>
      <w:r w:rsidRPr="00465964">
        <w:rPr>
          <w:lang w:val="pt-PT"/>
        </w:rPr>
        <w:t>criptoficha</w:t>
      </w:r>
      <w:proofErr w:type="spellEnd"/>
      <w:r w:rsidRPr="00465964">
        <w:rPr>
          <w:lang w:val="pt-PT"/>
        </w:rPr>
        <w:t xml:space="preserve"> referenciada a ativos ou de uma </w:t>
      </w:r>
      <w:proofErr w:type="spellStart"/>
      <w:r w:rsidRPr="00465964">
        <w:rPr>
          <w:lang w:val="pt-PT"/>
        </w:rPr>
        <w:t>criptoficha</w:t>
      </w:r>
      <w:proofErr w:type="spellEnd"/>
      <w:r w:rsidRPr="00465964">
        <w:rPr>
          <w:lang w:val="pt-PT"/>
        </w:rPr>
        <w:t xml:space="preserve"> de moeda eletrónica, ou a serviços de criptoativos relacionados com </w:t>
      </w:r>
      <w:r>
        <w:rPr>
          <w:lang w:val="pt-PT"/>
        </w:rPr>
        <w:t>criptomoedas</w:t>
      </w:r>
      <w:r w:rsidRPr="00465964">
        <w:rPr>
          <w:lang w:val="pt-PT"/>
        </w:rPr>
        <w:t xml:space="preserve"> referenciadas a ativos ou com </w:t>
      </w:r>
      <w:r>
        <w:rPr>
          <w:lang w:val="pt-PT"/>
        </w:rPr>
        <w:t>criptomoedas</w:t>
      </w:r>
      <w:r w:rsidRPr="00465964">
        <w:rPr>
          <w:lang w:val="pt-PT"/>
        </w:rPr>
        <w:t xml:space="preserve"> de moeda eletrónica, a EBA, a pedido de uma das autoridades competentes, coordena essa inspeção ou investigação.</w:t>
      </w:r>
    </w:p>
    <w:p w14:paraId="78A1C11A" w14:textId="77777777" w:rsidR="00465964" w:rsidRPr="00465964" w:rsidRDefault="00465964" w:rsidP="00465964">
      <w:pPr>
        <w:rPr>
          <w:lang w:val="pt-PT"/>
        </w:rPr>
      </w:pPr>
      <w:r w:rsidRPr="00465964">
        <w:rPr>
          <w:lang w:val="pt-PT"/>
        </w:rPr>
        <w:t>6.   As autoridades competentes podem suscitar a questão junto da ESMA em situações em que tenha sido indeferido um pedido de cooperação, em especial de troca de informações, ou em que não lhe tenha sido dado seguimento num prazo razoável. O artigo 19.</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xml:space="preserve"> 4, do Regulamento (UE) </w:t>
      </w:r>
      <w:proofErr w:type="spellStart"/>
      <w:r w:rsidRPr="00465964">
        <w:rPr>
          <w:lang w:val="pt-PT"/>
        </w:rPr>
        <w:t>n.</w:t>
      </w:r>
      <w:r w:rsidRPr="00465964">
        <w:rPr>
          <w:vertAlign w:val="superscript"/>
          <w:lang w:val="pt-PT"/>
        </w:rPr>
        <w:t>o</w:t>
      </w:r>
      <w:proofErr w:type="spellEnd"/>
      <w:r w:rsidRPr="00465964">
        <w:rPr>
          <w:lang w:val="pt-PT"/>
        </w:rPr>
        <w:t> 1095/2010 é aplicável, com as devidas adaptações, em tais situações.</w:t>
      </w:r>
    </w:p>
    <w:p w14:paraId="7079F35C" w14:textId="313481E8" w:rsidR="00465964" w:rsidRPr="00465964" w:rsidRDefault="00465964" w:rsidP="00465964">
      <w:pPr>
        <w:rPr>
          <w:lang w:val="pt-PT"/>
        </w:rPr>
      </w:pPr>
      <w:r w:rsidRPr="00465964">
        <w:rPr>
          <w:lang w:val="pt-PT"/>
        </w:rPr>
        <w:t xml:space="preserve">7.   Em derrogação do disposto no </w:t>
      </w:r>
      <w:proofErr w:type="spellStart"/>
      <w:r w:rsidRPr="00465964">
        <w:rPr>
          <w:lang w:val="pt-PT"/>
        </w:rPr>
        <w:t>n.</w:t>
      </w:r>
      <w:r w:rsidRPr="00465964">
        <w:rPr>
          <w:vertAlign w:val="superscript"/>
          <w:lang w:val="pt-PT"/>
        </w:rPr>
        <w:t>o</w:t>
      </w:r>
      <w:proofErr w:type="spellEnd"/>
      <w:r w:rsidRPr="00465964">
        <w:rPr>
          <w:lang w:val="pt-PT"/>
        </w:rPr>
        <w:t xml:space="preserve"> 6 do presente artigo, as autoridades competentes podem suscitar a questão junto da EBA nas situações em que tenha sido indeferido um pedido de cooperação, nomeadamente de informação respeitante a um emitente de uma </w:t>
      </w:r>
      <w:proofErr w:type="spellStart"/>
      <w:r w:rsidRPr="00465964">
        <w:rPr>
          <w:lang w:val="pt-PT"/>
        </w:rPr>
        <w:t>criptoficha</w:t>
      </w:r>
      <w:proofErr w:type="spellEnd"/>
      <w:r w:rsidRPr="00465964">
        <w:rPr>
          <w:lang w:val="pt-PT"/>
        </w:rPr>
        <w:t xml:space="preserve"> referenciada a ativos ou de uma </w:t>
      </w:r>
      <w:proofErr w:type="spellStart"/>
      <w:r w:rsidRPr="00465964">
        <w:rPr>
          <w:lang w:val="pt-PT"/>
        </w:rPr>
        <w:t>criptoficha</w:t>
      </w:r>
      <w:proofErr w:type="spellEnd"/>
      <w:r w:rsidRPr="00465964">
        <w:rPr>
          <w:lang w:val="pt-PT"/>
        </w:rPr>
        <w:t xml:space="preserve"> de moeda eletrónica ou de informação respeitante a serviços de criptoativos relacionados com </w:t>
      </w:r>
      <w:r>
        <w:rPr>
          <w:lang w:val="pt-PT"/>
        </w:rPr>
        <w:t>criptomoedas</w:t>
      </w:r>
      <w:r w:rsidRPr="00465964">
        <w:rPr>
          <w:lang w:val="pt-PT"/>
        </w:rPr>
        <w:t xml:space="preserve"> referenciadas a ativos ou </w:t>
      </w:r>
      <w:r>
        <w:rPr>
          <w:lang w:val="pt-PT"/>
        </w:rPr>
        <w:t>criptomoedas</w:t>
      </w:r>
      <w:r w:rsidRPr="00465964">
        <w:rPr>
          <w:lang w:val="pt-PT"/>
        </w:rPr>
        <w:t xml:space="preserve"> de moeda eletrónica, ou em que não tenha sido dado seguimento a este pedido num prazo razoável. O artigo 19.</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xml:space="preserve"> 4, do Regulamento (UE) </w:t>
      </w:r>
      <w:proofErr w:type="spellStart"/>
      <w:r w:rsidRPr="00465964">
        <w:rPr>
          <w:lang w:val="pt-PT"/>
        </w:rPr>
        <w:t>n.</w:t>
      </w:r>
      <w:r w:rsidRPr="00465964">
        <w:rPr>
          <w:vertAlign w:val="superscript"/>
          <w:lang w:val="pt-PT"/>
        </w:rPr>
        <w:t>o</w:t>
      </w:r>
      <w:proofErr w:type="spellEnd"/>
      <w:r w:rsidRPr="00465964">
        <w:rPr>
          <w:lang w:val="pt-PT"/>
        </w:rPr>
        <w:t> 1093/2010 é aplicável, com as devidas adaptações, em tais situações.</w:t>
      </w:r>
    </w:p>
    <w:p w14:paraId="117A0670" w14:textId="77777777" w:rsidR="00465964" w:rsidRPr="00465964" w:rsidRDefault="00465964" w:rsidP="00465964">
      <w:pPr>
        <w:rPr>
          <w:lang w:val="pt-PT"/>
        </w:rPr>
      </w:pPr>
      <w:r w:rsidRPr="00465964">
        <w:rPr>
          <w:lang w:val="pt-PT"/>
        </w:rPr>
        <w:t xml:space="preserve">8.   As autoridades competentes coordenam estreitamente a sua supervisão de modo a identificarem e corrigirem as infrações ao presente regulamento, desenvolverem e promoverem as boas práticas, facilitarem a colaboração, promoverem a coerência da interpretação e facultarem avaliações </w:t>
      </w:r>
      <w:proofErr w:type="spellStart"/>
      <w:r w:rsidRPr="00465964">
        <w:rPr>
          <w:lang w:val="pt-PT"/>
        </w:rPr>
        <w:t>transjurisdicionais</w:t>
      </w:r>
      <w:proofErr w:type="spellEnd"/>
      <w:r w:rsidRPr="00465964">
        <w:rPr>
          <w:lang w:val="pt-PT"/>
        </w:rPr>
        <w:t xml:space="preserve"> em caso de desacordo.</w:t>
      </w:r>
    </w:p>
    <w:p w14:paraId="1155AD77" w14:textId="77777777" w:rsidR="00465964" w:rsidRPr="00465964" w:rsidRDefault="00465964" w:rsidP="00465964">
      <w:pPr>
        <w:rPr>
          <w:lang w:val="pt-PT"/>
        </w:rPr>
      </w:pPr>
      <w:r w:rsidRPr="00465964">
        <w:rPr>
          <w:lang w:val="pt-PT"/>
        </w:rPr>
        <w:t>Para efeitos do primeiro parágrafo do presente número, a EBA e a ESMA desempenham um papel de coordenação entre as autoridades competentes e a nível dos colégios de supervisão a que se refere o artigo 119.</w:t>
      </w:r>
      <w:r w:rsidRPr="00465964">
        <w:rPr>
          <w:vertAlign w:val="superscript"/>
          <w:lang w:val="pt-PT"/>
        </w:rPr>
        <w:t>o</w:t>
      </w:r>
      <w:r w:rsidRPr="00465964">
        <w:rPr>
          <w:lang w:val="pt-PT"/>
        </w:rPr>
        <w:t>, a fim de instituir uma cultura de supervisão comum e práticas de supervisão uniformes e assegurar procedimentos uniformes.</w:t>
      </w:r>
    </w:p>
    <w:p w14:paraId="1EEC593E" w14:textId="77777777" w:rsidR="00465964" w:rsidRPr="00465964" w:rsidRDefault="00465964" w:rsidP="00465964">
      <w:pPr>
        <w:rPr>
          <w:lang w:val="pt-PT"/>
        </w:rPr>
      </w:pPr>
      <w:r w:rsidRPr="00465964">
        <w:rPr>
          <w:lang w:val="pt-PT"/>
        </w:rPr>
        <w:t>9.   Caso uma autoridade competente constate que um dos requisitos estabelecidos no presente regulamento não é cumprido, ou tenha razões para supor que assim é, comunica esse facto, de forma suficientemente detalhada, à autoridade competente da entidade ou entidades suspeitas de tal infração.</w:t>
      </w:r>
    </w:p>
    <w:p w14:paraId="6C285D0A" w14:textId="77777777" w:rsidR="00465964" w:rsidRPr="00465964" w:rsidRDefault="00465964" w:rsidP="00465964">
      <w:pPr>
        <w:rPr>
          <w:lang w:val="pt-PT"/>
        </w:rPr>
      </w:pPr>
      <w:r w:rsidRPr="00465964">
        <w:rPr>
          <w:lang w:val="pt-PT"/>
        </w:rPr>
        <w:t xml:space="preserve">10.   A ESMA elabora, em estreita cooperação com a EBA, projetos de normas técnicas de regulamentação para especificar mais pormenorizadamente as informações a trocar entre as autoridades competentes nos termos do </w:t>
      </w:r>
      <w:proofErr w:type="spellStart"/>
      <w:r w:rsidRPr="00465964">
        <w:rPr>
          <w:lang w:val="pt-PT"/>
        </w:rPr>
        <w:t>n.</w:t>
      </w:r>
      <w:r w:rsidRPr="00465964">
        <w:rPr>
          <w:vertAlign w:val="superscript"/>
          <w:lang w:val="pt-PT"/>
        </w:rPr>
        <w:t>o</w:t>
      </w:r>
      <w:proofErr w:type="spellEnd"/>
      <w:r w:rsidRPr="00465964">
        <w:rPr>
          <w:lang w:val="pt-PT"/>
        </w:rPr>
        <w:t> 1.</w:t>
      </w:r>
    </w:p>
    <w:p w14:paraId="63862757" w14:textId="77777777" w:rsidR="00465964" w:rsidRPr="00465964" w:rsidRDefault="00465964" w:rsidP="00465964">
      <w:pPr>
        <w:rPr>
          <w:lang w:val="pt-PT"/>
        </w:rPr>
      </w:pPr>
      <w:r w:rsidRPr="00465964">
        <w:rPr>
          <w:lang w:val="pt-PT"/>
        </w:rPr>
        <w:lastRenderedPageBreak/>
        <w:t>A ESMA apresenta à Comissão os projetos de normas técnicas de regulamentação referidos no primeiro parágrafo até 30 de junho de 2024.</w:t>
      </w:r>
    </w:p>
    <w:p w14:paraId="2CA02539" w14:textId="77777777" w:rsidR="00465964" w:rsidRPr="00465964" w:rsidRDefault="00465964" w:rsidP="00465964">
      <w:pPr>
        <w:rPr>
          <w:lang w:val="pt-PT"/>
        </w:rPr>
      </w:pPr>
      <w:r w:rsidRPr="00465964">
        <w:rPr>
          <w:lang w:val="pt-PT"/>
        </w:rPr>
        <w:t>É delegado na Comissão o poder de completar o presente regulamento através da adoção das normas técnicas de regulamentação a que se refere o primeiro parágrafo do presente número em conformidade com os artigos 10.</w:t>
      </w:r>
      <w:r w:rsidRPr="00465964">
        <w:rPr>
          <w:vertAlign w:val="superscript"/>
          <w:lang w:val="pt-PT"/>
        </w:rPr>
        <w:t>o</w:t>
      </w:r>
      <w:r w:rsidRPr="00465964">
        <w:rPr>
          <w:lang w:val="pt-PT"/>
        </w:rPr>
        <w:t> a 14.</w:t>
      </w:r>
      <w:r w:rsidRPr="00465964">
        <w:rPr>
          <w:vertAlign w:val="superscript"/>
          <w:lang w:val="pt-PT"/>
        </w:rPr>
        <w:t>o</w:t>
      </w:r>
      <w:r w:rsidRPr="00465964">
        <w:rPr>
          <w:lang w:val="pt-PT"/>
        </w:rPr>
        <w:t xml:space="preserve"> do Regulamento (UE) </w:t>
      </w:r>
      <w:proofErr w:type="spellStart"/>
      <w:r w:rsidRPr="00465964">
        <w:rPr>
          <w:lang w:val="pt-PT"/>
        </w:rPr>
        <w:t>n.</w:t>
      </w:r>
      <w:r w:rsidRPr="00465964">
        <w:rPr>
          <w:vertAlign w:val="superscript"/>
          <w:lang w:val="pt-PT"/>
        </w:rPr>
        <w:t>o</w:t>
      </w:r>
      <w:proofErr w:type="spellEnd"/>
      <w:r w:rsidRPr="00465964">
        <w:rPr>
          <w:lang w:val="pt-PT"/>
        </w:rPr>
        <w:t> 1095/2010.</w:t>
      </w:r>
    </w:p>
    <w:p w14:paraId="16C0D5C6" w14:textId="77777777" w:rsidR="00465964" w:rsidRPr="00465964" w:rsidRDefault="00465964" w:rsidP="00465964">
      <w:pPr>
        <w:rPr>
          <w:lang w:val="pt-PT"/>
        </w:rPr>
      </w:pPr>
      <w:r w:rsidRPr="00465964">
        <w:rPr>
          <w:lang w:val="pt-PT"/>
        </w:rPr>
        <w:t>11.   A ESMA elabora, em estreita cooperação com a EBA, projetos de normas técnicas de execução para criar formulários, modelos e procedimentos normalizados para a cooperação e troca de informações entre autoridades competentes.</w:t>
      </w:r>
    </w:p>
    <w:p w14:paraId="7ED5CD24" w14:textId="77777777" w:rsidR="00465964" w:rsidRPr="00465964" w:rsidRDefault="00465964" w:rsidP="00465964">
      <w:pPr>
        <w:rPr>
          <w:lang w:val="pt-PT"/>
        </w:rPr>
      </w:pPr>
      <w:r w:rsidRPr="00465964">
        <w:rPr>
          <w:lang w:val="pt-PT"/>
        </w:rPr>
        <w:t>A ESMA apresenta à Comissão os projetos de normas técnicas de execução referidos no primeiro parágrafo até 30 de junho de 2024.</w:t>
      </w:r>
    </w:p>
    <w:p w14:paraId="6B2BD177" w14:textId="77777777" w:rsidR="00465964" w:rsidRPr="00465964" w:rsidRDefault="00465964" w:rsidP="00465964">
      <w:pPr>
        <w:rPr>
          <w:lang w:val="pt-PT"/>
        </w:rPr>
      </w:pPr>
      <w:r w:rsidRPr="00465964">
        <w:rPr>
          <w:lang w:val="pt-PT"/>
        </w:rPr>
        <w:t>É conferido à Comissão o poder de adotar as normas técnicas de execução a que se refere o primeiro parágrafo do presente número, nos termos do artigo 15.</w:t>
      </w:r>
      <w:r w:rsidRPr="00465964">
        <w:rPr>
          <w:vertAlign w:val="superscript"/>
          <w:lang w:val="pt-PT"/>
        </w:rPr>
        <w:t>o</w:t>
      </w:r>
      <w:r w:rsidRPr="00465964">
        <w:rPr>
          <w:lang w:val="pt-PT"/>
        </w:rPr>
        <w:t xml:space="preserve"> do Regulamento (UE) </w:t>
      </w:r>
      <w:proofErr w:type="spellStart"/>
      <w:r w:rsidRPr="00465964">
        <w:rPr>
          <w:lang w:val="pt-PT"/>
        </w:rPr>
        <w:t>n.</w:t>
      </w:r>
      <w:r w:rsidRPr="00465964">
        <w:rPr>
          <w:vertAlign w:val="superscript"/>
          <w:lang w:val="pt-PT"/>
        </w:rPr>
        <w:t>o</w:t>
      </w:r>
      <w:proofErr w:type="spellEnd"/>
      <w:r w:rsidRPr="00465964">
        <w:rPr>
          <w:lang w:val="pt-PT"/>
        </w:rPr>
        <w:t> 1095/2010.</w:t>
      </w:r>
    </w:p>
    <w:p w14:paraId="0B0FB7F2" w14:textId="77777777" w:rsidR="00465964" w:rsidRPr="00465964" w:rsidRDefault="00465964" w:rsidP="00465964">
      <w:pPr>
        <w:rPr>
          <w:i/>
          <w:iCs/>
          <w:lang w:val="pt-PT"/>
        </w:rPr>
      </w:pPr>
      <w:r w:rsidRPr="00465964">
        <w:rPr>
          <w:i/>
          <w:iCs/>
          <w:lang w:val="pt-PT"/>
        </w:rPr>
        <w:t>Artigo 96.</w:t>
      </w:r>
      <w:r w:rsidRPr="00465964">
        <w:rPr>
          <w:i/>
          <w:iCs/>
          <w:vertAlign w:val="superscript"/>
          <w:lang w:val="pt-PT"/>
        </w:rPr>
        <w:t>o</w:t>
      </w:r>
    </w:p>
    <w:p w14:paraId="7510802C" w14:textId="77777777" w:rsidR="00465964" w:rsidRPr="00465964" w:rsidRDefault="00465964" w:rsidP="00465964">
      <w:pPr>
        <w:rPr>
          <w:b/>
          <w:bCs/>
          <w:lang w:val="pt-PT"/>
        </w:rPr>
      </w:pPr>
      <w:r w:rsidRPr="00465964">
        <w:rPr>
          <w:b/>
          <w:bCs/>
          <w:lang w:val="pt-PT"/>
        </w:rPr>
        <w:t>Cooperação com a EBA e a ESMA</w:t>
      </w:r>
    </w:p>
    <w:p w14:paraId="15122035" w14:textId="77777777" w:rsidR="00465964" w:rsidRPr="00465964" w:rsidRDefault="00465964" w:rsidP="00465964">
      <w:pPr>
        <w:rPr>
          <w:lang w:val="pt-PT"/>
        </w:rPr>
      </w:pPr>
      <w:r w:rsidRPr="00465964">
        <w:rPr>
          <w:lang w:val="pt-PT"/>
        </w:rPr>
        <w:t xml:space="preserve">1.   Para efeitos do presente regulamento, as autoridades competentes cooperam estreitamente com a ESMA nos termos do Regulamento (UE) </w:t>
      </w:r>
      <w:proofErr w:type="spellStart"/>
      <w:r w:rsidRPr="00465964">
        <w:rPr>
          <w:lang w:val="pt-PT"/>
        </w:rPr>
        <w:t>n.</w:t>
      </w:r>
      <w:r w:rsidRPr="00465964">
        <w:rPr>
          <w:vertAlign w:val="superscript"/>
          <w:lang w:val="pt-PT"/>
        </w:rPr>
        <w:t>o</w:t>
      </w:r>
      <w:proofErr w:type="spellEnd"/>
      <w:r w:rsidRPr="00465964">
        <w:rPr>
          <w:lang w:val="pt-PT"/>
        </w:rPr>
        <w:t xml:space="preserve"> 1095/2010 e com a EBA nos termos do Regulamento (UE) </w:t>
      </w:r>
      <w:proofErr w:type="spellStart"/>
      <w:r w:rsidRPr="00465964">
        <w:rPr>
          <w:lang w:val="pt-PT"/>
        </w:rPr>
        <w:t>n.</w:t>
      </w:r>
      <w:r w:rsidRPr="00465964">
        <w:rPr>
          <w:vertAlign w:val="superscript"/>
          <w:lang w:val="pt-PT"/>
        </w:rPr>
        <w:t>o</w:t>
      </w:r>
      <w:proofErr w:type="spellEnd"/>
      <w:r w:rsidRPr="00465964">
        <w:rPr>
          <w:lang w:val="pt-PT"/>
        </w:rPr>
        <w:t> 1093/2010. Trocam informações, a fim de desempenharem as funções que lhes são atribuídas no presente capítulo e nos capítulos 2 e 3 do presente título.</w:t>
      </w:r>
    </w:p>
    <w:p w14:paraId="736A4D6B" w14:textId="77777777" w:rsidR="00465964" w:rsidRPr="00465964" w:rsidRDefault="00465964" w:rsidP="00465964">
      <w:pPr>
        <w:rPr>
          <w:lang w:val="pt-PT"/>
        </w:rPr>
      </w:pPr>
      <w:r w:rsidRPr="00465964">
        <w:rPr>
          <w:lang w:val="pt-PT"/>
        </w:rPr>
        <w:t>2.   As autoridades competentes facultam sem demora à EBA e à ESMA todas as informações necessárias ao desempenho das suas funções, em conformidade com o artigo 35.</w:t>
      </w:r>
      <w:r w:rsidRPr="00465964">
        <w:rPr>
          <w:vertAlign w:val="superscript"/>
          <w:lang w:val="pt-PT"/>
        </w:rPr>
        <w:t>o</w:t>
      </w:r>
      <w:r w:rsidRPr="00465964">
        <w:rPr>
          <w:lang w:val="pt-PT"/>
        </w:rPr>
        <w:t xml:space="preserve"> do Regulamento (UE) </w:t>
      </w:r>
      <w:proofErr w:type="spellStart"/>
      <w:r w:rsidRPr="00465964">
        <w:rPr>
          <w:lang w:val="pt-PT"/>
        </w:rPr>
        <w:t>n.</w:t>
      </w:r>
      <w:r w:rsidRPr="00465964">
        <w:rPr>
          <w:vertAlign w:val="superscript"/>
          <w:lang w:val="pt-PT"/>
        </w:rPr>
        <w:t>o</w:t>
      </w:r>
      <w:proofErr w:type="spellEnd"/>
      <w:r w:rsidRPr="00465964">
        <w:rPr>
          <w:lang w:val="pt-PT"/>
        </w:rPr>
        <w:t> 1093/2010 e o artigo 35.</w:t>
      </w:r>
      <w:r w:rsidRPr="00465964">
        <w:rPr>
          <w:vertAlign w:val="superscript"/>
          <w:lang w:val="pt-PT"/>
        </w:rPr>
        <w:t>o</w:t>
      </w:r>
      <w:r w:rsidRPr="00465964">
        <w:rPr>
          <w:lang w:val="pt-PT"/>
        </w:rPr>
        <w:t xml:space="preserve"> do Regulamento (UE) </w:t>
      </w:r>
      <w:proofErr w:type="spellStart"/>
      <w:r w:rsidRPr="00465964">
        <w:rPr>
          <w:lang w:val="pt-PT"/>
        </w:rPr>
        <w:t>n.</w:t>
      </w:r>
      <w:r w:rsidRPr="00465964">
        <w:rPr>
          <w:vertAlign w:val="superscript"/>
          <w:lang w:val="pt-PT"/>
        </w:rPr>
        <w:t>o</w:t>
      </w:r>
      <w:proofErr w:type="spellEnd"/>
      <w:r w:rsidRPr="00465964">
        <w:rPr>
          <w:lang w:val="pt-PT"/>
        </w:rPr>
        <w:t> 1095/2010, respetivamente.</w:t>
      </w:r>
    </w:p>
    <w:p w14:paraId="5028FC9A" w14:textId="77777777" w:rsidR="00465964" w:rsidRPr="00465964" w:rsidRDefault="00465964" w:rsidP="00465964">
      <w:pPr>
        <w:rPr>
          <w:lang w:val="pt-PT"/>
        </w:rPr>
      </w:pPr>
      <w:r w:rsidRPr="00465964">
        <w:rPr>
          <w:lang w:val="pt-PT"/>
        </w:rPr>
        <w:t>3.   A ESMA elabora, em estreita cooperação com a EBA, projetos de normas técnicas de execução para criar formulários, modelos e procedimentos normalizados para a cooperação e troca de informações entre autoridades competentes e a EBA e a ESMA.</w:t>
      </w:r>
    </w:p>
    <w:p w14:paraId="4F6F8E2A" w14:textId="77777777" w:rsidR="00465964" w:rsidRPr="00465964" w:rsidRDefault="00465964" w:rsidP="00465964">
      <w:pPr>
        <w:rPr>
          <w:lang w:val="pt-PT"/>
        </w:rPr>
      </w:pPr>
      <w:r w:rsidRPr="00465964">
        <w:rPr>
          <w:lang w:val="pt-PT"/>
        </w:rPr>
        <w:t>A ESMA apresenta à Comissão os projetos de normas técnicas de execução referidos no primeiro parágrafo até 30 de junho de 2024.</w:t>
      </w:r>
    </w:p>
    <w:p w14:paraId="05ADC285" w14:textId="77777777" w:rsidR="00465964" w:rsidRPr="00465964" w:rsidRDefault="00465964" w:rsidP="00465964">
      <w:pPr>
        <w:rPr>
          <w:lang w:val="pt-PT"/>
        </w:rPr>
      </w:pPr>
      <w:r w:rsidRPr="00465964">
        <w:rPr>
          <w:lang w:val="pt-PT"/>
        </w:rPr>
        <w:t>É conferido à Comissão o poder de adotar as normas técnicas de execução a que se refere o primeiro parágrafo do presente número, nos termos do artigo 15.</w:t>
      </w:r>
      <w:r w:rsidRPr="00465964">
        <w:rPr>
          <w:vertAlign w:val="superscript"/>
          <w:lang w:val="pt-PT"/>
        </w:rPr>
        <w:t>o</w:t>
      </w:r>
      <w:r w:rsidRPr="00465964">
        <w:rPr>
          <w:lang w:val="pt-PT"/>
        </w:rPr>
        <w:t xml:space="preserve"> do Regulamento (UE) </w:t>
      </w:r>
      <w:proofErr w:type="spellStart"/>
      <w:r w:rsidRPr="00465964">
        <w:rPr>
          <w:lang w:val="pt-PT"/>
        </w:rPr>
        <w:t>n.</w:t>
      </w:r>
      <w:r w:rsidRPr="00465964">
        <w:rPr>
          <w:vertAlign w:val="superscript"/>
          <w:lang w:val="pt-PT"/>
        </w:rPr>
        <w:t>o</w:t>
      </w:r>
      <w:proofErr w:type="spellEnd"/>
      <w:r w:rsidRPr="00465964">
        <w:rPr>
          <w:lang w:val="pt-PT"/>
        </w:rPr>
        <w:t> 1095/2010.</w:t>
      </w:r>
    </w:p>
    <w:p w14:paraId="760C12F3" w14:textId="77777777" w:rsidR="00465964" w:rsidRPr="00465964" w:rsidRDefault="00465964" w:rsidP="00465964">
      <w:pPr>
        <w:rPr>
          <w:i/>
          <w:iCs/>
          <w:lang w:val="pt-PT"/>
        </w:rPr>
      </w:pPr>
      <w:r w:rsidRPr="00465964">
        <w:rPr>
          <w:i/>
          <w:iCs/>
          <w:lang w:val="pt-PT"/>
        </w:rPr>
        <w:t>Artigo 97.</w:t>
      </w:r>
      <w:r w:rsidRPr="00465964">
        <w:rPr>
          <w:i/>
          <w:iCs/>
          <w:vertAlign w:val="superscript"/>
          <w:lang w:val="pt-PT"/>
        </w:rPr>
        <w:t>o</w:t>
      </w:r>
    </w:p>
    <w:p w14:paraId="483FDBAE" w14:textId="77777777" w:rsidR="00465964" w:rsidRPr="00465964" w:rsidRDefault="00465964" w:rsidP="00465964">
      <w:pPr>
        <w:rPr>
          <w:b/>
          <w:bCs/>
          <w:lang w:val="pt-PT"/>
        </w:rPr>
      </w:pPr>
      <w:r w:rsidRPr="00465964">
        <w:rPr>
          <w:b/>
          <w:bCs/>
          <w:lang w:val="pt-PT"/>
        </w:rPr>
        <w:t>Promoção da convergência em matéria de classificação de criptoativos</w:t>
      </w:r>
    </w:p>
    <w:p w14:paraId="54DB6F29" w14:textId="2D0C76B1" w:rsidR="00465964" w:rsidRPr="00465964" w:rsidRDefault="00465964" w:rsidP="00465964">
      <w:pPr>
        <w:rPr>
          <w:lang w:val="pt-PT"/>
        </w:rPr>
      </w:pPr>
      <w:r w:rsidRPr="00465964">
        <w:rPr>
          <w:lang w:val="pt-PT"/>
        </w:rPr>
        <w:t>1.   Até 30 de dezembro de 2024, as Autoridades Europeias de Supervisão emitem conjuntamente orientações em conformidade com o artigo 16.</w:t>
      </w:r>
      <w:r w:rsidRPr="00465964">
        <w:rPr>
          <w:vertAlign w:val="superscript"/>
          <w:lang w:val="pt-PT"/>
        </w:rPr>
        <w:t>o</w:t>
      </w:r>
      <w:r w:rsidRPr="00465964">
        <w:rPr>
          <w:lang w:val="pt-PT"/>
        </w:rPr>
        <w:t xml:space="preserve"> do Regulamento (UE) </w:t>
      </w:r>
      <w:proofErr w:type="spellStart"/>
      <w:r w:rsidRPr="00465964">
        <w:rPr>
          <w:lang w:val="pt-PT"/>
        </w:rPr>
        <w:t>n.</w:t>
      </w:r>
      <w:r w:rsidRPr="00465964">
        <w:rPr>
          <w:vertAlign w:val="superscript"/>
          <w:lang w:val="pt-PT"/>
        </w:rPr>
        <w:t>o</w:t>
      </w:r>
      <w:proofErr w:type="spellEnd"/>
      <w:r w:rsidRPr="00465964">
        <w:rPr>
          <w:lang w:val="pt-PT"/>
        </w:rPr>
        <w:t> 1093/2010, o artigo 16.</w:t>
      </w:r>
      <w:r w:rsidRPr="00465964">
        <w:rPr>
          <w:vertAlign w:val="superscript"/>
          <w:lang w:val="pt-PT"/>
        </w:rPr>
        <w:t>o</w:t>
      </w:r>
      <w:r w:rsidRPr="00465964">
        <w:rPr>
          <w:lang w:val="pt-PT"/>
        </w:rPr>
        <w:t xml:space="preserve"> do Regulamento (UE) </w:t>
      </w:r>
      <w:proofErr w:type="spellStart"/>
      <w:r w:rsidRPr="00465964">
        <w:rPr>
          <w:lang w:val="pt-PT"/>
        </w:rPr>
        <w:t>n.</w:t>
      </w:r>
      <w:r w:rsidRPr="00465964">
        <w:rPr>
          <w:vertAlign w:val="superscript"/>
          <w:lang w:val="pt-PT"/>
        </w:rPr>
        <w:t>o</w:t>
      </w:r>
      <w:proofErr w:type="spellEnd"/>
      <w:r w:rsidRPr="00465964">
        <w:rPr>
          <w:lang w:val="pt-PT"/>
        </w:rPr>
        <w:t> 1094/2010 e o artigo 16.</w:t>
      </w:r>
      <w:r w:rsidRPr="00465964">
        <w:rPr>
          <w:vertAlign w:val="superscript"/>
          <w:lang w:val="pt-PT"/>
        </w:rPr>
        <w:t>o</w:t>
      </w:r>
      <w:r w:rsidRPr="00465964">
        <w:rPr>
          <w:lang w:val="pt-PT"/>
        </w:rPr>
        <w:t xml:space="preserve"> do Regulamento (UE) </w:t>
      </w:r>
      <w:proofErr w:type="spellStart"/>
      <w:r w:rsidRPr="00465964">
        <w:rPr>
          <w:lang w:val="pt-PT"/>
        </w:rPr>
        <w:t>n.</w:t>
      </w:r>
      <w:r w:rsidRPr="00465964">
        <w:rPr>
          <w:vertAlign w:val="superscript"/>
          <w:lang w:val="pt-PT"/>
        </w:rPr>
        <w:t>o</w:t>
      </w:r>
      <w:proofErr w:type="spellEnd"/>
      <w:r w:rsidRPr="00465964">
        <w:rPr>
          <w:lang w:val="pt-PT"/>
        </w:rPr>
        <w:t> 1095/2010 para especificar o conteúdo e a forma da explicação que acompanha o livrete do criptoativo a que se refere o artigo 8.</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xml:space="preserve"> 4, e dos pareceres jurídicos sobre a qualificação das </w:t>
      </w:r>
      <w:r>
        <w:rPr>
          <w:lang w:val="pt-PT"/>
        </w:rPr>
        <w:t>criptomoedas</w:t>
      </w:r>
      <w:r w:rsidRPr="00465964">
        <w:rPr>
          <w:lang w:val="pt-PT"/>
        </w:rPr>
        <w:t xml:space="preserve"> referenciadas a ativos a que se refere o artigo 17.</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xml:space="preserve"> 1, alínea </w:t>
      </w:r>
      <w:r w:rsidRPr="00465964">
        <w:rPr>
          <w:lang w:val="pt-PT"/>
        </w:rPr>
        <w:lastRenderedPageBreak/>
        <w:t xml:space="preserve">b), subalínea </w:t>
      </w:r>
      <w:proofErr w:type="spellStart"/>
      <w:r w:rsidRPr="00465964">
        <w:rPr>
          <w:lang w:val="pt-PT"/>
        </w:rPr>
        <w:t>ii</w:t>
      </w:r>
      <w:proofErr w:type="spellEnd"/>
      <w:r w:rsidRPr="00465964">
        <w:rPr>
          <w:lang w:val="pt-PT"/>
        </w:rPr>
        <w:t>), e o artigo 18.</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2, alínea e). As orientações devem incluir um modelo para a explicação e o parecer, bem como um teste normalizado para a classificação dos criptoativos.</w:t>
      </w:r>
    </w:p>
    <w:p w14:paraId="014466A5" w14:textId="77777777" w:rsidR="00465964" w:rsidRPr="00465964" w:rsidRDefault="00465964" w:rsidP="00465964">
      <w:pPr>
        <w:rPr>
          <w:lang w:val="pt-PT"/>
        </w:rPr>
      </w:pPr>
      <w:r w:rsidRPr="00465964">
        <w:rPr>
          <w:lang w:val="pt-PT"/>
        </w:rPr>
        <w:t>2.   As Autoridades Europeias de Supervisão promovem, nos termos do artigo 29.</w:t>
      </w:r>
      <w:r w:rsidRPr="00465964">
        <w:rPr>
          <w:vertAlign w:val="superscript"/>
          <w:lang w:val="pt-PT"/>
        </w:rPr>
        <w:t>o</w:t>
      </w:r>
      <w:r w:rsidRPr="00465964">
        <w:rPr>
          <w:lang w:val="pt-PT"/>
        </w:rPr>
        <w:t xml:space="preserve"> do Regulamento (UE) </w:t>
      </w:r>
      <w:proofErr w:type="spellStart"/>
      <w:r w:rsidRPr="00465964">
        <w:rPr>
          <w:lang w:val="pt-PT"/>
        </w:rPr>
        <w:t>n.</w:t>
      </w:r>
      <w:r w:rsidRPr="00465964">
        <w:rPr>
          <w:vertAlign w:val="superscript"/>
          <w:lang w:val="pt-PT"/>
        </w:rPr>
        <w:t>o</w:t>
      </w:r>
      <w:proofErr w:type="spellEnd"/>
      <w:r w:rsidRPr="00465964">
        <w:rPr>
          <w:lang w:val="pt-PT"/>
        </w:rPr>
        <w:t> 1093/2010, do artigo 29.</w:t>
      </w:r>
      <w:r w:rsidRPr="00465964">
        <w:rPr>
          <w:vertAlign w:val="superscript"/>
          <w:lang w:val="pt-PT"/>
        </w:rPr>
        <w:t>o</w:t>
      </w:r>
      <w:r w:rsidRPr="00465964">
        <w:rPr>
          <w:lang w:val="pt-PT"/>
        </w:rPr>
        <w:t xml:space="preserve"> do Regulamento (UE) </w:t>
      </w:r>
      <w:proofErr w:type="spellStart"/>
      <w:r w:rsidRPr="00465964">
        <w:rPr>
          <w:lang w:val="pt-PT"/>
        </w:rPr>
        <w:t>n.</w:t>
      </w:r>
      <w:r w:rsidRPr="00465964">
        <w:rPr>
          <w:vertAlign w:val="superscript"/>
          <w:lang w:val="pt-PT"/>
        </w:rPr>
        <w:t>o</w:t>
      </w:r>
      <w:proofErr w:type="spellEnd"/>
      <w:r w:rsidRPr="00465964">
        <w:rPr>
          <w:lang w:val="pt-PT"/>
        </w:rPr>
        <w:t> 1094/2010 e do artigo 29.</w:t>
      </w:r>
      <w:r w:rsidRPr="00465964">
        <w:rPr>
          <w:vertAlign w:val="superscript"/>
          <w:lang w:val="pt-PT"/>
        </w:rPr>
        <w:t>o</w:t>
      </w:r>
      <w:r w:rsidRPr="00465964">
        <w:rPr>
          <w:lang w:val="pt-PT"/>
        </w:rPr>
        <w:t xml:space="preserve"> do Regulamento (UE) </w:t>
      </w:r>
      <w:proofErr w:type="spellStart"/>
      <w:r w:rsidRPr="00465964">
        <w:rPr>
          <w:lang w:val="pt-PT"/>
        </w:rPr>
        <w:t>n.</w:t>
      </w:r>
      <w:r w:rsidRPr="00465964">
        <w:rPr>
          <w:vertAlign w:val="superscript"/>
          <w:lang w:val="pt-PT"/>
        </w:rPr>
        <w:t>o</w:t>
      </w:r>
      <w:proofErr w:type="spellEnd"/>
      <w:r w:rsidRPr="00465964">
        <w:rPr>
          <w:lang w:val="pt-PT"/>
        </w:rPr>
        <w:t> 1095/2010, consoante aplicável, o debate entre as autoridades competentes sobre a classificação dos criptoativos, nomeadamente sobre a classificação dos criptoativos excluídos do âmbito de aplicação do presente regulamento nos termos do artigo 2.</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3. As Autoridades Europeias de Supervisão identificam também as fontes de potenciais divergências nas abordagens das autoridades competentes em matéria de classificação destes criptoativos e, na medida do possível, promovem uma abordagem comum nesta matéria.</w:t>
      </w:r>
    </w:p>
    <w:p w14:paraId="382266E3" w14:textId="77777777" w:rsidR="00465964" w:rsidRPr="00465964" w:rsidRDefault="00465964" w:rsidP="00465964">
      <w:pPr>
        <w:rPr>
          <w:lang w:val="pt-PT"/>
        </w:rPr>
      </w:pPr>
      <w:r w:rsidRPr="00465964">
        <w:rPr>
          <w:lang w:val="pt-PT"/>
        </w:rPr>
        <w:t>3.   As autoridades competentes dos Estados-Membros de origem ou de acolhimento podem solicitar à ESMA, à EIOPA ou à EBA, consoante o caso, um parecer sobre a classificação de criptoativos, incluindo os que estão excluídos do âmbito de aplicação do presente regulamento nos termos do artigo 2.</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3. A ESMA, a EIOPA ou a EBA, consoante o caso, devem emitir esse parecer nos termos do artigo 29.</w:t>
      </w:r>
      <w:r w:rsidRPr="00465964">
        <w:rPr>
          <w:vertAlign w:val="superscript"/>
          <w:lang w:val="pt-PT"/>
        </w:rPr>
        <w:t>o</w:t>
      </w:r>
      <w:r w:rsidRPr="00465964">
        <w:rPr>
          <w:lang w:val="pt-PT"/>
        </w:rPr>
        <w:t xml:space="preserve"> do Regulamento (UE) </w:t>
      </w:r>
      <w:proofErr w:type="spellStart"/>
      <w:r w:rsidRPr="00465964">
        <w:rPr>
          <w:lang w:val="pt-PT"/>
        </w:rPr>
        <w:t>n.</w:t>
      </w:r>
      <w:r w:rsidRPr="00465964">
        <w:rPr>
          <w:vertAlign w:val="superscript"/>
          <w:lang w:val="pt-PT"/>
        </w:rPr>
        <w:t>o</w:t>
      </w:r>
      <w:proofErr w:type="spellEnd"/>
      <w:r w:rsidRPr="00465964">
        <w:rPr>
          <w:lang w:val="pt-PT"/>
        </w:rPr>
        <w:t> 1093/2010, do artigo 29.</w:t>
      </w:r>
      <w:r w:rsidRPr="00465964">
        <w:rPr>
          <w:vertAlign w:val="superscript"/>
          <w:lang w:val="pt-PT"/>
        </w:rPr>
        <w:t>o</w:t>
      </w:r>
      <w:r w:rsidRPr="00465964">
        <w:rPr>
          <w:lang w:val="pt-PT"/>
        </w:rPr>
        <w:t xml:space="preserve"> do Regulamento (UE) </w:t>
      </w:r>
      <w:proofErr w:type="spellStart"/>
      <w:r w:rsidRPr="00465964">
        <w:rPr>
          <w:lang w:val="pt-PT"/>
        </w:rPr>
        <w:t>n.</w:t>
      </w:r>
      <w:r w:rsidRPr="00465964">
        <w:rPr>
          <w:vertAlign w:val="superscript"/>
          <w:lang w:val="pt-PT"/>
        </w:rPr>
        <w:t>o</w:t>
      </w:r>
      <w:proofErr w:type="spellEnd"/>
      <w:r w:rsidRPr="00465964">
        <w:rPr>
          <w:lang w:val="pt-PT"/>
        </w:rPr>
        <w:t> 1094/2010 e do artigo 29.</w:t>
      </w:r>
      <w:r w:rsidRPr="00465964">
        <w:rPr>
          <w:vertAlign w:val="superscript"/>
          <w:lang w:val="pt-PT"/>
        </w:rPr>
        <w:t>o</w:t>
      </w:r>
      <w:r w:rsidRPr="00465964">
        <w:rPr>
          <w:lang w:val="pt-PT"/>
        </w:rPr>
        <w:t xml:space="preserve"> do Regulamento (UE) </w:t>
      </w:r>
      <w:proofErr w:type="spellStart"/>
      <w:r w:rsidRPr="00465964">
        <w:rPr>
          <w:lang w:val="pt-PT"/>
        </w:rPr>
        <w:t>n.</w:t>
      </w:r>
      <w:r w:rsidRPr="00465964">
        <w:rPr>
          <w:vertAlign w:val="superscript"/>
          <w:lang w:val="pt-PT"/>
        </w:rPr>
        <w:t>o</w:t>
      </w:r>
      <w:proofErr w:type="spellEnd"/>
      <w:r w:rsidRPr="00465964">
        <w:rPr>
          <w:lang w:val="pt-PT"/>
        </w:rPr>
        <w:t> 1095/2010, consoante o caso, no prazo de 15 dias úteis a contar da receção do pedido transmitido pelas autoridades competentes.</w:t>
      </w:r>
    </w:p>
    <w:p w14:paraId="1AD1ECFB" w14:textId="77777777" w:rsidR="00465964" w:rsidRPr="00465964" w:rsidRDefault="00465964" w:rsidP="00465964">
      <w:pPr>
        <w:rPr>
          <w:lang w:val="pt-PT"/>
        </w:rPr>
      </w:pPr>
      <w:r w:rsidRPr="00465964">
        <w:rPr>
          <w:lang w:val="pt-PT"/>
        </w:rPr>
        <w:t>4.   As Autoridades Europeias de Supervisão elaboram conjuntamente um relatório anual com base nas informações contidas no registo a que se refere o artigo 109.</w:t>
      </w:r>
      <w:r w:rsidRPr="00465964">
        <w:rPr>
          <w:vertAlign w:val="superscript"/>
          <w:lang w:val="pt-PT"/>
        </w:rPr>
        <w:t>o</w:t>
      </w:r>
      <w:r w:rsidRPr="00465964">
        <w:rPr>
          <w:lang w:val="pt-PT"/>
        </w:rPr>
        <w:t xml:space="preserve"> e nos resultados do seu trabalho a que se referem os </w:t>
      </w:r>
      <w:proofErr w:type="spellStart"/>
      <w:proofErr w:type="gramStart"/>
      <w:r w:rsidRPr="00465964">
        <w:rPr>
          <w:lang w:val="pt-PT"/>
        </w:rPr>
        <w:t>n.</w:t>
      </w:r>
      <w:r w:rsidRPr="00465964">
        <w:rPr>
          <w:vertAlign w:val="superscript"/>
          <w:lang w:val="pt-PT"/>
        </w:rPr>
        <w:t>os</w:t>
      </w:r>
      <w:proofErr w:type="spellEnd"/>
      <w:proofErr w:type="gramEnd"/>
      <w:r w:rsidRPr="00465964">
        <w:rPr>
          <w:lang w:val="pt-PT"/>
        </w:rPr>
        <w:t> 2 e 3 do presente artigo, identificando as dificuldades na classificação dos criptoativos e as divergências nas abordagens das autoridades competentes.</w:t>
      </w:r>
    </w:p>
    <w:p w14:paraId="027D2850" w14:textId="77777777" w:rsidR="00465964" w:rsidRPr="00465964" w:rsidRDefault="00465964" w:rsidP="00465964">
      <w:pPr>
        <w:rPr>
          <w:i/>
          <w:iCs/>
          <w:lang w:val="pt-PT"/>
        </w:rPr>
      </w:pPr>
      <w:r w:rsidRPr="00465964">
        <w:rPr>
          <w:i/>
          <w:iCs/>
          <w:lang w:val="pt-PT"/>
        </w:rPr>
        <w:t>Artigo 98.</w:t>
      </w:r>
      <w:r w:rsidRPr="00465964">
        <w:rPr>
          <w:i/>
          <w:iCs/>
          <w:vertAlign w:val="superscript"/>
          <w:lang w:val="pt-PT"/>
        </w:rPr>
        <w:t>o</w:t>
      </w:r>
    </w:p>
    <w:p w14:paraId="16803159" w14:textId="77777777" w:rsidR="00465964" w:rsidRPr="00465964" w:rsidRDefault="00465964" w:rsidP="00465964">
      <w:pPr>
        <w:rPr>
          <w:b/>
          <w:bCs/>
          <w:lang w:val="pt-PT"/>
        </w:rPr>
      </w:pPr>
      <w:r w:rsidRPr="00465964">
        <w:rPr>
          <w:b/>
          <w:bCs/>
          <w:lang w:val="pt-PT"/>
        </w:rPr>
        <w:t>Cooperação com as demais autoridades</w:t>
      </w:r>
    </w:p>
    <w:p w14:paraId="4EF1E439" w14:textId="77777777" w:rsidR="00465964" w:rsidRPr="00465964" w:rsidRDefault="00465964" w:rsidP="00465964">
      <w:pPr>
        <w:rPr>
          <w:lang w:val="pt-PT"/>
        </w:rPr>
      </w:pPr>
      <w:r w:rsidRPr="00465964">
        <w:rPr>
          <w:lang w:val="pt-PT"/>
        </w:rPr>
        <w:t xml:space="preserve">Caso um oferente, uma pessoa que solicita a admissão à negociação, um emitente de uma </w:t>
      </w:r>
      <w:proofErr w:type="spellStart"/>
      <w:r w:rsidRPr="00465964">
        <w:rPr>
          <w:lang w:val="pt-PT"/>
        </w:rPr>
        <w:t>criptoficha</w:t>
      </w:r>
      <w:proofErr w:type="spellEnd"/>
      <w:r w:rsidRPr="00465964">
        <w:rPr>
          <w:lang w:val="pt-PT"/>
        </w:rPr>
        <w:t xml:space="preserve"> referenciada a ativos ou de uma </w:t>
      </w:r>
      <w:proofErr w:type="spellStart"/>
      <w:r w:rsidRPr="00465964">
        <w:rPr>
          <w:lang w:val="pt-PT"/>
        </w:rPr>
        <w:t>criptoficha</w:t>
      </w:r>
      <w:proofErr w:type="spellEnd"/>
      <w:r w:rsidRPr="00465964">
        <w:rPr>
          <w:lang w:val="pt-PT"/>
        </w:rPr>
        <w:t xml:space="preserve"> de moeda eletrónica ou um prestador de serviços de criptoativos exerça atividades distintas das atividades abrangidas pelo presente regulamento, as autoridades competentes cooperam com as autoridades responsáveis pela supervisão ou fiscalização dessas outras atividades nos termos do direito nacional ou do direito da União aplicável, inclusive com as autoridades fiscais e as autoridades de supervisão pertinentes de países terceiros.</w:t>
      </w:r>
    </w:p>
    <w:p w14:paraId="30CD34BA" w14:textId="77777777" w:rsidR="00465964" w:rsidRPr="00465964" w:rsidRDefault="00465964" w:rsidP="00465964">
      <w:pPr>
        <w:rPr>
          <w:i/>
          <w:iCs/>
          <w:lang w:val="pt-PT"/>
        </w:rPr>
      </w:pPr>
      <w:r w:rsidRPr="00465964">
        <w:rPr>
          <w:i/>
          <w:iCs/>
          <w:lang w:val="pt-PT"/>
        </w:rPr>
        <w:t>Artigo 99.</w:t>
      </w:r>
      <w:r w:rsidRPr="00465964">
        <w:rPr>
          <w:i/>
          <w:iCs/>
          <w:vertAlign w:val="superscript"/>
          <w:lang w:val="pt-PT"/>
        </w:rPr>
        <w:t>o</w:t>
      </w:r>
    </w:p>
    <w:p w14:paraId="4B6C8B20" w14:textId="77777777" w:rsidR="00465964" w:rsidRPr="00465964" w:rsidRDefault="00465964" w:rsidP="00465964">
      <w:pPr>
        <w:rPr>
          <w:b/>
          <w:bCs/>
          <w:lang w:val="pt-PT"/>
        </w:rPr>
      </w:pPr>
      <w:r w:rsidRPr="00465964">
        <w:rPr>
          <w:b/>
          <w:bCs/>
          <w:lang w:val="pt-PT"/>
        </w:rPr>
        <w:t>Dever de notificação</w:t>
      </w:r>
    </w:p>
    <w:p w14:paraId="1E223660" w14:textId="77777777" w:rsidR="00465964" w:rsidRPr="00465964" w:rsidRDefault="00465964" w:rsidP="00465964">
      <w:pPr>
        <w:rPr>
          <w:lang w:val="pt-PT"/>
        </w:rPr>
      </w:pPr>
      <w:r w:rsidRPr="00465964">
        <w:rPr>
          <w:lang w:val="pt-PT"/>
        </w:rPr>
        <w:t>Os Estados-Membros notificam à Comissão, à EBA e à ESMA, até 30 de junho de 2025, as disposições legislativas, regulamentares e administrativas que dão execução ao presente título, incluindo quaisquer disposições de direito penal aplicáveis. Os Estados-Membros notificam à Comissão, à EBA e à ESMA, sem demora injustificada, quaisquer alterações subsequentes das referidas disposições.</w:t>
      </w:r>
    </w:p>
    <w:p w14:paraId="218CBBFF" w14:textId="77777777" w:rsidR="00465964" w:rsidRPr="00465964" w:rsidRDefault="00465964" w:rsidP="00465964">
      <w:pPr>
        <w:rPr>
          <w:i/>
          <w:iCs/>
          <w:lang w:val="pt-PT"/>
        </w:rPr>
      </w:pPr>
      <w:r w:rsidRPr="00465964">
        <w:rPr>
          <w:i/>
          <w:iCs/>
          <w:lang w:val="pt-PT"/>
        </w:rPr>
        <w:t>Artigo 100.</w:t>
      </w:r>
      <w:r w:rsidRPr="00465964">
        <w:rPr>
          <w:i/>
          <w:iCs/>
          <w:vertAlign w:val="superscript"/>
          <w:lang w:val="pt-PT"/>
        </w:rPr>
        <w:t>o</w:t>
      </w:r>
    </w:p>
    <w:p w14:paraId="2F14E52D" w14:textId="77777777" w:rsidR="00465964" w:rsidRPr="00465964" w:rsidRDefault="00465964" w:rsidP="00465964">
      <w:pPr>
        <w:rPr>
          <w:b/>
          <w:bCs/>
          <w:lang w:val="pt-PT"/>
        </w:rPr>
      </w:pPr>
      <w:r w:rsidRPr="00465964">
        <w:rPr>
          <w:b/>
          <w:bCs/>
          <w:lang w:val="pt-PT"/>
        </w:rPr>
        <w:t>Sigilo profissional</w:t>
      </w:r>
    </w:p>
    <w:p w14:paraId="4FA8CA63" w14:textId="77777777" w:rsidR="00465964" w:rsidRPr="00465964" w:rsidRDefault="00465964" w:rsidP="00465964">
      <w:pPr>
        <w:rPr>
          <w:lang w:val="pt-PT"/>
        </w:rPr>
      </w:pPr>
      <w:r w:rsidRPr="00465964">
        <w:rPr>
          <w:lang w:val="pt-PT"/>
        </w:rPr>
        <w:lastRenderedPageBreak/>
        <w:t>1.   Todas as informações trocadas entre as autoridades competentes nos termos do presente regulamento que digam respeito a condições comerciais ou operacionais ou a outros assuntos económicos ou pessoais são consideradas confidenciais e ficam sujeitas à obrigação de sigilo profissional, salvo se a autoridade competente declarar no momento da comunicação que tal informação pode ser divulgada ou se tal divulgação for necessária no âmbito de um processo judicial ou de processos abrangidos pelo direito fiscal ou penal nacional.</w:t>
      </w:r>
    </w:p>
    <w:p w14:paraId="1969060B" w14:textId="77777777" w:rsidR="00465964" w:rsidRPr="00465964" w:rsidRDefault="00465964" w:rsidP="00465964">
      <w:pPr>
        <w:rPr>
          <w:lang w:val="pt-PT"/>
        </w:rPr>
      </w:pPr>
      <w:r w:rsidRPr="00465964">
        <w:rPr>
          <w:lang w:val="pt-PT"/>
        </w:rPr>
        <w:t>2.   A obrigação de sigilo profissional é aplicável a todas as pessoas singulares e coletivas que trabalhem ou tenham trabalhado para as autoridades competentes. As informações abrangidas pelo sigilo profissional não podem ser divulgadas a qualquer outra pessoa singular ou coletiva ou autoridade, exceto por força de atos legislativos da União ou nacionais.</w:t>
      </w:r>
    </w:p>
    <w:p w14:paraId="6D1991CF" w14:textId="77777777" w:rsidR="00465964" w:rsidRPr="00465964" w:rsidRDefault="00465964" w:rsidP="00465964">
      <w:pPr>
        <w:rPr>
          <w:i/>
          <w:iCs/>
          <w:lang w:val="pt-PT"/>
        </w:rPr>
      </w:pPr>
      <w:r w:rsidRPr="00465964">
        <w:rPr>
          <w:i/>
          <w:iCs/>
          <w:lang w:val="pt-PT"/>
        </w:rPr>
        <w:t>Artigo 101.</w:t>
      </w:r>
      <w:r w:rsidRPr="00465964">
        <w:rPr>
          <w:i/>
          <w:iCs/>
          <w:vertAlign w:val="superscript"/>
          <w:lang w:val="pt-PT"/>
        </w:rPr>
        <w:t>o</w:t>
      </w:r>
    </w:p>
    <w:p w14:paraId="08FBACC9" w14:textId="77777777" w:rsidR="00465964" w:rsidRPr="00465964" w:rsidRDefault="00465964" w:rsidP="00465964">
      <w:pPr>
        <w:rPr>
          <w:b/>
          <w:bCs/>
          <w:lang w:val="pt-PT"/>
        </w:rPr>
      </w:pPr>
      <w:r w:rsidRPr="00465964">
        <w:rPr>
          <w:b/>
          <w:bCs/>
          <w:lang w:val="pt-PT"/>
        </w:rPr>
        <w:t>Proteção de dados</w:t>
      </w:r>
    </w:p>
    <w:p w14:paraId="3A2054CA" w14:textId="77777777" w:rsidR="00465964" w:rsidRPr="00465964" w:rsidRDefault="00465964" w:rsidP="00465964">
      <w:pPr>
        <w:rPr>
          <w:lang w:val="pt-PT"/>
        </w:rPr>
      </w:pPr>
      <w:r w:rsidRPr="00465964">
        <w:rPr>
          <w:lang w:val="pt-PT"/>
        </w:rPr>
        <w:t>No que respeita ao tratamento de dados pessoais no âmbito do presente regulamento, as autoridades competentes exercem as suas atribuições para efeitos do presente regulamento nos termos do Regulamento (UE) 2016/679.</w:t>
      </w:r>
    </w:p>
    <w:p w14:paraId="0561A4F3" w14:textId="77777777" w:rsidR="00465964" w:rsidRPr="00465964" w:rsidRDefault="00465964" w:rsidP="00465964">
      <w:pPr>
        <w:rPr>
          <w:lang w:val="pt-PT"/>
        </w:rPr>
      </w:pPr>
      <w:r w:rsidRPr="00465964">
        <w:rPr>
          <w:lang w:val="pt-PT"/>
        </w:rPr>
        <w:t>O tratamento dos dados pessoais pela EBA e a ESMA para efeitos do presente regulamento deve ser efetuado nos termos do Regulamento (UE) 2018/1725.</w:t>
      </w:r>
    </w:p>
    <w:p w14:paraId="0E01B068" w14:textId="77777777" w:rsidR="00465964" w:rsidRPr="00465964" w:rsidRDefault="00465964" w:rsidP="00465964">
      <w:pPr>
        <w:rPr>
          <w:i/>
          <w:iCs/>
          <w:lang w:val="pt-PT"/>
        </w:rPr>
      </w:pPr>
      <w:r w:rsidRPr="00465964">
        <w:rPr>
          <w:i/>
          <w:iCs/>
          <w:lang w:val="pt-PT"/>
        </w:rPr>
        <w:t>Artigo 102.</w:t>
      </w:r>
      <w:r w:rsidRPr="00465964">
        <w:rPr>
          <w:i/>
          <w:iCs/>
          <w:vertAlign w:val="superscript"/>
          <w:lang w:val="pt-PT"/>
        </w:rPr>
        <w:t>o</w:t>
      </w:r>
    </w:p>
    <w:p w14:paraId="71D94D1C" w14:textId="77777777" w:rsidR="00465964" w:rsidRPr="00465964" w:rsidRDefault="00465964" w:rsidP="00465964">
      <w:pPr>
        <w:rPr>
          <w:b/>
          <w:bCs/>
          <w:lang w:val="pt-PT"/>
        </w:rPr>
      </w:pPr>
      <w:r w:rsidRPr="00465964">
        <w:rPr>
          <w:b/>
          <w:bCs/>
          <w:lang w:val="pt-PT"/>
        </w:rPr>
        <w:t>Medidas cautelares</w:t>
      </w:r>
    </w:p>
    <w:p w14:paraId="38702861" w14:textId="77777777" w:rsidR="00465964" w:rsidRPr="00465964" w:rsidRDefault="00465964" w:rsidP="00465964">
      <w:pPr>
        <w:rPr>
          <w:lang w:val="pt-PT"/>
        </w:rPr>
      </w:pPr>
      <w:r w:rsidRPr="00465964">
        <w:rPr>
          <w:lang w:val="pt-PT"/>
        </w:rPr>
        <w:t xml:space="preserve">1.   Caso a autoridade competente do Estado-Membro de acolhimento tenha motivos inequívocos e demonstráveis para suspeitar que há irregularidades nas atividades de um oferente ou de uma pessoa que solicita a admissão à negociação de criptoativos, de um emitente de uma </w:t>
      </w:r>
      <w:proofErr w:type="spellStart"/>
      <w:r w:rsidRPr="00465964">
        <w:rPr>
          <w:lang w:val="pt-PT"/>
        </w:rPr>
        <w:t>criptoficha</w:t>
      </w:r>
      <w:proofErr w:type="spellEnd"/>
      <w:r w:rsidRPr="00465964">
        <w:rPr>
          <w:lang w:val="pt-PT"/>
        </w:rPr>
        <w:t xml:space="preserve"> referenciada a ativos ou de uma </w:t>
      </w:r>
      <w:proofErr w:type="spellStart"/>
      <w:r w:rsidRPr="00465964">
        <w:rPr>
          <w:lang w:val="pt-PT"/>
        </w:rPr>
        <w:t>criptoficha</w:t>
      </w:r>
      <w:proofErr w:type="spellEnd"/>
      <w:r w:rsidRPr="00465964">
        <w:rPr>
          <w:lang w:val="pt-PT"/>
        </w:rPr>
        <w:t xml:space="preserve"> de moeda eletrónica, ou de um prestador de serviços de criptoativos, notifica desse facto a autoridade competente do Estado-Membro de origem e a ESMA.</w:t>
      </w:r>
    </w:p>
    <w:p w14:paraId="41C9D8CC" w14:textId="35FA2CFA" w:rsidR="00465964" w:rsidRPr="00465964" w:rsidRDefault="00465964" w:rsidP="00465964">
      <w:pPr>
        <w:rPr>
          <w:lang w:val="pt-PT"/>
        </w:rPr>
      </w:pPr>
      <w:r w:rsidRPr="00465964">
        <w:rPr>
          <w:lang w:val="pt-PT"/>
        </w:rPr>
        <w:t xml:space="preserve">Caso as irregularidades referidas no primeiro parágrafo respeitem a um emitente de uma </w:t>
      </w:r>
      <w:proofErr w:type="spellStart"/>
      <w:r w:rsidRPr="00465964">
        <w:rPr>
          <w:lang w:val="pt-PT"/>
        </w:rPr>
        <w:t>criptoficha</w:t>
      </w:r>
      <w:proofErr w:type="spellEnd"/>
      <w:r w:rsidRPr="00465964">
        <w:rPr>
          <w:lang w:val="pt-PT"/>
        </w:rPr>
        <w:t xml:space="preserve"> referenciada a ativos ou de uma </w:t>
      </w:r>
      <w:proofErr w:type="spellStart"/>
      <w:r w:rsidRPr="00465964">
        <w:rPr>
          <w:lang w:val="pt-PT"/>
        </w:rPr>
        <w:t>criptoficha</w:t>
      </w:r>
      <w:proofErr w:type="spellEnd"/>
      <w:r w:rsidRPr="00465964">
        <w:rPr>
          <w:lang w:val="pt-PT"/>
        </w:rPr>
        <w:t xml:space="preserve"> de moeda eletrónica, ou a um serviço de criptoativos relacionado com </w:t>
      </w:r>
      <w:r>
        <w:rPr>
          <w:lang w:val="pt-PT"/>
        </w:rPr>
        <w:t>criptomoedas</w:t>
      </w:r>
      <w:r w:rsidRPr="00465964">
        <w:rPr>
          <w:lang w:val="pt-PT"/>
        </w:rPr>
        <w:t xml:space="preserve"> referenciadas a ativos ou </w:t>
      </w:r>
      <w:r>
        <w:rPr>
          <w:lang w:val="pt-PT"/>
        </w:rPr>
        <w:t>criptomoedas</w:t>
      </w:r>
      <w:r w:rsidRPr="00465964">
        <w:rPr>
          <w:lang w:val="pt-PT"/>
        </w:rPr>
        <w:t xml:space="preserve"> de moeda eletrónica, a autoridade competente do Estado-Membro de acolhimento deve notificar também a EBA.</w:t>
      </w:r>
    </w:p>
    <w:p w14:paraId="778ECF7D" w14:textId="77777777" w:rsidR="00465964" w:rsidRPr="00465964" w:rsidRDefault="00465964" w:rsidP="00465964">
      <w:pPr>
        <w:rPr>
          <w:lang w:val="pt-PT"/>
        </w:rPr>
      </w:pPr>
      <w:r w:rsidRPr="00465964">
        <w:rPr>
          <w:lang w:val="pt-PT"/>
        </w:rPr>
        <w:t xml:space="preserve">2.   Caso, não obstante as medidas tomadas pela autoridade competente do Estado-Membro de origem, as irregularidades referidas no </w:t>
      </w:r>
      <w:proofErr w:type="spellStart"/>
      <w:r w:rsidRPr="00465964">
        <w:rPr>
          <w:lang w:val="pt-PT"/>
        </w:rPr>
        <w:t>n.</w:t>
      </w:r>
      <w:r w:rsidRPr="00465964">
        <w:rPr>
          <w:vertAlign w:val="superscript"/>
          <w:lang w:val="pt-PT"/>
        </w:rPr>
        <w:t>o</w:t>
      </w:r>
      <w:proofErr w:type="spellEnd"/>
      <w:r w:rsidRPr="00465964">
        <w:rPr>
          <w:lang w:val="pt-PT"/>
        </w:rPr>
        <w:t xml:space="preserve"> 1 persistam, constituindo uma infração ao presente regulamento, a autoridade competente do Estado-Membro de acolhimento, após informar a autoridade competente do Estado-Membro de origem, a ESMA e, se for caso disso, a EBA tomam as medidas adequadas para proteger os clientes de prestadores de serviços de criptoativos e os detentores de criptoativos, em especial os detentores não profissionais. Tais medidas incluem impedir o oferente, a pessoa que solicita a admissão à negociação, o emitente da </w:t>
      </w:r>
      <w:proofErr w:type="spellStart"/>
      <w:r w:rsidRPr="00465964">
        <w:rPr>
          <w:lang w:val="pt-PT"/>
        </w:rPr>
        <w:t>criptoficha</w:t>
      </w:r>
      <w:proofErr w:type="spellEnd"/>
      <w:r w:rsidRPr="00465964">
        <w:rPr>
          <w:lang w:val="pt-PT"/>
        </w:rPr>
        <w:t xml:space="preserve"> referenciada a ativos ou de </w:t>
      </w:r>
      <w:proofErr w:type="spellStart"/>
      <w:r w:rsidRPr="00465964">
        <w:rPr>
          <w:lang w:val="pt-PT"/>
        </w:rPr>
        <w:t>criptoficha</w:t>
      </w:r>
      <w:proofErr w:type="spellEnd"/>
      <w:r w:rsidRPr="00465964">
        <w:rPr>
          <w:lang w:val="pt-PT"/>
        </w:rPr>
        <w:t xml:space="preserve"> de moeda eletrónica ou o prestador de serviços de criptoativos de continuar a exercer atividades no Estado-Membro de acolhimento. A autoridade competente informa desse facto a ESMA e, se for caso disso, a EBA, sem demora injustificada. A ESMA e, se intervier, a EBA informam desse facto a Comissão, sem demora injustificada.</w:t>
      </w:r>
    </w:p>
    <w:p w14:paraId="3CBAF641" w14:textId="77777777" w:rsidR="00465964" w:rsidRPr="00465964" w:rsidRDefault="00465964" w:rsidP="00465964">
      <w:pPr>
        <w:rPr>
          <w:lang w:val="pt-PT"/>
        </w:rPr>
      </w:pPr>
      <w:r w:rsidRPr="00465964">
        <w:rPr>
          <w:lang w:val="pt-PT"/>
        </w:rPr>
        <w:lastRenderedPageBreak/>
        <w:t xml:space="preserve">3.   Caso uma autoridade competente do Estado-Membro de origem não concorde com qualquer das medidas tomadas por uma autoridade competente do Estado-Membro de acolhimento nos termos do </w:t>
      </w:r>
      <w:proofErr w:type="spellStart"/>
      <w:r w:rsidRPr="00465964">
        <w:rPr>
          <w:lang w:val="pt-PT"/>
        </w:rPr>
        <w:t>n.</w:t>
      </w:r>
      <w:r w:rsidRPr="00465964">
        <w:rPr>
          <w:vertAlign w:val="superscript"/>
          <w:lang w:val="pt-PT"/>
        </w:rPr>
        <w:t>o</w:t>
      </w:r>
      <w:proofErr w:type="spellEnd"/>
      <w:r w:rsidRPr="00465964">
        <w:rPr>
          <w:lang w:val="pt-PT"/>
        </w:rPr>
        <w:t> 2 do presente artigo, pode suscitar a questão junto da ESMA. O artigo 19.</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xml:space="preserve"> 4, do Regulamento (UE) </w:t>
      </w:r>
      <w:proofErr w:type="spellStart"/>
      <w:r w:rsidRPr="00465964">
        <w:rPr>
          <w:lang w:val="pt-PT"/>
        </w:rPr>
        <w:t>n.</w:t>
      </w:r>
      <w:r w:rsidRPr="00465964">
        <w:rPr>
          <w:vertAlign w:val="superscript"/>
          <w:lang w:val="pt-PT"/>
        </w:rPr>
        <w:t>o</w:t>
      </w:r>
      <w:proofErr w:type="spellEnd"/>
      <w:r w:rsidRPr="00465964">
        <w:rPr>
          <w:lang w:val="pt-PT"/>
        </w:rPr>
        <w:t> 1095/2010 é aplicável, com as devidas adaptações, em tais situações.</w:t>
      </w:r>
    </w:p>
    <w:p w14:paraId="6B860197" w14:textId="5221BB95" w:rsidR="00465964" w:rsidRPr="00465964" w:rsidRDefault="00465964" w:rsidP="00465964">
      <w:pPr>
        <w:rPr>
          <w:lang w:val="pt-PT"/>
        </w:rPr>
      </w:pPr>
      <w:r w:rsidRPr="00465964">
        <w:rPr>
          <w:lang w:val="pt-PT"/>
        </w:rPr>
        <w:t xml:space="preserve">Em derrogação do disposto no primeiro parágrafo do presente número, se as medidas referidas no </w:t>
      </w:r>
      <w:proofErr w:type="spellStart"/>
      <w:r w:rsidRPr="00465964">
        <w:rPr>
          <w:lang w:val="pt-PT"/>
        </w:rPr>
        <w:t>n.</w:t>
      </w:r>
      <w:r w:rsidRPr="00465964">
        <w:rPr>
          <w:vertAlign w:val="superscript"/>
          <w:lang w:val="pt-PT"/>
        </w:rPr>
        <w:t>o</w:t>
      </w:r>
      <w:proofErr w:type="spellEnd"/>
      <w:r w:rsidRPr="00465964">
        <w:rPr>
          <w:lang w:val="pt-PT"/>
        </w:rPr>
        <w:t xml:space="preserve"> 2 do presente artigo respeitarem a um emitente de uma </w:t>
      </w:r>
      <w:proofErr w:type="spellStart"/>
      <w:r w:rsidRPr="00465964">
        <w:rPr>
          <w:lang w:val="pt-PT"/>
        </w:rPr>
        <w:t>criptoficha</w:t>
      </w:r>
      <w:proofErr w:type="spellEnd"/>
      <w:r w:rsidRPr="00465964">
        <w:rPr>
          <w:lang w:val="pt-PT"/>
        </w:rPr>
        <w:t xml:space="preserve"> referenciada a ativos ou de uma </w:t>
      </w:r>
      <w:proofErr w:type="spellStart"/>
      <w:r w:rsidRPr="00465964">
        <w:rPr>
          <w:lang w:val="pt-PT"/>
        </w:rPr>
        <w:t>criptoficha</w:t>
      </w:r>
      <w:proofErr w:type="spellEnd"/>
      <w:r w:rsidRPr="00465964">
        <w:rPr>
          <w:lang w:val="pt-PT"/>
        </w:rPr>
        <w:t xml:space="preserve"> de moeda eletrónica, ou a um serviço de criptoativos relacionado com </w:t>
      </w:r>
      <w:r>
        <w:rPr>
          <w:lang w:val="pt-PT"/>
        </w:rPr>
        <w:t>criptomoedas</w:t>
      </w:r>
      <w:r w:rsidRPr="00465964">
        <w:rPr>
          <w:lang w:val="pt-PT"/>
        </w:rPr>
        <w:t xml:space="preserve"> referenciadas a ativos ou </w:t>
      </w:r>
      <w:r>
        <w:rPr>
          <w:lang w:val="pt-PT"/>
        </w:rPr>
        <w:t>criptomoedas</w:t>
      </w:r>
      <w:r w:rsidRPr="00465964">
        <w:rPr>
          <w:lang w:val="pt-PT"/>
        </w:rPr>
        <w:t xml:space="preserve"> de moeda eletrónica, a autoridade competente do Estado-Membro de acolhimento pode suscitar a questão junto da EBA. O artigo 19.</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xml:space="preserve"> 4, do Regulamento (UE) </w:t>
      </w:r>
      <w:proofErr w:type="spellStart"/>
      <w:r w:rsidRPr="00465964">
        <w:rPr>
          <w:lang w:val="pt-PT"/>
        </w:rPr>
        <w:t>n.</w:t>
      </w:r>
      <w:r w:rsidRPr="00465964">
        <w:rPr>
          <w:vertAlign w:val="superscript"/>
          <w:lang w:val="pt-PT"/>
        </w:rPr>
        <w:t>o</w:t>
      </w:r>
      <w:proofErr w:type="spellEnd"/>
      <w:r w:rsidRPr="00465964">
        <w:rPr>
          <w:lang w:val="pt-PT"/>
        </w:rPr>
        <w:t> 1093/2010 é aplicável, com as devidas adaptações, em tais situações.</w:t>
      </w:r>
    </w:p>
    <w:p w14:paraId="0EF7DFDD" w14:textId="77777777" w:rsidR="00465964" w:rsidRPr="00465964" w:rsidRDefault="00465964" w:rsidP="00465964">
      <w:pPr>
        <w:rPr>
          <w:i/>
          <w:iCs/>
          <w:lang w:val="pt-PT"/>
        </w:rPr>
      </w:pPr>
      <w:r w:rsidRPr="00465964">
        <w:rPr>
          <w:i/>
          <w:iCs/>
          <w:lang w:val="pt-PT"/>
        </w:rPr>
        <w:t>Artigo 103.</w:t>
      </w:r>
      <w:r w:rsidRPr="00465964">
        <w:rPr>
          <w:i/>
          <w:iCs/>
          <w:vertAlign w:val="superscript"/>
          <w:lang w:val="pt-PT"/>
        </w:rPr>
        <w:t>o</w:t>
      </w:r>
    </w:p>
    <w:p w14:paraId="5653EB3D" w14:textId="77777777" w:rsidR="00465964" w:rsidRPr="00465964" w:rsidRDefault="00465964" w:rsidP="00465964">
      <w:pPr>
        <w:rPr>
          <w:b/>
          <w:bCs/>
          <w:lang w:val="pt-PT"/>
        </w:rPr>
      </w:pPr>
      <w:r w:rsidRPr="00465964">
        <w:rPr>
          <w:b/>
          <w:bCs/>
          <w:lang w:val="pt-PT"/>
        </w:rPr>
        <w:t>Poderes de intervenção temporária da ESMA</w:t>
      </w:r>
    </w:p>
    <w:p w14:paraId="6C7467B6" w14:textId="77777777" w:rsidR="00465964" w:rsidRPr="00465964" w:rsidRDefault="00465964" w:rsidP="00465964">
      <w:pPr>
        <w:rPr>
          <w:lang w:val="pt-PT"/>
        </w:rPr>
      </w:pPr>
      <w:r w:rsidRPr="00465964">
        <w:rPr>
          <w:lang w:val="pt-PT"/>
        </w:rPr>
        <w:t xml:space="preserve">1.   Nos termos do artigo </w:t>
      </w:r>
      <w:proofErr w:type="gramStart"/>
      <w:r w:rsidRPr="00465964">
        <w:rPr>
          <w:lang w:val="pt-PT"/>
        </w:rPr>
        <w:t>9.</w:t>
      </w:r>
      <w:r w:rsidRPr="00465964">
        <w:rPr>
          <w:vertAlign w:val="superscript"/>
          <w:lang w:val="pt-PT"/>
        </w:rPr>
        <w:t>o</w:t>
      </w:r>
      <w:proofErr w:type="gramEnd"/>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xml:space="preserve"> 5, do Regulamento (UE) </w:t>
      </w:r>
      <w:proofErr w:type="spellStart"/>
      <w:r w:rsidRPr="00465964">
        <w:rPr>
          <w:lang w:val="pt-PT"/>
        </w:rPr>
        <w:t>n.</w:t>
      </w:r>
      <w:r w:rsidRPr="00465964">
        <w:rPr>
          <w:vertAlign w:val="superscript"/>
          <w:lang w:val="pt-PT"/>
        </w:rPr>
        <w:t>o</w:t>
      </w:r>
      <w:proofErr w:type="spellEnd"/>
      <w:r w:rsidRPr="00465964">
        <w:rPr>
          <w:lang w:val="pt-PT"/>
        </w:rPr>
        <w:t xml:space="preserve"> 1095/2010, e caso estejam preenchidas as condições enunciadas nos </w:t>
      </w:r>
      <w:proofErr w:type="spellStart"/>
      <w:r w:rsidRPr="00465964">
        <w:rPr>
          <w:lang w:val="pt-PT"/>
        </w:rPr>
        <w:t>n.</w:t>
      </w:r>
      <w:r w:rsidRPr="00465964">
        <w:rPr>
          <w:vertAlign w:val="superscript"/>
          <w:lang w:val="pt-PT"/>
        </w:rPr>
        <w:t>os</w:t>
      </w:r>
      <w:proofErr w:type="spellEnd"/>
      <w:r w:rsidRPr="00465964">
        <w:rPr>
          <w:lang w:val="pt-PT"/>
        </w:rPr>
        <w:t> 2 e 3 do presente artigo, a ESMA pode proibir ou restringir temporariamente:</w:t>
      </w:r>
    </w:p>
    <w:tbl>
      <w:tblPr>
        <w:tblW w:w="5000" w:type="pct"/>
        <w:tblCellMar>
          <w:left w:w="0" w:type="dxa"/>
          <w:right w:w="0" w:type="dxa"/>
        </w:tblCellMar>
        <w:tblLook w:val="04A0" w:firstRow="1" w:lastRow="0" w:firstColumn="1" w:lastColumn="0" w:noHBand="0" w:noVBand="1"/>
      </w:tblPr>
      <w:tblGrid>
        <w:gridCol w:w="182"/>
        <w:gridCol w:w="8844"/>
      </w:tblGrid>
      <w:tr w:rsidR="00465964" w:rsidRPr="00465964" w14:paraId="5BBEB977" w14:textId="77777777" w:rsidTr="00465964">
        <w:tc>
          <w:tcPr>
            <w:tcW w:w="0" w:type="auto"/>
            <w:shd w:val="clear" w:color="auto" w:fill="auto"/>
            <w:hideMark/>
          </w:tcPr>
          <w:p w14:paraId="48BBA82E" w14:textId="77777777" w:rsidR="00465964" w:rsidRPr="00465964" w:rsidRDefault="00465964" w:rsidP="00465964">
            <w:r w:rsidRPr="00465964">
              <w:t>a)</w:t>
            </w:r>
          </w:p>
        </w:tc>
        <w:tc>
          <w:tcPr>
            <w:tcW w:w="0" w:type="auto"/>
            <w:shd w:val="clear" w:color="auto" w:fill="auto"/>
            <w:hideMark/>
          </w:tcPr>
          <w:p w14:paraId="622FB850" w14:textId="7C57DE32" w:rsidR="00465964" w:rsidRPr="00465964" w:rsidRDefault="00465964" w:rsidP="00465964">
            <w:pPr>
              <w:rPr>
                <w:lang w:val="pt-PT"/>
              </w:rPr>
            </w:pPr>
            <w:r w:rsidRPr="00465964">
              <w:rPr>
                <w:lang w:val="pt-PT"/>
              </w:rPr>
              <w:t xml:space="preserve">A promoção, distribuição ou venda de determinados criptoativos que não sejam </w:t>
            </w:r>
            <w:r>
              <w:rPr>
                <w:lang w:val="pt-PT"/>
              </w:rPr>
              <w:t>criptomoedas</w:t>
            </w:r>
            <w:r w:rsidRPr="00465964">
              <w:rPr>
                <w:lang w:val="pt-PT"/>
              </w:rPr>
              <w:t xml:space="preserve"> referenciadas a ativos nem </w:t>
            </w:r>
            <w:r>
              <w:rPr>
                <w:lang w:val="pt-PT"/>
              </w:rPr>
              <w:t>criptomoedas</w:t>
            </w:r>
            <w:r w:rsidRPr="00465964">
              <w:rPr>
                <w:lang w:val="pt-PT"/>
              </w:rPr>
              <w:t xml:space="preserve"> de moeda eletrónica ou de criptoativos que não sejam </w:t>
            </w:r>
            <w:r>
              <w:rPr>
                <w:lang w:val="pt-PT"/>
              </w:rPr>
              <w:t>criptomoedas</w:t>
            </w:r>
            <w:r w:rsidRPr="00465964">
              <w:rPr>
                <w:lang w:val="pt-PT"/>
              </w:rPr>
              <w:t xml:space="preserve"> referenciadas a ativos nem </w:t>
            </w:r>
            <w:r>
              <w:rPr>
                <w:lang w:val="pt-PT"/>
              </w:rPr>
              <w:t>criptomoedas</w:t>
            </w:r>
            <w:r w:rsidRPr="00465964">
              <w:rPr>
                <w:lang w:val="pt-PT"/>
              </w:rPr>
              <w:t xml:space="preserve"> de moeda eletrónica com determinadas características especificadas; ou</w:t>
            </w:r>
          </w:p>
        </w:tc>
      </w:tr>
    </w:tbl>
    <w:p w14:paraId="3EDDF35B"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8"/>
        <w:gridCol w:w="8838"/>
      </w:tblGrid>
      <w:tr w:rsidR="00465964" w:rsidRPr="00465964" w14:paraId="5E56A951" w14:textId="77777777" w:rsidTr="00465964">
        <w:tc>
          <w:tcPr>
            <w:tcW w:w="0" w:type="auto"/>
            <w:shd w:val="clear" w:color="auto" w:fill="auto"/>
            <w:hideMark/>
          </w:tcPr>
          <w:p w14:paraId="63CDBDD4" w14:textId="77777777" w:rsidR="00465964" w:rsidRPr="00465964" w:rsidRDefault="00465964" w:rsidP="00465964">
            <w:r w:rsidRPr="00465964">
              <w:t>b)</w:t>
            </w:r>
          </w:p>
        </w:tc>
        <w:tc>
          <w:tcPr>
            <w:tcW w:w="0" w:type="auto"/>
            <w:shd w:val="clear" w:color="auto" w:fill="auto"/>
            <w:hideMark/>
          </w:tcPr>
          <w:p w14:paraId="66F84AB3" w14:textId="4CDA3156" w:rsidR="00465964" w:rsidRPr="00465964" w:rsidRDefault="00465964" w:rsidP="00465964">
            <w:pPr>
              <w:rPr>
                <w:lang w:val="pt-PT"/>
              </w:rPr>
            </w:pPr>
            <w:r w:rsidRPr="00465964">
              <w:rPr>
                <w:lang w:val="pt-PT"/>
              </w:rPr>
              <w:t xml:space="preserve">Um tipo de atividade ou de prática relacionada com criptoativos que não sejam </w:t>
            </w:r>
            <w:r>
              <w:rPr>
                <w:lang w:val="pt-PT"/>
              </w:rPr>
              <w:t>criptomoedas</w:t>
            </w:r>
            <w:r w:rsidRPr="00465964">
              <w:rPr>
                <w:lang w:val="pt-PT"/>
              </w:rPr>
              <w:t xml:space="preserve"> referenciadas a ativos nem </w:t>
            </w:r>
            <w:r>
              <w:rPr>
                <w:lang w:val="pt-PT"/>
              </w:rPr>
              <w:t>criptomoedas</w:t>
            </w:r>
            <w:r w:rsidRPr="00465964">
              <w:rPr>
                <w:lang w:val="pt-PT"/>
              </w:rPr>
              <w:t xml:space="preserve"> de moeda eletrónica.</w:t>
            </w:r>
          </w:p>
        </w:tc>
      </w:tr>
    </w:tbl>
    <w:p w14:paraId="3DAA5EAB" w14:textId="77777777" w:rsidR="00465964" w:rsidRPr="00465964" w:rsidRDefault="00465964" w:rsidP="00465964">
      <w:pPr>
        <w:rPr>
          <w:lang w:val="pt-PT"/>
        </w:rPr>
      </w:pPr>
      <w:r w:rsidRPr="00465964">
        <w:rPr>
          <w:lang w:val="pt-PT"/>
        </w:rPr>
        <w:t>Uma proibição ou restrição pode ser aplicável em determinadas circunstâncias, ou estar sujeita a exceções, especificadas pela ESMA.</w:t>
      </w:r>
    </w:p>
    <w:p w14:paraId="4BFEA295" w14:textId="77777777" w:rsidR="00465964" w:rsidRPr="00465964" w:rsidRDefault="00465964" w:rsidP="00465964">
      <w:pPr>
        <w:rPr>
          <w:lang w:val="pt-PT"/>
        </w:rPr>
      </w:pPr>
      <w:r w:rsidRPr="00465964">
        <w:rPr>
          <w:lang w:val="pt-PT"/>
        </w:rPr>
        <w:t xml:space="preserve">2.   A ESMA só toma uma medida nos termos do </w:t>
      </w:r>
      <w:proofErr w:type="spellStart"/>
      <w:r w:rsidRPr="00465964">
        <w:rPr>
          <w:lang w:val="pt-PT"/>
        </w:rPr>
        <w:t>n.</w:t>
      </w:r>
      <w:r w:rsidRPr="00465964">
        <w:rPr>
          <w:vertAlign w:val="superscript"/>
          <w:lang w:val="pt-PT"/>
        </w:rPr>
        <w:t>o</w:t>
      </w:r>
      <w:proofErr w:type="spellEnd"/>
      <w:r w:rsidRPr="00465964">
        <w:rPr>
          <w:lang w:val="pt-PT"/>
        </w:rPr>
        <w:t> 1, se estiverem preenchidas cumulativamente as seguintes condições:</w:t>
      </w:r>
    </w:p>
    <w:tbl>
      <w:tblPr>
        <w:tblW w:w="5000" w:type="pct"/>
        <w:tblCellMar>
          <w:left w:w="0" w:type="dxa"/>
          <w:right w:w="0" w:type="dxa"/>
        </w:tblCellMar>
        <w:tblLook w:val="04A0" w:firstRow="1" w:lastRow="0" w:firstColumn="1" w:lastColumn="0" w:noHBand="0" w:noVBand="1"/>
      </w:tblPr>
      <w:tblGrid>
        <w:gridCol w:w="182"/>
        <w:gridCol w:w="8844"/>
      </w:tblGrid>
      <w:tr w:rsidR="00465964" w:rsidRPr="00465964" w14:paraId="124F8282" w14:textId="77777777" w:rsidTr="00465964">
        <w:tc>
          <w:tcPr>
            <w:tcW w:w="0" w:type="auto"/>
            <w:shd w:val="clear" w:color="auto" w:fill="auto"/>
            <w:hideMark/>
          </w:tcPr>
          <w:p w14:paraId="02B00D84" w14:textId="77777777" w:rsidR="00465964" w:rsidRPr="00465964" w:rsidRDefault="00465964" w:rsidP="00465964">
            <w:r w:rsidRPr="00465964">
              <w:t>a)</w:t>
            </w:r>
          </w:p>
        </w:tc>
        <w:tc>
          <w:tcPr>
            <w:tcW w:w="0" w:type="auto"/>
            <w:shd w:val="clear" w:color="auto" w:fill="auto"/>
            <w:hideMark/>
          </w:tcPr>
          <w:p w14:paraId="37033D32" w14:textId="77777777" w:rsidR="00465964" w:rsidRPr="00465964" w:rsidRDefault="00465964" w:rsidP="00465964">
            <w:pPr>
              <w:rPr>
                <w:lang w:val="pt-PT"/>
              </w:rPr>
            </w:pPr>
            <w:r w:rsidRPr="00465964">
              <w:rPr>
                <w:lang w:val="pt-PT"/>
              </w:rPr>
              <w:t>A proibição ou restrição proposta visa atender a uma preocupação relevante em matéria de proteção dos investidores ou enfrentar uma ameaça ao funcionamento ordenado e à integridade dos mercados de criptoativos ou à estabilidade de todo o sistema financeiro da União ou de parte dele;</w:t>
            </w:r>
          </w:p>
        </w:tc>
      </w:tr>
    </w:tbl>
    <w:p w14:paraId="0F4E6974"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8"/>
        <w:gridCol w:w="8838"/>
      </w:tblGrid>
      <w:tr w:rsidR="00465964" w:rsidRPr="00465964" w14:paraId="41D90925" w14:textId="77777777" w:rsidTr="00465964">
        <w:tc>
          <w:tcPr>
            <w:tcW w:w="0" w:type="auto"/>
            <w:shd w:val="clear" w:color="auto" w:fill="auto"/>
            <w:hideMark/>
          </w:tcPr>
          <w:p w14:paraId="4E3051C5" w14:textId="77777777" w:rsidR="00465964" w:rsidRPr="00465964" w:rsidRDefault="00465964" w:rsidP="00465964">
            <w:r w:rsidRPr="00465964">
              <w:t>b)</w:t>
            </w:r>
          </w:p>
        </w:tc>
        <w:tc>
          <w:tcPr>
            <w:tcW w:w="0" w:type="auto"/>
            <w:shd w:val="clear" w:color="auto" w:fill="auto"/>
            <w:hideMark/>
          </w:tcPr>
          <w:p w14:paraId="2EBDC91C" w14:textId="77777777" w:rsidR="00465964" w:rsidRPr="00465964" w:rsidRDefault="00465964" w:rsidP="00465964">
            <w:pPr>
              <w:rPr>
                <w:lang w:val="pt-PT"/>
              </w:rPr>
            </w:pPr>
            <w:r w:rsidRPr="00465964">
              <w:rPr>
                <w:lang w:val="pt-PT"/>
              </w:rPr>
              <w:t>Os requisitos regulamentares previstos no direito da União que são aplicáveis aos criptoativos e aos serviços de criptoativos pertinentes não enfrentam a ameaça em causa;</w:t>
            </w:r>
          </w:p>
        </w:tc>
      </w:tr>
    </w:tbl>
    <w:p w14:paraId="3E409F57"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0"/>
        <w:gridCol w:w="8846"/>
      </w:tblGrid>
      <w:tr w:rsidR="00465964" w:rsidRPr="00465964" w14:paraId="6A4B1166" w14:textId="77777777" w:rsidTr="00465964">
        <w:tc>
          <w:tcPr>
            <w:tcW w:w="0" w:type="auto"/>
            <w:shd w:val="clear" w:color="auto" w:fill="auto"/>
            <w:hideMark/>
          </w:tcPr>
          <w:p w14:paraId="502DB0B6" w14:textId="77777777" w:rsidR="00465964" w:rsidRPr="00465964" w:rsidRDefault="00465964" w:rsidP="00465964">
            <w:r w:rsidRPr="00465964">
              <w:t>c)</w:t>
            </w:r>
          </w:p>
        </w:tc>
        <w:tc>
          <w:tcPr>
            <w:tcW w:w="0" w:type="auto"/>
            <w:shd w:val="clear" w:color="auto" w:fill="auto"/>
            <w:hideMark/>
          </w:tcPr>
          <w:p w14:paraId="03E1035F" w14:textId="77777777" w:rsidR="00465964" w:rsidRPr="00465964" w:rsidRDefault="00465964" w:rsidP="00465964">
            <w:pPr>
              <w:rPr>
                <w:lang w:val="pt-PT"/>
              </w:rPr>
            </w:pPr>
            <w:r w:rsidRPr="00465964">
              <w:rPr>
                <w:lang w:val="pt-PT"/>
              </w:rPr>
              <w:t>Nenhuma autoridade competente pertinente tomou medidas para responder à ameaça em causa ou as medidas tomadas não enfrentam adequadamente a ameaça.</w:t>
            </w:r>
          </w:p>
        </w:tc>
      </w:tr>
    </w:tbl>
    <w:p w14:paraId="5CE7779B" w14:textId="77777777" w:rsidR="00465964" w:rsidRPr="00465964" w:rsidRDefault="00465964" w:rsidP="00465964">
      <w:pPr>
        <w:rPr>
          <w:lang w:val="pt-PT"/>
        </w:rPr>
      </w:pPr>
      <w:r w:rsidRPr="00465964">
        <w:rPr>
          <w:lang w:val="pt-PT"/>
        </w:rPr>
        <w:t xml:space="preserve">3.   Ao tomar uma medida nos termos do </w:t>
      </w:r>
      <w:proofErr w:type="spellStart"/>
      <w:r w:rsidRPr="00465964">
        <w:rPr>
          <w:lang w:val="pt-PT"/>
        </w:rPr>
        <w:t>n.</w:t>
      </w:r>
      <w:r w:rsidRPr="00465964">
        <w:rPr>
          <w:vertAlign w:val="superscript"/>
          <w:lang w:val="pt-PT"/>
        </w:rPr>
        <w:t>o</w:t>
      </w:r>
      <w:proofErr w:type="spellEnd"/>
      <w:r w:rsidRPr="00465964">
        <w:rPr>
          <w:lang w:val="pt-PT"/>
        </w:rPr>
        <w:t> 1, a ESMA assegura que a medida:</w:t>
      </w:r>
    </w:p>
    <w:tbl>
      <w:tblPr>
        <w:tblW w:w="5000" w:type="pct"/>
        <w:tblCellMar>
          <w:left w:w="0" w:type="dxa"/>
          <w:right w:w="0" w:type="dxa"/>
        </w:tblCellMar>
        <w:tblLook w:val="04A0" w:firstRow="1" w:lastRow="0" w:firstColumn="1" w:lastColumn="0" w:noHBand="0" w:noVBand="1"/>
      </w:tblPr>
      <w:tblGrid>
        <w:gridCol w:w="182"/>
        <w:gridCol w:w="8844"/>
      </w:tblGrid>
      <w:tr w:rsidR="00465964" w:rsidRPr="00465964" w14:paraId="46D9BE8A" w14:textId="77777777" w:rsidTr="00465964">
        <w:tc>
          <w:tcPr>
            <w:tcW w:w="0" w:type="auto"/>
            <w:shd w:val="clear" w:color="auto" w:fill="auto"/>
            <w:hideMark/>
          </w:tcPr>
          <w:p w14:paraId="36E45152" w14:textId="77777777" w:rsidR="00465964" w:rsidRPr="00465964" w:rsidRDefault="00465964" w:rsidP="00465964">
            <w:r w:rsidRPr="00465964">
              <w:t>a)</w:t>
            </w:r>
          </w:p>
        </w:tc>
        <w:tc>
          <w:tcPr>
            <w:tcW w:w="0" w:type="auto"/>
            <w:shd w:val="clear" w:color="auto" w:fill="auto"/>
            <w:hideMark/>
          </w:tcPr>
          <w:p w14:paraId="701092B9" w14:textId="77777777" w:rsidR="00465964" w:rsidRPr="00465964" w:rsidRDefault="00465964" w:rsidP="00465964">
            <w:pPr>
              <w:rPr>
                <w:lang w:val="pt-PT"/>
              </w:rPr>
            </w:pPr>
            <w:r w:rsidRPr="00465964">
              <w:rPr>
                <w:lang w:val="pt-PT"/>
              </w:rPr>
              <w:t>Não tenha um efeito prejudicial sobre a eficiência dos mercados de criptoativos ou sobre os detentores de criptoativos ou os clientes que recebam serviços de criptoativos que seja desproporcional aos benefícios da medida; e</w:t>
            </w:r>
          </w:p>
        </w:tc>
      </w:tr>
    </w:tbl>
    <w:p w14:paraId="2A6F8D60"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392"/>
        <w:gridCol w:w="8634"/>
      </w:tblGrid>
      <w:tr w:rsidR="00465964" w:rsidRPr="00465964" w14:paraId="671E07D7" w14:textId="77777777" w:rsidTr="00465964">
        <w:tc>
          <w:tcPr>
            <w:tcW w:w="0" w:type="auto"/>
            <w:shd w:val="clear" w:color="auto" w:fill="auto"/>
            <w:hideMark/>
          </w:tcPr>
          <w:p w14:paraId="148F5C2B" w14:textId="77777777" w:rsidR="00465964" w:rsidRPr="00465964" w:rsidRDefault="00465964" w:rsidP="00465964">
            <w:r w:rsidRPr="00465964">
              <w:lastRenderedPageBreak/>
              <w:t>b)</w:t>
            </w:r>
          </w:p>
        </w:tc>
        <w:tc>
          <w:tcPr>
            <w:tcW w:w="0" w:type="auto"/>
            <w:shd w:val="clear" w:color="auto" w:fill="auto"/>
            <w:hideMark/>
          </w:tcPr>
          <w:p w14:paraId="5ACF8B40" w14:textId="77777777" w:rsidR="00465964" w:rsidRPr="00465964" w:rsidRDefault="00465964" w:rsidP="00465964">
            <w:pPr>
              <w:rPr>
                <w:lang w:val="pt-PT"/>
              </w:rPr>
            </w:pPr>
            <w:r w:rsidRPr="00465964">
              <w:rPr>
                <w:lang w:val="pt-PT"/>
              </w:rPr>
              <w:t>Não crie riscos de arbitragem regulamentar.</w:t>
            </w:r>
          </w:p>
        </w:tc>
      </w:tr>
    </w:tbl>
    <w:p w14:paraId="061FAB09" w14:textId="77777777" w:rsidR="00465964" w:rsidRPr="00465964" w:rsidRDefault="00465964" w:rsidP="00465964">
      <w:pPr>
        <w:rPr>
          <w:lang w:val="pt-PT"/>
        </w:rPr>
      </w:pPr>
      <w:r w:rsidRPr="00465964">
        <w:rPr>
          <w:lang w:val="pt-PT"/>
        </w:rPr>
        <w:t>Se as autoridades competentes tiverem tomado uma medida nos termos do artigo 105.</w:t>
      </w:r>
      <w:r w:rsidRPr="00465964">
        <w:rPr>
          <w:vertAlign w:val="superscript"/>
          <w:lang w:val="pt-PT"/>
        </w:rPr>
        <w:t>o</w:t>
      </w:r>
      <w:r w:rsidRPr="00465964">
        <w:rPr>
          <w:lang w:val="pt-PT"/>
        </w:rPr>
        <w:t xml:space="preserve">, a ESMA pode tomar qualquer das medidas referidas no </w:t>
      </w:r>
      <w:proofErr w:type="spellStart"/>
      <w:r w:rsidRPr="00465964">
        <w:rPr>
          <w:lang w:val="pt-PT"/>
        </w:rPr>
        <w:t>n.</w:t>
      </w:r>
      <w:r w:rsidRPr="00465964">
        <w:rPr>
          <w:vertAlign w:val="superscript"/>
          <w:lang w:val="pt-PT"/>
        </w:rPr>
        <w:t>o</w:t>
      </w:r>
      <w:proofErr w:type="spellEnd"/>
      <w:r w:rsidRPr="00465964">
        <w:rPr>
          <w:lang w:val="pt-PT"/>
        </w:rPr>
        <w:t> 1 do presente artigo sem emitir um parecer nos termos do artigo 106.</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2.</w:t>
      </w:r>
    </w:p>
    <w:p w14:paraId="07F12947" w14:textId="77777777" w:rsidR="00465964" w:rsidRPr="00465964" w:rsidRDefault="00465964" w:rsidP="00465964">
      <w:pPr>
        <w:rPr>
          <w:lang w:val="pt-PT"/>
        </w:rPr>
      </w:pPr>
      <w:r w:rsidRPr="00465964">
        <w:rPr>
          <w:lang w:val="pt-PT"/>
        </w:rPr>
        <w:t xml:space="preserve">4.   Antes de decidir tomar uma medida nos termos do </w:t>
      </w:r>
      <w:proofErr w:type="spellStart"/>
      <w:r w:rsidRPr="00465964">
        <w:rPr>
          <w:lang w:val="pt-PT"/>
        </w:rPr>
        <w:t>n.</w:t>
      </w:r>
      <w:r w:rsidRPr="00465964">
        <w:rPr>
          <w:vertAlign w:val="superscript"/>
          <w:lang w:val="pt-PT"/>
        </w:rPr>
        <w:t>o</w:t>
      </w:r>
      <w:proofErr w:type="spellEnd"/>
      <w:r w:rsidRPr="00465964">
        <w:rPr>
          <w:lang w:val="pt-PT"/>
        </w:rPr>
        <w:t> 1, a ESMA informa as autoridades competentes pertinentes da medida que tenciona tomar.</w:t>
      </w:r>
    </w:p>
    <w:p w14:paraId="49C93453" w14:textId="77777777" w:rsidR="00465964" w:rsidRPr="00465964" w:rsidRDefault="00465964" w:rsidP="00465964">
      <w:pPr>
        <w:rPr>
          <w:lang w:val="pt-PT"/>
        </w:rPr>
      </w:pPr>
      <w:r w:rsidRPr="00465964">
        <w:rPr>
          <w:lang w:val="pt-PT"/>
        </w:rPr>
        <w:t xml:space="preserve">5.   A ESMA publica no seu sítio Web um aviso da decisão de adotar uma medida nos termos do </w:t>
      </w:r>
      <w:proofErr w:type="spellStart"/>
      <w:r w:rsidRPr="00465964">
        <w:rPr>
          <w:lang w:val="pt-PT"/>
        </w:rPr>
        <w:t>n.</w:t>
      </w:r>
      <w:r w:rsidRPr="00465964">
        <w:rPr>
          <w:vertAlign w:val="superscript"/>
          <w:lang w:val="pt-PT"/>
        </w:rPr>
        <w:t>o</w:t>
      </w:r>
      <w:proofErr w:type="spellEnd"/>
      <w:r w:rsidRPr="00465964">
        <w:rPr>
          <w:lang w:val="pt-PT"/>
        </w:rPr>
        <w:t> 1. Esse aviso especifica os detalhes da proibição ou restrição imposta e a data, após a publicação do aviso, a partir da qual as medidas produzirão efeitos. Uma proibição ou restrição só é aplicável a atividades posteriores à produção de efeitos das medidas.</w:t>
      </w:r>
    </w:p>
    <w:p w14:paraId="46E94272" w14:textId="77777777" w:rsidR="00465964" w:rsidRPr="00465964" w:rsidRDefault="00465964" w:rsidP="00465964">
      <w:pPr>
        <w:rPr>
          <w:lang w:val="pt-PT"/>
        </w:rPr>
      </w:pPr>
      <w:r w:rsidRPr="00465964">
        <w:rPr>
          <w:lang w:val="pt-PT"/>
        </w:rPr>
        <w:t xml:space="preserve">6.   A ESMA reavalia qualquer proibição ou restrição imposta nos termos do </w:t>
      </w:r>
      <w:proofErr w:type="spellStart"/>
      <w:r w:rsidRPr="00465964">
        <w:rPr>
          <w:lang w:val="pt-PT"/>
        </w:rPr>
        <w:t>n.</w:t>
      </w:r>
      <w:r w:rsidRPr="00465964">
        <w:rPr>
          <w:vertAlign w:val="superscript"/>
          <w:lang w:val="pt-PT"/>
        </w:rPr>
        <w:t>o</w:t>
      </w:r>
      <w:proofErr w:type="spellEnd"/>
      <w:r w:rsidRPr="00465964">
        <w:rPr>
          <w:lang w:val="pt-PT"/>
        </w:rPr>
        <w:t> 1 a intervalos adequados, no mínimo de seis em seis meses. Após um mínimo de duas renovações consecutivas, e com base numa análise adequada que avalie o impacto para os consumidores, a ESMA pode decidir a renovação da proibição ou restrição por um ano.</w:t>
      </w:r>
    </w:p>
    <w:p w14:paraId="7DA6F7A3" w14:textId="77777777" w:rsidR="00465964" w:rsidRPr="00465964" w:rsidRDefault="00465964" w:rsidP="00465964">
      <w:pPr>
        <w:rPr>
          <w:lang w:val="pt-PT"/>
        </w:rPr>
      </w:pPr>
      <w:r w:rsidRPr="00465964">
        <w:rPr>
          <w:lang w:val="pt-PT"/>
        </w:rPr>
        <w:t>7.   As medidas tomadas pela ESMA nos termos do presente artigo prevalecem sobre quaisquer medidas anteriores tomadas pelas autoridades competentes pertinentes sobre a mesma matéria.</w:t>
      </w:r>
    </w:p>
    <w:p w14:paraId="09771B75" w14:textId="77777777" w:rsidR="00465964" w:rsidRPr="00465964" w:rsidRDefault="00465964" w:rsidP="00465964">
      <w:pPr>
        <w:rPr>
          <w:lang w:val="pt-PT"/>
        </w:rPr>
      </w:pPr>
      <w:r w:rsidRPr="00465964">
        <w:rPr>
          <w:lang w:val="pt-PT"/>
        </w:rPr>
        <w:t>8.   A Comissão adota atos delegados nos termos do artigo 139.</w:t>
      </w:r>
      <w:r w:rsidRPr="00465964">
        <w:rPr>
          <w:vertAlign w:val="superscript"/>
          <w:lang w:val="pt-PT"/>
        </w:rPr>
        <w:t>o</w:t>
      </w:r>
      <w:r w:rsidRPr="00465964">
        <w:rPr>
          <w:lang w:val="pt-PT"/>
        </w:rPr>
        <w:t xml:space="preserve">, a fim de completar o presente regulamento com a especificação dos critérios e fatores que devem ser tidos em conta pela ESMA para determinar se existe uma preocupação relevante em matéria de proteção dos investidores ou uma ameaça ao funcionamento ordenado e à integridade dos mercados de criptoativos ou à estabilidade de todo o sistema financeiro da União ou de parte dele para efeitos do </w:t>
      </w:r>
      <w:proofErr w:type="spellStart"/>
      <w:r w:rsidRPr="00465964">
        <w:rPr>
          <w:lang w:val="pt-PT"/>
        </w:rPr>
        <w:t>n.</w:t>
      </w:r>
      <w:r w:rsidRPr="00465964">
        <w:rPr>
          <w:vertAlign w:val="superscript"/>
          <w:lang w:val="pt-PT"/>
        </w:rPr>
        <w:t>o</w:t>
      </w:r>
      <w:proofErr w:type="spellEnd"/>
      <w:r w:rsidRPr="00465964">
        <w:rPr>
          <w:lang w:val="pt-PT"/>
        </w:rPr>
        <w:t> 2, alínea a), do presente artigo.</w:t>
      </w:r>
    </w:p>
    <w:p w14:paraId="39651911" w14:textId="77777777" w:rsidR="00465964" w:rsidRPr="00465964" w:rsidRDefault="00465964" w:rsidP="00465964">
      <w:pPr>
        <w:rPr>
          <w:i/>
          <w:iCs/>
          <w:lang w:val="pt-PT"/>
        </w:rPr>
      </w:pPr>
      <w:r w:rsidRPr="00465964">
        <w:rPr>
          <w:i/>
          <w:iCs/>
          <w:lang w:val="pt-PT"/>
        </w:rPr>
        <w:t>Artigo 104.</w:t>
      </w:r>
      <w:r w:rsidRPr="00465964">
        <w:rPr>
          <w:i/>
          <w:iCs/>
          <w:vertAlign w:val="superscript"/>
          <w:lang w:val="pt-PT"/>
        </w:rPr>
        <w:t>o</w:t>
      </w:r>
    </w:p>
    <w:p w14:paraId="767F788A" w14:textId="77777777" w:rsidR="00465964" w:rsidRPr="00465964" w:rsidRDefault="00465964" w:rsidP="00465964">
      <w:pPr>
        <w:rPr>
          <w:b/>
          <w:bCs/>
          <w:lang w:val="pt-PT"/>
        </w:rPr>
      </w:pPr>
      <w:r w:rsidRPr="00465964">
        <w:rPr>
          <w:b/>
          <w:bCs/>
          <w:lang w:val="pt-PT"/>
        </w:rPr>
        <w:t>Poderes de intervenção temporária da EBA</w:t>
      </w:r>
    </w:p>
    <w:p w14:paraId="13403E65" w14:textId="77777777" w:rsidR="00465964" w:rsidRPr="00465964" w:rsidRDefault="00465964" w:rsidP="00465964">
      <w:pPr>
        <w:rPr>
          <w:lang w:val="pt-PT"/>
        </w:rPr>
      </w:pPr>
      <w:r w:rsidRPr="00465964">
        <w:rPr>
          <w:lang w:val="pt-PT"/>
        </w:rPr>
        <w:t xml:space="preserve">1.   Nos termos do artigo </w:t>
      </w:r>
      <w:proofErr w:type="gramStart"/>
      <w:r w:rsidRPr="00465964">
        <w:rPr>
          <w:lang w:val="pt-PT"/>
        </w:rPr>
        <w:t>9.</w:t>
      </w:r>
      <w:r w:rsidRPr="00465964">
        <w:rPr>
          <w:vertAlign w:val="superscript"/>
          <w:lang w:val="pt-PT"/>
        </w:rPr>
        <w:t>o</w:t>
      </w:r>
      <w:proofErr w:type="gramEnd"/>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xml:space="preserve"> 5, do Regulamento (UE) </w:t>
      </w:r>
      <w:proofErr w:type="spellStart"/>
      <w:r w:rsidRPr="00465964">
        <w:rPr>
          <w:lang w:val="pt-PT"/>
        </w:rPr>
        <w:t>n.</w:t>
      </w:r>
      <w:r w:rsidRPr="00465964">
        <w:rPr>
          <w:vertAlign w:val="superscript"/>
          <w:lang w:val="pt-PT"/>
        </w:rPr>
        <w:t>o</w:t>
      </w:r>
      <w:proofErr w:type="spellEnd"/>
      <w:r w:rsidRPr="00465964">
        <w:rPr>
          <w:lang w:val="pt-PT"/>
        </w:rPr>
        <w:t xml:space="preserve"> 1093/2010, e caso estejam preenchidas as condições enunciadas nos </w:t>
      </w:r>
      <w:proofErr w:type="spellStart"/>
      <w:r w:rsidRPr="00465964">
        <w:rPr>
          <w:lang w:val="pt-PT"/>
        </w:rPr>
        <w:t>n.</w:t>
      </w:r>
      <w:r w:rsidRPr="00465964">
        <w:rPr>
          <w:vertAlign w:val="superscript"/>
          <w:lang w:val="pt-PT"/>
        </w:rPr>
        <w:t>os</w:t>
      </w:r>
      <w:proofErr w:type="spellEnd"/>
      <w:r w:rsidRPr="00465964">
        <w:rPr>
          <w:lang w:val="pt-PT"/>
        </w:rPr>
        <w:t> 2 e 3 do presente artigo, a EBA pode proibir ou restringir temporariamente:</w:t>
      </w:r>
    </w:p>
    <w:tbl>
      <w:tblPr>
        <w:tblW w:w="5000" w:type="pct"/>
        <w:tblCellMar>
          <w:left w:w="0" w:type="dxa"/>
          <w:right w:w="0" w:type="dxa"/>
        </w:tblCellMar>
        <w:tblLook w:val="04A0" w:firstRow="1" w:lastRow="0" w:firstColumn="1" w:lastColumn="0" w:noHBand="0" w:noVBand="1"/>
      </w:tblPr>
      <w:tblGrid>
        <w:gridCol w:w="182"/>
        <w:gridCol w:w="8844"/>
      </w:tblGrid>
      <w:tr w:rsidR="00465964" w:rsidRPr="00465964" w14:paraId="7EF0FFAC" w14:textId="77777777" w:rsidTr="00465964">
        <w:tc>
          <w:tcPr>
            <w:tcW w:w="0" w:type="auto"/>
            <w:shd w:val="clear" w:color="auto" w:fill="auto"/>
            <w:hideMark/>
          </w:tcPr>
          <w:p w14:paraId="22A670B3" w14:textId="77777777" w:rsidR="00465964" w:rsidRPr="00465964" w:rsidRDefault="00465964" w:rsidP="00465964">
            <w:r w:rsidRPr="00465964">
              <w:t>a)</w:t>
            </w:r>
          </w:p>
        </w:tc>
        <w:tc>
          <w:tcPr>
            <w:tcW w:w="0" w:type="auto"/>
            <w:shd w:val="clear" w:color="auto" w:fill="auto"/>
            <w:hideMark/>
          </w:tcPr>
          <w:p w14:paraId="663E4BDB" w14:textId="59382F34" w:rsidR="00465964" w:rsidRPr="00465964" w:rsidRDefault="00465964" w:rsidP="00465964">
            <w:pPr>
              <w:rPr>
                <w:lang w:val="pt-PT"/>
              </w:rPr>
            </w:pPr>
            <w:r w:rsidRPr="00465964">
              <w:rPr>
                <w:lang w:val="pt-PT"/>
              </w:rPr>
              <w:t xml:space="preserve">A promoção, distribuição ou venda de determinadas </w:t>
            </w:r>
            <w:r>
              <w:rPr>
                <w:lang w:val="pt-PT"/>
              </w:rPr>
              <w:t>criptomoedas</w:t>
            </w:r>
            <w:r w:rsidRPr="00465964">
              <w:rPr>
                <w:lang w:val="pt-PT"/>
              </w:rPr>
              <w:t xml:space="preserve"> referenciadas a ativos ou </w:t>
            </w:r>
            <w:r>
              <w:rPr>
                <w:lang w:val="pt-PT"/>
              </w:rPr>
              <w:t>criptomoedas</w:t>
            </w:r>
            <w:r w:rsidRPr="00465964">
              <w:rPr>
                <w:lang w:val="pt-PT"/>
              </w:rPr>
              <w:t xml:space="preserve"> de moeda eletrónica ou de </w:t>
            </w:r>
            <w:r>
              <w:rPr>
                <w:lang w:val="pt-PT"/>
              </w:rPr>
              <w:t>criptomoedas</w:t>
            </w:r>
            <w:r w:rsidRPr="00465964">
              <w:rPr>
                <w:lang w:val="pt-PT"/>
              </w:rPr>
              <w:t xml:space="preserve"> referenciadas a ativos ou </w:t>
            </w:r>
            <w:r>
              <w:rPr>
                <w:lang w:val="pt-PT"/>
              </w:rPr>
              <w:t>criptomoedas</w:t>
            </w:r>
            <w:r w:rsidRPr="00465964">
              <w:rPr>
                <w:lang w:val="pt-PT"/>
              </w:rPr>
              <w:t xml:space="preserve"> de moeda eletrónica com determinadas características especificadas; ou</w:t>
            </w:r>
          </w:p>
        </w:tc>
      </w:tr>
    </w:tbl>
    <w:p w14:paraId="7E8D77FF"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8"/>
        <w:gridCol w:w="8838"/>
      </w:tblGrid>
      <w:tr w:rsidR="00465964" w:rsidRPr="00465964" w14:paraId="7811566A" w14:textId="77777777" w:rsidTr="00465964">
        <w:tc>
          <w:tcPr>
            <w:tcW w:w="0" w:type="auto"/>
            <w:shd w:val="clear" w:color="auto" w:fill="auto"/>
            <w:hideMark/>
          </w:tcPr>
          <w:p w14:paraId="14415E10" w14:textId="77777777" w:rsidR="00465964" w:rsidRPr="00465964" w:rsidRDefault="00465964" w:rsidP="00465964">
            <w:r w:rsidRPr="00465964">
              <w:t>b)</w:t>
            </w:r>
          </w:p>
        </w:tc>
        <w:tc>
          <w:tcPr>
            <w:tcW w:w="0" w:type="auto"/>
            <w:shd w:val="clear" w:color="auto" w:fill="auto"/>
            <w:hideMark/>
          </w:tcPr>
          <w:p w14:paraId="2AC238FF" w14:textId="5576F192" w:rsidR="00465964" w:rsidRPr="00465964" w:rsidRDefault="00465964" w:rsidP="00465964">
            <w:pPr>
              <w:rPr>
                <w:lang w:val="pt-PT"/>
              </w:rPr>
            </w:pPr>
            <w:r w:rsidRPr="00465964">
              <w:rPr>
                <w:lang w:val="pt-PT"/>
              </w:rPr>
              <w:t xml:space="preserve">Um tipo de atividade ou de prática relacionada com </w:t>
            </w:r>
            <w:r>
              <w:rPr>
                <w:lang w:val="pt-PT"/>
              </w:rPr>
              <w:t>criptomoedas</w:t>
            </w:r>
            <w:r w:rsidRPr="00465964">
              <w:rPr>
                <w:lang w:val="pt-PT"/>
              </w:rPr>
              <w:t xml:space="preserve"> referenciadas a ativos ou </w:t>
            </w:r>
            <w:r>
              <w:rPr>
                <w:lang w:val="pt-PT"/>
              </w:rPr>
              <w:t>criptomoedas</w:t>
            </w:r>
            <w:r w:rsidRPr="00465964">
              <w:rPr>
                <w:lang w:val="pt-PT"/>
              </w:rPr>
              <w:t xml:space="preserve"> de moeda eletrónica.</w:t>
            </w:r>
          </w:p>
        </w:tc>
      </w:tr>
    </w:tbl>
    <w:p w14:paraId="4C2D2129" w14:textId="77777777" w:rsidR="00465964" w:rsidRPr="00465964" w:rsidRDefault="00465964" w:rsidP="00465964">
      <w:pPr>
        <w:rPr>
          <w:lang w:val="pt-PT"/>
        </w:rPr>
      </w:pPr>
      <w:r w:rsidRPr="00465964">
        <w:rPr>
          <w:lang w:val="pt-PT"/>
        </w:rPr>
        <w:t>Uma proibição ou restrição pode ser aplicável em determinadas circunstâncias, ou estar sujeita a exceções, especificadas pela EBA.</w:t>
      </w:r>
    </w:p>
    <w:p w14:paraId="7A5DF716" w14:textId="77777777" w:rsidR="00465964" w:rsidRPr="00465964" w:rsidRDefault="00465964" w:rsidP="00465964">
      <w:pPr>
        <w:rPr>
          <w:lang w:val="pt-PT"/>
        </w:rPr>
      </w:pPr>
      <w:r w:rsidRPr="00465964">
        <w:rPr>
          <w:lang w:val="pt-PT"/>
        </w:rPr>
        <w:t xml:space="preserve">2.   A EBA só toma uma medida nos termos do </w:t>
      </w:r>
      <w:proofErr w:type="spellStart"/>
      <w:r w:rsidRPr="00465964">
        <w:rPr>
          <w:lang w:val="pt-PT"/>
        </w:rPr>
        <w:t>n.</w:t>
      </w:r>
      <w:r w:rsidRPr="00465964">
        <w:rPr>
          <w:vertAlign w:val="superscript"/>
          <w:lang w:val="pt-PT"/>
        </w:rPr>
        <w:t>o</w:t>
      </w:r>
      <w:proofErr w:type="spellEnd"/>
      <w:r w:rsidRPr="00465964">
        <w:rPr>
          <w:lang w:val="pt-PT"/>
        </w:rPr>
        <w:t> 1, se estiverem preenchidas cumulativamente as seguintes condições:</w:t>
      </w:r>
    </w:p>
    <w:tbl>
      <w:tblPr>
        <w:tblW w:w="5000" w:type="pct"/>
        <w:tblCellMar>
          <w:left w:w="0" w:type="dxa"/>
          <w:right w:w="0" w:type="dxa"/>
        </w:tblCellMar>
        <w:tblLook w:val="04A0" w:firstRow="1" w:lastRow="0" w:firstColumn="1" w:lastColumn="0" w:noHBand="0" w:noVBand="1"/>
      </w:tblPr>
      <w:tblGrid>
        <w:gridCol w:w="182"/>
        <w:gridCol w:w="8844"/>
      </w:tblGrid>
      <w:tr w:rsidR="00465964" w:rsidRPr="00465964" w14:paraId="262699B4" w14:textId="77777777" w:rsidTr="00465964">
        <w:tc>
          <w:tcPr>
            <w:tcW w:w="0" w:type="auto"/>
            <w:shd w:val="clear" w:color="auto" w:fill="auto"/>
            <w:hideMark/>
          </w:tcPr>
          <w:p w14:paraId="01DCF4FE" w14:textId="77777777" w:rsidR="00465964" w:rsidRPr="00465964" w:rsidRDefault="00465964" w:rsidP="00465964">
            <w:r w:rsidRPr="00465964">
              <w:t>a)</w:t>
            </w:r>
          </w:p>
        </w:tc>
        <w:tc>
          <w:tcPr>
            <w:tcW w:w="0" w:type="auto"/>
            <w:shd w:val="clear" w:color="auto" w:fill="auto"/>
            <w:hideMark/>
          </w:tcPr>
          <w:p w14:paraId="14AF5A44" w14:textId="77777777" w:rsidR="00465964" w:rsidRPr="00465964" w:rsidRDefault="00465964" w:rsidP="00465964">
            <w:pPr>
              <w:rPr>
                <w:lang w:val="pt-PT"/>
              </w:rPr>
            </w:pPr>
            <w:r w:rsidRPr="00465964">
              <w:rPr>
                <w:lang w:val="pt-PT"/>
              </w:rPr>
              <w:t xml:space="preserve">A proibição ou restrição proposta visa atender a uma preocupação relevante em matéria de proteção dos investidores ou enfrentar uma ameaça ao funcionamento ordenado e à </w:t>
            </w:r>
            <w:r w:rsidRPr="00465964">
              <w:rPr>
                <w:lang w:val="pt-PT"/>
              </w:rPr>
              <w:lastRenderedPageBreak/>
              <w:t>integridade dos mercados de criptoativos ou à estabilidade de todo o sistema financeiro da União ou de parte dele;</w:t>
            </w:r>
          </w:p>
        </w:tc>
      </w:tr>
    </w:tbl>
    <w:p w14:paraId="31E3654F"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8"/>
        <w:gridCol w:w="8838"/>
      </w:tblGrid>
      <w:tr w:rsidR="00465964" w:rsidRPr="00465964" w14:paraId="250D24FF" w14:textId="77777777" w:rsidTr="00465964">
        <w:tc>
          <w:tcPr>
            <w:tcW w:w="0" w:type="auto"/>
            <w:shd w:val="clear" w:color="auto" w:fill="auto"/>
            <w:hideMark/>
          </w:tcPr>
          <w:p w14:paraId="7BB25625" w14:textId="77777777" w:rsidR="00465964" w:rsidRPr="00465964" w:rsidRDefault="00465964" w:rsidP="00465964">
            <w:r w:rsidRPr="00465964">
              <w:t>b)</w:t>
            </w:r>
          </w:p>
        </w:tc>
        <w:tc>
          <w:tcPr>
            <w:tcW w:w="0" w:type="auto"/>
            <w:shd w:val="clear" w:color="auto" w:fill="auto"/>
            <w:hideMark/>
          </w:tcPr>
          <w:p w14:paraId="039FD077" w14:textId="5CAFEDA8" w:rsidR="00465964" w:rsidRPr="00465964" w:rsidRDefault="00465964" w:rsidP="00465964">
            <w:pPr>
              <w:rPr>
                <w:lang w:val="pt-PT"/>
              </w:rPr>
            </w:pPr>
            <w:r w:rsidRPr="00465964">
              <w:rPr>
                <w:lang w:val="pt-PT"/>
              </w:rPr>
              <w:t xml:space="preserve">Os requisitos regulamentares previstos no direito da União que são aplicáveis às </w:t>
            </w:r>
            <w:r>
              <w:rPr>
                <w:lang w:val="pt-PT"/>
              </w:rPr>
              <w:t>criptomoedas</w:t>
            </w:r>
            <w:r w:rsidRPr="00465964">
              <w:rPr>
                <w:lang w:val="pt-PT"/>
              </w:rPr>
              <w:t xml:space="preserve"> referenciadas a ativos pertinentes, às </w:t>
            </w:r>
            <w:r>
              <w:rPr>
                <w:lang w:val="pt-PT"/>
              </w:rPr>
              <w:t>criptomoedas</w:t>
            </w:r>
            <w:r w:rsidRPr="00465964">
              <w:rPr>
                <w:lang w:val="pt-PT"/>
              </w:rPr>
              <w:t xml:space="preserve"> de moeda eletrónica pertinentes ou aos serviços de criptoativos relacionados com estas </w:t>
            </w:r>
            <w:r>
              <w:rPr>
                <w:lang w:val="pt-PT"/>
              </w:rPr>
              <w:t>criptomoedas</w:t>
            </w:r>
            <w:r w:rsidRPr="00465964">
              <w:rPr>
                <w:lang w:val="pt-PT"/>
              </w:rPr>
              <w:t xml:space="preserve"> pertinentes não enfrentam a ameaça em causa;</w:t>
            </w:r>
          </w:p>
        </w:tc>
      </w:tr>
    </w:tbl>
    <w:p w14:paraId="04511438"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0"/>
        <w:gridCol w:w="8846"/>
      </w:tblGrid>
      <w:tr w:rsidR="00465964" w:rsidRPr="00465964" w14:paraId="4D2045FB" w14:textId="77777777" w:rsidTr="00465964">
        <w:tc>
          <w:tcPr>
            <w:tcW w:w="0" w:type="auto"/>
            <w:shd w:val="clear" w:color="auto" w:fill="auto"/>
            <w:hideMark/>
          </w:tcPr>
          <w:p w14:paraId="35816A0F" w14:textId="77777777" w:rsidR="00465964" w:rsidRPr="00465964" w:rsidRDefault="00465964" w:rsidP="00465964">
            <w:r w:rsidRPr="00465964">
              <w:t>c)</w:t>
            </w:r>
          </w:p>
        </w:tc>
        <w:tc>
          <w:tcPr>
            <w:tcW w:w="0" w:type="auto"/>
            <w:shd w:val="clear" w:color="auto" w:fill="auto"/>
            <w:hideMark/>
          </w:tcPr>
          <w:p w14:paraId="40CE8064" w14:textId="77777777" w:rsidR="00465964" w:rsidRPr="00465964" w:rsidRDefault="00465964" w:rsidP="00465964">
            <w:pPr>
              <w:rPr>
                <w:lang w:val="pt-PT"/>
              </w:rPr>
            </w:pPr>
            <w:r w:rsidRPr="00465964">
              <w:rPr>
                <w:lang w:val="pt-PT"/>
              </w:rPr>
              <w:t>Nenhuma autoridade competente pertinente tomou medidas para responder à ameaça em causa ou as medidas tomadas não enfrentam adequadamente a ameaça.</w:t>
            </w:r>
          </w:p>
        </w:tc>
      </w:tr>
    </w:tbl>
    <w:p w14:paraId="6A299D3A" w14:textId="77777777" w:rsidR="00465964" w:rsidRPr="00465964" w:rsidRDefault="00465964" w:rsidP="00465964">
      <w:pPr>
        <w:rPr>
          <w:lang w:val="pt-PT"/>
        </w:rPr>
      </w:pPr>
      <w:r w:rsidRPr="00465964">
        <w:rPr>
          <w:lang w:val="pt-PT"/>
        </w:rPr>
        <w:t xml:space="preserve">3.   Ao tomar uma medida nos termos do </w:t>
      </w:r>
      <w:proofErr w:type="spellStart"/>
      <w:r w:rsidRPr="00465964">
        <w:rPr>
          <w:lang w:val="pt-PT"/>
        </w:rPr>
        <w:t>n.</w:t>
      </w:r>
      <w:r w:rsidRPr="00465964">
        <w:rPr>
          <w:vertAlign w:val="superscript"/>
          <w:lang w:val="pt-PT"/>
        </w:rPr>
        <w:t>o</w:t>
      </w:r>
      <w:proofErr w:type="spellEnd"/>
      <w:r w:rsidRPr="00465964">
        <w:rPr>
          <w:lang w:val="pt-PT"/>
        </w:rPr>
        <w:t> 1, a EBA assegura que a medida:</w:t>
      </w:r>
    </w:p>
    <w:tbl>
      <w:tblPr>
        <w:tblW w:w="5000" w:type="pct"/>
        <w:tblCellMar>
          <w:left w:w="0" w:type="dxa"/>
          <w:right w:w="0" w:type="dxa"/>
        </w:tblCellMar>
        <w:tblLook w:val="04A0" w:firstRow="1" w:lastRow="0" w:firstColumn="1" w:lastColumn="0" w:noHBand="0" w:noVBand="1"/>
      </w:tblPr>
      <w:tblGrid>
        <w:gridCol w:w="182"/>
        <w:gridCol w:w="8844"/>
      </w:tblGrid>
      <w:tr w:rsidR="00465964" w:rsidRPr="00465964" w14:paraId="65903D19" w14:textId="77777777" w:rsidTr="00465964">
        <w:tc>
          <w:tcPr>
            <w:tcW w:w="0" w:type="auto"/>
            <w:shd w:val="clear" w:color="auto" w:fill="auto"/>
            <w:hideMark/>
          </w:tcPr>
          <w:p w14:paraId="59819B40" w14:textId="77777777" w:rsidR="00465964" w:rsidRPr="00465964" w:rsidRDefault="00465964" w:rsidP="00465964">
            <w:r w:rsidRPr="00465964">
              <w:t>a)</w:t>
            </w:r>
          </w:p>
        </w:tc>
        <w:tc>
          <w:tcPr>
            <w:tcW w:w="0" w:type="auto"/>
            <w:shd w:val="clear" w:color="auto" w:fill="auto"/>
            <w:hideMark/>
          </w:tcPr>
          <w:p w14:paraId="5C2DD6A4" w14:textId="5CC87C48" w:rsidR="00465964" w:rsidRPr="00465964" w:rsidRDefault="00465964" w:rsidP="00465964">
            <w:pPr>
              <w:rPr>
                <w:lang w:val="pt-PT"/>
              </w:rPr>
            </w:pPr>
            <w:r w:rsidRPr="00465964">
              <w:rPr>
                <w:lang w:val="pt-PT"/>
              </w:rPr>
              <w:t xml:space="preserve">Não tenha um efeito prejudicial sobre a eficiência dos mercados de criptoativos ou sobre os detentores de </w:t>
            </w:r>
            <w:r>
              <w:rPr>
                <w:lang w:val="pt-PT"/>
              </w:rPr>
              <w:t>criptomoedas</w:t>
            </w:r>
            <w:r w:rsidRPr="00465964">
              <w:rPr>
                <w:lang w:val="pt-PT"/>
              </w:rPr>
              <w:t xml:space="preserve"> referenciadas a ativos ou </w:t>
            </w:r>
            <w:r>
              <w:rPr>
                <w:lang w:val="pt-PT"/>
              </w:rPr>
              <w:t>criptomoedas</w:t>
            </w:r>
            <w:r w:rsidRPr="00465964">
              <w:rPr>
                <w:lang w:val="pt-PT"/>
              </w:rPr>
              <w:t xml:space="preserve"> de moeda eletrónica ou os clientes que recebam serviços de criptoativos que seja desproporcional aos benefícios da medida; e</w:t>
            </w:r>
          </w:p>
        </w:tc>
      </w:tr>
    </w:tbl>
    <w:p w14:paraId="6984DB05"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392"/>
        <w:gridCol w:w="8634"/>
      </w:tblGrid>
      <w:tr w:rsidR="00465964" w:rsidRPr="00465964" w14:paraId="53A65923" w14:textId="77777777" w:rsidTr="00465964">
        <w:tc>
          <w:tcPr>
            <w:tcW w:w="0" w:type="auto"/>
            <w:shd w:val="clear" w:color="auto" w:fill="auto"/>
            <w:hideMark/>
          </w:tcPr>
          <w:p w14:paraId="28D34115" w14:textId="77777777" w:rsidR="00465964" w:rsidRPr="00465964" w:rsidRDefault="00465964" w:rsidP="00465964">
            <w:r w:rsidRPr="00465964">
              <w:t>b)</w:t>
            </w:r>
          </w:p>
        </w:tc>
        <w:tc>
          <w:tcPr>
            <w:tcW w:w="0" w:type="auto"/>
            <w:shd w:val="clear" w:color="auto" w:fill="auto"/>
            <w:hideMark/>
          </w:tcPr>
          <w:p w14:paraId="4B749C8B" w14:textId="77777777" w:rsidR="00465964" w:rsidRPr="00465964" w:rsidRDefault="00465964" w:rsidP="00465964">
            <w:pPr>
              <w:rPr>
                <w:lang w:val="pt-PT"/>
              </w:rPr>
            </w:pPr>
            <w:r w:rsidRPr="00465964">
              <w:rPr>
                <w:lang w:val="pt-PT"/>
              </w:rPr>
              <w:t>Não crie riscos de arbitragem regulamentar.</w:t>
            </w:r>
          </w:p>
        </w:tc>
      </w:tr>
    </w:tbl>
    <w:p w14:paraId="2FB668FC" w14:textId="77777777" w:rsidR="00465964" w:rsidRPr="00465964" w:rsidRDefault="00465964" w:rsidP="00465964">
      <w:pPr>
        <w:rPr>
          <w:lang w:val="pt-PT"/>
        </w:rPr>
      </w:pPr>
      <w:r w:rsidRPr="00465964">
        <w:rPr>
          <w:lang w:val="pt-PT"/>
        </w:rPr>
        <w:t>Se as autoridades competentes tiverem tomado uma medida nos termos do artigo 105.</w:t>
      </w:r>
      <w:r w:rsidRPr="00465964">
        <w:rPr>
          <w:vertAlign w:val="superscript"/>
          <w:lang w:val="pt-PT"/>
        </w:rPr>
        <w:t>o</w:t>
      </w:r>
      <w:r w:rsidRPr="00465964">
        <w:rPr>
          <w:lang w:val="pt-PT"/>
        </w:rPr>
        <w:t xml:space="preserve">, a EBA pode tomar qualquer das medidas referidas no </w:t>
      </w:r>
      <w:proofErr w:type="spellStart"/>
      <w:r w:rsidRPr="00465964">
        <w:rPr>
          <w:lang w:val="pt-PT"/>
        </w:rPr>
        <w:t>n.</w:t>
      </w:r>
      <w:r w:rsidRPr="00465964">
        <w:rPr>
          <w:vertAlign w:val="superscript"/>
          <w:lang w:val="pt-PT"/>
        </w:rPr>
        <w:t>o</w:t>
      </w:r>
      <w:proofErr w:type="spellEnd"/>
      <w:r w:rsidRPr="00465964">
        <w:rPr>
          <w:lang w:val="pt-PT"/>
        </w:rPr>
        <w:t> 1 do presente artigo sem emitir o parecer a que se refere o artigo 106.</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2.</w:t>
      </w:r>
    </w:p>
    <w:p w14:paraId="03E65A27" w14:textId="77777777" w:rsidR="00465964" w:rsidRPr="00465964" w:rsidRDefault="00465964" w:rsidP="00465964">
      <w:pPr>
        <w:rPr>
          <w:lang w:val="pt-PT"/>
        </w:rPr>
      </w:pPr>
      <w:r w:rsidRPr="00465964">
        <w:rPr>
          <w:lang w:val="pt-PT"/>
        </w:rPr>
        <w:t xml:space="preserve">4.   Antes de decidir tomar uma medida nos termos do </w:t>
      </w:r>
      <w:proofErr w:type="spellStart"/>
      <w:r w:rsidRPr="00465964">
        <w:rPr>
          <w:lang w:val="pt-PT"/>
        </w:rPr>
        <w:t>n.</w:t>
      </w:r>
      <w:r w:rsidRPr="00465964">
        <w:rPr>
          <w:vertAlign w:val="superscript"/>
          <w:lang w:val="pt-PT"/>
        </w:rPr>
        <w:t>o</w:t>
      </w:r>
      <w:proofErr w:type="spellEnd"/>
      <w:r w:rsidRPr="00465964">
        <w:rPr>
          <w:lang w:val="pt-PT"/>
        </w:rPr>
        <w:t> 1, a EBA informa as autoridades competentes pertinentes da medida que tenciona tomar.</w:t>
      </w:r>
    </w:p>
    <w:p w14:paraId="371D2C09" w14:textId="77777777" w:rsidR="00465964" w:rsidRPr="00465964" w:rsidRDefault="00465964" w:rsidP="00465964">
      <w:pPr>
        <w:rPr>
          <w:lang w:val="pt-PT"/>
        </w:rPr>
      </w:pPr>
      <w:r w:rsidRPr="00465964">
        <w:rPr>
          <w:lang w:val="pt-PT"/>
        </w:rPr>
        <w:t xml:space="preserve">5.   A EBA publica no seu sítio Web um aviso da decisão de adotar uma medida nos termos do </w:t>
      </w:r>
      <w:proofErr w:type="spellStart"/>
      <w:r w:rsidRPr="00465964">
        <w:rPr>
          <w:lang w:val="pt-PT"/>
        </w:rPr>
        <w:t>n.</w:t>
      </w:r>
      <w:r w:rsidRPr="00465964">
        <w:rPr>
          <w:vertAlign w:val="superscript"/>
          <w:lang w:val="pt-PT"/>
        </w:rPr>
        <w:t>o</w:t>
      </w:r>
      <w:proofErr w:type="spellEnd"/>
      <w:r w:rsidRPr="00465964">
        <w:rPr>
          <w:lang w:val="pt-PT"/>
        </w:rPr>
        <w:t> 1. Este aviso especifica os detalhes da proibição ou restrição imposta e a data, após a publicação do aviso, a partir da qual as medidas produzirão efeitos. Uma proibição ou restrição só é aplicável a atividades posteriores à produção de efeitos da medida.</w:t>
      </w:r>
    </w:p>
    <w:p w14:paraId="752F3300" w14:textId="77777777" w:rsidR="00465964" w:rsidRPr="00465964" w:rsidRDefault="00465964" w:rsidP="00465964">
      <w:pPr>
        <w:rPr>
          <w:lang w:val="pt-PT"/>
        </w:rPr>
      </w:pPr>
      <w:r w:rsidRPr="00465964">
        <w:rPr>
          <w:lang w:val="pt-PT"/>
        </w:rPr>
        <w:t xml:space="preserve">6.   A EBA reavalia qualquer proibição ou restrição imposta nos termos do </w:t>
      </w:r>
      <w:proofErr w:type="spellStart"/>
      <w:r w:rsidRPr="00465964">
        <w:rPr>
          <w:lang w:val="pt-PT"/>
        </w:rPr>
        <w:t>n.</w:t>
      </w:r>
      <w:r w:rsidRPr="00465964">
        <w:rPr>
          <w:vertAlign w:val="superscript"/>
          <w:lang w:val="pt-PT"/>
        </w:rPr>
        <w:t>o</w:t>
      </w:r>
      <w:proofErr w:type="spellEnd"/>
      <w:r w:rsidRPr="00465964">
        <w:rPr>
          <w:lang w:val="pt-PT"/>
        </w:rPr>
        <w:t> 1 a intervalos adequados, no mínimo de seis em seis meses. Após um mínimo de duas renovações consecutivas, e com base numa análise adequada que avalie o impacto para os consumidores, a EBA pode decidir a renovação da proibição ou restrição por um ano.</w:t>
      </w:r>
    </w:p>
    <w:p w14:paraId="2EC4901F" w14:textId="77777777" w:rsidR="00465964" w:rsidRPr="00465964" w:rsidRDefault="00465964" w:rsidP="00465964">
      <w:pPr>
        <w:rPr>
          <w:lang w:val="pt-PT"/>
        </w:rPr>
      </w:pPr>
      <w:r w:rsidRPr="00465964">
        <w:rPr>
          <w:lang w:val="pt-PT"/>
        </w:rPr>
        <w:t>7.   As medidas tomadas pela EBA nos termos do presente artigo prevalecem sobre quaisquer medidas anteriores tomadas pela autoridade competente pertinente sobre a mesma matéria.</w:t>
      </w:r>
    </w:p>
    <w:p w14:paraId="45D9B853" w14:textId="77777777" w:rsidR="00465964" w:rsidRPr="00465964" w:rsidRDefault="00465964" w:rsidP="00465964">
      <w:pPr>
        <w:rPr>
          <w:lang w:val="pt-PT"/>
        </w:rPr>
      </w:pPr>
      <w:r w:rsidRPr="00465964">
        <w:rPr>
          <w:lang w:val="pt-PT"/>
        </w:rPr>
        <w:t>8.   A Comissão adota atos delegados nos termos do artigo 139.</w:t>
      </w:r>
      <w:r w:rsidRPr="00465964">
        <w:rPr>
          <w:vertAlign w:val="superscript"/>
          <w:lang w:val="pt-PT"/>
        </w:rPr>
        <w:t>o</w:t>
      </w:r>
      <w:r w:rsidRPr="00465964">
        <w:rPr>
          <w:lang w:val="pt-PT"/>
        </w:rPr>
        <w:t xml:space="preserve">, a fim de completar o presente regulamento com a especificação dos critérios e fatores que devem ser tidos em conta pela EBA para determinar se existe uma preocupação relevante em matéria de proteção dos investidores ou uma ameaça ao funcionamento ordenado e à integridade dos mercados de criptoativos ou à estabilidade de todo o sistema financeiro da União ou de parte dele para efeitos do </w:t>
      </w:r>
      <w:proofErr w:type="spellStart"/>
      <w:r w:rsidRPr="00465964">
        <w:rPr>
          <w:lang w:val="pt-PT"/>
        </w:rPr>
        <w:t>n.</w:t>
      </w:r>
      <w:r w:rsidRPr="00465964">
        <w:rPr>
          <w:vertAlign w:val="superscript"/>
          <w:lang w:val="pt-PT"/>
        </w:rPr>
        <w:t>o</w:t>
      </w:r>
      <w:proofErr w:type="spellEnd"/>
      <w:r w:rsidRPr="00465964">
        <w:rPr>
          <w:lang w:val="pt-PT"/>
        </w:rPr>
        <w:t> 2, alínea a), do presente artigo.</w:t>
      </w:r>
    </w:p>
    <w:p w14:paraId="4C81116F" w14:textId="77777777" w:rsidR="00465964" w:rsidRPr="00465964" w:rsidRDefault="00465964" w:rsidP="00465964">
      <w:pPr>
        <w:rPr>
          <w:i/>
          <w:iCs/>
          <w:lang w:val="pt-PT"/>
        </w:rPr>
      </w:pPr>
      <w:r w:rsidRPr="00465964">
        <w:rPr>
          <w:i/>
          <w:iCs/>
          <w:lang w:val="pt-PT"/>
        </w:rPr>
        <w:t>Artigo 105.</w:t>
      </w:r>
      <w:r w:rsidRPr="00465964">
        <w:rPr>
          <w:i/>
          <w:iCs/>
          <w:vertAlign w:val="superscript"/>
          <w:lang w:val="pt-PT"/>
        </w:rPr>
        <w:t>o</w:t>
      </w:r>
    </w:p>
    <w:p w14:paraId="0E869B88" w14:textId="77777777" w:rsidR="00465964" w:rsidRPr="00465964" w:rsidRDefault="00465964" w:rsidP="00465964">
      <w:pPr>
        <w:rPr>
          <w:b/>
          <w:bCs/>
          <w:lang w:val="pt-PT"/>
        </w:rPr>
      </w:pPr>
      <w:r w:rsidRPr="00465964">
        <w:rPr>
          <w:b/>
          <w:bCs/>
          <w:lang w:val="pt-PT"/>
        </w:rPr>
        <w:t>Intervenção das autoridades competentes sobre os produtos</w:t>
      </w:r>
    </w:p>
    <w:p w14:paraId="5D095977" w14:textId="77777777" w:rsidR="00465964" w:rsidRPr="00465964" w:rsidRDefault="00465964" w:rsidP="00465964">
      <w:pPr>
        <w:rPr>
          <w:lang w:val="pt-PT"/>
        </w:rPr>
      </w:pPr>
      <w:r w:rsidRPr="00465964">
        <w:rPr>
          <w:lang w:val="pt-PT"/>
        </w:rPr>
        <w:t>1.   Uma autoridade competente pode proibir ou restringir o seguinte no ou a partir do seu Estado-Membro:</w:t>
      </w:r>
    </w:p>
    <w:tbl>
      <w:tblPr>
        <w:tblW w:w="5000" w:type="pct"/>
        <w:tblCellMar>
          <w:left w:w="0" w:type="dxa"/>
          <w:right w:w="0" w:type="dxa"/>
        </w:tblCellMar>
        <w:tblLook w:val="04A0" w:firstRow="1" w:lastRow="0" w:firstColumn="1" w:lastColumn="0" w:noHBand="0" w:noVBand="1"/>
      </w:tblPr>
      <w:tblGrid>
        <w:gridCol w:w="182"/>
        <w:gridCol w:w="8844"/>
      </w:tblGrid>
      <w:tr w:rsidR="00465964" w:rsidRPr="00465964" w14:paraId="1E3B32D5" w14:textId="77777777" w:rsidTr="00465964">
        <w:tc>
          <w:tcPr>
            <w:tcW w:w="0" w:type="auto"/>
            <w:shd w:val="clear" w:color="auto" w:fill="auto"/>
            <w:hideMark/>
          </w:tcPr>
          <w:p w14:paraId="4ABA18C0" w14:textId="77777777" w:rsidR="00465964" w:rsidRPr="00465964" w:rsidRDefault="00465964" w:rsidP="00465964">
            <w:r w:rsidRPr="00465964">
              <w:lastRenderedPageBreak/>
              <w:t>a)</w:t>
            </w:r>
          </w:p>
        </w:tc>
        <w:tc>
          <w:tcPr>
            <w:tcW w:w="0" w:type="auto"/>
            <w:shd w:val="clear" w:color="auto" w:fill="auto"/>
            <w:hideMark/>
          </w:tcPr>
          <w:p w14:paraId="60545484" w14:textId="77777777" w:rsidR="00465964" w:rsidRPr="00465964" w:rsidRDefault="00465964" w:rsidP="00465964">
            <w:pPr>
              <w:rPr>
                <w:lang w:val="pt-PT"/>
              </w:rPr>
            </w:pPr>
            <w:r w:rsidRPr="00465964">
              <w:rPr>
                <w:lang w:val="pt-PT"/>
              </w:rPr>
              <w:t>A promoção, distribuição ou venda de determinados criptoativos ou de criptoativos com determinadas características especificadas; ou</w:t>
            </w:r>
          </w:p>
        </w:tc>
      </w:tr>
    </w:tbl>
    <w:p w14:paraId="6019D7EA"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283"/>
        <w:gridCol w:w="8743"/>
      </w:tblGrid>
      <w:tr w:rsidR="00465964" w:rsidRPr="00465964" w14:paraId="430538A2" w14:textId="77777777" w:rsidTr="00465964">
        <w:tc>
          <w:tcPr>
            <w:tcW w:w="0" w:type="auto"/>
            <w:shd w:val="clear" w:color="auto" w:fill="auto"/>
            <w:hideMark/>
          </w:tcPr>
          <w:p w14:paraId="5A7D113C" w14:textId="77777777" w:rsidR="00465964" w:rsidRPr="00465964" w:rsidRDefault="00465964" w:rsidP="00465964">
            <w:r w:rsidRPr="00465964">
              <w:t>b)</w:t>
            </w:r>
          </w:p>
        </w:tc>
        <w:tc>
          <w:tcPr>
            <w:tcW w:w="0" w:type="auto"/>
            <w:shd w:val="clear" w:color="auto" w:fill="auto"/>
            <w:hideMark/>
          </w:tcPr>
          <w:p w14:paraId="0B0B13DA" w14:textId="77777777" w:rsidR="00465964" w:rsidRPr="00465964" w:rsidRDefault="00465964" w:rsidP="00465964">
            <w:pPr>
              <w:rPr>
                <w:lang w:val="pt-PT"/>
              </w:rPr>
            </w:pPr>
            <w:r w:rsidRPr="00465964">
              <w:rPr>
                <w:lang w:val="pt-PT"/>
              </w:rPr>
              <w:t>Um tipo de atividade ou prática relacionada com criptoativos.</w:t>
            </w:r>
          </w:p>
        </w:tc>
      </w:tr>
    </w:tbl>
    <w:p w14:paraId="3A5A7FA9" w14:textId="77777777" w:rsidR="00465964" w:rsidRPr="00465964" w:rsidRDefault="00465964" w:rsidP="00465964">
      <w:pPr>
        <w:rPr>
          <w:lang w:val="pt-PT"/>
        </w:rPr>
      </w:pPr>
      <w:r w:rsidRPr="00465964">
        <w:rPr>
          <w:lang w:val="pt-PT"/>
        </w:rPr>
        <w:t xml:space="preserve">2.   Uma autoridade competente só toma uma medida nos termos do </w:t>
      </w:r>
      <w:proofErr w:type="spellStart"/>
      <w:r w:rsidRPr="00465964">
        <w:rPr>
          <w:lang w:val="pt-PT"/>
        </w:rPr>
        <w:t>n.</w:t>
      </w:r>
      <w:r w:rsidRPr="00465964">
        <w:rPr>
          <w:vertAlign w:val="superscript"/>
          <w:lang w:val="pt-PT"/>
        </w:rPr>
        <w:t>o</w:t>
      </w:r>
      <w:proofErr w:type="spellEnd"/>
      <w:r w:rsidRPr="00465964">
        <w:rPr>
          <w:lang w:val="pt-PT"/>
        </w:rPr>
        <w:t> 1, se considerar, com base em motivos razoáveis, que:</w:t>
      </w:r>
    </w:p>
    <w:tbl>
      <w:tblPr>
        <w:tblW w:w="5000" w:type="pct"/>
        <w:tblCellMar>
          <w:left w:w="0" w:type="dxa"/>
          <w:right w:w="0" w:type="dxa"/>
        </w:tblCellMar>
        <w:tblLook w:val="04A0" w:firstRow="1" w:lastRow="0" w:firstColumn="1" w:lastColumn="0" w:noHBand="0" w:noVBand="1"/>
      </w:tblPr>
      <w:tblGrid>
        <w:gridCol w:w="182"/>
        <w:gridCol w:w="8844"/>
      </w:tblGrid>
      <w:tr w:rsidR="00465964" w:rsidRPr="00465964" w14:paraId="20D801EB" w14:textId="77777777" w:rsidTr="00465964">
        <w:tc>
          <w:tcPr>
            <w:tcW w:w="0" w:type="auto"/>
            <w:shd w:val="clear" w:color="auto" w:fill="auto"/>
            <w:hideMark/>
          </w:tcPr>
          <w:p w14:paraId="3CE043F2" w14:textId="77777777" w:rsidR="00465964" w:rsidRPr="00465964" w:rsidRDefault="00465964" w:rsidP="00465964">
            <w:r w:rsidRPr="00465964">
              <w:t>a)</w:t>
            </w:r>
          </w:p>
        </w:tc>
        <w:tc>
          <w:tcPr>
            <w:tcW w:w="0" w:type="auto"/>
            <w:shd w:val="clear" w:color="auto" w:fill="auto"/>
            <w:hideMark/>
          </w:tcPr>
          <w:p w14:paraId="029B74AF" w14:textId="77777777" w:rsidR="00465964" w:rsidRPr="00465964" w:rsidRDefault="00465964" w:rsidP="00465964">
            <w:pPr>
              <w:rPr>
                <w:lang w:val="pt-PT"/>
              </w:rPr>
            </w:pPr>
            <w:r w:rsidRPr="00465964">
              <w:rPr>
                <w:lang w:val="pt-PT"/>
              </w:rPr>
              <w:t>Um criptoativo suscita preocupações relevantes em matéria de proteção dos investidores ou representa uma ameaça ao funcionamento ordenado e à integridade dos mercados de criptoativos ou à estabilidade de todo o sistema financeiro ou de parte dele em pelo menos um Estado-Membro;</w:t>
            </w:r>
          </w:p>
        </w:tc>
      </w:tr>
    </w:tbl>
    <w:p w14:paraId="19CE4B86"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8"/>
        <w:gridCol w:w="8838"/>
      </w:tblGrid>
      <w:tr w:rsidR="00465964" w:rsidRPr="00465964" w14:paraId="433D8135" w14:textId="77777777" w:rsidTr="00465964">
        <w:tc>
          <w:tcPr>
            <w:tcW w:w="0" w:type="auto"/>
            <w:shd w:val="clear" w:color="auto" w:fill="auto"/>
            <w:hideMark/>
          </w:tcPr>
          <w:p w14:paraId="1A34122C" w14:textId="77777777" w:rsidR="00465964" w:rsidRPr="00465964" w:rsidRDefault="00465964" w:rsidP="00465964">
            <w:r w:rsidRPr="00465964">
              <w:t>b)</w:t>
            </w:r>
          </w:p>
        </w:tc>
        <w:tc>
          <w:tcPr>
            <w:tcW w:w="0" w:type="auto"/>
            <w:shd w:val="clear" w:color="auto" w:fill="auto"/>
            <w:hideMark/>
          </w:tcPr>
          <w:p w14:paraId="5AA9E831" w14:textId="77777777" w:rsidR="00465964" w:rsidRPr="00465964" w:rsidRDefault="00465964" w:rsidP="00465964">
            <w:pPr>
              <w:rPr>
                <w:lang w:val="pt-PT"/>
              </w:rPr>
            </w:pPr>
            <w:r w:rsidRPr="00465964">
              <w:rPr>
                <w:lang w:val="pt-PT"/>
              </w:rPr>
              <w:t>Os requisitos regulamentares existentes previstos no direito da União aplicáveis ao criptoativo ou ao serviço de criptoativos em causa não são suficientes para enfrentar os riscos a que se refere a alínea a) e o problema não seria tratado de forma mais eficaz através da melhoria da supervisão ou da aplicação dos requisitos existentes;</w:t>
            </w:r>
          </w:p>
        </w:tc>
      </w:tr>
    </w:tbl>
    <w:p w14:paraId="2992AD31"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0"/>
        <w:gridCol w:w="8846"/>
      </w:tblGrid>
      <w:tr w:rsidR="00465964" w:rsidRPr="00465964" w14:paraId="456A91EF" w14:textId="77777777" w:rsidTr="00465964">
        <w:tc>
          <w:tcPr>
            <w:tcW w:w="0" w:type="auto"/>
            <w:shd w:val="clear" w:color="auto" w:fill="auto"/>
            <w:hideMark/>
          </w:tcPr>
          <w:p w14:paraId="7B0AE998" w14:textId="77777777" w:rsidR="00465964" w:rsidRPr="00465964" w:rsidRDefault="00465964" w:rsidP="00465964">
            <w:r w:rsidRPr="00465964">
              <w:t>c)</w:t>
            </w:r>
          </w:p>
        </w:tc>
        <w:tc>
          <w:tcPr>
            <w:tcW w:w="0" w:type="auto"/>
            <w:shd w:val="clear" w:color="auto" w:fill="auto"/>
            <w:hideMark/>
          </w:tcPr>
          <w:p w14:paraId="6CB06048" w14:textId="77777777" w:rsidR="00465964" w:rsidRPr="00465964" w:rsidRDefault="00465964" w:rsidP="00465964">
            <w:pPr>
              <w:rPr>
                <w:lang w:val="pt-PT"/>
              </w:rPr>
            </w:pPr>
            <w:r w:rsidRPr="00465964">
              <w:rPr>
                <w:lang w:val="pt-PT"/>
              </w:rPr>
              <w:t>A medida é proporcionada, tendo em conta a natureza dos riscos identificados, o grau de sofisticação dos investidores ou dos participantes no mercado em causa e os efeitos prováveis da medida sobre os investidores e os participantes no mercado que possam deter ou utilizar o criptoativo ou o serviço de criptoativos em causa ou deles beneficiar;</w:t>
            </w:r>
          </w:p>
        </w:tc>
      </w:tr>
    </w:tbl>
    <w:p w14:paraId="246D4755"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8"/>
        <w:gridCol w:w="8838"/>
      </w:tblGrid>
      <w:tr w:rsidR="00465964" w:rsidRPr="00465964" w14:paraId="62EE75B7" w14:textId="77777777" w:rsidTr="00465964">
        <w:tc>
          <w:tcPr>
            <w:tcW w:w="0" w:type="auto"/>
            <w:shd w:val="clear" w:color="auto" w:fill="auto"/>
            <w:hideMark/>
          </w:tcPr>
          <w:p w14:paraId="0F5642A0" w14:textId="77777777" w:rsidR="00465964" w:rsidRPr="00465964" w:rsidRDefault="00465964" w:rsidP="00465964">
            <w:r w:rsidRPr="00465964">
              <w:t>d)</w:t>
            </w:r>
          </w:p>
        </w:tc>
        <w:tc>
          <w:tcPr>
            <w:tcW w:w="0" w:type="auto"/>
            <w:shd w:val="clear" w:color="auto" w:fill="auto"/>
            <w:hideMark/>
          </w:tcPr>
          <w:p w14:paraId="7B46B72F" w14:textId="77777777" w:rsidR="00465964" w:rsidRPr="00465964" w:rsidRDefault="00465964" w:rsidP="00465964">
            <w:pPr>
              <w:rPr>
                <w:lang w:val="pt-PT"/>
              </w:rPr>
            </w:pPr>
            <w:r w:rsidRPr="00465964">
              <w:rPr>
                <w:lang w:val="pt-PT"/>
              </w:rPr>
              <w:t>A autoridade competente consultou devidamente as autoridades competentes de outros Estados-Membros suscetíveis de serem afetados de forma significativa pela medida; e</w:t>
            </w:r>
          </w:p>
        </w:tc>
      </w:tr>
    </w:tbl>
    <w:p w14:paraId="7126E031"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1"/>
        <w:gridCol w:w="8845"/>
      </w:tblGrid>
      <w:tr w:rsidR="00465964" w:rsidRPr="00465964" w14:paraId="3F3AF356" w14:textId="77777777" w:rsidTr="00465964">
        <w:tc>
          <w:tcPr>
            <w:tcW w:w="0" w:type="auto"/>
            <w:shd w:val="clear" w:color="auto" w:fill="auto"/>
            <w:hideMark/>
          </w:tcPr>
          <w:p w14:paraId="7B73BB85" w14:textId="77777777" w:rsidR="00465964" w:rsidRPr="00465964" w:rsidRDefault="00465964" w:rsidP="00465964">
            <w:r w:rsidRPr="00465964">
              <w:t>e)</w:t>
            </w:r>
          </w:p>
        </w:tc>
        <w:tc>
          <w:tcPr>
            <w:tcW w:w="0" w:type="auto"/>
            <w:shd w:val="clear" w:color="auto" w:fill="auto"/>
            <w:hideMark/>
          </w:tcPr>
          <w:p w14:paraId="21EDEA1C" w14:textId="77777777" w:rsidR="00465964" w:rsidRPr="00465964" w:rsidRDefault="00465964" w:rsidP="00465964">
            <w:pPr>
              <w:rPr>
                <w:lang w:val="pt-PT"/>
              </w:rPr>
            </w:pPr>
            <w:r w:rsidRPr="00465964">
              <w:rPr>
                <w:lang w:val="pt-PT"/>
              </w:rPr>
              <w:t>A medida não tem um efeito discriminatório nos serviços prestados ou nas atividades exercidas a partir de outro Estado-Membro.</w:t>
            </w:r>
          </w:p>
        </w:tc>
      </w:tr>
    </w:tbl>
    <w:p w14:paraId="539608CD" w14:textId="77777777" w:rsidR="00465964" w:rsidRPr="00465964" w:rsidRDefault="00465964" w:rsidP="00465964">
      <w:pPr>
        <w:rPr>
          <w:lang w:val="pt-PT"/>
        </w:rPr>
      </w:pPr>
      <w:r w:rsidRPr="00465964">
        <w:rPr>
          <w:lang w:val="pt-PT"/>
        </w:rPr>
        <w:t xml:space="preserve">Caso as condições previstas no primeiro parágrafo do presente número estejam preenchidas, a autoridade competente pode impor, a título preventivo, a proibição ou restrição a que se refere o </w:t>
      </w:r>
      <w:proofErr w:type="spellStart"/>
      <w:r w:rsidRPr="00465964">
        <w:rPr>
          <w:lang w:val="pt-PT"/>
        </w:rPr>
        <w:t>n.</w:t>
      </w:r>
      <w:r w:rsidRPr="00465964">
        <w:rPr>
          <w:vertAlign w:val="superscript"/>
          <w:lang w:val="pt-PT"/>
        </w:rPr>
        <w:t>o</w:t>
      </w:r>
      <w:proofErr w:type="spellEnd"/>
      <w:r w:rsidRPr="00465964">
        <w:rPr>
          <w:lang w:val="pt-PT"/>
        </w:rPr>
        <w:t> 1 antes da promoção, distribuição ou venda a clientes de um criptoativo.</w:t>
      </w:r>
    </w:p>
    <w:p w14:paraId="3DDC8327" w14:textId="77777777" w:rsidR="00465964" w:rsidRPr="00465964" w:rsidRDefault="00465964" w:rsidP="00465964">
      <w:pPr>
        <w:rPr>
          <w:lang w:val="pt-PT"/>
        </w:rPr>
      </w:pPr>
      <w:r w:rsidRPr="00465964">
        <w:rPr>
          <w:lang w:val="pt-PT"/>
        </w:rPr>
        <w:t xml:space="preserve">A autoridade competente pode decidir só aplicar a proibição ou restrição a que se refere o </w:t>
      </w:r>
      <w:proofErr w:type="spellStart"/>
      <w:r w:rsidRPr="00465964">
        <w:rPr>
          <w:lang w:val="pt-PT"/>
        </w:rPr>
        <w:t>n.</w:t>
      </w:r>
      <w:r w:rsidRPr="00465964">
        <w:rPr>
          <w:vertAlign w:val="superscript"/>
          <w:lang w:val="pt-PT"/>
        </w:rPr>
        <w:t>o</w:t>
      </w:r>
      <w:proofErr w:type="spellEnd"/>
      <w:r w:rsidRPr="00465964">
        <w:rPr>
          <w:lang w:val="pt-PT"/>
        </w:rPr>
        <w:t> 1 em determinadas circunstâncias, ou sujeitá-la a exceções.</w:t>
      </w:r>
    </w:p>
    <w:p w14:paraId="4FA05179" w14:textId="131AAE2A" w:rsidR="00465964" w:rsidRPr="00465964" w:rsidRDefault="00465964" w:rsidP="00465964">
      <w:pPr>
        <w:rPr>
          <w:lang w:val="pt-PT"/>
        </w:rPr>
      </w:pPr>
      <w:r w:rsidRPr="00465964">
        <w:rPr>
          <w:lang w:val="pt-PT"/>
        </w:rPr>
        <w:t xml:space="preserve">3.   A autoridade competente só pode impor uma proibição ou restrição nos termos do presente artigo, se, pelo menos um mês antes do momento em que se pretende que a medida comece a produzir efeitos, tiver prestado a todas as outras autoridades competentes e à ESMA ou à EBA, no caso de </w:t>
      </w:r>
      <w:r>
        <w:rPr>
          <w:lang w:val="pt-PT"/>
        </w:rPr>
        <w:t>criptomoedas</w:t>
      </w:r>
      <w:r w:rsidRPr="00465964">
        <w:rPr>
          <w:lang w:val="pt-PT"/>
        </w:rPr>
        <w:t xml:space="preserve"> referenciadas a ativos e </w:t>
      </w:r>
      <w:r>
        <w:rPr>
          <w:lang w:val="pt-PT"/>
        </w:rPr>
        <w:t>criptomoedas</w:t>
      </w:r>
      <w:r w:rsidRPr="00465964">
        <w:rPr>
          <w:lang w:val="pt-PT"/>
        </w:rPr>
        <w:t xml:space="preserve"> de moeda eletrónica, por escrito ou através de outro meio acordado entre as autoridades, os seguintes elementos:</w:t>
      </w:r>
    </w:p>
    <w:tbl>
      <w:tblPr>
        <w:tblW w:w="5000" w:type="pct"/>
        <w:tblCellMar>
          <w:left w:w="0" w:type="dxa"/>
          <w:right w:w="0" w:type="dxa"/>
        </w:tblCellMar>
        <w:tblLook w:val="04A0" w:firstRow="1" w:lastRow="0" w:firstColumn="1" w:lastColumn="0" w:noHBand="0" w:noVBand="1"/>
      </w:tblPr>
      <w:tblGrid>
        <w:gridCol w:w="224"/>
        <w:gridCol w:w="8802"/>
      </w:tblGrid>
      <w:tr w:rsidR="00465964" w:rsidRPr="00465964" w14:paraId="56AD9F8D" w14:textId="77777777" w:rsidTr="00465964">
        <w:tc>
          <w:tcPr>
            <w:tcW w:w="0" w:type="auto"/>
            <w:shd w:val="clear" w:color="auto" w:fill="auto"/>
            <w:hideMark/>
          </w:tcPr>
          <w:p w14:paraId="546274C9" w14:textId="77777777" w:rsidR="00465964" w:rsidRPr="00465964" w:rsidRDefault="00465964" w:rsidP="00465964">
            <w:r w:rsidRPr="00465964">
              <w:t>a)</w:t>
            </w:r>
          </w:p>
        </w:tc>
        <w:tc>
          <w:tcPr>
            <w:tcW w:w="0" w:type="auto"/>
            <w:shd w:val="clear" w:color="auto" w:fill="auto"/>
            <w:hideMark/>
          </w:tcPr>
          <w:p w14:paraId="60271716" w14:textId="77777777" w:rsidR="00465964" w:rsidRPr="00465964" w:rsidRDefault="00465964" w:rsidP="00465964">
            <w:pPr>
              <w:rPr>
                <w:lang w:val="pt-PT"/>
              </w:rPr>
            </w:pPr>
            <w:r w:rsidRPr="00465964">
              <w:rPr>
                <w:lang w:val="pt-PT"/>
              </w:rPr>
              <w:t>O criptoativo ou a atividade ou prática a que a medida proposta diz respeito;</w:t>
            </w:r>
          </w:p>
        </w:tc>
      </w:tr>
    </w:tbl>
    <w:p w14:paraId="5DCEC807"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8"/>
        <w:gridCol w:w="8838"/>
      </w:tblGrid>
      <w:tr w:rsidR="00465964" w:rsidRPr="00465964" w14:paraId="4D891CE1" w14:textId="77777777" w:rsidTr="00465964">
        <w:tc>
          <w:tcPr>
            <w:tcW w:w="0" w:type="auto"/>
            <w:shd w:val="clear" w:color="auto" w:fill="auto"/>
            <w:hideMark/>
          </w:tcPr>
          <w:p w14:paraId="60DC8C48" w14:textId="77777777" w:rsidR="00465964" w:rsidRPr="00465964" w:rsidRDefault="00465964" w:rsidP="00465964">
            <w:r w:rsidRPr="00465964">
              <w:t>b)</w:t>
            </w:r>
          </w:p>
        </w:tc>
        <w:tc>
          <w:tcPr>
            <w:tcW w:w="0" w:type="auto"/>
            <w:shd w:val="clear" w:color="auto" w:fill="auto"/>
            <w:hideMark/>
          </w:tcPr>
          <w:p w14:paraId="07FE9AE6" w14:textId="77777777" w:rsidR="00465964" w:rsidRPr="00465964" w:rsidRDefault="00465964" w:rsidP="00465964">
            <w:pPr>
              <w:rPr>
                <w:lang w:val="pt-PT"/>
              </w:rPr>
            </w:pPr>
            <w:r w:rsidRPr="00465964">
              <w:rPr>
                <w:lang w:val="pt-PT"/>
              </w:rPr>
              <w:t>A natureza exata da proibição ou restrição proposta e a data em que se pretende que comece a produzir efeitos; e</w:t>
            </w:r>
          </w:p>
        </w:tc>
      </w:tr>
    </w:tbl>
    <w:p w14:paraId="2025CDD7"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0"/>
        <w:gridCol w:w="8846"/>
      </w:tblGrid>
      <w:tr w:rsidR="00465964" w:rsidRPr="00465964" w14:paraId="6FB18B7D" w14:textId="77777777" w:rsidTr="00465964">
        <w:tc>
          <w:tcPr>
            <w:tcW w:w="0" w:type="auto"/>
            <w:shd w:val="clear" w:color="auto" w:fill="auto"/>
            <w:hideMark/>
          </w:tcPr>
          <w:p w14:paraId="65566C5F" w14:textId="77777777" w:rsidR="00465964" w:rsidRPr="00465964" w:rsidRDefault="00465964" w:rsidP="00465964">
            <w:r w:rsidRPr="00465964">
              <w:t>c)</w:t>
            </w:r>
          </w:p>
        </w:tc>
        <w:tc>
          <w:tcPr>
            <w:tcW w:w="0" w:type="auto"/>
            <w:shd w:val="clear" w:color="auto" w:fill="auto"/>
            <w:hideMark/>
          </w:tcPr>
          <w:p w14:paraId="3F886C5A" w14:textId="77777777" w:rsidR="00465964" w:rsidRPr="00465964" w:rsidRDefault="00465964" w:rsidP="00465964">
            <w:pPr>
              <w:rPr>
                <w:lang w:val="pt-PT"/>
              </w:rPr>
            </w:pPr>
            <w:r w:rsidRPr="00465964">
              <w:rPr>
                <w:lang w:val="pt-PT"/>
              </w:rPr>
              <w:t xml:space="preserve">Os dados em que baseou a sua decisão e em função dos quais considera que se encontram reunidas todas as condições a que se refere o </w:t>
            </w:r>
            <w:proofErr w:type="spellStart"/>
            <w:r w:rsidRPr="00465964">
              <w:rPr>
                <w:lang w:val="pt-PT"/>
              </w:rPr>
              <w:t>n.</w:t>
            </w:r>
            <w:r w:rsidRPr="00465964">
              <w:rPr>
                <w:vertAlign w:val="superscript"/>
                <w:lang w:val="pt-PT"/>
              </w:rPr>
              <w:t>o</w:t>
            </w:r>
            <w:proofErr w:type="spellEnd"/>
            <w:r w:rsidRPr="00465964">
              <w:rPr>
                <w:lang w:val="pt-PT"/>
              </w:rPr>
              <w:t> 2, primeiro parágrafo.</w:t>
            </w:r>
          </w:p>
        </w:tc>
      </w:tr>
    </w:tbl>
    <w:p w14:paraId="09412F9A" w14:textId="77777777" w:rsidR="00465964" w:rsidRPr="00465964" w:rsidRDefault="00465964" w:rsidP="00465964">
      <w:pPr>
        <w:rPr>
          <w:lang w:val="pt-PT"/>
        </w:rPr>
      </w:pPr>
      <w:r w:rsidRPr="00465964">
        <w:rPr>
          <w:lang w:val="pt-PT"/>
        </w:rPr>
        <w:t xml:space="preserve">4.   Em casos excecionais em que a autoridade competente o considere necessário, a fim de evitar quaisquer efeitos negativos decorrentes do criptoativo ou da atividade ou prática a que se refere o </w:t>
      </w:r>
      <w:proofErr w:type="spellStart"/>
      <w:r w:rsidRPr="00465964">
        <w:rPr>
          <w:lang w:val="pt-PT"/>
        </w:rPr>
        <w:t>n.</w:t>
      </w:r>
      <w:r w:rsidRPr="00465964">
        <w:rPr>
          <w:vertAlign w:val="superscript"/>
          <w:lang w:val="pt-PT"/>
        </w:rPr>
        <w:t>o</w:t>
      </w:r>
      <w:proofErr w:type="spellEnd"/>
      <w:r w:rsidRPr="00465964">
        <w:rPr>
          <w:lang w:val="pt-PT"/>
        </w:rPr>
        <w:t xml:space="preserve"> 1, a autoridade competente pode tomar uma medida urgente a título provisório, notificando por escrito todas as outras autoridades competentes e a ESMA com uma </w:t>
      </w:r>
      <w:r w:rsidRPr="00465964">
        <w:rPr>
          <w:lang w:val="pt-PT"/>
        </w:rPr>
        <w:lastRenderedPageBreak/>
        <w:t>antecedência mínima de 24 horas relativamente ao momento em que se pretende que a medida comece a produzir efeitos, desde que estejam satisfeitos todos os critérios estabelecidos no presente artigo e que, além disso, esteja claramente comprovado que o prazo de notificação de um mês não seria suficiente para atender à preocupação em causa ou para fazer face à ameaça concreta. A duração das medidas tomadas a título provisório não pode exceder três meses.</w:t>
      </w:r>
    </w:p>
    <w:p w14:paraId="24CBDDB8" w14:textId="77777777" w:rsidR="00465964" w:rsidRPr="00465964" w:rsidRDefault="00465964" w:rsidP="00465964">
      <w:pPr>
        <w:rPr>
          <w:lang w:val="pt-PT"/>
        </w:rPr>
      </w:pPr>
      <w:r w:rsidRPr="00465964">
        <w:rPr>
          <w:lang w:val="pt-PT"/>
        </w:rPr>
        <w:t xml:space="preserve">5.   A autoridade competente publica no seu sítio Web um aviso da decisão que impõe uma proibição ou restrição a que se refere o </w:t>
      </w:r>
      <w:proofErr w:type="spellStart"/>
      <w:r w:rsidRPr="00465964">
        <w:rPr>
          <w:lang w:val="pt-PT"/>
        </w:rPr>
        <w:t>n.</w:t>
      </w:r>
      <w:r w:rsidRPr="00465964">
        <w:rPr>
          <w:vertAlign w:val="superscript"/>
          <w:lang w:val="pt-PT"/>
        </w:rPr>
        <w:t>o</w:t>
      </w:r>
      <w:proofErr w:type="spellEnd"/>
      <w:r w:rsidRPr="00465964">
        <w:rPr>
          <w:lang w:val="pt-PT"/>
        </w:rPr>
        <w:t xml:space="preserve"> 1. Este aviso especifica os detalhes da proibição ou restrição imposta e a data, após a publicação do aviso, a partir da qual as medidas produzirão efeitos, bem como os dados em que a autoridade competente baseou a sua decisão e em função dos quais considera que se encontram reunidas todas as condições a que se refere o </w:t>
      </w:r>
      <w:proofErr w:type="spellStart"/>
      <w:r w:rsidRPr="00465964">
        <w:rPr>
          <w:lang w:val="pt-PT"/>
        </w:rPr>
        <w:t>n.</w:t>
      </w:r>
      <w:r w:rsidRPr="00465964">
        <w:rPr>
          <w:vertAlign w:val="superscript"/>
          <w:lang w:val="pt-PT"/>
        </w:rPr>
        <w:t>o</w:t>
      </w:r>
      <w:proofErr w:type="spellEnd"/>
      <w:r w:rsidRPr="00465964">
        <w:rPr>
          <w:lang w:val="pt-PT"/>
        </w:rPr>
        <w:t> 2, primeiro parágrafo. A proibição ou restrição só é aplicável a atividades posteriores à produção de efeitos das medidas.</w:t>
      </w:r>
    </w:p>
    <w:p w14:paraId="3C05AD37" w14:textId="77777777" w:rsidR="00465964" w:rsidRPr="00465964" w:rsidRDefault="00465964" w:rsidP="00465964">
      <w:pPr>
        <w:rPr>
          <w:lang w:val="pt-PT"/>
        </w:rPr>
      </w:pPr>
      <w:r w:rsidRPr="00465964">
        <w:rPr>
          <w:lang w:val="pt-PT"/>
        </w:rPr>
        <w:t xml:space="preserve">6.   A autoridade competente revoga a proibição ou restrição se as condições a que se refere o </w:t>
      </w:r>
      <w:proofErr w:type="spellStart"/>
      <w:r w:rsidRPr="00465964">
        <w:rPr>
          <w:lang w:val="pt-PT"/>
        </w:rPr>
        <w:t>n.</w:t>
      </w:r>
      <w:r w:rsidRPr="00465964">
        <w:rPr>
          <w:vertAlign w:val="superscript"/>
          <w:lang w:val="pt-PT"/>
        </w:rPr>
        <w:t>o</w:t>
      </w:r>
      <w:proofErr w:type="spellEnd"/>
      <w:r w:rsidRPr="00465964">
        <w:rPr>
          <w:lang w:val="pt-PT"/>
        </w:rPr>
        <w:t> 2 deixarem de ser aplicáveis.</w:t>
      </w:r>
    </w:p>
    <w:p w14:paraId="40D2FADC" w14:textId="77777777" w:rsidR="00465964" w:rsidRPr="00465964" w:rsidRDefault="00465964" w:rsidP="00465964">
      <w:pPr>
        <w:rPr>
          <w:lang w:val="pt-PT"/>
        </w:rPr>
      </w:pPr>
      <w:r w:rsidRPr="00465964">
        <w:rPr>
          <w:lang w:val="pt-PT"/>
        </w:rPr>
        <w:t>7.   A Comissão adota atos delegados nos termos do artigo 139.</w:t>
      </w:r>
      <w:r w:rsidRPr="00465964">
        <w:rPr>
          <w:vertAlign w:val="superscript"/>
          <w:lang w:val="pt-PT"/>
        </w:rPr>
        <w:t>o</w:t>
      </w:r>
      <w:r w:rsidRPr="00465964">
        <w:rPr>
          <w:lang w:val="pt-PT"/>
        </w:rPr>
        <w:t xml:space="preserve">, a fim de completar o presente regulamento com a especificação dos critérios e fatores que devem ser tidos em conta pelas autoridades competentes para determinar se existe uma preocupação relevante em matéria de proteção dos investidores ou uma ameaça ao funcionamento ordenado e à integridade dos mercados de criptoativos ou à estabilidade de todo o sistema financeiro ou de parte dele em pelo menos um Estado-Membro para efeitos do </w:t>
      </w:r>
      <w:proofErr w:type="spellStart"/>
      <w:r w:rsidRPr="00465964">
        <w:rPr>
          <w:lang w:val="pt-PT"/>
        </w:rPr>
        <w:t>n.</w:t>
      </w:r>
      <w:r w:rsidRPr="00465964">
        <w:rPr>
          <w:vertAlign w:val="superscript"/>
          <w:lang w:val="pt-PT"/>
        </w:rPr>
        <w:t>o</w:t>
      </w:r>
      <w:proofErr w:type="spellEnd"/>
      <w:r w:rsidRPr="00465964">
        <w:rPr>
          <w:lang w:val="pt-PT"/>
        </w:rPr>
        <w:t> 2, primeiro parágrafo, alínea a).</w:t>
      </w:r>
    </w:p>
    <w:p w14:paraId="78EEA8A1" w14:textId="77777777" w:rsidR="00465964" w:rsidRPr="00465964" w:rsidRDefault="00465964" w:rsidP="00465964">
      <w:pPr>
        <w:rPr>
          <w:i/>
          <w:iCs/>
          <w:lang w:val="pt-PT"/>
        </w:rPr>
      </w:pPr>
      <w:r w:rsidRPr="00465964">
        <w:rPr>
          <w:i/>
          <w:iCs/>
          <w:lang w:val="pt-PT"/>
        </w:rPr>
        <w:t>Artigo 106.</w:t>
      </w:r>
      <w:r w:rsidRPr="00465964">
        <w:rPr>
          <w:i/>
          <w:iCs/>
          <w:vertAlign w:val="superscript"/>
          <w:lang w:val="pt-PT"/>
        </w:rPr>
        <w:t>o</w:t>
      </w:r>
    </w:p>
    <w:p w14:paraId="76C8191A" w14:textId="77777777" w:rsidR="00465964" w:rsidRPr="00465964" w:rsidRDefault="00465964" w:rsidP="00465964">
      <w:pPr>
        <w:rPr>
          <w:b/>
          <w:bCs/>
          <w:lang w:val="pt-PT"/>
        </w:rPr>
      </w:pPr>
      <w:r w:rsidRPr="00465964">
        <w:rPr>
          <w:b/>
          <w:bCs/>
          <w:lang w:val="pt-PT"/>
        </w:rPr>
        <w:t>Coordenação com a ESMA ou a EBA</w:t>
      </w:r>
    </w:p>
    <w:p w14:paraId="7577FAF2" w14:textId="336B4FC0" w:rsidR="00465964" w:rsidRPr="00465964" w:rsidRDefault="00465964" w:rsidP="00465964">
      <w:pPr>
        <w:rPr>
          <w:lang w:val="pt-PT"/>
        </w:rPr>
      </w:pPr>
      <w:r w:rsidRPr="00465964">
        <w:rPr>
          <w:lang w:val="pt-PT"/>
        </w:rPr>
        <w:t xml:space="preserve">1.   A ESMA ou, no caso de </w:t>
      </w:r>
      <w:r>
        <w:rPr>
          <w:lang w:val="pt-PT"/>
        </w:rPr>
        <w:t>criptomoedas</w:t>
      </w:r>
      <w:r w:rsidRPr="00465964">
        <w:rPr>
          <w:lang w:val="pt-PT"/>
        </w:rPr>
        <w:t xml:space="preserve"> referenciadas a ativos e </w:t>
      </w:r>
      <w:r>
        <w:rPr>
          <w:lang w:val="pt-PT"/>
        </w:rPr>
        <w:t>criptomoedas</w:t>
      </w:r>
      <w:r w:rsidRPr="00465964">
        <w:rPr>
          <w:lang w:val="pt-PT"/>
        </w:rPr>
        <w:t xml:space="preserve"> de moeda eletrónica, a EBA desempenha um papel de facilitação e coordenação relativamente às medidas tomadas pelas autoridades competentes nos termos do artigo 105.</w:t>
      </w:r>
      <w:r w:rsidRPr="00465964">
        <w:rPr>
          <w:vertAlign w:val="superscript"/>
          <w:lang w:val="pt-PT"/>
        </w:rPr>
        <w:t>o</w:t>
      </w:r>
      <w:r w:rsidRPr="00465964">
        <w:rPr>
          <w:lang w:val="pt-PT"/>
        </w:rPr>
        <w:t xml:space="preserve">. A ESMA ou, no caso de </w:t>
      </w:r>
      <w:r>
        <w:rPr>
          <w:lang w:val="pt-PT"/>
        </w:rPr>
        <w:t>criptomoedas</w:t>
      </w:r>
      <w:r w:rsidRPr="00465964">
        <w:rPr>
          <w:lang w:val="pt-PT"/>
        </w:rPr>
        <w:t xml:space="preserve"> referenciadas a ativos e </w:t>
      </w:r>
      <w:r>
        <w:rPr>
          <w:lang w:val="pt-PT"/>
        </w:rPr>
        <w:t>criptomoedas</w:t>
      </w:r>
      <w:r w:rsidRPr="00465964">
        <w:rPr>
          <w:lang w:val="pt-PT"/>
        </w:rPr>
        <w:t xml:space="preserve"> de moeda eletrónica, a EBA, assegura que as medidas tomadas por uma autoridade competente sejam justificadas e proporcionadas e que as autoridades competentes adotem uma abordagem coerente, se for caso disso.</w:t>
      </w:r>
    </w:p>
    <w:p w14:paraId="16E30389" w14:textId="56C967E3" w:rsidR="00465964" w:rsidRPr="00465964" w:rsidRDefault="00465964" w:rsidP="00465964">
      <w:pPr>
        <w:rPr>
          <w:lang w:val="pt-PT"/>
        </w:rPr>
      </w:pPr>
      <w:r w:rsidRPr="00465964">
        <w:rPr>
          <w:lang w:val="pt-PT"/>
        </w:rPr>
        <w:t>2.   Após receber a notificação nos termos do artigo 105.</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xml:space="preserve"> 3, de qualquer medida a tomar nos termos desse artigo, a ESMA ou, no caso das </w:t>
      </w:r>
      <w:r>
        <w:rPr>
          <w:lang w:val="pt-PT"/>
        </w:rPr>
        <w:t>criptomoedas</w:t>
      </w:r>
      <w:r w:rsidRPr="00465964">
        <w:rPr>
          <w:lang w:val="pt-PT"/>
        </w:rPr>
        <w:t xml:space="preserve"> referenciadas a ativos e </w:t>
      </w:r>
      <w:r>
        <w:rPr>
          <w:lang w:val="pt-PT"/>
        </w:rPr>
        <w:t>criptomoedas</w:t>
      </w:r>
      <w:r w:rsidRPr="00465964">
        <w:rPr>
          <w:lang w:val="pt-PT"/>
        </w:rPr>
        <w:t xml:space="preserve"> de moeda eletrónica, a EBA, emite um parecer sobre se a proibição ou restrição é justificada e proporcionada. Se a ESMA ou, no caso de </w:t>
      </w:r>
      <w:r>
        <w:rPr>
          <w:lang w:val="pt-PT"/>
        </w:rPr>
        <w:t>criptomoedas</w:t>
      </w:r>
      <w:r w:rsidRPr="00465964">
        <w:rPr>
          <w:lang w:val="pt-PT"/>
        </w:rPr>
        <w:t xml:space="preserve"> referenciadas a ativos e </w:t>
      </w:r>
      <w:r>
        <w:rPr>
          <w:lang w:val="pt-PT"/>
        </w:rPr>
        <w:t>criptomoedas</w:t>
      </w:r>
      <w:r w:rsidRPr="00465964">
        <w:rPr>
          <w:lang w:val="pt-PT"/>
        </w:rPr>
        <w:t xml:space="preserve"> de moeda eletrónica, a EBA, considerar que a adoção de uma medida por outras autoridades competentes é necessária para enfrentar o risco, declara este facto no seu parecer. O parecer é publicado no sítio Web da ESMA ou, no caso de </w:t>
      </w:r>
      <w:r>
        <w:rPr>
          <w:lang w:val="pt-PT"/>
        </w:rPr>
        <w:t>criptomoedas</w:t>
      </w:r>
      <w:r w:rsidRPr="00465964">
        <w:rPr>
          <w:lang w:val="pt-PT"/>
        </w:rPr>
        <w:t xml:space="preserve"> referenciadas a ativos e </w:t>
      </w:r>
      <w:r>
        <w:rPr>
          <w:lang w:val="pt-PT"/>
        </w:rPr>
        <w:t>criptomoedas</w:t>
      </w:r>
      <w:r w:rsidRPr="00465964">
        <w:rPr>
          <w:lang w:val="pt-PT"/>
        </w:rPr>
        <w:t xml:space="preserve"> de moeda eletrónica, da EBA.</w:t>
      </w:r>
    </w:p>
    <w:p w14:paraId="1E0B6EB8" w14:textId="77777777" w:rsidR="00465964" w:rsidRPr="00465964" w:rsidRDefault="00465964" w:rsidP="00465964">
      <w:pPr>
        <w:rPr>
          <w:lang w:val="pt-PT"/>
        </w:rPr>
      </w:pPr>
      <w:r w:rsidRPr="00465964">
        <w:rPr>
          <w:lang w:val="pt-PT"/>
        </w:rPr>
        <w:t xml:space="preserve">3.   Caso uma autoridade competente se proponha tomar, tome ou se recuse a tomar medidas, contrariando um parecer emitido pela ESMA ou pela EBA nos termos do </w:t>
      </w:r>
      <w:proofErr w:type="spellStart"/>
      <w:r w:rsidRPr="00465964">
        <w:rPr>
          <w:lang w:val="pt-PT"/>
        </w:rPr>
        <w:t>n.</w:t>
      </w:r>
      <w:r w:rsidRPr="00465964">
        <w:rPr>
          <w:vertAlign w:val="superscript"/>
          <w:lang w:val="pt-PT"/>
        </w:rPr>
        <w:t>o</w:t>
      </w:r>
      <w:proofErr w:type="spellEnd"/>
      <w:r w:rsidRPr="00465964">
        <w:rPr>
          <w:lang w:val="pt-PT"/>
        </w:rPr>
        <w:t> 2, publica imediatamente no seu sítio Web um comunicado que explique cabalmente as suas razões para tal.</w:t>
      </w:r>
    </w:p>
    <w:p w14:paraId="37A35B6A" w14:textId="77777777" w:rsidR="00465964" w:rsidRPr="00465964" w:rsidRDefault="00465964" w:rsidP="00465964">
      <w:pPr>
        <w:rPr>
          <w:i/>
          <w:iCs/>
          <w:lang w:val="pt-PT"/>
        </w:rPr>
      </w:pPr>
      <w:r w:rsidRPr="00465964">
        <w:rPr>
          <w:i/>
          <w:iCs/>
          <w:lang w:val="pt-PT"/>
        </w:rPr>
        <w:t>Artigo 107.</w:t>
      </w:r>
      <w:r w:rsidRPr="00465964">
        <w:rPr>
          <w:i/>
          <w:iCs/>
          <w:vertAlign w:val="superscript"/>
          <w:lang w:val="pt-PT"/>
        </w:rPr>
        <w:t>o</w:t>
      </w:r>
    </w:p>
    <w:p w14:paraId="10F6D1CB" w14:textId="77777777" w:rsidR="00465964" w:rsidRPr="00465964" w:rsidRDefault="00465964" w:rsidP="00465964">
      <w:pPr>
        <w:rPr>
          <w:b/>
          <w:bCs/>
          <w:lang w:val="pt-PT"/>
        </w:rPr>
      </w:pPr>
      <w:r w:rsidRPr="00465964">
        <w:rPr>
          <w:b/>
          <w:bCs/>
          <w:lang w:val="pt-PT"/>
        </w:rPr>
        <w:lastRenderedPageBreak/>
        <w:t>Cooperação com países terceiros</w:t>
      </w:r>
    </w:p>
    <w:p w14:paraId="67DB1BE1" w14:textId="77777777" w:rsidR="00465964" w:rsidRPr="00465964" w:rsidRDefault="00465964" w:rsidP="00465964">
      <w:pPr>
        <w:rPr>
          <w:lang w:val="pt-PT"/>
        </w:rPr>
      </w:pPr>
      <w:r w:rsidRPr="00465964">
        <w:rPr>
          <w:lang w:val="pt-PT"/>
        </w:rPr>
        <w:t xml:space="preserve">1.   As autoridades competentes dos Estados-Membros celebram, se necessário, acordos de cooperação com autoridades de supervisão de países terceiros em matéria de troca de informações com essas autoridades de países terceiros e de execução das obrigações resultantes do presente regulamento nesses países terceiros. Esses acordos de cooperação asseguram, no mínimo, uma troca de informações eficaz, </w:t>
      </w:r>
      <w:proofErr w:type="gramStart"/>
      <w:r w:rsidRPr="00465964">
        <w:rPr>
          <w:lang w:val="pt-PT"/>
        </w:rPr>
        <w:t>de modo a que</w:t>
      </w:r>
      <w:proofErr w:type="gramEnd"/>
      <w:r w:rsidRPr="00465964">
        <w:rPr>
          <w:lang w:val="pt-PT"/>
        </w:rPr>
        <w:t xml:space="preserve"> as autoridades competentes possam desempenhar as suas funções ao abrigo do presente regulamento.</w:t>
      </w:r>
    </w:p>
    <w:p w14:paraId="5BC97D59" w14:textId="77777777" w:rsidR="00465964" w:rsidRPr="00465964" w:rsidRDefault="00465964" w:rsidP="00465964">
      <w:pPr>
        <w:rPr>
          <w:lang w:val="pt-PT"/>
        </w:rPr>
      </w:pPr>
      <w:r w:rsidRPr="00465964">
        <w:rPr>
          <w:lang w:val="pt-PT"/>
        </w:rPr>
        <w:t>Se uma autoridade competente tiver a intenção de celebrar um acordo dessa natureza, informa a EBA, a ESMA e as outras autoridades competentes.</w:t>
      </w:r>
    </w:p>
    <w:p w14:paraId="5BDAADC6" w14:textId="77777777" w:rsidR="00465964" w:rsidRPr="00465964" w:rsidRDefault="00465964" w:rsidP="00465964">
      <w:pPr>
        <w:rPr>
          <w:lang w:val="pt-PT"/>
        </w:rPr>
      </w:pPr>
      <w:r w:rsidRPr="00465964">
        <w:rPr>
          <w:lang w:val="pt-PT"/>
        </w:rPr>
        <w:t>2.   Sempre que possível, a ESMA, em estreita cooperação com a EBA, facilita e coordena a elaboração dos acordos de cooperação entre as autoridades competentes e as autoridades de supervisão pertinentes de países terceiros.</w:t>
      </w:r>
    </w:p>
    <w:p w14:paraId="6F497B17" w14:textId="77777777" w:rsidR="00465964" w:rsidRPr="00465964" w:rsidRDefault="00465964" w:rsidP="00465964">
      <w:pPr>
        <w:rPr>
          <w:lang w:val="pt-PT"/>
        </w:rPr>
      </w:pPr>
      <w:r w:rsidRPr="00465964">
        <w:rPr>
          <w:lang w:val="pt-PT"/>
        </w:rPr>
        <w:t xml:space="preserve">3.   A ESMA, em estreita colaboração com a EBA, elabora projetos de normas técnicas de regulamentação que estabeleçam um modelo para os acordos de cooperação a que se refere o </w:t>
      </w:r>
      <w:proofErr w:type="spellStart"/>
      <w:r w:rsidRPr="00465964">
        <w:rPr>
          <w:lang w:val="pt-PT"/>
        </w:rPr>
        <w:t>n.</w:t>
      </w:r>
      <w:r w:rsidRPr="00465964">
        <w:rPr>
          <w:vertAlign w:val="superscript"/>
          <w:lang w:val="pt-PT"/>
        </w:rPr>
        <w:t>o</w:t>
      </w:r>
      <w:proofErr w:type="spellEnd"/>
      <w:r w:rsidRPr="00465964">
        <w:rPr>
          <w:lang w:val="pt-PT"/>
        </w:rPr>
        <w:t> 1, que deve ser usado, sempre que possível, pelas autoridades competentes dos Estados-Membros.</w:t>
      </w:r>
    </w:p>
    <w:p w14:paraId="71040C5A" w14:textId="77777777" w:rsidR="00465964" w:rsidRPr="00465964" w:rsidRDefault="00465964" w:rsidP="00465964">
      <w:pPr>
        <w:rPr>
          <w:lang w:val="pt-PT"/>
        </w:rPr>
      </w:pPr>
      <w:r w:rsidRPr="00465964">
        <w:rPr>
          <w:lang w:val="pt-PT"/>
        </w:rPr>
        <w:t>A ESMA apresenta à Comissão os projetos de normas técnicas de regulamentação referidos no primeiro parágrafo até 30 de junho de 2024.</w:t>
      </w:r>
    </w:p>
    <w:p w14:paraId="435AC138" w14:textId="77777777" w:rsidR="00465964" w:rsidRPr="00465964" w:rsidRDefault="00465964" w:rsidP="00465964">
      <w:pPr>
        <w:rPr>
          <w:lang w:val="pt-PT"/>
        </w:rPr>
      </w:pPr>
      <w:r w:rsidRPr="00465964">
        <w:rPr>
          <w:lang w:val="pt-PT"/>
        </w:rPr>
        <w:t>É delegado na Comissão o poder de completar o presente regulamento através da adoção das normas técnicas de regulamentação a que se refere o primeiro parágrafo do presente número em conformidade com os artigos 10.</w:t>
      </w:r>
      <w:r w:rsidRPr="00465964">
        <w:rPr>
          <w:vertAlign w:val="superscript"/>
          <w:lang w:val="pt-PT"/>
        </w:rPr>
        <w:t>o</w:t>
      </w:r>
      <w:r w:rsidRPr="00465964">
        <w:rPr>
          <w:lang w:val="pt-PT"/>
        </w:rPr>
        <w:t> a 14.</w:t>
      </w:r>
      <w:r w:rsidRPr="00465964">
        <w:rPr>
          <w:vertAlign w:val="superscript"/>
          <w:lang w:val="pt-PT"/>
        </w:rPr>
        <w:t>o</w:t>
      </w:r>
      <w:r w:rsidRPr="00465964">
        <w:rPr>
          <w:lang w:val="pt-PT"/>
        </w:rPr>
        <w:t xml:space="preserve"> do Regulamento (UE) </w:t>
      </w:r>
      <w:proofErr w:type="spellStart"/>
      <w:r w:rsidRPr="00465964">
        <w:rPr>
          <w:lang w:val="pt-PT"/>
        </w:rPr>
        <w:t>n.</w:t>
      </w:r>
      <w:r w:rsidRPr="00465964">
        <w:rPr>
          <w:vertAlign w:val="superscript"/>
          <w:lang w:val="pt-PT"/>
        </w:rPr>
        <w:t>o</w:t>
      </w:r>
      <w:proofErr w:type="spellEnd"/>
      <w:r w:rsidRPr="00465964">
        <w:rPr>
          <w:lang w:val="pt-PT"/>
        </w:rPr>
        <w:t> 1095/2010.</w:t>
      </w:r>
    </w:p>
    <w:p w14:paraId="0BB36A2C" w14:textId="77777777" w:rsidR="00465964" w:rsidRPr="00465964" w:rsidRDefault="00465964" w:rsidP="00465964">
      <w:pPr>
        <w:rPr>
          <w:lang w:val="pt-PT"/>
        </w:rPr>
      </w:pPr>
      <w:r w:rsidRPr="00465964">
        <w:rPr>
          <w:lang w:val="pt-PT"/>
        </w:rPr>
        <w:t>4.   Sempre que possível, a ESMA, em estreita cooperação com a EBA, facilita e coordena também a troca de informações entre autoridades competentes obtidas junto de autoridades de supervisão de países terceiros que possam ser pertinentes para a adoção de medidas previstas no capítulo 3 do presente título.</w:t>
      </w:r>
    </w:p>
    <w:p w14:paraId="7CFCD1E1" w14:textId="77777777" w:rsidR="00465964" w:rsidRPr="00465964" w:rsidRDefault="00465964" w:rsidP="00465964">
      <w:pPr>
        <w:rPr>
          <w:lang w:val="pt-PT"/>
        </w:rPr>
      </w:pPr>
      <w:r w:rsidRPr="00465964">
        <w:rPr>
          <w:lang w:val="pt-PT"/>
        </w:rPr>
        <w:t xml:space="preserve">5.   As autoridades competentes só podem celebrar acordos de cooperação sobre troca de informações com as autoridades de supervisão de países </w:t>
      </w:r>
      <w:proofErr w:type="gramStart"/>
      <w:r w:rsidRPr="00465964">
        <w:rPr>
          <w:lang w:val="pt-PT"/>
        </w:rPr>
        <w:t>terceiros caso</w:t>
      </w:r>
      <w:proofErr w:type="gramEnd"/>
      <w:r w:rsidRPr="00465964">
        <w:rPr>
          <w:lang w:val="pt-PT"/>
        </w:rPr>
        <w:t xml:space="preserve"> a informação divulgada esteja sujeita a garantias de sigilo profissional que sejam pelo menos equivalentes às estabelecidas no artigo 100.</w:t>
      </w:r>
      <w:r w:rsidRPr="00465964">
        <w:rPr>
          <w:vertAlign w:val="superscript"/>
          <w:lang w:val="pt-PT"/>
        </w:rPr>
        <w:t>o</w:t>
      </w:r>
      <w:r w:rsidRPr="00465964">
        <w:rPr>
          <w:lang w:val="pt-PT"/>
        </w:rPr>
        <w:t>. Essa troca de informações deve ter por objetivo o exercício das atribuições das autoridades competentes em causa previstas no presente regulamento.</w:t>
      </w:r>
    </w:p>
    <w:p w14:paraId="0A0C91EA" w14:textId="77777777" w:rsidR="00465964" w:rsidRPr="00465964" w:rsidRDefault="00465964" w:rsidP="00465964">
      <w:pPr>
        <w:rPr>
          <w:i/>
          <w:iCs/>
          <w:lang w:val="pt-PT"/>
        </w:rPr>
      </w:pPr>
      <w:r w:rsidRPr="00465964">
        <w:rPr>
          <w:i/>
          <w:iCs/>
          <w:lang w:val="pt-PT"/>
        </w:rPr>
        <w:t>Artigo 108.</w:t>
      </w:r>
      <w:r w:rsidRPr="00465964">
        <w:rPr>
          <w:i/>
          <w:iCs/>
          <w:vertAlign w:val="superscript"/>
          <w:lang w:val="pt-PT"/>
        </w:rPr>
        <w:t>o</w:t>
      </w:r>
    </w:p>
    <w:p w14:paraId="1F466426" w14:textId="77777777" w:rsidR="00465964" w:rsidRPr="00465964" w:rsidRDefault="00465964" w:rsidP="00465964">
      <w:pPr>
        <w:rPr>
          <w:b/>
          <w:bCs/>
          <w:lang w:val="pt-PT"/>
        </w:rPr>
      </w:pPr>
      <w:r w:rsidRPr="00465964">
        <w:rPr>
          <w:b/>
          <w:bCs/>
          <w:lang w:val="pt-PT"/>
        </w:rPr>
        <w:t>Tratamento das reclamações pelas autoridades competentes</w:t>
      </w:r>
    </w:p>
    <w:p w14:paraId="6A7CCABD" w14:textId="435364A1" w:rsidR="00465964" w:rsidRPr="00465964" w:rsidRDefault="00465964" w:rsidP="00465964">
      <w:pPr>
        <w:rPr>
          <w:lang w:val="pt-PT"/>
        </w:rPr>
      </w:pPr>
      <w:r w:rsidRPr="00465964">
        <w:rPr>
          <w:lang w:val="pt-PT"/>
        </w:rPr>
        <w:t xml:space="preserve">1.   As autoridades competentes estabelecem procedimentos que permitam aos clientes e a outras partes interessadas, incluindo associações de consumidores, apresentar-lhes reclamações respeitantes a alegadas infrações ao presente regulamento cometidas por oferentes, pessoas que solicitam a admissão à negociação, emitentes de </w:t>
      </w:r>
      <w:r>
        <w:rPr>
          <w:lang w:val="pt-PT"/>
        </w:rPr>
        <w:t>criptomoedas</w:t>
      </w:r>
      <w:r w:rsidRPr="00465964">
        <w:rPr>
          <w:lang w:val="pt-PT"/>
        </w:rPr>
        <w:t xml:space="preserve"> referenciadas a ativos ou </w:t>
      </w:r>
      <w:r>
        <w:rPr>
          <w:lang w:val="pt-PT"/>
        </w:rPr>
        <w:t>criptomoedas</w:t>
      </w:r>
      <w:r w:rsidRPr="00465964">
        <w:rPr>
          <w:lang w:val="pt-PT"/>
        </w:rPr>
        <w:t xml:space="preserve"> de moeda eletrónica, ou prestadores de serviços de criptoativos. As reclamações são aceites por escrito, incluindo por via eletrónica, e numa língua oficial do Estado-Membro onde a reclamação é apresentada ou numa língua aceite pelas autoridades competentes desse Estado-Membro.</w:t>
      </w:r>
    </w:p>
    <w:p w14:paraId="507A92B2" w14:textId="77777777" w:rsidR="00465964" w:rsidRPr="00465964" w:rsidRDefault="00465964" w:rsidP="00465964">
      <w:pPr>
        <w:rPr>
          <w:lang w:val="pt-PT"/>
        </w:rPr>
      </w:pPr>
      <w:r w:rsidRPr="00465964">
        <w:rPr>
          <w:lang w:val="pt-PT"/>
        </w:rPr>
        <w:lastRenderedPageBreak/>
        <w:t xml:space="preserve">2.   As informações sobre os procedimentos de tratamento de reclamações a que se refere o </w:t>
      </w:r>
      <w:proofErr w:type="spellStart"/>
      <w:r w:rsidRPr="00465964">
        <w:rPr>
          <w:lang w:val="pt-PT"/>
        </w:rPr>
        <w:t>n.</w:t>
      </w:r>
      <w:r w:rsidRPr="00465964">
        <w:rPr>
          <w:vertAlign w:val="superscript"/>
          <w:lang w:val="pt-PT"/>
        </w:rPr>
        <w:t>o</w:t>
      </w:r>
      <w:proofErr w:type="spellEnd"/>
      <w:r w:rsidRPr="00465964">
        <w:rPr>
          <w:lang w:val="pt-PT"/>
        </w:rPr>
        <w:t xml:space="preserve"> 1 do presente artigo são </w:t>
      </w:r>
      <w:proofErr w:type="gramStart"/>
      <w:r w:rsidRPr="00465964">
        <w:rPr>
          <w:lang w:val="pt-PT"/>
        </w:rPr>
        <w:t>disponibilizadas</w:t>
      </w:r>
      <w:proofErr w:type="gramEnd"/>
      <w:r w:rsidRPr="00465964">
        <w:rPr>
          <w:lang w:val="pt-PT"/>
        </w:rPr>
        <w:t xml:space="preserve"> no sítio Web de cada autoridade competente e comunicadas à EBA e à ESMA. A ESMA publica hiperligações para as secções dos sítios Web das autoridades competentes relacionadas com os procedimentos de tratamento de reclamações no seu registo de criptoativos a que se refere o artigo 109.</w:t>
      </w:r>
      <w:r w:rsidRPr="00465964">
        <w:rPr>
          <w:vertAlign w:val="superscript"/>
          <w:lang w:val="pt-PT"/>
        </w:rPr>
        <w:t>o</w:t>
      </w:r>
      <w:r w:rsidRPr="00465964">
        <w:rPr>
          <w:lang w:val="pt-PT"/>
        </w:rPr>
        <w:t>.</w:t>
      </w:r>
    </w:p>
    <w:p w14:paraId="095A8EEF" w14:textId="77777777" w:rsidR="00465964" w:rsidRPr="00465964" w:rsidRDefault="00465964" w:rsidP="00465964">
      <w:pPr>
        <w:rPr>
          <w:b/>
          <w:bCs/>
          <w:lang w:val="pt-PT"/>
        </w:rPr>
      </w:pPr>
      <w:r w:rsidRPr="00465964">
        <w:rPr>
          <w:b/>
          <w:bCs/>
          <w:i/>
          <w:iCs/>
          <w:lang w:val="pt-PT"/>
        </w:rPr>
        <w:t>CAPÍTULO 2</w:t>
      </w:r>
    </w:p>
    <w:p w14:paraId="722A1940" w14:textId="77777777" w:rsidR="00465964" w:rsidRPr="00465964" w:rsidRDefault="00465964" w:rsidP="00465964">
      <w:pPr>
        <w:rPr>
          <w:b/>
          <w:bCs/>
          <w:lang w:val="pt-PT"/>
        </w:rPr>
      </w:pPr>
      <w:r w:rsidRPr="00465964">
        <w:rPr>
          <w:b/>
          <w:bCs/>
          <w:i/>
          <w:iCs/>
          <w:lang w:val="pt-PT"/>
        </w:rPr>
        <w:t>Registo da ESMA</w:t>
      </w:r>
    </w:p>
    <w:p w14:paraId="54178F74" w14:textId="77777777" w:rsidR="00465964" w:rsidRPr="00465964" w:rsidRDefault="00465964" w:rsidP="00465964">
      <w:pPr>
        <w:rPr>
          <w:i/>
          <w:iCs/>
          <w:lang w:val="pt-PT"/>
        </w:rPr>
      </w:pPr>
      <w:r w:rsidRPr="00465964">
        <w:rPr>
          <w:i/>
          <w:iCs/>
          <w:lang w:val="pt-PT"/>
        </w:rPr>
        <w:t>Artigo 109.</w:t>
      </w:r>
      <w:r w:rsidRPr="00465964">
        <w:rPr>
          <w:i/>
          <w:iCs/>
          <w:vertAlign w:val="superscript"/>
          <w:lang w:val="pt-PT"/>
        </w:rPr>
        <w:t>o</w:t>
      </w:r>
    </w:p>
    <w:p w14:paraId="26E741DD" w14:textId="7515091A" w:rsidR="00465964" w:rsidRPr="00465964" w:rsidRDefault="00465964" w:rsidP="00465964">
      <w:pPr>
        <w:rPr>
          <w:b/>
          <w:bCs/>
          <w:lang w:val="pt-PT"/>
        </w:rPr>
      </w:pPr>
      <w:r w:rsidRPr="00465964">
        <w:rPr>
          <w:b/>
          <w:bCs/>
          <w:lang w:val="pt-PT"/>
        </w:rPr>
        <w:t xml:space="preserve">Registo de livretes do criptoativo, de emitentes de </w:t>
      </w:r>
      <w:r>
        <w:rPr>
          <w:b/>
          <w:bCs/>
          <w:lang w:val="pt-PT"/>
        </w:rPr>
        <w:t>criptomoedas</w:t>
      </w:r>
      <w:r w:rsidRPr="00465964">
        <w:rPr>
          <w:b/>
          <w:bCs/>
          <w:lang w:val="pt-PT"/>
        </w:rPr>
        <w:t xml:space="preserve"> referenciadas a ativos e </w:t>
      </w:r>
      <w:r>
        <w:rPr>
          <w:b/>
          <w:bCs/>
          <w:lang w:val="pt-PT"/>
        </w:rPr>
        <w:t>criptomoedas</w:t>
      </w:r>
      <w:r w:rsidRPr="00465964">
        <w:rPr>
          <w:b/>
          <w:bCs/>
          <w:lang w:val="pt-PT"/>
        </w:rPr>
        <w:t xml:space="preserve"> de moeda eletrónica e de prestadores de serviços de criptoativos</w:t>
      </w:r>
    </w:p>
    <w:p w14:paraId="10D68445" w14:textId="77777777" w:rsidR="00465964" w:rsidRPr="00465964" w:rsidRDefault="00465964" w:rsidP="00465964">
      <w:pPr>
        <w:rPr>
          <w:lang w:val="pt-PT"/>
        </w:rPr>
      </w:pPr>
      <w:r w:rsidRPr="00465964">
        <w:rPr>
          <w:lang w:val="pt-PT"/>
        </w:rPr>
        <w:t>1.   A ESMA estabelece um registo de:</w:t>
      </w:r>
    </w:p>
    <w:tbl>
      <w:tblPr>
        <w:tblW w:w="5000" w:type="pct"/>
        <w:tblCellMar>
          <w:left w:w="0" w:type="dxa"/>
          <w:right w:w="0" w:type="dxa"/>
        </w:tblCellMar>
        <w:tblLook w:val="04A0" w:firstRow="1" w:lastRow="0" w:firstColumn="1" w:lastColumn="0" w:noHBand="0" w:noVBand="1"/>
      </w:tblPr>
      <w:tblGrid>
        <w:gridCol w:w="182"/>
        <w:gridCol w:w="8844"/>
      </w:tblGrid>
      <w:tr w:rsidR="00465964" w:rsidRPr="00465964" w14:paraId="522CA79A" w14:textId="77777777" w:rsidTr="00465964">
        <w:tc>
          <w:tcPr>
            <w:tcW w:w="0" w:type="auto"/>
            <w:shd w:val="clear" w:color="auto" w:fill="auto"/>
            <w:hideMark/>
          </w:tcPr>
          <w:p w14:paraId="109CFB66" w14:textId="77777777" w:rsidR="00465964" w:rsidRPr="00465964" w:rsidRDefault="00465964" w:rsidP="00465964">
            <w:r w:rsidRPr="00465964">
              <w:t>a)</w:t>
            </w:r>
          </w:p>
        </w:tc>
        <w:tc>
          <w:tcPr>
            <w:tcW w:w="0" w:type="auto"/>
            <w:shd w:val="clear" w:color="auto" w:fill="auto"/>
            <w:hideMark/>
          </w:tcPr>
          <w:p w14:paraId="71653199" w14:textId="09E17873" w:rsidR="00465964" w:rsidRPr="00465964" w:rsidRDefault="00465964" w:rsidP="00465964">
            <w:pPr>
              <w:rPr>
                <w:lang w:val="pt-PT"/>
              </w:rPr>
            </w:pPr>
            <w:r w:rsidRPr="00465964">
              <w:rPr>
                <w:lang w:val="pt-PT"/>
              </w:rPr>
              <w:t xml:space="preserve">Livretes do criptoativo para criptoativos que não sejam </w:t>
            </w:r>
            <w:r>
              <w:rPr>
                <w:lang w:val="pt-PT"/>
              </w:rPr>
              <w:t>criptomoedas</w:t>
            </w:r>
            <w:r w:rsidRPr="00465964">
              <w:rPr>
                <w:lang w:val="pt-PT"/>
              </w:rPr>
              <w:t xml:space="preserve"> referenciadas a ativos nem </w:t>
            </w:r>
            <w:r>
              <w:rPr>
                <w:lang w:val="pt-PT"/>
              </w:rPr>
              <w:t>criptomoedas</w:t>
            </w:r>
            <w:r w:rsidRPr="00465964">
              <w:rPr>
                <w:lang w:val="pt-PT"/>
              </w:rPr>
              <w:t xml:space="preserve"> de moeda eletrónica;</w:t>
            </w:r>
          </w:p>
        </w:tc>
      </w:tr>
    </w:tbl>
    <w:p w14:paraId="1626A3E0"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340"/>
        <w:gridCol w:w="8686"/>
      </w:tblGrid>
      <w:tr w:rsidR="00465964" w:rsidRPr="00465964" w14:paraId="2E149D89" w14:textId="77777777" w:rsidTr="00465964">
        <w:tc>
          <w:tcPr>
            <w:tcW w:w="0" w:type="auto"/>
            <w:shd w:val="clear" w:color="auto" w:fill="auto"/>
            <w:hideMark/>
          </w:tcPr>
          <w:p w14:paraId="6369958D" w14:textId="77777777" w:rsidR="00465964" w:rsidRPr="00465964" w:rsidRDefault="00465964" w:rsidP="00465964">
            <w:r w:rsidRPr="00465964">
              <w:t>b)</w:t>
            </w:r>
          </w:p>
        </w:tc>
        <w:tc>
          <w:tcPr>
            <w:tcW w:w="0" w:type="auto"/>
            <w:shd w:val="clear" w:color="auto" w:fill="auto"/>
            <w:hideMark/>
          </w:tcPr>
          <w:p w14:paraId="649B1F82" w14:textId="286B3F21" w:rsidR="00465964" w:rsidRPr="00465964" w:rsidRDefault="00465964" w:rsidP="00465964">
            <w:pPr>
              <w:rPr>
                <w:lang w:val="pt-PT"/>
              </w:rPr>
            </w:pPr>
            <w:r w:rsidRPr="00465964">
              <w:rPr>
                <w:lang w:val="pt-PT"/>
              </w:rPr>
              <w:t xml:space="preserve">Emitentes de </w:t>
            </w:r>
            <w:r>
              <w:rPr>
                <w:lang w:val="pt-PT"/>
              </w:rPr>
              <w:t>criptomoedas</w:t>
            </w:r>
            <w:r w:rsidRPr="00465964">
              <w:rPr>
                <w:lang w:val="pt-PT"/>
              </w:rPr>
              <w:t xml:space="preserve"> referenciadas a ativos;</w:t>
            </w:r>
          </w:p>
        </w:tc>
      </w:tr>
    </w:tbl>
    <w:p w14:paraId="67EC6C68"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324"/>
        <w:gridCol w:w="8702"/>
      </w:tblGrid>
      <w:tr w:rsidR="00465964" w:rsidRPr="00465964" w14:paraId="0ED0B597" w14:textId="77777777" w:rsidTr="00465964">
        <w:tc>
          <w:tcPr>
            <w:tcW w:w="0" w:type="auto"/>
            <w:shd w:val="clear" w:color="auto" w:fill="auto"/>
            <w:hideMark/>
          </w:tcPr>
          <w:p w14:paraId="7407B13D" w14:textId="77777777" w:rsidR="00465964" w:rsidRPr="00465964" w:rsidRDefault="00465964" w:rsidP="00465964">
            <w:r w:rsidRPr="00465964">
              <w:t>c)</w:t>
            </w:r>
          </w:p>
        </w:tc>
        <w:tc>
          <w:tcPr>
            <w:tcW w:w="0" w:type="auto"/>
            <w:shd w:val="clear" w:color="auto" w:fill="auto"/>
            <w:hideMark/>
          </w:tcPr>
          <w:p w14:paraId="66275ABB" w14:textId="7C357273" w:rsidR="00465964" w:rsidRPr="00465964" w:rsidRDefault="00465964" w:rsidP="00465964">
            <w:pPr>
              <w:rPr>
                <w:lang w:val="pt-PT"/>
              </w:rPr>
            </w:pPr>
            <w:r w:rsidRPr="00465964">
              <w:rPr>
                <w:lang w:val="pt-PT"/>
              </w:rPr>
              <w:t xml:space="preserve">Emitentes de </w:t>
            </w:r>
            <w:r>
              <w:rPr>
                <w:lang w:val="pt-PT"/>
              </w:rPr>
              <w:t>criptomoedas</w:t>
            </w:r>
            <w:r w:rsidRPr="00465964">
              <w:rPr>
                <w:lang w:val="pt-PT"/>
              </w:rPr>
              <w:t xml:space="preserve"> de moeda eletrónica; e</w:t>
            </w:r>
          </w:p>
        </w:tc>
      </w:tr>
    </w:tbl>
    <w:p w14:paraId="77D32CC8"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429"/>
        <w:gridCol w:w="8597"/>
      </w:tblGrid>
      <w:tr w:rsidR="00465964" w:rsidRPr="00465964" w14:paraId="2F56FDAC" w14:textId="77777777" w:rsidTr="00465964">
        <w:tc>
          <w:tcPr>
            <w:tcW w:w="0" w:type="auto"/>
            <w:shd w:val="clear" w:color="auto" w:fill="auto"/>
            <w:hideMark/>
          </w:tcPr>
          <w:p w14:paraId="7B69E712" w14:textId="77777777" w:rsidR="00465964" w:rsidRPr="00465964" w:rsidRDefault="00465964" w:rsidP="00465964">
            <w:r w:rsidRPr="00465964">
              <w:t>d)</w:t>
            </w:r>
          </w:p>
        </w:tc>
        <w:tc>
          <w:tcPr>
            <w:tcW w:w="0" w:type="auto"/>
            <w:shd w:val="clear" w:color="auto" w:fill="auto"/>
            <w:hideMark/>
          </w:tcPr>
          <w:p w14:paraId="28D28577" w14:textId="77777777" w:rsidR="00465964" w:rsidRPr="00465964" w:rsidRDefault="00465964" w:rsidP="00465964">
            <w:pPr>
              <w:rPr>
                <w:lang w:val="pt-PT"/>
              </w:rPr>
            </w:pPr>
            <w:r w:rsidRPr="00465964">
              <w:rPr>
                <w:lang w:val="pt-PT"/>
              </w:rPr>
              <w:t>Prestadores de serviços de criptoativos.</w:t>
            </w:r>
          </w:p>
        </w:tc>
      </w:tr>
    </w:tbl>
    <w:p w14:paraId="374E885A" w14:textId="77777777" w:rsidR="00465964" w:rsidRPr="00465964" w:rsidRDefault="00465964" w:rsidP="00465964">
      <w:pPr>
        <w:rPr>
          <w:lang w:val="pt-PT"/>
        </w:rPr>
      </w:pPr>
      <w:r w:rsidRPr="00465964">
        <w:rPr>
          <w:lang w:val="pt-PT"/>
        </w:rPr>
        <w:t xml:space="preserve">O registo da ESMA deve ser acessível ao público no sítio Web da ESMA e ser atualizado regularmente. A fim de facilitar essa atualização, as autoridades competentes comunicam à ESMA quaisquer alterações que lhes sejam notificadas no que diz respeito às informações especificadas nos </w:t>
      </w:r>
      <w:proofErr w:type="spellStart"/>
      <w:proofErr w:type="gramStart"/>
      <w:r w:rsidRPr="00465964">
        <w:rPr>
          <w:lang w:val="pt-PT"/>
        </w:rPr>
        <w:t>n.</w:t>
      </w:r>
      <w:r w:rsidRPr="00465964">
        <w:rPr>
          <w:vertAlign w:val="superscript"/>
          <w:lang w:val="pt-PT"/>
        </w:rPr>
        <w:t>os</w:t>
      </w:r>
      <w:proofErr w:type="spellEnd"/>
      <w:proofErr w:type="gramEnd"/>
      <w:r w:rsidRPr="00465964">
        <w:rPr>
          <w:lang w:val="pt-PT"/>
        </w:rPr>
        <w:t> 2 a 5.</w:t>
      </w:r>
    </w:p>
    <w:p w14:paraId="5AD1A881" w14:textId="77777777" w:rsidR="00465964" w:rsidRPr="00465964" w:rsidRDefault="00465964" w:rsidP="00465964">
      <w:pPr>
        <w:rPr>
          <w:lang w:val="pt-PT"/>
        </w:rPr>
      </w:pPr>
      <w:r w:rsidRPr="00465964">
        <w:rPr>
          <w:lang w:val="pt-PT"/>
        </w:rPr>
        <w:t xml:space="preserve">A autoridade competente deve prestar à ESMA os dados necessários para a classificação dos livretes do criptoativo no registo, conforme especificado no </w:t>
      </w:r>
      <w:proofErr w:type="spellStart"/>
      <w:r w:rsidRPr="00465964">
        <w:rPr>
          <w:lang w:val="pt-PT"/>
        </w:rPr>
        <w:t>n.</w:t>
      </w:r>
      <w:r w:rsidRPr="00465964">
        <w:rPr>
          <w:vertAlign w:val="superscript"/>
          <w:lang w:val="pt-PT"/>
        </w:rPr>
        <w:t>o</w:t>
      </w:r>
      <w:proofErr w:type="spellEnd"/>
      <w:r w:rsidRPr="00465964">
        <w:rPr>
          <w:lang w:val="pt-PT"/>
        </w:rPr>
        <w:t> 8.</w:t>
      </w:r>
    </w:p>
    <w:p w14:paraId="383A4577" w14:textId="06E8987C" w:rsidR="00465964" w:rsidRPr="00465964" w:rsidRDefault="00465964" w:rsidP="00465964">
      <w:pPr>
        <w:rPr>
          <w:lang w:val="pt-PT"/>
        </w:rPr>
      </w:pPr>
      <w:r w:rsidRPr="00465964">
        <w:rPr>
          <w:lang w:val="pt-PT"/>
        </w:rPr>
        <w:t xml:space="preserve">2.   No que diz respeito aos livretes do criptoativo que não sejam </w:t>
      </w:r>
      <w:r>
        <w:rPr>
          <w:lang w:val="pt-PT"/>
        </w:rPr>
        <w:t>criptomoedas</w:t>
      </w:r>
      <w:r w:rsidRPr="00465964">
        <w:rPr>
          <w:lang w:val="pt-PT"/>
        </w:rPr>
        <w:t xml:space="preserve"> referenciadas a ativos nem </w:t>
      </w:r>
      <w:r>
        <w:rPr>
          <w:lang w:val="pt-PT"/>
        </w:rPr>
        <w:t>criptomoedas</w:t>
      </w:r>
      <w:r w:rsidRPr="00465964">
        <w:rPr>
          <w:lang w:val="pt-PT"/>
        </w:rPr>
        <w:t xml:space="preserve"> de moeda eletrónica, o registo deve conter os livretes do criptoativo e os eventuais livretes do criptoativo modificados. Quaisquer versões desatualizadas dos livretes do criptoativo devem ser conservadas num arquivo separado e ser claramente assinaladas como versões desatualizadas.</w:t>
      </w:r>
    </w:p>
    <w:p w14:paraId="2E87AF96" w14:textId="26A68A9F" w:rsidR="00465964" w:rsidRPr="00465964" w:rsidRDefault="00465964" w:rsidP="00465964">
      <w:pPr>
        <w:rPr>
          <w:lang w:val="pt-PT"/>
        </w:rPr>
      </w:pPr>
      <w:r w:rsidRPr="00465964">
        <w:rPr>
          <w:lang w:val="pt-PT"/>
        </w:rPr>
        <w:t xml:space="preserve">3.   No que respeita aos emitentes de </w:t>
      </w:r>
      <w:r>
        <w:rPr>
          <w:lang w:val="pt-PT"/>
        </w:rPr>
        <w:t>criptomoedas</w:t>
      </w:r>
      <w:r w:rsidRPr="00465964">
        <w:rPr>
          <w:lang w:val="pt-PT"/>
        </w:rPr>
        <w:t xml:space="preserve"> referenciadas a ativos, o registo deve conter as seguintes informações:</w:t>
      </w:r>
    </w:p>
    <w:tbl>
      <w:tblPr>
        <w:tblW w:w="5000" w:type="pct"/>
        <w:tblCellMar>
          <w:left w:w="0" w:type="dxa"/>
          <w:right w:w="0" w:type="dxa"/>
        </w:tblCellMar>
        <w:tblLook w:val="04A0" w:firstRow="1" w:lastRow="0" w:firstColumn="1" w:lastColumn="0" w:noHBand="0" w:noVBand="1"/>
      </w:tblPr>
      <w:tblGrid>
        <w:gridCol w:w="226"/>
        <w:gridCol w:w="8800"/>
      </w:tblGrid>
      <w:tr w:rsidR="00465964" w:rsidRPr="00465964" w14:paraId="1E231F58" w14:textId="77777777" w:rsidTr="00465964">
        <w:tc>
          <w:tcPr>
            <w:tcW w:w="0" w:type="auto"/>
            <w:shd w:val="clear" w:color="auto" w:fill="auto"/>
            <w:hideMark/>
          </w:tcPr>
          <w:p w14:paraId="2667E0AA" w14:textId="77777777" w:rsidR="00465964" w:rsidRPr="00465964" w:rsidRDefault="00465964" w:rsidP="00465964">
            <w:r w:rsidRPr="00465964">
              <w:t>a)</w:t>
            </w:r>
          </w:p>
        </w:tc>
        <w:tc>
          <w:tcPr>
            <w:tcW w:w="0" w:type="auto"/>
            <w:shd w:val="clear" w:color="auto" w:fill="auto"/>
            <w:hideMark/>
          </w:tcPr>
          <w:p w14:paraId="7A22A50F" w14:textId="77777777" w:rsidR="00465964" w:rsidRPr="00465964" w:rsidRDefault="00465964" w:rsidP="00465964">
            <w:pPr>
              <w:rPr>
                <w:lang w:val="pt-PT"/>
              </w:rPr>
            </w:pPr>
            <w:r w:rsidRPr="00465964">
              <w:rPr>
                <w:lang w:val="pt-PT"/>
              </w:rPr>
              <w:t>O nome, a forma jurídica e o identificador de entidade jurídica do emitente;</w:t>
            </w:r>
          </w:p>
        </w:tc>
      </w:tr>
    </w:tbl>
    <w:p w14:paraId="44764637"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8"/>
        <w:gridCol w:w="8838"/>
      </w:tblGrid>
      <w:tr w:rsidR="00465964" w:rsidRPr="00465964" w14:paraId="78DFE1CC" w14:textId="77777777" w:rsidTr="00465964">
        <w:tc>
          <w:tcPr>
            <w:tcW w:w="0" w:type="auto"/>
            <w:shd w:val="clear" w:color="auto" w:fill="auto"/>
            <w:hideMark/>
          </w:tcPr>
          <w:p w14:paraId="08707E41" w14:textId="77777777" w:rsidR="00465964" w:rsidRPr="00465964" w:rsidRDefault="00465964" w:rsidP="00465964">
            <w:r w:rsidRPr="00465964">
              <w:t>b)</w:t>
            </w:r>
          </w:p>
        </w:tc>
        <w:tc>
          <w:tcPr>
            <w:tcW w:w="0" w:type="auto"/>
            <w:shd w:val="clear" w:color="auto" w:fill="auto"/>
            <w:hideMark/>
          </w:tcPr>
          <w:p w14:paraId="5EA84805" w14:textId="77777777" w:rsidR="00465964" w:rsidRPr="00465964" w:rsidRDefault="00465964" w:rsidP="00465964">
            <w:pPr>
              <w:rPr>
                <w:lang w:val="pt-PT"/>
              </w:rPr>
            </w:pPr>
            <w:r w:rsidRPr="00465964">
              <w:rPr>
                <w:lang w:val="pt-PT"/>
              </w:rPr>
              <w:t>A denominação comercial, o endereço físico, o número de telefone, o endereço eletrónico e o sítio Web do emitente;</w:t>
            </w:r>
          </w:p>
        </w:tc>
      </w:tr>
    </w:tbl>
    <w:p w14:paraId="3FE64439"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0"/>
        <w:gridCol w:w="8846"/>
      </w:tblGrid>
      <w:tr w:rsidR="00465964" w:rsidRPr="00465964" w14:paraId="28BB5432" w14:textId="77777777" w:rsidTr="00465964">
        <w:tc>
          <w:tcPr>
            <w:tcW w:w="0" w:type="auto"/>
            <w:shd w:val="clear" w:color="auto" w:fill="auto"/>
            <w:hideMark/>
          </w:tcPr>
          <w:p w14:paraId="7FD414F2" w14:textId="77777777" w:rsidR="00465964" w:rsidRPr="00465964" w:rsidRDefault="00465964" w:rsidP="00465964">
            <w:r w:rsidRPr="00465964">
              <w:t>c)</w:t>
            </w:r>
          </w:p>
        </w:tc>
        <w:tc>
          <w:tcPr>
            <w:tcW w:w="0" w:type="auto"/>
            <w:shd w:val="clear" w:color="auto" w:fill="auto"/>
            <w:hideMark/>
          </w:tcPr>
          <w:p w14:paraId="06348ABE" w14:textId="77777777" w:rsidR="00465964" w:rsidRPr="00465964" w:rsidRDefault="00465964" w:rsidP="00465964">
            <w:pPr>
              <w:rPr>
                <w:lang w:val="pt-PT"/>
              </w:rPr>
            </w:pPr>
            <w:r w:rsidRPr="00465964">
              <w:rPr>
                <w:lang w:val="pt-PT"/>
              </w:rPr>
              <w:t>Os livretes do criptoativo e quaisquer livretes do criptoativo modificados, devendo as versões desatualizadas do livrete do criptoativo ser conservadas num arquivo separado e ser claramente assinaladas como versões desatualizadas;</w:t>
            </w:r>
          </w:p>
        </w:tc>
      </w:tr>
    </w:tbl>
    <w:p w14:paraId="3599CC58"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8"/>
        <w:gridCol w:w="8838"/>
      </w:tblGrid>
      <w:tr w:rsidR="00465964" w:rsidRPr="00465964" w14:paraId="4594D53E" w14:textId="77777777" w:rsidTr="00465964">
        <w:tc>
          <w:tcPr>
            <w:tcW w:w="0" w:type="auto"/>
            <w:shd w:val="clear" w:color="auto" w:fill="auto"/>
            <w:hideMark/>
          </w:tcPr>
          <w:p w14:paraId="68411F10" w14:textId="77777777" w:rsidR="00465964" w:rsidRPr="00465964" w:rsidRDefault="00465964" w:rsidP="00465964">
            <w:r w:rsidRPr="00465964">
              <w:t>d)</w:t>
            </w:r>
          </w:p>
        </w:tc>
        <w:tc>
          <w:tcPr>
            <w:tcW w:w="0" w:type="auto"/>
            <w:shd w:val="clear" w:color="auto" w:fill="auto"/>
            <w:hideMark/>
          </w:tcPr>
          <w:p w14:paraId="25519383" w14:textId="291A1787" w:rsidR="00465964" w:rsidRPr="00465964" w:rsidRDefault="00465964" w:rsidP="00465964">
            <w:pPr>
              <w:rPr>
                <w:lang w:val="pt-PT"/>
              </w:rPr>
            </w:pPr>
            <w:r w:rsidRPr="00465964">
              <w:rPr>
                <w:lang w:val="pt-PT"/>
              </w:rPr>
              <w:t xml:space="preserve">A lista dos Estados-Membros de acolhimento, caso o emitente requerente pretenda fazer uma oferta pública de uma </w:t>
            </w:r>
            <w:proofErr w:type="spellStart"/>
            <w:r w:rsidRPr="00465964">
              <w:rPr>
                <w:lang w:val="pt-PT"/>
              </w:rPr>
              <w:t>criptoficha</w:t>
            </w:r>
            <w:proofErr w:type="spellEnd"/>
            <w:r w:rsidRPr="00465964">
              <w:rPr>
                <w:lang w:val="pt-PT"/>
              </w:rPr>
              <w:t xml:space="preserve"> referenciada a ativos ou pretenda solicitar a admissão à negociação de </w:t>
            </w:r>
            <w:r>
              <w:rPr>
                <w:lang w:val="pt-PT"/>
              </w:rPr>
              <w:t>criptomoedas</w:t>
            </w:r>
            <w:r w:rsidRPr="00465964">
              <w:rPr>
                <w:lang w:val="pt-PT"/>
              </w:rPr>
              <w:t xml:space="preserve"> referenciadas a ativos;</w:t>
            </w:r>
          </w:p>
        </w:tc>
      </w:tr>
    </w:tbl>
    <w:p w14:paraId="79C57E64"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1"/>
        <w:gridCol w:w="8845"/>
      </w:tblGrid>
      <w:tr w:rsidR="00465964" w:rsidRPr="00465964" w14:paraId="1C2A3B6F" w14:textId="77777777" w:rsidTr="00465964">
        <w:tc>
          <w:tcPr>
            <w:tcW w:w="0" w:type="auto"/>
            <w:shd w:val="clear" w:color="auto" w:fill="auto"/>
            <w:hideMark/>
          </w:tcPr>
          <w:p w14:paraId="288EBE7C" w14:textId="77777777" w:rsidR="00465964" w:rsidRPr="00465964" w:rsidRDefault="00465964" w:rsidP="00465964">
            <w:r w:rsidRPr="00465964">
              <w:lastRenderedPageBreak/>
              <w:t>e)</w:t>
            </w:r>
          </w:p>
        </w:tc>
        <w:tc>
          <w:tcPr>
            <w:tcW w:w="0" w:type="auto"/>
            <w:shd w:val="clear" w:color="auto" w:fill="auto"/>
            <w:hideMark/>
          </w:tcPr>
          <w:p w14:paraId="072E7424" w14:textId="77777777" w:rsidR="00465964" w:rsidRPr="00465964" w:rsidRDefault="00465964" w:rsidP="00465964">
            <w:pPr>
              <w:rPr>
                <w:lang w:val="pt-PT"/>
              </w:rPr>
            </w:pPr>
            <w:r w:rsidRPr="00465964">
              <w:rPr>
                <w:lang w:val="pt-PT"/>
              </w:rPr>
              <w:t>A data de início, ou, caso não esteja disponível no momento da notificação pela autoridade competente, a data de início pretendida, da oferta pública ou da admissão à negociação;</w:t>
            </w:r>
          </w:p>
        </w:tc>
      </w:tr>
    </w:tbl>
    <w:p w14:paraId="1B36C733"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36"/>
        <w:gridCol w:w="8890"/>
      </w:tblGrid>
      <w:tr w:rsidR="00465964" w:rsidRPr="00465964" w14:paraId="62804217" w14:textId="77777777" w:rsidTr="00465964">
        <w:tc>
          <w:tcPr>
            <w:tcW w:w="0" w:type="auto"/>
            <w:shd w:val="clear" w:color="auto" w:fill="auto"/>
            <w:hideMark/>
          </w:tcPr>
          <w:p w14:paraId="1F84BA02" w14:textId="77777777" w:rsidR="00465964" w:rsidRPr="00465964" w:rsidRDefault="00465964" w:rsidP="00465964">
            <w:r w:rsidRPr="00465964">
              <w:t>f)</w:t>
            </w:r>
          </w:p>
        </w:tc>
        <w:tc>
          <w:tcPr>
            <w:tcW w:w="0" w:type="auto"/>
            <w:shd w:val="clear" w:color="auto" w:fill="auto"/>
            <w:hideMark/>
          </w:tcPr>
          <w:p w14:paraId="41E0A755" w14:textId="77777777" w:rsidR="00465964" w:rsidRPr="00465964" w:rsidRDefault="00465964" w:rsidP="00465964">
            <w:pPr>
              <w:rPr>
                <w:lang w:val="pt-PT"/>
              </w:rPr>
            </w:pPr>
            <w:r w:rsidRPr="00465964">
              <w:rPr>
                <w:lang w:val="pt-PT"/>
              </w:rPr>
              <w:t>Quaisquer outros serviços prestados pelo emitente não abrangidos pelo presente regulamento, com uma referência ao direito da União ou ao direito nacional aplicável;</w:t>
            </w:r>
          </w:p>
        </w:tc>
      </w:tr>
    </w:tbl>
    <w:p w14:paraId="6D7460DE"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74"/>
        <w:gridCol w:w="8852"/>
      </w:tblGrid>
      <w:tr w:rsidR="00465964" w:rsidRPr="00465964" w14:paraId="19A4F281" w14:textId="77777777" w:rsidTr="00465964">
        <w:tc>
          <w:tcPr>
            <w:tcW w:w="0" w:type="auto"/>
            <w:shd w:val="clear" w:color="auto" w:fill="auto"/>
            <w:hideMark/>
          </w:tcPr>
          <w:p w14:paraId="24B50FCC" w14:textId="77777777" w:rsidR="00465964" w:rsidRPr="00465964" w:rsidRDefault="00465964" w:rsidP="00465964">
            <w:r w:rsidRPr="00465964">
              <w:t>g)</w:t>
            </w:r>
          </w:p>
        </w:tc>
        <w:tc>
          <w:tcPr>
            <w:tcW w:w="0" w:type="auto"/>
            <w:shd w:val="clear" w:color="auto" w:fill="auto"/>
            <w:hideMark/>
          </w:tcPr>
          <w:p w14:paraId="512BD55B" w14:textId="77777777" w:rsidR="00465964" w:rsidRPr="00465964" w:rsidRDefault="00465964" w:rsidP="00465964">
            <w:pPr>
              <w:rPr>
                <w:lang w:val="pt-PT"/>
              </w:rPr>
            </w:pPr>
            <w:r w:rsidRPr="00465964">
              <w:rPr>
                <w:lang w:val="pt-PT"/>
              </w:rPr>
              <w:t xml:space="preserve">A data da autorização da oferta pública ou do pedido de admissão à negociação da </w:t>
            </w:r>
            <w:proofErr w:type="spellStart"/>
            <w:r w:rsidRPr="00465964">
              <w:rPr>
                <w:lang w:val="pt-PT"/>
              </w:rPr>
              <w:t>criptoficha</w:t>
            </w:r>
            <w:proofErr w:type="spellEnd"/>
            <w:r w:rsidRPr="00465964">
              <w:rPr>
                <w:lang w:val="pt-PT"/>
              </w:rPr>
              <w:t xml:space="preserve"> referenciada a ativos ou de autorização da instituição de crédito e, se for caso disso, da revogação de qualquer uma daquelas autorizações.</w:t>
            </w:r>
          </w:p>
        </w:tc>
      </w:tr>
    </w:tbl>
    <w:p w14:paraId="67F80EA9" w14:textId="0EB0B926" w:rsidR="00465964" w:rsidRPr="00465964" w:rsidRDefault="00465964" w:rsidP="00465964">
      <w:pPr>
        <w:rPr>
          <w:lang w:val="pt-PT"/>
        </w:rPr>
      </w:pPr>
      <w:r w:rsidRPr="00465964">
        <w:rPr>
          <w:lang w:val="pt-PT"/>
        </w:rPr>
        <w:t xml:space="preserve">4.   No que respeita aos emitentes de </w:t>
      </w:r>
      <w:r>
        <w:rPr>
          <w:lang w:val="pt-PT"/>
        </w:rPr>
        <w:t>criptomoedas</w:t>
      </w:r>
      <w:r w:rsidRPr="00465964">
        <w:rPr>
          <w:lang w:val="pt-PT"/>
        </w:rPr>
        <w:t xml:space="preserve"> de moeda eletrónica, o registo deve conter as seguintes informações:</w:t>
      </w:r>
    </w:p>
    <w:tbl>
      <w:tblPr>
        <w:tblW w:w="5000" w:type="pct"/>
        <w:tblCellMar>
          <w:left w:w="0" w:type="dxa"/>
          <w:right w:w="0" w:type="dxa"/>
        </w:tblCellMar>
        <w:tblLook w:val="04A0" w:firstRow="1" w:lastRow="0" w:firstColumn="1" w:lastColumn="0" w:noHBand="0" w:noVBand="1"/>
      </w:tblPr>
      <w:tblGrid>
        <w:gridCol w:w="226"/>
        <w:gridCol w:w="8800"/>
      </w:tblGrid>
      <w:tr w:rsidR="00465964" w:rsidRPr="00465964" w14:paraId="43BC5BF2" w14:textId="77777777" w:rsidTr="00465964">
        <w:tc>
          <w:tcPr>
            <w:tcW w:w="0" w:type="auto"/>
            <w:shd w:val="clear" w:color="auto" w:fill="auto"/>
            <w:hideMark/>
          </w:tcPr>
          <w:p w14:paraId="32575465" w14:textId="77777777" w:rsidR="00465964" w:rsidRPr="00465964" w:rsidRDefault="00465964" w:rsidP="00465964">
            <w:r w:rsidRPr="00465964">
              <w:t>a)</w:t>
            </w:r>
          </w:p>
        </w:tc>
        <w:tc>
          <w:tcPr>
            <w:tcW w:w="0" w:type="auto"/>
            <w:shd w:val="clear" w:color="auto" w:fill="auto"/>
            <w:hideMark/>
          </w:tcPr>
          <w:p w14:paraId="5B4D68DA" w14:textId="77777777" w:rsidR="00465964" w:rsidRPr="00465964" w:rsidRDefault="00465964" w:rsidP="00465964">
            <w:pPr>
              <w:rPr>
                <w:lang w:val="pt-PT"/>
              </w:rPr>
            </w:pPr>
            <w:r w:rsidRPr="00465964">
              <w:rPr>
                <w:lang w:val="pt-PT"/>
              </w:rPr>
              <w:t>O nome, a forma jurídica e o identificador de entidade jurídica do emitente;</w:t>
            </w:r>
          </w:p>
        </w:tc>
      </w:tr>
    </w:tbl>
    <w:p w14:paraId="2C202A35"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8"/>
        <w:gridCol w:w="8838"/>
      </w:tblGrid>
      <w:tr w:rsidR="00465964" w:rsidRPr="00465964" w14:paraId="54B53C7A" w14:textId="77777777" w:rsidTr="00465964">
        <w:tc>
          <w:tcPr>
            <w:tcW w:w="0" w:type="auto"/>
            <w:shd w:val="clear" w:color="auto" w:fill="auto"/>
            <w:hideMark/>
          </w:tcPr>
          <w:p w14:paraId="68FFFE2E" w14:textId="77777777" w:rsidR="00465964" w:rsidRPr="00465964" w:rsidRDefault="00465964" w:rsidP="00465964">
            <w:r w:rsidRPr="00465964">
              <w:t>b)</w:t>
            </w:r>
          </w:p>
        </w:tc>
        <w:tc>
          <w:tcPr>
            <w:tcW w:w="0" w:type="auto"/>
            <w:shd w:val="clear" w:color="auto" w:fill="auto"/>
            <w:hideMark/>
          </w:tcPr>
          <w:p w14:paraId="3FC71D20" w14:textId="77777777" w:rsidR="00465964" w:rsidRPr="00465964" w:rsidRDefault="00465964" w:rsidP="00465964">
            <w:pPr>
              <w:rPr>
                <w:lang w:val="pt-PT"/>
              </w:rPr>
            </w:pPr>
            <w:r w:rsidRPr="00465964">
              <w:rPr>
                <w:lang w:val="pt-PT"/>
              </w:rPr>
              <w:t>A denominação comercial, o endereço físico, o número de telefone, o endereço eletrónico e o sítio Web do emitente;</w:t>
            </w:r>
          </w:p>
        </w:tc>
      </w:tr>
    </w:tbl>
    <w:p w14:paraId="47DDE4B8"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0"/>
        <w:gridCol w:w="8846"/>
      </w:tblGrid>
      <w:tr w:rsidR="00465964" w:rsidRPr="00465964" w14:paraId="37CE70DA" w14:textId="77777777" w:rsidTr="00465964">
        <w:tc>
          <w:tcPr>
            <w:tcW w:w="0" w:type="auto"/>
            <w:shd w:val="clear" w:color="auto" w:fill="auto"/>
            <w:hideMark/>
          </w:tcPr>
          <w:p w14:paraId="269C3CDD" w14:textId="77777777" w:rsidR="00465964" w:rsidRPr="00465964" w:rsidRDefault="00465964" w:rsidP="00465964">
            <w:r w:rsidRPr="00465964">
              <w:t>c)</w:t>
            </w:r>
          </w:p>
        </w:tc>
        <w:tc>
          <w:tcPr>
            <w:tcW w:w="0" w:type="auto"/>
            <w:shd w:val="clear" w:color="auto" w:fill="auto"/>
            <w:hideMark/>
          </w:tcPr>
          <w:p w14:paraId="52D7B1D7" w14:textId="77777777" w:rsidR="00465964" w:rsidRPr="00465964" w:rsidRDefault="00465964" w:rsidP="00465964">
            <w:pPr>
              <w:rPr>
                <w:lang w:val="pt-PT"/>
              </w:rPr>
            </w:pPr>
            <w:r w:rsidRPr="00465964">
              <w:rPr>
                <w:lang w:val="pt-PT"/>
              </w:rPr>
              <w:t>Os livretes do criptoativo e quaisquer livretes do criptoativo modificados, devendo as versões desatualizadas do livrete do criptoativo ser conservadas num arquivo separado e ser claramente assinaladas como versões desatualizadas;</w:t>
            </w:r>
          </w:p>
        </w:tc>
      </w:tr>
    </w:tbl>
    <w:p w14:paraId="05CC3CAE"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8"/>
        <w:gridCol w:w="8838"/>
      </w:tblGrid>
      <w:tr w:rsidR="00465964" w:rsidRPr="00465964" w14:paraId="6F6C4175" w14:textId="77777777" w:rsidTr="00465964">
        <w:tc>
          <w:tcPr>
            <w:tcW w:w="0" w:type="auto"/>
            <w:shd w:val="clear" w:color="auto" w:fill="auto"/>
            <w:hideMark/>
          </w:tcPr>
          <w:p w14:paraId="07409EC1" w14:textId="77777777" w:rsidR="00465964" w:rsidRPr="00465964" w:rsidRDefault="00465964" w:rsidP="00465964">
            <w:r w:rsidRPr="00465964">
              <w:t>d)</w:t>
            </w:r>
          </w:p>
        </w:tc>
        <w:tc>
          <w:tcPr>
            <w:tcW w:w="0" w:type="auto"/>
            <w:shd w:val="clear" w:color="auto" w:fill="auto"/>
            <w:hideMark/>
          </w:tcPr>
          <w:p w14:paraId="551706C9" w14:textId="77777777" w:rsidR="00465964" w:rsidRPr="00465964" w:rsidRDefault="00465964" w:rsidP="00465964">
            <w:pPr>
              <w:rPr>
                <w:lang w:val="pt-PT"/>
              </w:rPr>
            </w:pPr>
            <w:r w:rsidRPr="00465964">
              <w:rPr>
                <w:lang w:val="pt-PT"/>
              </w:rPr>
              <w:t>A data de início, ou, caso não esteja disponível no momento da notificação pela autoridade competente, a data de início pretendida, da oferta pública ou da admissão à negociação;</w:t>
            </w:r>
          </w:p>
        </w:tc>
      </w:tr>
    </w:tbl>
    <w:p w14:paraId="271809AF"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1"/>
        <w:gridCol w:w="8845"/>
      </w:tblGrid>
      <w:tr w:rsidR="00465964" w:rsidRPr="00465964" w14:paraId="24139E31" w14:textId="77777777" w:rsidTr="00465964">
        <w:tc>
          <w:tcPr>
            <w:tcW w:w="0" w:type="auto"/>
            <w:shd w:val="clear" w:color="auto" w:fill="auto"/>
            <w:hideMark/>
          </w:tcPr>
          <w:p w14:paraId="603852DE" w14:textId="77777777" w:rsidR="00465964" w:rsidRPr="00465964" w:rsidRDefault="00465964" w:rsidP="00465964">
            <w:r w:rsidRPr="00465964">
              <w:t>e)</w:t>
            </w:r>
          </w:p>
        </w:tc>
        <w:tc>
          <w:tcPr>
            <w:tcW w:w="0" w:type="auto"/>
            <w:shd w:val="clear" w:color="auto" w:fill="auto"/>
            <w:hideMark/>
          </w:tcPr>
          <w:p w14:paraId="6BCFF5BF" w14:textId="77777777" w:rsidR="00465964" w:rsidRPr="00465964" w:rsidRDefault="00465964" w:rsidP="00465964">
            <w:pPr>
              <w:rPr>
                <w:lang w:val="pt-PT"/>
              </w:rPr>
            </w:pPr>
            <w:r w:rsidRPr="00465964">
              <w:rPr>
                <w:lang w:val="pt-PT"/>
              </w:rPr>
              <w:t>Quaisquer outros serviços prestados pelo emitente não abrangidos pelo presente regulamento, com uma referência ao direito da União ou ao direito nacional aplicável;</w:t>
            </w:r>
          </w:p>
        </w:tc>
      </w:tr>
    </w:tbl>
    <w:p w14:paraId="1FA896BE"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36"/>
        <w:gridCol w:w="8890"/>
      </w:tblGrid>
      <w:tr w:rsidR="00465964" w:rsidRPr="00465964" w14:paraId="2F888F5F" w14:textId="77777777" w:rsidTr="00465964">
        <w:tc>
          <w:tcPr>
            <w:tcW w:w="0" w:type="auto"/>
            <w:shd w:val="clear" w:color="auto" w:fill="auto"/>
            <w:hideMark/>
          </w:tcPr>
          <w:p w14:paraId="21ABC1CE" w14:textId="77777777" w:rsidR="00465964" w:rsidRPr="00465964" w:rsidRDefault="00465964" w:rsidP="00465964">
            <w:r w:rsidRPr="00465964">
              <w:t>f)</w:t>
            </w:r>
          </w:p>
        </w:tc>
        <w:tc>
          <w:tcPr>
            <w:tcW w:w="0" w:type="auto"/>
            <w:shd w:val="clear" w:color="auto" w:fill="auto"/>
            <w:hideMark/>
          </w:tcPr>
          <w:p w14:paraId="5536B9F3" w14:textId="77777777" w:rsidR="00465964" w:rsidRPr="00465964" w:rsidRDefault="00465964" w:rsidP="00465964">
            <w:pPr>
              <w:rPr>
                <w:lang w:val="pt-PT"/>
              </w:rPr>
            </w:pPr>
            <w:r w:rsidRPr="00465964">
              <w:rPr>
                <w:lang w:val="pt-PT"/>
              </w:rPr>
              <w:t>A data da autorização como instituição de crédito ou como instituição de moeda eletrónica e, se for caso disso, da revogação dessa autorização.</w:t>
            </w:r>
          </w:p>
        </w:tc>
      </w:tr>
    </w:tbl>
    <w:p w14:paraId="24F0FF2A" w14:textId="77777777" w:rsidR="00465964" w:rsidRPr="00465964" w:rsidRDefault="00465964" w:rsidP="00465964">
      <w:pPr>
        <w:rPr>
          <w:lang w:val="pt-PT"/>
        </w:rPr>
      </w:pPr>
      <w:r w:rsidRPr="00465964">
        <w:rPr>
          <w:lang w:val="pt-PT"/>
        </w:rPr>
        <w:t>5.   No que respeita aos prestadores de serviços de criptoativos, o registo deve conter as seguintes informações:</w:t>
      </w:r>
    </w:p>
    <w:tbl>
      <w:tblPr>
        <w:tblW w:w="5000" w:type="pct"/>
        <w:tblCellMar>
          <w:left w:w="0" w:type="dxa"/>
          <w:right w:w="0" w:type="dxa"/>
        </w:tblCellMar>
        <w:tblLook w:val="04A0" w:firstRow="1" w:lastRow="0" w:firstColumn="1" w:lastColumn="0" w:noHBand="0" w:noVBand="1"/>
      </w:tblPr>
      <w:tblGrid>
        <w:gridCol w:w="182"/>
        <w:gridCol w:w="8844"/>
      </w:tblGrid>
      <w:tr w:rsidR="00465964" w:rsidRPr="00465964" w14:paraId="0AD41EC9" w14:textId="77777777" w:rsidTr="00465964">
        <w:tc>
          <w:tcPr>
            <w:tcW w:w="0" w:type="auto"/>
            <w:shd w:val="clear" w:color="auto" w:fill="auto"/>
            <w:hideMark/>
          </w:tcPr>
          <w:p w14:paraId="4C79A4F4" w14:textId="77777777" w:rsidR="00465964" w:rsidRPr="00465964" w:rsidRDefault="00465964" w:rsidP="00465964">
            <w:r w:rsidRPr="00465964">
              <w:t>a)</w:t>
            </w:r>
          </w:p>
        </w:tc>
        <w:tc>
          <w:tcPr>
            <w:tcW w:w="0" w:type="auto"/>
            <w:shd w:val="clear" w:color="auto" w:fill="auto"/>
            <w:hideMark/>
          </w:tcPr>
          <w:p w14:paraId="71BA1568" w14:textId="77777777" w:rsidR="00465964" w:rsidRPr="00465964" w:rsidRDefault="00465964" w:rsidP="00465964">
            <w:pPr>
              <w:rPr>
                <w:lang w:val="pt-PT"/>
              </w:rPr>
            </w:pPr>
            <w:r w:rsidRPr="00465964">
              <w:rPr>
                <w:lang w:val="pt-PT"/>
              </w:rPr>
              <w:t>O nome, a forma jurídica e o identificador de entidade jurídica do prestador de serviços de criptoativos e, se aplicável, as sucursais do prestador de serviços de criptoativos;</w:t>
            </w:r>
          </w:p>
        </w:tc>
      </w:tr>
    </w:tbl>
    <w:p w14:paraId="06ADBCFF"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8"/>
        <w:gridCol w:w="8838"/>
      </w:tblGrid>
      <w:tr w:rsidR="00465964" w:rsidRPr="00465964" w14:paraId="7A44DA3E" w14:textId="77777777" w:rsidTr="00465964">
        <w:tc>
          <w:tcPr>
            <w:tcW w:w="0" w:type="auto"/>
            <w:shd w:val="clear" w:color="auto" w:fill="auto"/>
            <w:hideMark/>
          </w:tcPr>
          <w:p w14:paraId="52382A0C" w14:textId="77777777" w:rsidR="00465964" w:rsidRPr="00465964" w:rsidRDefault="00465964" w:rsidP="00465964">
            <w:r w:rsidRPr="00465964">
              <w:t>b)</w:t>
            </w:r>
          </w:p>
        </w:tc>
        <w:tc>
          <w:tcPr>
            <w:tcW w:w="0" w:type="auto"/>
            <w:shd w:val="clear" w:color="auto" w:fill="auto"/>
            <w:hideMark/>
          </w:tcPr>
          <w:p w14:paraId="4FB1FD07" w14:textId="77777777" w:rsidR="00465964" w:rsidRPr="00465964" w:rsidRDefault="00465964" w:rsidP="00465964">
            <w:pPr>
              <w:rPr>
                <w:lang w:val="pt-PT"/>
              </w:rPr>
            </w:pPr>
            <w:r w:rsidRPr="00465964">
              <w:rPr>
                <w:lang w:val="pt-PT"/>
              </w:rPr>
              <w:t>A denominação comercial, o endereço físico, o número de telefone, o endereço eletrónico e o sítio Web do prestador de serviços de criptoativos e, se aplicável, a plataforma de negociação de criptoativos operada pelo prestador de serviços de criptoativos;</w:t>
            </w:r>
          </w:p>
        </w:tc>
      </w:tr>
    </w:tbl>
    <w:p w14:paraId="3E758186"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0"/>
        <w:gridCol w:w="8846"/>
      </w:tblGrid>
      <w:tr w:rsidR="00465964" w:rsidRPr="00465964" w14:paraId="1E92721A" w14:textId="77777777" w:rsidTr="00465964">
        <w:tc>
          <w:tcPr>
            <w:tcW w:w="0" w:type="auto"/>
            <w:shd w:val="clear" w:color="auto" w:fill="auto"/>
            <w:hideMark/>
          </w:tcPr>
          <w:p w14:paraId="3CF6B50A" w14:textId="77777777" w:rsidR="00465964" w:rsidRPr="00465964" w:rsidRDefault="00465964" w:rsidP="00465964">
            <w:r w:rsidRPr="00465964">
              <w:t>c)</w:t>
            </w:r>
          </w:p>
        </w:tc>
        <w:tc>
          <w:tcPr>
            <w:tcW w:w="0" w:type="auto"/>
            <w:shd w:val="clear" w:color="auto" w:fill="auto"/>
            <w:hideMark/>
          </w:tcPr>
          <w:p w14:paraId="5F8C25C9" w14:textId="77777777" w:rsidR="00465964" w:rsidRPr="00465964" w:rsidRDefault="00465964" w:rsidP="00465964">
            <w:pPr>
              <w:rPr>
                <w:lang w:val="pt-PT"/>
              </w:rPr>
            </w:pPr>
            <w:r w:rsidRPr="00465964">
              <w:rPr>
                <w:lang w:val="pt-PT"/>
              </w:rPr>
              <w:t>O nome e o endereço da autoridade competente que concedeu a autorização e os seus dados de contacto;</w:t>
            </w:r>
          </w:p>
        </w:tc>
      </w:tr>
    </w:tbl>
    <w:p w14:paraId="7330205D"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8"/>
        <w:gridCol w:w="8838"/>
      </w:tblGrid>
      <w:tr w:rsidR="00465964" w:rsidRPr="00465964" w14:paraId="2113A9C5" w14:textId="77777777" w:rsidTr="00465964">
        <w:tc>
          <w:tcPr>
            <w:tcW w:w="0" w:type="auto"/>
            <w:shd w:val="clear" w:color="auto" w:fill="auto"/>
            <w:hideMark/>
          </w:tcPr>
          <w:p w14:paraId="18569695" w14:textId="77777777" w:rsidR="00465964" w:rsidRPr="00465964" w:rsidRDefault="00465964" w:rsidP="00465964">
            <w:r w:rsidRPr="00465964">
              <w:t>d)</w:t>
            </w:r>
          </w:p>
        </w:tc>
        <w:tc>
          <w:tcPr>
            <w:tcW w:w="0" w:type="auto"/>
            <w:shd w:val="clear" w:color="auto" w:fill="auto"/>
            <w:hideMark/>
          </w:tcPr>
          <w:p w14:paraId="4CDBA347" w14:textId="77777777" w:rsidR="00465964" w:rsidRPr="00465964" w:rsidRDefault="00465964" w:rsidP="00465964">
            <w:pPr>
              <w:rPr>
                <w:lang w:val="pt-PT"/>
              </w:rPr>
            </w:pPr>
            <w:r w:rsidRPr="00465964">
              <w:rPr>
                <w:lang w:val="pt-PT"/>
              </w:rPr>
              <w:t>A lista de serviços de criptoativos que são prestados pelos prestadores de serviços de criptoativos;</w:t>
            </w:r>
          </w:p>
        </w:tc>
      </w:tr>
    </w:tbl>
    <w:p w14:paraId="0A64AF47"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1"/>
        <w:gridCol w:w="8845"/>
      </w:tblGrid>
      <w:tr w:rsidR="00465964" w:rsidRPr="00465964" w14:paraId="633DF873" w14:textId="77777777" w:rsidTr="00465964">
        <w:tc>
          <w:tcPr>
            <w:tcW w:w="0" w:type="auto"/>
            <w:shd w:val="clear" w:color="auto" w:fill="auto"/>
            <w:hideMark/>
          </w:tcPr>
          <w:p w14:paraId="53A4FFEC" w14:textId="77777777" w:rsidR="00465964" w:rsidRPr="00465964" w:rsidRDefault="00465964" w:rsidP="00465964">
            <w:r w:rsidRPr="00465964">
              <w:t>e)</w:t>
            </w:r>
          </w:p>
        </w:tc>
        <w:tc>
          <w:tcPr>
            <w:tcW w:w="0" w:type="auto"/>
            <w:shd w:val="clear" w:color="auto" w:fill="auto"/>
            <w:hideMark/>
          </w:tcPr>
          <w:p w14:paraId="7BFAE55C" w14:textId="77777777" w:rsidR="00465964" w:rsidRPr="00465964" w:rsidRDefault="00465964" w:rsidP="00465964">
            <w:pPr>
              <w:rPr>
                <w:lang w:val="pt-PT"/>
              </w:rPr>
            </w:pPr>
            <w:r w:rsidRPr="00465964">
              <w:rPr>
                <w:lang w:val="pt-PT"/>
              </w:rPr>
              <w:t>A lista dos Estados-Membros de acolhimento nos quais o prestador de serviços de criptoativos pretende prestar serviços de criptoativos;</w:t>
            </w:r>
          </w:p>
        </w:tc>
      </w:tr>
    </w:tbl>
    <w:p w14:paraId="5B7141B2"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36"/>
        <w:gridCol w:w="8890"/>
      </w:tblGrid>
      <w:tr w:rsidR="00465964" w:rsidRPr="00465964" w14:paraId="00248608" w14:textId="77777777" w:rsidTr="00465964">
        <w:tc>
          <w:tcPr>
            <w:tcW w:w="0" w:type="auto"/>
            <w:shd w:val="clear" w:color="auto" w:fill="auto"/>
            <w:hideMark/>
          </w:tcPr>
          <w:p w14:paraId="22F2356A" w14:textId="77777777" w:rsidR="00465964" w:rsidRPr="00465964" w:rsidRDefault="00465964" w:rsidP="00465964">
            <w:r w:rsidRPr="00465964">
              <w:t>f)</w:t>
            </w:r>
          </w:p>
        </w:tc>
        <w:tc>
          <w:tcPr>
            <w:tcW w:w="0" w:type="auto"/>
            <w:shd w:val="clear" w:color="auto" w:fill="auto"/>
            <w:hideMark/>
          </w:tcPr>
          <w:p w14:paraId="40F7DEA0" w14:textId="77777777" w:rsidR="00465964" w:rsidRPr="00465964" w:rsidRDefault="00465964" w:rsidP="00465964">
            <w:pPr>
              <w:rPr>
                <w:lang w:val="pt-PT"/>
              </w:rPr>
            </w:pPr>
            <w:r w:rsidRPr="00465964">
              <w:rPr>
                <w:lang w:val="pt-PT"/>
              </w:rPr>
              <w:t>A data de início da prestação de serviços de criptoativos ou, se não estiver disponível no momento da notificação pela autoridade competente, a data de início da prestação de serviços de criptoativos prevista;</w:t>
            </w:r>
          </w:p>
        </w:tc>
      </w:tr>
    </w:tbl>
    <w:p w14:paraId="14369595"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74"/>
        <w:gridCol w:w="8852"/>
      </w:tblGrid>
      <w:tr w:rsidR="00465964" w:rsidRPr="00465964" w14:paraId="7ADCE3F5" w14:textId="77777777" w:rsidTr="00465964">
        <w:tc>
          <w:tcPr>
            <w:tcW w:w="0" w:type="auto"/>
            <w:shd w:val="clear" w:color="auto" w:fill="auto"/>
            <w:hideMark/>
          </w:tcPr>
          <w:p w14:paraId="0D154336" w14:textId="77777777" w:rsidR="00465964" w:rsidRPr="00465964" w:rsidRDefault="00465964" w:rsidP="00465964">
            <w:r w:rsidRPr="00465964">
              <w:lastRenderedPageBreak/>
              <w:t>g)</w:t>
            </w:r>
          </w:p>
        </w:tc>
        <w:tc>
          <w:tcPr>
            <w:tcW w:w="0" w:type="auto"/>
            <w:shd w:val="clear" w:color="auto" w:fill="auto"/>
            <w:hideMark/>
          </w:tcPr>
          <w:p w14:paraId="03C01471" w14:textId="77777777" w:rsidR="00465964" w:rsidRPr="00465964" w:rsidRDefault="00465964" w:rsidP="00465964">
            <w:pPr>
              <w:rPr>
                <w:lang w:val="pt-PT"/>
              </w:rPr>
            </w:pPr>
            <w:r w:rsidRPr="00465964">
              <w:rPr>
                <w:lang w:val="pt-PT"/>
              </w:rPr>
              <w:t>Quaisquer outros serviços prestados pelo prestador de serviços de criptoativos não abrangidos pelo presente regulamento, com uma referência ao direito da União ou ao direito nacional aplicável;</w:t>
            </w:r>
          </w:p>
        </w:tc>
      </w:tr>
    </w:tbl>
    <w:p w14:paraId="07222726"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242"/>
        <w:gridCol w:w="8784"/>
      </w:tblGrid>
      <w:tr w:rsidR="00465964" w:rsidRPr="00465964" w14:paraId="04599E00" w14:textId="77777777" w:rsidTr="00465964">
        <w:tc>
          <w:tcPr>
            <w:tcW w:w="0" w:type="auto"/>
            <w:shd w:val="clear" w:color="auto" w:fill="auto"/>
            <w:hideMark/>
          </w:tcPr>
          <w:p w14:paraId="44448D22" w14:textId="77777777" w:rsidR="00465964" w:rsidRPr="00465964" w:rsidRDefault="00465964" w:rsidP="00465964">
            <w:r w:rsidRPr="00465964">
              <w:t>h)</w:t>
            </w:r>
          </w:p>
        </w:tc>
        <w:tc>
          <w:tcPr>
            <w:tcW w:w="0" w:type="auto"/>
            <w:shd w:val="clear" w:color="auto" w:fill="auto"/>
            <w:hideMark/>
          </w:tcPr>
          <w:p w14:paraId="14E73143" w14:textId="77777777" w:rsidR="00465964" w:rsidRPr="00465964" w:rsidRDefault="00465964" w:rsidP="00465964">
            <w:pPr>
              <w:rPr>
                <w:lang w:val="pt-PT"/>
              </w:rPr>
            </w:pPr>
            <w:r w:rsidRPr="00465964">
              <w:rPr>
                <w:lang w:val="pt-PT"/>
              </w:rPr>
              <w:t>A data da autorização e, se for caso disso, da revogação da autorização.</w:t>
            </w:r>
          </w:p>
        </w:tc>
      </w:tr>
    </w:tbl>
    <w:p w14:paraId="7D0F247D" w14:textId="77777777" w:rsidR="00465964" w:rsidRPr="00465964" w:rsidRDefault="00465964" w:rsidP="00465964">
      <w:pPr>
        <w:rPr>
          <w:lang w:val="pt-PT"/>
        </w:rPr>
      </w:pPr>
      <w:r w:rsidRPr="00465964">
        <w:rPr>
          <w:lang w:val="pt-PT"/>
        </w:rPr>
        <w:t>6.   As autoridades competentes notificam sem demora a ESMA das medidas previstas no artigo 94.</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1, primeiro parágrafo, alíneas b), c), f), l), m), n), o) ou t), e de quaisquer medidas cautelares públicas tomadas nos termos do artigo 102.</w:t>
      </w:r>
      <w:r w:rsidRPr="00465964">
        <w:rPr>
          <w:vertAlign w:val="superscript"/>
          <w:lang w:val="pt-PT"/>
        </w:rPr>
        <w:t>o</w:t>
      </w:r>
      <w:r w:rsidRPr="00465964">
        <w:rPr>
          <w:lang w:val="pt-PT"/>
        </w:rPr>
        <w:t> que afetem a prestação de serviços de criptoativos ou a emissão, a oferta pública ou a utilização de criptoativos. A ESMA inclui estas informações no registo.</w:t>
      </w:r>
    </w:p>
    <w:p w14:paraId="48F7BBFB" w14:textId="77777777" w:rsidR="00465964" w:rsidRPr="00465964" w:rsidRDefault="00465964" w:rsidP="00465964">
      <w:pPr>
        <w:rPr>
          <w:lang w:val="pt-PT"/>
        </w:rPr>
      </w:pPr>
      <w:r w:rsidRPr="00465964">
        <w:rPr>
          <w:lang w:val="pt-PT"/>
        </w:rPr>
        <w:t xml:space="preserve">7.   Qualquer revogação de uma autorização de um emitente de uma </w:t>
      </w:r>
      <w:proofErr w:type="spellStart"/>
      <w:r w:rsidRPr="00465964">
        <w:rPr>
          <w:lang w:val="pt-PT"/>
        </w:rPr>
        <w:t>criptoficha</w:t>
      </w:r>
      <w:proofErr w:type="spellEnd"/>
      <w:r w:rsidRPr="00465964">
        <w:rPr>
          <w:lang w:val="pt-PT"/>
        </w:rPr>
        <w:t xml:space="preserve"> referenciada a ativos, de um emitente de uma </w:t>
      </w:r>
      <w:proofErr w:type="spellStart"/>
      <w:r w:rsidRPr="00465964">
        <w:rPr>
          <w:lang w:val="pt-PT"/>
        </w:rPr>
        <w:t>criptoficha</w:t>
      </w:r>
      <w:proofErr w:type="spellEnd"/>
      <w:r w:rsidRPr="00465964">
        <w:rPr>
          <w:lang w:val="pt-PT"/>
        </w:rPr>
        <w:t xml:space="preserve"> de moeda eletrónica ou de um prestador de serviços de criptoativos, bem como qualquer medida notificada nos termos do </w:t>
      </w:r>
      <w:proofErr w:type="spellStart"/>
      <w:r w:rsidRPr="00465964">
        <w:rPr>
          <w:lang w:val="pt-PT"/>
        </w:rPr>
        <w:t>n.</w:t>
      </w:r>
      <w:r w:rsidRPr="00465964">
        <w:rPr>
          <w:vertAlign w:val="superscript"/>
          <w:lang w:val="pt-PT"/>
        </w:rPr>
        <w:t>o</w:t>
      </w:r>
      <w:proofErr w:type="spellEnd"/>
      <w:r w:rsidRPr="00465964">
        <w:rPr>
          <w:lang w:val="pt-PT"/>
        </w:rPr>
        <w:t> 6, deve permanecer publicada no registo durante cinco anos.</w:t>
      </w:r>
    </w:p>
    <w:p w14:paraId="62F36DAA" w14:textId="77777777" w:rsidR="00465964" w:rsidRPr="00465964" w:rsidRDefault="00465964" w:rsidP="00465964">
      <w:pPr>
        <w:rPr>
          <w:lang w:val="pt-PT"/>
        </w:rPr>
      </w:pPr>
      <w:r w:rsidRPr="00465964">
        <w:rPr>
          <w:lang w:val="pt-PT"/>
        </w:rPr>
        <w:t>8.   A ESMA elabora projetos de normas técnicas de regulamentação a fim de especificar mais pormenorizadamente os dados necessários para a classificação, por tipo de criptoativo, dos livretes do criptoativo, incluindo os identificadores de entidade jurídica, no registo e de especificar as disposições práticas para assegurar que esses dados sejam legíveis por máquina.</w:t>
      </w:r>
    </w:p>
    <w:p w14:paraId="2FC2F8A9" w14:textId="77777777" w:rsidR="00465964" w:rsidRPr="00465964" w:rsidRDefault="00465964" w:rsidP="00465964">
      <w:pPr>
        <w:rPr>
          <w:lang w:val="pt-PT"/>
        </w:rPr>
      </w:pPr>
      <w:r w:rsidRPr="00465964">
        <w:rPr>
          <w:lang w:val="pt-PT"/>
        </w:rPr>
        <w:t>A ESMA apresenta à Comissão os projetos de normas técnicas de regulamentação referidos no primeiro parágrafo até 30 de junho de 2024.</w:t>
      </w:r>
    </w:p>
    <w:p w14:paraId="65CA466E" w14:textId="77777777" w:rsidR="00465964" w:rsidRPr="00465964" w:rsidRDefault="00465964" w:rsidP="00465964">
      <w:pPr>
        <w:rPr>
          <w:lang w:val="pt-PT"/>
        </w:rPr>
      </w:pPr>
      <w:r w:rsidRPr="00465964">
        <w:rPr>
          <w:lang w:val="pt-PT"/>
        </w:rPr>
        <w:t>É delegado na Comissão o poder de completar o presente regulamento através da adoção das normas técnicas de regulamentação a que se refere o primeiro parágrafo do presente número em conformidade com os artigos 10.</w:t>
      </w:r>
      <w:r w:rsidRPr="00465964">
        <w:rPr>
          <w:vertAlign w:val="superscript"/>
          <w:lang w:val="pt-PT"/>
        </w:rPr>
        <w:t>o</w:t>
      </w:r>
      <w:r w:rsidRPr="00465964">
        <w:rPr>
          <w:lang w:val="pt-PT"/>
        </w:rPr>
        <w:t> a 14.</w:t>
      </w:r>
      <w:r w:rsidRPr="00465964">
        <w:rPr>
          <w:vertAlign w:val="superscript"/>
          <w:lang w:val="pt-PT"/>
        </w:rPr>
        <w:t>o</w:t>
      </w:r>
      <w:r w:rsidRPr="00465964">
        <w:rPr>
          <w:lang w:val="pt-PT"/>
        </w:rPr>
        <w:t xml:space="preserve"> do Regulamento (UE) </w:t>
      </w:r>
      <w:proofErr w:type="spellStart"/>
      <w:r w:rsidRPr="00465964">
        <w:rPr>
          <w:lang w:val="pt-PT"/>
        </w:rPr>
        <w:t>n.</w:t>
      </w:r>
      <w:r w:rsidRPr="00465964">
        <w:rPr>
          <w:vertAlign w:val="superscript"/>
          <w:lang w:val="pt-PT"/>
        </w:rPr>
        <w:t>o</w:t>
      </w:r>
      <w:proofErr w:type="spellEnd"/>
      <w:r w:rsidRPr="00465964">
        <w:rPr>
          <w:lang w:val="pt-PT"/>
        </w:rPr>
        <w:t> 1095/2010.</w:t>
      </w:r>
    </w:p>
    <w:p w14:paraId="1BFCDE67" w14:textId="77777777" w:rsidR="00465964" w:rsidRPr="00465964" w:rsidRDefault="00465964" w:rsidP="00465964">
      <w:pPr>
        <w:rPr>
          <w:i/>
          <w:iCs/>
          <w:lang w:val="pt-PT"/>
        </w:rPr>
      </w:pPr>
      <w:r w:rsidRPr="00465964">
        <w:rPr>
          <w:i/>
          <w:iCs/>
          <w:lang w:val="pt-PT"/>
        </w:rPr>
        <w:t>Artigo 110.</w:t>
      </w:r>
      <w:r w:rsidRPr="00465964">
        <w:rPr>
          <w:i/>
          <w:iCs/>
          <w:vertAlign w:val="superscript"/>
          <w:lang w:val="pt-PT"/>
        </w:rPr>
        <w:t>o</w:t>
      </w:r>
    </w:p>
    <w:p w14:paraId="4EECD33C" w14:textId="77777777" w:rsidR="00465964" w:rsidRPr="00465964" w:rsidRDefault="00465964" w:rsidP="00465964">
      <w:pPr>
        <w:rPr>
          <w:b/>
          <w:bCs/>
          <w:lang w:val="pt-PT"/>
        </w:rPr>
      </w:pPr>
      <w:r w:rsidRPr="00465964">
        <w:rPr>
          <w:b/>
          <w:bCs/>
          <w:lang w:val="pt-PT"/>
        </w:rPr>
        <w:t>Registo de entidades não conformes que prestam serviços de criptoativos</w:t>
      </w:r>
    </w:p>
    <w:p w14:paraId="6E707904" w14:textId="77777777" w:rsidR="00465964" w:rsidRPr="00465964" w:rsidRDefault="00465964" w:rsidP="00465964">
      <w:pPr>
        <w:rPr>
          <w:lang w:val="pt-PT"/>
        </w:rPr>
      </w:pPr>
      <w:r w:rsidRPr="00465964">
        <w:rPr>
          <w:lang w:val="pt-PT"/>
        </w:rPr>
        <w:t>1.   A ESMA cria um registo não exaustivo de entidades que prestam serviços de criptoativos em violação do artigo 59.</w:t>
      </w:r>
      <w:r w:rsidRPr="00465964">
        <w:rPr>
          <w:vertAlign w:val="superscript"/>
          <w:lang w:val="pt-PT"/>
        </w:rPr>
        <w:t>o</w:t>
      </w:r>
      <w:r w:rsidRPr="00465964">
        <w:rPr>
          <w:lang w:val="pt-PT"/>
        </w:rPr>
        <w:t> ou 61.</w:t>
      </w:r>
      <w:r w:rsidRPr="00465964">
        <w:rPr>
          <w:vertAlign w:val="superscript"/>
          <w:lang w:val="pt-PT"/>
        </w:rPr>
        <w:t>o</w:t>
      </w:r>
      <w:r w:rsidRPr="00465964">
        <w:rPr>
          <w:lang w:val="pt-PT"/>
        </w:rPr>
        <w:t>.</w:t>
      </w:r>
    </w:p>
    <w:p w14:paraId="6BDF6E95" w14:textId="77777777" w:rsidR="00465964" w:rsidRPr="00465964" w:rsidRDefault="00465964" w:rsidP="00465964">
      <w:pPr>
        <w:rPr>
          <w:lang w:val="pt-PT"/>
        </w:rPr>
      </w:pPr>
      <w:r w:rsidRPr="00465964">
        <w:rPr>
          <w:lang w:val="pt-PT"/>
        </w:rPr>
        <w:t>2.   O registo deve conter, pelo menos, a denominação comercial ou o sítio Web da entidade não conforme e o nome da autoridade competente que apresentou as informações.</w:t>
      </w:r>
    </w:p>
    <w:p w14:paraId="75A24C20" w14:textId="77777777" w:rsidR="00465964" w:rsidRPr="00465964" w:rsidRDefault="00465964" w:rsidP="00465964">
      <w:pPr>
        <w:rPr>
          <w:lang w:val="pt-PT"/>
        </w:rPr>
      </w:pPr>
      <w:r w:rsidRPr="00465964">
        <w:rPr>
          <w:lang w:val="pt-PT"/>
        </w:rPr>
        <w:t>3.   O registo é disponibilizado ao público no sítio Web da ESMA num formato legível por máquina e é atualizado regularmente, a fim de ter em conta qualquer mudança de circunstâncias ou quaisquer informações comunicadas à ESMA relativamente às entidades não conformes registadas. O registo deve permitir o acesso centralizado às informações apresentadas pelas autoridades competentes dos Estados-Membros ou de países terceiros, bem como pela EBA.</w:t>
      </w:r>
    </w:p>
    <w:p w14:paraId="6E4F6D85" w14:textId="77777777" w:rsidR="00465964" w:rsidRPr="00465964" w:rsidRDefault="00465964" w:rsidP="00465964">
      <w:pPr>
        <w:rPr>
          <w:lang w:val="pt-PT"/>
        </w:rPr>
      </w:pPr>
      <w:r w:rsidRPr="00465964">
        <w:rPr>
          <w:lang w:val="pt-PT"/>
        </w:rPr>
        <w:t>4.   A ESMA atualiza o registo a fim de incluir informações sobre qualquer caso de infração ao presente regulamento identificado por sua própria iniciativa nos termos do artigo 17.</w:t>
      </w:r>
      <w:r w:rsidRPr="00465964">
        <w:rPr>
          <w:vertAlign w:val="superscript"/>
          <w:lang w:val="pt-PT"/>
        </w:rPr>
        <w:t>o</w:t>
      </w:r>
      <w:r w:rsidRPr="00465964">
        <w:rPr>
          <w:lang w:val="pt-PT"/>
        </w:rPr>
        <w:t xml:space="preserve"> do Regulamento (UE) </w:t>
      </w:r>
      <w:proofErr w:type="spellStart"/>
      <w:r w:rsidRPr="00465964">
        <w:rPr>
          <w:lang w:val="pt-PT"/>
        </w:rPr>
        <w:t>n.</w:t>
      </w:r>
      <w:r w:rsidRPr="00465964">
        <w:rPr>
          <w:vertAlign w:val="superscript"/>
          <w:lang w:val="pt-PT"/>
        </w:rPr>
        <w:t>o</w:t>
      </w:r>
      <w:proofErr w:type="spellEnd"/>
      <w:r w:rsidRPr="00465964">
        <w:rPr>
          <w:lang w:val="pt-PT"/>
        </w:rPr>
        <w:t xml:space="preserve"> 1095/2010 em que tenha adotado uma decisão ao abrigo do </w:t>
      </w:r>
      <w:proofErr w:type="spellStart"/>
      <w:r w:rsidRPr="00465964">
        <w:rPr>
          <w:lang w:val="pt-PT"/>
        </w:rPr>
        <w:t>n.</w:t>
      </w:r>
      <w:r w:rsidRPr="00465964">
        <w:rPr>
          <w:vertAlign w:val="superscript"/>
          <w:lang w:val="pt-PT"/>
        </w:rPr>
        <w:t>o</w:t>
      </w:r>
      <w:proofErr w:type="spellEnd"/>
      <w:r w:rsidRPr="00465964">
        <w:rPr>
          <w:lang w:val="pt-PT"/>
        </w:rPr>
        <w:t xml:space="preserve"> 6 do referido artigo dirigida a uma entidade não conforme que presta serviços de criptoativos ou quaisquer informações de entidades que prestam serviços de criptoativos sem a necessária </w:t>
      </w:r>
      <w:r w:rsidRPr="00465964">
        <w:rPr>
          <w:lang w:val="pt-PT"/>
        </w:rPr>
        <w:lastRenderedPageBreak/>
        <w:t>autorização ou registo apresentadas pelas autoridades de supervisão pertinentes de países terceiros.</w:t>
      </w:r>
    </w:p>
    <w:p w14:paraId="782977EE" w14:textId="77777777" w:rsidR="00465964" w:rsidRPr="00465964" w:rsidRDefault="00465964" w:rsidP="00465964">
      <w:pPr>
        <w:rPr>
          <w:lang w:val="pt-PT"/>
        </w:rPr>
      </w:pPr>
      <w:r w:rsidRPr="00465964">
        <w:rPr>
          <w:lang w:val="pt-PT"/>
        </w:rPr>
        <w:t xml:space="preserve">5.   Nos casos referidos no </w:t>
      </w:r>
      <w:proofErr w:type="spellStart"/>
      <w:r w:rsidRPr="00465964">
        <w:rPr>
          <w:lang w:val="pt-PT"/>
        </w:rPr>
        <w:t>n.</w:t>
      </w:r>
      <w:r w:rsidRPr="00465964">
        <w:rPr>
          <w:vertAlign w:val="superscript"/>
          <w:lang w:val="pt-PT"/>
        </w:rPr>
        <w:t>o</w:t>
      </w:r>
      <w:proofErr w:type="spellEnd"/>
      <w:r w:rsidRPr="00465964">
        <w:rPr>
          <w:lang w:val="pt-PT"/>
        </w:rPr>
        <w:t> 4 do presente artigo, a ESMA pode aplicar os poderes de supervisão e investigação pertinentes das autoridades competentes a que se refere o artigo 94.</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1, a entidades não conformes que prestam serviços de criptoativos.</w:t>
      </w:r>
    </w:p>
    <w:p w14:paraId="69EAE5F6" w14:textId="77777777" w:rsidR="00465964" w:rsidRPr="00465964" w:rsidRDefault="00465964" w:rsidP="00465964">
      <w:pPr>
        <w:rPr>
          <w:b/>
          <w:bCs/>
          <w:lang w:val="pt-PT"/>
        </w:rPr>
      </w:pPr>
      <w:r w:rsidRPr="00465964">
        <w:rPr>
          <w:b/>
          <w:bCs/>
          <w:i/>
          <w:iCs/>
          <w:lang w:val="pt-PT"/>
        </w:rPr>
        <w:t>CAPÍTULO 3</w:t>
      </w:r>
    </w:p>
    <w:p w14:paraId="7384FBFC" w14:textId="77777777" w:rsidR="00465964" w:rsidRPr="00465964" w:rsidRDefault="00465964" w:rsidP="00465964">
      <w:pPr>
        <w:rPr>
          <w:b/>
          <w:bCs/>
          <w:lang w:val="pt-PT"/>
        </w:rPr>
      </w:pPr>
      <w:r w:rsidRPr="00465964">
        <w:rPr>
          <w:b/>
          <w:bCs/>
          <w:i/>
          <w:iCs/>
          <w:lang w:val="pt-PT"/>
        </w:rPr>
        <w:t>Sanções administrativas e outras medidas administrativas aplicadas pelas autoridades competentes</w:t>
      </w:r>
    </w:p>
    <w:p w14:paraId="4FC3E8C8" w14:textId="77777777" w:rsidR="00465964" w:rsidRPr="00465964" w:rsidRDefault="00465964" w:rsidP="00465964">
      <w:pPr>
        <w:rPr>
          <w:i/>
          <w:iCs/>
          <w:lang w:val="pt-PT"/>
        </w:rPr>
      </w:pPr>
      <w:r w:rsidRPr="00465964">
        <w:rPr>
          <w:i/>
          <w:iCs/>
          <w:lang w:val="pt-PT"/>
        </w:rPr>
        <w:t>Artigo 111.</w:t>
      </w:r>
      <w:r w:rsidRPr="00465964">
        <w:rPr>
          <w:i/>
          <w:iCs/>
          <w:vertAlign w:val="superscript"/>
          <w:lang w:val="pt-PT"/>
        </w:rPr>
        <w:t>o</w:t>
      </w:r>
    </w:p>
    <w:p w14:paraId="29C632C6" w14:textId="77777777" w:rsidR="00465964" w:rsidRPr="00465964" w:rsidRDefault="00465964" w:rsidP="00465964">
      <w:pPr>
        <w:rPr>
          <w:b/>
          <w:bCs/>
          <w:lang w:val="pt-PT"/>
        </w:rPr>
      </w:pPr>
      <w:r w:rsidRPr="00465964">
        <w:rPr>
          <w:b/>
          <w:bCs/>
          <w:lang w:val="pt-PT"/>
        </w:rPr>
        <w:t>Sanções administrativas e outras medidas administrativas</w:t>
      </w:r>
    </w:p>
    <w:p w14:paraId="3396A1E8" w14:textId="77777777" w:rsidR="00465964" w:rsidRPr="00465964" w:rsidRDefault="00465964" w:rsidP="00465964">
      <w:pPr>
        <w:rPr>
          <w:lang w:val="pt-PT"/>
        </w:rPr>
      </w:pPr>
      <w:r w:rsidRPr="00465964">
        <w:rPr>
          <w:lang w:val="pt-PT"/>
        </w:rPr>
        <w:t>1.   Sem prejuízo de eventuais sanções penais e sem prejuízo dos poderes de supervisão e de investigação das autoridades competentes previstos no artigo 94.</w:t>
      </w:r>
      <w:r w:rsidRPr="00465964">
        <w:rPr>
          <w:vertAlign w:val="superscript"/>
          <w:lang w:val="pt-PT"/>
        </w:rPr>
        <w:t>o</w:t>
      </w:r>
      <w:r w:rsidRPr="00465964">
        <w:rPr>
          <w:lang w:val="pt-PT"/>
        </w:rPr>
        <w:t>, os Estados-Membros, em conformidade com o direito nacional, atribuem às autoridades competentes os poderes para aplicarem sanções e outras medidas administrativas adequadas, pelo menos, no caso das seguintes infrações:</w:t>
      </w:r>
    </w:p>
    <w:tbl>
      <w:tblPr>
        <w:tblW w:w="5000" w:type="pct"/>
        <w:tblCellMar>
          <w:left w:w="0" w:type="dxa"/>
          <w:right w:w="0" w:type="dxa"/>
        </w:tblCellMar>
        <w:tblLook w:val="04A0" w:firstRow="1" w:lastRow="0" w:firstColumn="1" w:lastColumn="0" w:noHBand="0" w:noVBand="1"/>
      </w:tblPr>
      <w:tblGrid>
        <w:gridCol w:w="532"/>
        <w:gridCol w:w="8494"/>
      </w:tblGrid>
      <w:tr w:rsidR="00465964" w:rsidRPr="00465964" w14:paraId="4AA99CF0" w14:textId="77777777" w:rsidTr="00465964">
        <w:tc>
          <w:tcPr>
            <w:tcW w:w="0" w:type="auto"/>
            <w:shd w:val="clear" w:color="auto" w:fill="auto"/>
            <w:hideMark/>
          </w:tcPr>
          <w:p w14:paraId="34CE222A" w14:textId="77777777" w:rsidR="00465964" w:rsidRPr="00465964" w:rsidRDefault="00465964" w:rsidP="00465964">
            <w:r w:rsidRPr="00465964">
              <w:t>a)</w:t>
            </w:r>
          </w:p>
        </w:tc>
        <w:tc>
          <w:tcPr>
            <w:tcW w:w="0" w:type="auto"/>
            <w:shd w:val="clear" w:color="auto" w:fill="auto"/>
            <w:hideMark/>
          </w:tcPr>
          <w:p w14:paraId="630179C6" w14:textId="77777777" w:rsidR="00465964" w:rsidRPr="00465964" w:rsidRDefault="00465964" w:rsidP="00465964">
            <w:pPr>
              <w:rPr>
                <w:lang w:val="pt-PT"/>
              </w:rPr>
            </w:pPr>
            <w:r w:rsidRPr="00465964">
              <w:rPr>
                <w:lang w:val="pt-PT"/>
              </w:rPr>
              <w:t>Infrações aos artigos 4.</w:t>
            </w:r>
            <w:r w:rsidRPr="00465964">
              <w:rPr>
                <w:vertAlign w:val="superscript"/>
                <w:lang w:val="pt-PT"/>
              </w:rPr>
              <w:t>o</w:t>
            </w:r>
            <w:r w:rsidRPr="00465964">
              <w:rPr>
                <w:lang w:val="pt-PT"/>
              </w:rPr>
              <w:t> a 14.</w:t>
            </w:r>
            <w:r w:rsidRPr="00465964">
              <w:rPr>
                <w:vertAlign w:val="superscript"/>
                <w:lang w:val="pt-PT"/>
              </w:rPr>
              <w:t>o</w:t>
            </w:r>
            <w:r w:rsidRPr="00465964">
              <w:rPr>
                <w:lang w:val="pt-PT"/>
              </w:rPr>
              <w:t>;</w:t>
            </w:r>
          </w:p>
        </w:tc>
      </w:tr>
    </w:tbl>
    <w:p w14:paraId="67F66E43"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8"/>
        <w:gridCol w:w="8838"/>
      </w:tblGrid>
      <w:tr w:rsidR="00465964" w:rsidRPr="00465964" w14:paraId="46B66CCB" w14:textId="77777777" w:rsidTr="00465964">
        <w:tc>
          <w:tcPr>
            <w:tcW w:w="0" w:type="auto"/>
            <w:shd w:val="clear" w:color="auto" w:fill="auto"/>
            <w:hideMark/>
          </w:tcPr>
          <w:p w14:paraId="73F100B0" w14:textId="77777777" w:rsidR="00465964" w:rsidRPr="00465964" w:rsidRDefault="00465964" w:rsidP="00465964">
            <w:r w:rsidRPr="00465964">
              <w:t>b)</w:t>
            </w:r>
          </w:p>
        </w:tc>
        <w:tc>
          <w:tcPr>
            <w:tcW w:w="0" w:type="auto"/>
            <w:shd w:val="clear" w:color="auto" w:fill="auto"/>
            <w:hideMark/>
          </w:tcPr>
          <w:p w14:paraId="7FB465E8" w14:textId="77777777" w:rsidR="00465964" w:rsidRPr="00465964" w:rsidRDefault="00465964" w:rsidP="00465964">
            <w:pPr>
              <w:rPr>
                <w:lang w:val="pt-PT"/>
              </w:rPr>
            </w:pPr>
            <w:r w:rsidRPr="00465964">
              <w:rPr>
                <w:lang w:val="pt-PT"/>
              </w:rPr>
              <w:t>Infrações aos artigos 16.</w:t>
            </w:r>
            <w:r w:rsidRPr="00465964">
              <w:rPr>
                <w:vertAlign w:val="superscript"/>
                <w:lang w:val="pt-PT"/>
              </w:rPr>
              <w:t>o</w:t>
            </w:r>
            <w:r w:rsidRPr="00465964">
              <w:rPr>
                <w:lang w:val="pt-PT"/>
              </w:rPr>
              <w:t>, 17.</w:t>
            </w:r>
            <w:r w:rsidRPr="00465964">
              <w:rPr>
                <w:vertAlign w:val="superscript"/>
                <w:lang w:val="pt-PT"/>
              </w:rPr>
              <w:t>o</w:t>
            </w:r>
            <w:r w:rsidRPr="00465964">
              <w:rPr>
                <w:lang w:val="pt-PT"/>
              </w:rPr>
              <w:t>, 19.</w:t>
            </w:r>
            <w:r w:rsidRPr="00465964">
              <w:rPr>
                <w:vertAlign w:val="superscript"/>
                <w:lang w:val="pt-PT"/>
              </w:rPr>
              <w:t>o</w:t>
            </w:r>
            <w:r w:rsidRPr="00465964">
              <w:rPr>
                <w:lang w:val="pt-PT"/>
              </w:rPr>
              <w:t>, 22.</w:t>
            </w:r>
            <w:r w:rsidRPr="00465964">
              <w:rPr>
                <w:vertAlign w:val="superscript"/>
                <w:lang w:val="pt-PT"/>
              </w:rPr>
              <w:t>o</w:t>
            </w:r>
            <w:r w:rsidRPr="00465964">
              <w:rPr>
                <w:lang w:val="pt-PT"/>
              </w:rPr>
              <w:t>, 23.</w:t>
            </w:r>
            <w:r w:rsidRPr="00465964">
              <w:rPr>
                <w:vertAlign w:val="superscript"/>
                <w:lang w:val="pt-PT"/>
              </w:rPr>
              <w:t>o</w:t>
            </w:r>
            <w:r w:rsidRPr="00465964">
              <w:rPr>
                <w:lang w:val="pt-PT"/>
              </w:rPr>
              <w:t>, 25.</w:t>
            </w:r>
            <w:r w:rsidRPr="00465964">
              <w:rPr>
                <w:vertAlign w:val="superscript"/>
                <w:lang w:val="pt-PT"/>
              </w:rPr>
              <w:t>o</w:t>
            </w:r>
            <w:r w:rsidRPr="00465964">
              <w:rPr>
                <w:lang w:val="pt-PT"/>
              </w:rPr>
              <w:t>, aos artigos 27.</w:t>
            </w:r>
            <w:r w:rsidRPr="00465964">
              <w:rPr>
                <w:vertAlign w:val="superscript"/>
                <w:lang w:val="pt-PT"/>
              </w:rPr>
              <w:t>o</w:t>
            </w:r>
            <w:r w:rsidRPr="00465964">
              <w:rPr>
                <w:lang w:val="pt-PT"/>
              </w:rPr>
              <w:t> a 41.</w:t>
            </w:r>
            <w:r w:rsidRPr="00465964">
              <w:rPr>
                <w:vertAlign w:val="superscript"/>
                <w:lang w:val="pt-PT"/>
              </w:rPr>
              <w:t>o</w:t>
            </w:r>
            <w:r w:rsidRPr="00465964">
              <w:rPr>
                <w:lang w:val="pt-PT"/>
              </w:rPr>
              <w:t> e aos artigos 46.</w:t>
            </w:r>
            <w:r w:rsidRPr="00465964">
              <w:rPr>
                <w:vertAlign w:val="superscript"/>
                <w:lang w:val="pt-PT"/>
              </w:rPr>
              <w:t>o</w:t>
            </w:r>
            <w:r w:rsidRPr="00465964">
              <w:rPr>
                <w:lang w:val="pt-PT"/>
              </w:rPr>
              <w:t> e 47.</w:t>
            </w:r>
            <w:r w:rsidRPr="00465964">
              <w:rPr>
                <w:vertAlign w:val="superscript"/>
                <w:lang w:val="pt-PT"/>
              </w:rPr>
              <w:t>o</w:t>
            </w:r>
            <w:r w:rsidRPr="00465964">
              <w:rPr>
                <w:lang w:val="pt-PT"/>
              </w:rPr>
              <w:t>;</w:t>
            </w:r>
          </w:p>
        </w:tc>
      </w:tr>
    </w:tbl>
    <w:p w14:paraId="5F7876CB"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275"/>
        <w:gridCol w:w="8751"/>
      </w:tblGrid>
      <w:tr w:rsidR="00465964" w:rsidRPr="00465964" w14:paraId="5479D655" w14:textId="77777777" w:rsidTr="00465964">
        <w:tc>
          <w:tcPr>
            <w:tcW w:w="0" w:type="auto"/>
            <w:shd w:val="clear" w:color="auto" w:fill="auto"/>
            <w:hideMark/>
          </w:tcPr>
          <w:p w14:paraId="2B723BCA" w14:textId="77777777" w:rsidR="00465964" w:rsidRPr="00465964" w:rsidRDefault="00465964" w:rsidP="00465964">
            <w:r w:rsidRPr="00465964">
              <w:t>c)</w:t>
            </w:r>
          </w:p>
        </w:tc>
        <w:tc>
          <w:tcPr>
            <w:tcW w:w="0" w:type="auto"/>
            <w:shd w:val="clear" w:color="auto" w:fill="auto"/>
            <w:hideMark/>
          </w:tcPr>
          <w:p w14:paraId="586C7964" w14:textId="77777777" w:rsidR="00465964" w:rsidRPr="00465964" w:rsidRDefault="00465964" w:rsidP="00465964">
            <w:pPr>
              <w:rPr>
                <w:lang w:val="pt-PT"/>
              </w:rPr>
            </w:pPr>
            <w:r w:rsidRPr="00465964">
              <w:rPr>
                <w:lang w:val="pt-PT"/>
              </w:rPr>
              <w:t>Infrações aos artigos 48.</w:t>
            </w:r>
            <w:r w:rsidRPr="00465964">
              <w:rPr>
                <w:vertAlign w:val="superscript"/>
                <w:lang w:val="pt-PT"/>
              </w:rPr>
              <w:t>o</w:t>
            </w:r>
            <w:r w:rsidRPr="00465964">
              <w:rPr>
                <w:lang w:val="pt-PT"/>
              </w:rPr>
              <w:t> a 51.</w:t>
            </w:r>
            <w:r w:rsidRPr="00465964">
              <w:rPr>
                <w:vertAlign w:val="superscript"/>
                <w:lang w:val="pt-PT"/>
              </w:rPr>
              <w:t>o</w:t>
            </w:r>
            <w:r w:rsidRPr="00465964">
              <w:rPr>
                <w:lang w:val="pt-PT"/>
              </w:rPr>
              <w:t> e aos artigos 53.</w:t>
            </w:r>
            <w:r w:rsidRPr="00465964">
              <w:rPr>
                <w:vertAlign w:val="superscript"/>
                <w:lang w:val="pt-PT"/>
              </w:rPr>
              <w:t>o</w:t>
            </w:r>
            <w:r w:rsidRPr="00465964">
              <w:rPr>
                <w:lang w:val="pt-PT"/>
              </w:rPr>
              <w:t>, 54.</w:t>
            </w:r>
            <w:r w:rsidRPr="00465964">
              <w:rPr>
                <w:vertAlign w:val="superscript"/>
                <w:lang w:val="pt-PT"/>
              </w:rPr>
              <w:t>o</w:t>
            </w:r>
            <w:r w:rsidRPr="00465964">
              <w:rPr>
                <w:lang w:val="pt-PT"/>
              </w:rPr>
              <w:t> e 55.</w:t>
            </w:r>
            <w:r w:rsidRPr="00465964">
              <w:rPr>
                <w:vertAlign w:val="superscript"/>
                <w:lang w:val="pt-PT"/>
              </w:rPr>
              <w:t>o</w:t>
            </w:r>
            <w:r w:rsidRPr="00465964">
              <w:rPr>
                <w:lang w:val="pt-PT"/>
              </w:rPr>
              <w:t>;</w:t>
            </w:r>
          </w:p>
        </w:tc>
      </w:tr>
    </w:tbl>
    <w:p w14:paraId="61204F06"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287"/>
        <w:gridCol w:w="8739"/>
      </w:tblGrid>
      <w:tr w:rsidR="00465964" w:rsidRPr="00465964" w14:paraId="76FED3C8" w14:textId="77777777" w:rsidTr="00465964">
        <w:tc>
          <w:tcPr>
            <w:tcW w:w="0" w:type="auto"/>
            <w:shd w:val="clear" w:color="auto" w:fill="auto"/>
            <w:hideMark/>
          </w:tcPr>
          <w:p w14:paraId="2F847258" w14:textId="77777777" w:rsidR="00465964" w:rsidRPr="00465964" w:rsidRDefault="00465964" w:rsidP="00465964">
            <w:r w:rsidRPr="00465964">
              <w:t>d)</w:t>
            </w:r>
          </w:p>
        </w:tc>
        <w:tc>
          <w:tcPr>
            <w:tcW w:w="0" w:type="auto"/>
            <w:shd w:val="clear" w:color="auto" w:fill="auto"/>
            <w:hideMark/>
          </w:tcPr>
          <w:p w14:paraId="072379A8" w14:textId="77777777" w:rsidR="00465964" w:rsidRPr="00465964" w:rsidRDefault="00465964" w:rsidP="00465964">
            <w:pPr>
              <w:rPr>
                <w:lang w:val="pt-PT"/>
              </w:rPr>
            </w:pPr>
            <w:r w:rsidRPr="00465964">
              <w:rPr>
                <w:lang w:val="pt-PT"/>
              </w:rPr>
              <w:t>Infrações aos artigos 59.</w:t>
            </w:r>
            <w:r w:rsidRPr="00465964">
              <w:rPr>
                <w:vertAlign w:val="superscript"/>
                <w:lang w:val="pt-PT"/>
              </w:rPr>
              <w:t>o</w:t>
            </w:r>
            <w:r w:rsidRPr="00465964">
              <w:rPr>
                <w:lang w:val="pt-PT"/>
              </w:rPr>
              <w:t>, 60.</w:t>
            </w:r>
            <w:r w:rsidRPr="00465964">
              <w:rPr>
                <w:vertAlign w:val="superscript"/>
                <w:lang w:val="pt-PT"/>
              </w:rPr>
              <w:t>o</w:t>
            </w:r>
            <w:r w:rsidRPr="00465964">
              <w:rPr>
                <w:lang w:val="pt-PT"/>
              </w:rPr>
              <w:t> e 64.</w:t>
            </w:r>
            <w:r w:rsidRPr="00465964">
              <w:rPr>
                <w:vertAlign w:val="superscript"/>
                <w:lang w:val="pt-PT"/>
              </w:rPr>
              <w:t>o</w:t>
            </w:r>
            <w:r w:rsidRPr="00465964">
              <w:rPr>
                <w:lang w:val="pt-PT"/>
              </w:rPr>
              <w:t> e aos artigos 65.</w:t>
            </w:r>
            <w:r w:rsidRPr="00465964">
              <w:rPr>
                <w:vertAlign w:val="superscript"/>
                <w:lang w:val="pt-PT"/>
              </w:rPr>
              <w:t>o</w:t>
            </w:r>
            <w:r w:rsidRPr="00465964">
              <w:rPr>
                <w:lang w:val="pt-PT"/>
              </w:rPr>
              <w:t> a 83.</w:t>
            </w:r>
            <w:r w:rsidRPr="00465964">
              <w:rPr>
                <w:vertAlign w:val="superscript"/>
                <w:lang w:val="pt-PT"/>
              </w:rPr>
              <w:t>o</w:t>
            </w:r>
            <w:r w:rsidRPr="00465964">
              <w:rPr>
                <w:lang w:val="pt-PT"/>
              </w:rPr>
              <w:t>;</w:t>
            </w:r>
          </w:p>
        </w:tc>
      </w:tr>
    </w:tbl>
    <w:p w14:paraId="290F90E0"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510"/>
        <w:gridCol w:w="8516"/>
      </w:tblGrid>
      <w:tr w:rsidR="00465964" w:rsidRPr="00465964" w14:paraId="455AFC3C" w14:textId="77777777" w:rsidTr="00465964">
        <w:tc>
          <w:tcPr>
            <w:tcW w:w="0" w:type="auto"/>
            <w:shd w:val="clear" w:color="auto" w:fill="auto"/>
            <w:hideMark/>
          </w:tcPr>
          <w:p w14:paraId="5535A688" w14:textId="77777777" w:rsidR="00465964" w:rsidRPr="00465964" w:rsidRDefault="00465964" w:rsidP="00465964">
            <w:r w:rsidRPr="00465964">
              <w:t>e)</w:t>
            </w:r>
          </w:p>
        </w:tc>
        <w:tc>
          <w:tcPr>
            <w:tcW w:w="0" w:type="auto"/>
            <w:shd w:val="clear" w:color="auto" w:fill="auto"/>
            <w:hideMark/>
          </w:tcPr>
          <w:p w14:paraId="0642A25A" w14:textId="77777777" w:rsidR="00465964" w:rsidRPr="00465964" w:rsidRDefault="00465964" w:rsidP="00465964">
            <w:pPr>
              <w:rPr>
                <w:lang w:val="pt-PT"/>
              </w:rPr>
            </w:pPr>
            <w:r w:rsidRPr="00465964">
              <w:rPr>
                <w:lang w:val="pt-PT"/>
              </w:rPr>
              <w:t>Infrações aos artigos 88.</w:t>
            </w:r>
            <w:r w:rsidRPr="00465964">
              <w:rPr>
                <w:vertAlign w:val="superscript"/>
                <w:lang w:val="pt-PT"/>
              </w:rPr>
              <w:t>o</w:t>
            </w:r>
            <w:r w:rsidRPr="00465964">
              <w:rPr>
                <w:lang w:val="pt-PT"/>
              </w:rPr>
              <w:t> a 92.</w:t>
            </w:r>
            <w:r w:rsidRPr="00465964">
              <w:rPr>
                <w:vertAlign w:val="superscript"/>
                <w:lang w:val="pt-PT"/>
              </w:rPr>
              <w:t>o</w:t>
            </w:r>
            <w:r w:rsidRPr="00465964">
              <w:rPr>
                <w:lang w:val="pt-PT"/>
              </w:rPr>
              <w:t>;</w:t>
            </w:r>
          </w:p>
        </w:tc>
      </w:tr>
    </w:tbl>
    <w:p w14:paraId="4E8B63B6"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36"/>
        <w:gridCol w:w="8890"/>
      </w:tblGrid>
      <w:tr w:rsidR="00465964" w:rsidRPr="00465964" w14:paraId="0B62D5FD" w14:textId="77777777" w:rsidTr="00465964">
        <w:tc>
          <w:tcPr>
            <w:tcW w:w="0" w:type="auto"/>
            <w:shd w:val="clear" w:color="auto" w:fill="auto"/>
            <w:hideMark/>
          </w:tcPr>
          <w:p w14:paraId="547D15C2" w14:textId="77777777" w:rsidR="00465964" w:rsidRPr="00465964" w:rsidRDefault="00465964" w:rsidP="00465964">
            <w:r w:rsidRPr="00465964">
              <w:t>f)</w:t>
            </w:r>
          </w:p>
        </w:tc>
        <w:tc>
          <w:tcPr>
            <w:tcW w:w="0" w:type="auto"/>
            <w:shd w:val="clear" w:color="auto" w:fill="auto"/>
            <w:hideMark/>
          </w:tcPr>
          <w:p w14:paraId="5DB888BE" w14:textId="77777777" w:rsidR="00465964" w:rsidRPr="00465964" w:rsidRDefault="00465964" w:rsidP="00465964">
            <w:pPr>
              <w:rPr>
                <w:lang w:val="pt-PT"/>
              </w:rPr>
            </w:pPr>
            <w:r w:rsidRPr="00465964">
              <w:rPr>
                <w:lang w:val="pt-PT"/>
              </w:rPr>
              <w:t>Falta de cooperação ou incumprimento no âmbito de uma investigação, inspeção ou pedido conforme referido no artigo 94.</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3.</w:t>
            </w:r>
          </w:p>
        </w:tc>
      </w:tr>
    </w:tbl>
    <w:p w14:paraId="69B81324" w14:textId="77777777" w:rsidR="00465964" w:rsidRPr="00465964" w:rsidRDefault="00465964" w:rsidP="00465964">
      <w:pPr>
        <w:rPr>
          <w:lang w:val="pt-PT"/>
        </w:rPr>
      </w:pPr>
      <w:r w:rsidRPr="00465964">
        <w:rPr>
          <w:lang w:val="pt-PT"/>
        </w:rPr>
        <w:t>Os Estados-Membros podem decidir não estabelecer regras em matéria das sanções administrativas caso as infrações a que se refere o primeiro parágrafo, alíneas a), b), c), d) ou e), já estejam sujeitas a sanções penais no respetivo direito nacional até 30 de junho de 2024. Nesse caso, os Estados-Membros comunicam pormenorizadamente à Comissão, à ESMA e à EBA as disposições pertinentes do seu direito penal.</w:t>
      </w:r>
    </w:p>
    <w:p w14:paraId="55C329D0" w14:textId="77777777" w:rsidR="00465964" w:rsidRPr="00465964" w:rsidRDefault="00465964" w:rsidP="00465964">
      <w:pPr>
        <w:rPr>
          <w:lang w:val="pt-PT"/>
        </w:rPr>
      </w:pPr>
      <w:r w:rsidRPr="00465964">
        <w:rPr>
          <w:lang w:val="pt-PT"/>
        </w:rPr>
        <w:t>Até 30 de junho de 2024, os Estados-Membros comunicam pormenorizadamente à Comissão, à EBA e à ESMA as regras a que se referem o primeiro e o segundo parágrafos. Os Estados-Membros notificam também sem demora a Comissão, a ESMA e a EBA de qualquer alteração subsequente das referidas regras.</w:t>
      </w:r>
    </w:p>
    <w:p w14:paraId="3B27F352" w14:textId="77777777" w:rsidR="00465964" w:rsidRPr="00465964" w:rsidRDefault="00465964" w:rsidP="00465964">
      <w:pPr>
        <w:rPr>
          <w:lang w:val="pt-PT"/>
        </w:rPr>
      </w:pPr>
      <w:r w:rsidRPr="00465964">
        <w:rPr>
          <w:lang w:val="pt-PT"/>
        </w:rPr>
        <w:t xml:space="preserve">2.   Os Estados-Membros asseguram, nos termos do seu direito nacional, que as autoridades competentes estão habilitadas a aplicar pelo menos as seguintes sanções administrativas e outras medidas administrativas relativamente às infrações referidas no </w:t>
      </w:r>
      <w:proofErr w:type="spellStart"/>
      <w:r w:rsidRPr="00465964">
        <w:rPr>
          <w:lang w:val="pt-PT"/>
        </w:rPr>
        <w:t>n.</w:t>
      </w:r>
      <w:r w:rsidRPr="00465964">
        <w:rPr>
          <w:vertAlign w:val="superscript"/>
          <w:lang w:val="pt-PT"/>
        </w:rPr>
        <w:t>o</w:t>
      </w:r>
      <w:proofErr w:type="spellEnd"/>
      <w:r w:rsidRPr="00465964">
        <w:rPr>
          <w:lang w:val="pt-PT"/>
        </w:rPr>
        <w:t> 1, primeiro parágrafo, alíneas a) a d):</w:t>
      </w:r>
    </w:p>
    <w:tbl>
      <w:tblPr>
        <w:tblW w:w="5000" w:type="pct"/>
        <w:tblCellMar>
          <w:left w:w="0" w:type="dxa"/>
          <w:right w:w="0" w:type="dxa"/>
        </w:tblCellMar>
        <w:tblLook w:val="04A0" w:firstRow="1" w:lastRow="0" w:firstColumn="1" w:lastColumn="0" w:noHBand="0" w:noVBand="1"/>
      </w:tblPr>
      <w:tblGrid>
        <w:gridCol w:w="182"/>
        <w:gridCol w:w="8844"/>
      </w:tblGrid>
      <w:tr w:rsidR="00465964" w:rsidRPr="00465964" w14:paraId="3C738FBE" w14:textId="77777777" w:rsidTr="00465964">
        <w:tc>
          <w:tcPr>
            <w:tcW w:w="0" w:type="auto"/>
            <w:shd w:val="clear" w:color="auto" w:fill="auto"/>
            <w:hideMark/>
          </w:tcPr>
          <w:p w14:paraId="06AE53B4" w14:textId="77777777" w:rsidR="00465964" w:rsidRPr="00465964" w:rsidRDefault="00465964" w:rsidP="00465964">
            <w:r w:rsidRPr="00465964">
              <w:t>a)</w:t>
            </w:r>
          </w:p>
        </w:tc>
        <w:tc>
          <w:tcPr>
            <w:tcW w:w="0" w:type="auto"/>
            <w:shd w:val="clear" w:color="auto" w:fill="auto"/>
            <w:hideMark/>
          </w:tcPr>
          <w:p w14:paraId="68CDDBBB" w14:textId="77777777" w:rsidR="00465964" w:rsidRPr="00465964" w:rsidRDefault="00465964" w:rsidP="00465964">
            <w:pPr>
              <w:rPr>
                <w:lang w:val="pt-PT"/>
              </w:rPr>
            </w:pPr>
            <w:r w:rsidRPr="00465964">
              <w:rPr>
                <w:lang w:val="pt-PT"/>
              </w:rPr>
              <w:t>Uma declaração pública que identifique a pessoa singular ou coletiva responsável e a natureza da infração;</w:t>
            </w:r>
          </w:p>
        </w:tc>
      </w:tr>
    </w:tbl>
    <w:p w14:paraId="385E3AB3"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8"/>
        <w:gridCol w:w="8838"/>
      </w:tblGrid>
      <w:tr w:rsidR="00465964" w:rsidRPr="00465964" w14:paraId="1C5592B5" w14:textId="77777777" w:rsidTr="00465964">
        <w:tc>
          <w:tcPr>
            <w:tcW w:w="0" w:type="auto"/>
            <w:shd w:val="clear" w:color="auto" w:fill="auto"/>
            <w:hideMark/>
          </w:tcPr>
          <w:p w14:paraId="11FEB43B" w14:textId="77777777" w:rsidR="00465964" w:rsidRPr="00465964" w:rsidRDefault="00465964" w:rsidP="00465964">
            <w:r w:rsidRPr="00465964">
              <w:lastRenderedPageBreak/>
              <w:t>b)</w:t>
            </w:r>
          </w:p>
        </w:tc>
        <w:tc>
          <w:tcPr>
            <w:tcW w:w="0" w:type="auto"/>
            <w:shd w:val="clear" w:color="auto" w:fill="auto"/>
            <w:hideMark/>
          </w:tcPr>
          <w:p w14:paraId="7354EEAF" w14:textId="77777777" w:rsidR="00465964" w:rsidRPr="00465964" w:rsidRDefault="00465964" w:rsidP="00465964">
            <w:pPr>
              <w:rPr>
                <w:lang w:val="pt-PT"/>
              </w:rPr>
            </w:pPr>
            <w:r w:rsidRPr="00465964">
              <w:rPr>
                <w:lang w:val="pt-PT"/>
              </w:rPr>
              <w:t>Uma decisão que exija que a pessoa singular ou coletiva responsável ponha termo à conduta que constitui a infração e se abstenha de a reiterar;</w:t>
            </w:r>
          </w:p>
        </w:tc>
      </w:tr>
    </w:tbl>
    <w:p w14:paraId="19E9E939"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0"/>
        <w:gridCol w:w="8846"/>
      </w:tblGrid>
      <w:tr w:rsidR="00465964" w:rsidRPr="00465964" w14:paraId="37E7C632" w14:textId="77777777" w:rsidTr="00465964">
        <w:tc>
          <w:tcPr>
            <w:tcW w:w="0" w:type="auto"/>
            <w:shd w:val="clear" w:color="auto" w:fill="auto"/>
            <w:hideMark/>
          </w:tcPr>
          <w:p w14:paraId="3DA4DD6A" w14:textId="77777777" w:rsidR="00465964" w:rsidRPr="00465964" w:rsidRDefault="00465964" w:rsidP="00465964">
            <w:r w:rsidRPr="00465964">
              <w:t>c)</w:t>
            </w:r>
          </w:p>
        </w:tc>
        <w:tc>
          <w:tcPr>
            <w:tcW w:w="0" w:type="auto"/>
            <w:shd w:val="clear" w:color="auto" w:fill="auto"/>
            <w:hideMark/>
          </w:tcPr>
          <w:p w14:paraId="78CEFDB3" w14:textId="77777777" w:rsidR="00465964" w:rsidRPr="00465964" w:rsidRDefault="00465964" w:rsidP="00465964">
            <w:pPr>
              <w:rPr>
                <w:lang w:val="pt-PT"/>
              </w:rPr>
            </w:pPr>
            <w:r w:rsidRPr="00465964">
              <w:rPr>
                <w:lang w:val="pt-PT"/>
              </w:rPr>
              <w:t xml:space="preserve">Coimas máximas correspondentes pelo menos ao dobro do montante dos lucros obtidos ou das perdas evitadas com a infração, quando esse montante puder ser determinado, mesmo que ultrapasse os montantes máximos estabelecidos na alínea d) do presente número, no que se refere a pessoas singulares, ou no </w:t>
            </w:r>
            <w:proofErr w:type="spellStart"/>
            <w:r w:rsidRPr="00465964">
              <w:rPr>
                <w:lang w:val="pt-PT"/>
              </w:rPr>
              <w:t>n.</w:t>
            </w:r>
            <w:r w:rsidRPr="00465964">
              <w:rPr>
                <w:vertAlign w:val="superscript"/>
                <w:lang w:val="pt-PT"/>
              </w:rPr>
              <w:t>o</w:t>
            </w:r>
            <w:proofErr w:type="spellEnd"/>
            <w:r w:rsidRPr="00465964">
              <w:rPr>
                <w:lang w:val="pt-PT"/>
              </w:rPr>
              <w:t> 3, no que se refere a pessoas coletivas;</w:t>
            </w:r>
          </w:p>
        </w:tc>
      </w:tr>
    </w:tbl>
    <w:p w14:paraId="51AB43E8"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8"/>
        <w:gridCol w:w="8838"/>
      </w:tblGrid>
      <w:tr w:rsidR="00465964" w:rsidRPr="00465964" w14:paraId="1FB09BF2" w14:textId="77777777" w:rsidTr="00465964">
        <w:tc>
          <w:tcPr>
            <w:tcW w:w="0" w:type="auto"/>
            <w:shd w:val="clear" w:color="auto" w:fill="auto"/>
            <w:hideMark/>
          </w:tcPr>
          <w:p w14:paraId="3258E9A8" w14:textId="77777777" w:rsidR="00465964" w:rsidRPr="00465964" w:rsidRDefault="00465964" w:rsidP="00465964">
            <w:r w:rsidRPr="00465964">
              <w:t>d)</w:t>
            </w:r>
          </w:p>
        </w:tc>
        <w:tc>
          <w:tcPr>
            <w:tcW w:w="0" w:type="auto"/>
            <w:shd w:val="clear" w:color="auto" w:fill="auto"/>
            <w:hideMark/>
          </w:tcPr>
          <w:p w14:paraId="1808ABB9" w14:textId="77777777" w:rsidR="00465964" w:rsidRPr="00465964" w:rsidRDefault="00465964" w:rsidP="00465964">
            <w:pPr>
              <w:rPr>
                <w:lang w:val="pt-PT"/>
              </w:rPr>
            </w:pPr>
            <w:r w:rsidRPr="00465964">
              <w:rPr>
                <w:lang w:val="pt-PT"/>
              </w:rPr>
              <w:t>No caso de uma pessoa singular, coimas máximas de pelo menos 700 000 EUR ou, nos Estados-Membros cuja moeda oficial não seja o euro, o contravalor na moeda oficial em 29 de junho de 2023.</w:t>
            </w:r>
          </w:p>
        </w:tc>
      </w:tr>
    </w:tbl>
    <w:p w14:paraId="555B4E2E" w14:textId="77777777" w:rsidR="00465964" w:rsidRPr="00465964" w:rsidRDefault="00465964" w:rsidP="00465964">
      <w:pPr>
        <w:rPr>
          <w:lang w:val="pt-PT"/>
        </w:rPr>
      </w:pPr>
      <w:r w:rsidRPr="00465964">
        <w:rPr>
          <w:lang w:val="pt-PT"/>
        </w:rPr>
        <w:t>3.   Os Estados-Membros asseguram, nos termos do seu direito nacional, que as autoridades competentes tenham poderes para impor, no que se refere a infrações cometidas por pessoas coletivas, coimas máximas de, pelo menos:</w:t>
      </w:r>
    </w:p>
    <w:tbl>
      <w:tblPr>
        <w:tblW w:w="5000" w:type="pct"/>
        <w:tblCellMar>
          <w:left w:w="0" w:type="dxa"/>
          <w:right w:w="0" w:type="dxa"/>
        </w:tblCellMar>
        <w:tblLook w:val="04A0" w:firstRow="1" w:lastRow="0" w:firstColumn="1" w:lastColumn="0" w:noHBand="0" w:noVBand="1"/>
      </w:tblPr>
      <w:tblGrid>
        <w:gridCol w:w="182"/>
        <w:gridCol w:w="8844"/>
      </w:tblGrid>
      <w:tr w:rsidR="00465964" w:rsidRPr="00465964" w14:paraId="5B6050A4" w14:textId="77777777" w:rsidTr="00465964">
        <w:tc>
          <w:tcPr>
            <w:tcW w:w="0" w:type="auto"/>
            <w:shd w:val="clear" w:color="auto" w:fill="auto"/>
            <w:hideMark/>
          </w:tcPr>
          <w:p w14:paraId="2AD32E8D" w14:textId="77777777" w:rsidR="00465964" w:rsidRPr="00465964" w:rsidRDefault="00465964" w:rsidP="00465964">
            <w:r w:rsidRPr="00465964">
              <w:t>a)</w:t>
            </w:r>
          </w:p>
        </w:tc>
        <w:tc>
          <w:tcPr>
            <w:tcW w:w="0" w:type="auto"/>
            <w:shd w:val="clear" w:color="auto" w:fill="auto"/>
            <w:hideMark/>
          </w:tcPr>
          <w:p w14:paraId="02ADAA06" w14:textId="77777777" w:rsidR="00465964" w:rsidRPr="00465964" w:rsidRDefault="00465964" w:rsidP="00465964">
            <w:pPr>
              <w:rPr>
                <w:lang w:val="pt-PT"/>
              </w:rPr>
            </w:pPr>
            <w:r w:rsidRPr="00465964">
              <w:rPr>
                <w:lang w:val="pt-PT"/>
              </w:rPr>
              <w:t xml:space="preserve">5 000 000 EUR ou, nos Estados-Membros cuja moeda oficial não seja o euro, o contravalor na moeda oficial em 29 de junho de 2023, relativamente às infrações referidas no </w:t>
            </w:r>
            <w:proofErr w:type="spellStart"/>
            <w:r w:rsidRPr="00465964">
              <w:rPr>
                <w:lang w:val="pt-PT"/>
              </w:rPr>
              <w:t>n.</w:t>
            </w:r>
            <w:r w:rsidRPr="00465964">
              <w:rPr>
                <w:vertAlign w:val="superscript"/>
                <w:lang w:val="pt-PT"/>
              </w:rPr>
              <w:t>o</w:t>
            </w:r>
            <w:proofErr w:type="spellEnd"/>
            <w:r w:rsidRPr="00465964">
              <w:rPr>
                <w:lang w:val="pt-PT"/>
              </w:rPr>
              <w:t> 1, primeiro parágrafo, alíneas a) a d);</w:t>
            </w:r>
          </w:p>
        </w:tc>
      </w:tr>
    </w:tbl>
    <w:p w14:paraId="190280B8"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8"/>
        <w:gridCol w:w="8838"/>
      </w:tblGrid>
      <w:tr w:rsidR="00465964" w:rsidRPr="00465964" w14:paraId="77F50C0B" w14:textId="77777777" w:rsidTr="00465964">
        <w:tc>
          <w:tcPr>
            <w:tcW w:w="0" w:type="auto"/>
            <w:shd w:val="clear" w:color="auto" w:fill="auto"/>
            <w:hideMark/>
          </w:tcPr>
          <w:p w14:paraId="1010D4DC" w14:textId="77777777" w:rsidR="00465964" w:rsidRPr="00465964" w:rsidRDefault="00465964" w:rsidP="00465964">
            <w:r w:rsidRPr="00465964">
              <w:t>b)</w:t>
            </w:r>
          </w:p>
        </w:tc>
        <w:tc>
          <w:tcPr>
            <w:tcW w:w="0" w:type="auto"/>
            <w:shd w:val="clear" w:color="auto" w:fill="auto"/>
            <w:hideMark/>
          </w:tcPr>
          <w:p w14:paraId="70C2B05E" w14:textId="77777777" w:rsidR="00465964" w:rsidRPr="00465964" w:rsidRDefault="00465964" w:rsidP="00465964">
            <w:pPr>
              <w:rPr>
                <w:lang w:val="pt-PT"/>
              </w:rPr>
            </w:pPr>
            <w:r w:rsidRPr="00465964">
              <w:rPr>
                <w:lang w:val="pt-PT"/>
              </w:rPr>
              <w:t xml:space="preserve">3 % do volume de negócios anual total da pessoa coletiva, de acordo com as últimas demonstrações financeiras disponíveis aprovadas pelo órgão de administração, relativamente às infrações referidas no </w:t>
            </w:r>
            <w:proofErr w:type="spellStart"/>
            <w:r w:rsidRPr="00465964">
              <w:rPr>
                <w:lang w:val="pt-PT"/>
              </w:rPr>
              <w:t>n.</w:t>
            </w:r>
            <w:r w:rsidRPr="00465964">
              <w:rPr>
                <w:vertAlign w:val="superscript"/>
                <w:lang w:val="pt-PT"/>
              </w:rPr>
              <w:t>o</w:t>
            </w:r>
            <w:proofErr w:type="spellEnd"/>
            <w:r w:rsidRPr="00465964">
              <w:rPr>
                <w:lang w:val="pt-PT"/>
              </w:rPr>
              <w:t> 1, primeiro parágrafo, alínea a);</w:t>
            </w:r>
          </w:p>
        </w:tc>
      </w:tr>
    </w:tbl>
    <w:p w14:paraId="0EDBF29E"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0"/>
        <w:gridCol w:w="8846"/>
      </w:tblGrid>
      <w:tr w:rsidR="00465964" w:rsidRPr="00465964" w14:paraId="767F5E4F" w14:textId="77777777" w:rsidTr="00465964">
        <w:tc>
          <w:tcPr>
            <w:tcW w:w="0" w:type="auto"/>
            <w:shd w:val="clear" w:color="auto" w:fill="auto"/>
            <w:hideMark/>
          </w:tcPr>
          <w:p w14:paraId="26F74B2D" w14:textId="77777777" w:rsidR="00465964" w:rsidRPr="00465964" w:rsidRDefault="00465964" w:rsidP="00465964">
            <w:r w:rsidRPr="00465964">
              <w:t>c)</w:t>
            </w:r>
          </w:p>
        </w:tc>
        <w:tc>
          <w:tcPr>
            <w:tcW w:w="0" w:type="auto"/>
            <w:shd w:val="clear" w:color="auto" w:fill="auto"/>
            <w:hideMark/>
          </w:tcPr>
          <w:p w14:paraId="780BC487" w14:textId="77777777" w:rsidR="00465964" w:rsidRPr="00465964" w:rsidRDefault="00465964" w:rsidP="00465964">
            <w:pPr>
              <w:rPr>
                <w:lang w:val="pt-PT"/>
              </w:rPr>
            </w:pPr>
            <w:r w:rsidRPr="00465964">
              <w:rPr>
                <w:lang w:val="pt-PT"/>
              </w:rPr>
              <w:t xml:space="preserve">5 % do volume de negócios anual total da pessoa coletiva, de acordo com as últimas demonstrações financeiras disponíveis aprovadas pelo órgão de administração, relativamente às infrações referidas no </w:t>
            </w:r>
            <w:proofErr w:type="spellStart"/>
            <w:r w:rsidRPr="00465964">
              <w:rPr>
                <w:lang w:val="pt-PT"/>
              </w:rPr>
              <w:t>n.</w:t>
            </w:r>
            <w:r w:rsidRPr="00465964">
              <w:rPr>
                <w:vertAlign w:val="superscript"/>
                <w:lang w:val="pt-PT"/>
              </w:rPr>
              <w:t>o</w:t>
            </w:r>
            <w:proofErr w:type="spellEnd"/>
            <w:r w:rsidRPr="00465964">
              <w:rPr>
                <w:lang w:val="pt-PT"/>
              </w:rPr>
              <w:t> 1, primeiro parágrafo, alínea d);</w:t>
            </w:r>
          </w:p>
        </w:tc>
      </w:tr>
    </w:tbl>
    <w:p w14:paraId="0F51F2DD"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8"/>
        <w:gridCol w:w="8838"/>
      </w:tblGrid>
      <w:tr w:rsidR="00465964" w:rsidRPr="00465964" w14:paraId="2B1512D5" w14:textId="77777777" w:rsidTr="00465964">
        <w:tc>
          <w:tcPr>
            <w:tcW w:w="0" w:type="auto"/>
            <w:shd w:val="clear" w:color="auto" w:fill="auto"/>
            <w:hideMark/>
          </w:tcPr>
          <w:p w14:paraId="55DECCFE" w14:textId="77777777" w:rsidR="00465964" w:rsidRPr="00465964" w:rsidRDefault="00465964" w:rsidP="00465964">
            <w:r w:rsidRPr="00465964">
              <w:t>d)</w:t>
            </w:r>
          </w:p>
        </w:tc>
        <w:tc>
          <w:tcPr>
            <w:tcW w:w="0" w:type="auto"/>
            <w:shd w:val="clear" w:color="auto" w:fill="auto"/>
            <w:hideMark/>
          </w:tcPr>
          <w:p w14:paraId="5F6B1BC4" w14:textId="77777777" w:rsidR="00465964" w:rsidRPr="00465964" w:rsidRDefault="00465964" w:rsidP="00465964">
            <w:pPr>
              <w:rPr>
                <w:lang w:val="pt-PT"/>
              </w:rPr>
            </w:pPr>
            <w:r w:rsidRPr="00465964">
              <w:rPr>
                <w:lang w:val="pt-PT"/>
              </w:rPr>
              <w:t xml:space="preserve">12,5 % do volume de negócios anual total da pessoa coletiva, de acordo com as últimas demonstrações financeiras disponíveis aprovadas pelo órgão de administração, relativamente às infrações referidas no </w:t>
            </w:r>
            <w:proofErr w:type="spellStart"/>
            <w:r w:rsidRPr="00465964">
              <w:rPr>
                <w:lang w:val="pt-PT"/>
              </w:rPr>
              <w:t>n.</w:t>
            </w:r>
            <w:r w:rsidRPr="00465964">
              <w:rPr>
                <w:vertAlign w:val="superscript"/>
                <w:lang w:val="pt-PT"/>
              </w:rPr>
              <w:t>o</w:t>
            </w:r>
            <w:proofErr w:type="spellEnd"/>
            <w:r w:rsidRPr="00465964">
              <w:rPr>
                <w:lang w:val="pt-PT"/>
              </w:rPr>
              <w:t> 1, primeiro parágrafo, alíneas b) e c).</w:t>
            </w:r>
          </w:p>
        </w:tc>
      </w:tr>
    </w:tbl>
    <w:p w14:paraId="62804D0B" w14:textId="77777777" w:rsidR="00465964" w:rsidRPr="00465964" w:rsidRDefault="00465964" w:rsidP="00465964">
      <w:pPr>
        <w:rPr>
          <w:lang w:val="pt-PT"/>
        </w:rPr>
      </w:pPr>
      <w:r w:rsidRPr="00465964">
        <w:rPr>
          <w:lang w:val="pt-PT"/>
        </w:rPr>
        <w:t>Caso a pessoa coletiva a que se refere o primeiro parágrafo, alíneas a) a d), seja uma empresa-mãe ou uma filial de uma empresa-mãe obrigada a elaborar demonstrações financeiras consolidadas nos termos da Diretiva 2013/34/UE, o volume de negócios anual total relevante é o volume de negócios anual total ou o tipo de rendimento correspondente nos termos do direito da União aplicável em matéria de contabilidade, de acordo com as últimas contas consolidadas disponíveis aprovadas pelo órgão de administração da empresa-mãe em última instância.</w:t>
      </w:r>
    </w:p>
    <w:p w14:paraId="6F188CC3" w14:textId="77777777" w:rsidR="00465964" w:rsidRPr="00465964" w:rsidRDefault="00465964" w:rsidP="00465964">
      <w:pPr>
        <w:rPr>
          <w:lang w:val="pt-PT"/>
        </w:rPr>
      </w:pPr>
      <w:r w:rsidRPr="00465964">
        <w:rPr>
          <w:lang w:val="pt-PT"/>
        </w:rPr>
        <w:t xml:space="preserve">4.   Para além das sanções administrativas e de outras medidas administrativas, bem como das coimas referidas nos </w:t>
      </w:r>
      <w:proofErr w:type="spellStart"/>
      <w:r w:rsidRPr="00465964">
        <w:rPr>
          <w:lang w:val="pt-PT"/>
        </w:rPr>
        <w:t>n.</w:t>
      </w:r>
      <w:r w:rsidRPr="00465964">
        <w:rPr>
          <w:vertAlign w:val="superscript"/>
          <w:lang w:val="pt-PT"/>
        </w:rPr>
        <w:t>os</w:t>
      </w:r>
      <w:proofErr w:type="spellEnd"/>
      <w:r w:rsidRPr="00465964">
        <w:rPr>
          <w:lang w:val="pt-PT"/>
        </w:rPr>
        <w:t xml:space="preserve"> 2 e 3, os Estados-Membros asseguram, nos termos do seu direito nacional, que as autoridades competentes têm poderes para impor, em caso de infrações referidas no </w:t>
      </w:r>
      <w:proofErr w:type="spellStart"/>
      <w:r w:rsidRPr="00465964">
        <w:rPr>
          <w:lang w:val="pt-PT"/>
        </w:rPr>
        <w:t>n.</w:t>
      </w:r>
      <w:r w:rsidRPr="00465964">
        <w:rPr>
          <w:vertAlign w:val="superscript"/>
          <w:lang w:val="pt-PT"/>
        </w:rPr>
        <w:t>o</w:t>
      </w:r>
      <w:proofErr w:type="spellEnd"/>
      <w:r w:rsidRPr="00465964">
        <w:rPr>
          <w:lang w:val="pt-PT"/>
        </w:rPr>
        <w:t> 1, primeiro parágrafo, alínea d), uma proibição temporária que impeça qualquer membro do órgão de administração do prestador de serviços de criptoativos, ou qualquer outra pessoa singular considerada responsável pela infração, de exercer funções de gestão num prestador de serviços de criptoativos.</w:t>
      </w:r>
    </w:p>
    <w:p w14:paraId="1BDD1904" w14:textId="77777777" w:rsidR="00465964" w:rsidRPr="00465964" w:rsidRDefault="00465964" w:rsidP="00465964">
      <w:pPr>
        <w:rPr>
          <w:lang w:val="pt-PT"/>
        </w:rPr>
      </w:pPr>
      <w:r w:rsidRPr="00465964">
        <w:rPr>
          <w:lang w:val="pt-PT"/>
        </w:rPr>
        <w:t xml:space="preserve">5.   Os Estados-Membros asseguram, nos termos do seu direito nacional, que as autoridades competentes, em caso de infrações a que se refere o </w:t>
      </w:r>
      <w:proofErr w:type="spellStart"/>
      <w:r w:rsidRPr="00465964">
        <w:rPr>
          <w:lang w:val="pt-PT"/>
        </w:rPr>
        <w:t>n.</w:t>
      </w:r>
      <w:r w:rsidRPr="00465964">
        <w:rPr>
          <w:vertAlign w:val="superscript"/>
          <w:lang w:val="pt-PT"/>
        </w:rPr>
        <w:t>o</w:t>
      </w:r>
      <w:proofErr w:type="spellEnd"/>
      <w:r w:rsidRPr="00465964">
        <w:rPr>
          <w:lang w:val="pt-PT"/>
        </w:rPr>
        <w:t> 1, primeiro parágrafo, alínea e), estão habilitadas a aplicar pelo menos as seguintes sanções administrativas e a adotar pelo menos as seguintes medidas administrativas:</w:t>
      </w:r>
    </w:p>
    <w:tbl>
      <w:tblPr>
        <w:tblW w:w="5000" w:type="pct"/>
        <w:tblCellMar>
          <w:left w:w="0" w:type="dxa"/>
          <w:right w:w="0" w:type="dxa"/>
        </w:tblCellMar>
        <w:tblLook w:val="04A0" w:firstRow="1" w:lastRow="0" w:firstColumn="1" w:lastColumn="0" w:noHBand="0" w:noVBand="1"/>
      </w:tblPr>
      <w:tblGrid>
        <w:gridCol w:w="182"/>
        <w:gridCol w:w="8844"/>
      </w:tblGrid>
      <w:tr w:rsidR="00465964" w:rsidRPr="00465964" w14:paraId="24CCD790" w14:textId="77777777" w:rsidTr="00465964">
        <w:tc>
          <w:tcPr>
            <w:tcW w:w="0" w:type="auto"/>
            <w:shd w:val="clear" w:color="auto" w:fill="auto"/>
            <w:hideMark/>
          </w:tcPr>
          <w:p w14:paraId="0C1571D1" w14:textId="77777777" w:rsidR="00465964" w:rsidRPr="00465964" w:rsidRDefault="00465964" w:rsidP="00465964">
            <w:r w:rsidRPr="00465964">
              <w:lastRenderedPageBreak/>
              <w:t>a)</w:t>
            </w:r>
          </w:p>
        </w:tc>
        <w:tc>
          <w:tcPr>
            <w:tcW w:w="0" w:type="auto"/>
            <w:shd w:val="clear" w:color="auto" w:fill="auto"/>
            <w:hideMark/>
          </w:tcPr>
          <w:p w14:paraId="2DBC1DB8" w14:textId="77777777" w:rsidR="00465964" w:rsidRPr="00465964" w:rsidRDefault="00465964" w:rsidP="00465964">
            <w:pPr>
              <w:rPr>
                <w:lang w:val="pt-PT"/>
              </w:rPr>
            </w:pPr>
            <w:r w:rsidRPr="00465964">
              <w:rPr>
                <w:lang w:val="pt-PT"/>
              </w:rPr>
              <w:t>Uma declaração pública que identifique a pessoa singular ou coletiva responsável e a natureza da infração;</w:t>
            </w:r>
          </w:p>
        </w:tc>
      </w:tr>
    </w:tbl>
    <w:p w14:paraId="6176803C"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8"/>
        <w:gridCol w:w="8838"/>
      </w:tblGrid>
      <w:tr w:rsidR="00465964" w:rsidRPr="00465964" w14:paraId="2F50193C" w14:textId="77777777" w:rsidTr="00465964">
        <w:tc>
          <w:tcPr>
            <w:tcW w:w="0" w:type="auto"/>
            <w:shd w:val="clear" w:color="auto" w:fill="auto"/>
            <w:hideMark/>
          </w:tcPr>
          <w:p w14:paraId="1A225E3B" w14:textId="77777777" w:rsidR="00465964" w:rsidRPr="00465964" w:rsidRDefault="00465964" w:rsidP="00465964">
            <w:r w:rsidRPr="00465964">
              <w:t>b)</w:t>
            </w:r>
          </w:p>
        </w:tc>
        <w:tc>
          <w:tcPr>
            <w:tcW w:w="0" w:type="auto"/>
            <w:shd w:val="clear" w:color="auto" w:fill="auto"/>
            <w:hideMark/>
          </w:tcPr>
          <w:p w14:paraId="3385CE82" w14:textId="77777777" w:rsidR="00465964" w:rsidRPr="00465964" w:rsidRDefault="00465964" w:rsidP="00465964">
            <w:pPr>
              <w:rPr>
                <w:lang w:val="pt-PT"/>
              </w:rPr>
            </w:pPr>
            <w:r w:rsidRPr="00465964">
              <w:rPr>
                <w:lang w:val="pt-PT"/>
              </w:rPr>
              <w:t>Uma decisão que exija que a pessoa singular ou coletiva responsável ponha termo à conduta que constitui a infração e se abstenha de a reiterar;</w:t>
            </w:r>
          </w:p>
        </w:tc>
      </w:tr>
    </w:tbl>
    <w:p w14:paraId="2EE4DBA1"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0"/>
        <w:gridCol w:w="8846"/>
      </w:tblGrid>
      <w:tr w:rsidR="00465964" w:rsidRPr="00465964" w14:paraId="5B3314C1" w14:textId="77777777" w:rsidTr="00465964">
        <w:tc>
          <w:tcPr>
            <w:tcW w:w="0" w:type="auto"/>
            <w:shd w:val="clear" w:color="auto" w:fill="auto"/>
            <w:hideMark/>
          </w:tcPr>
          <w:p w14:paraId="1CCA783F" w14:textId="77777777" w:rsidR="00465964" w:rsidRPr="00465964" w:rsidRDefault="00465964" w:rsidP="00465964">
            <w:r w:rsidRPr="00465964">
              <w:t>c)</w:t>
            </w:r>
          </w:p>
        </w:tc>
        <w:tc>
          <w:tcPr>
            <w:tcW w:w="0" w:type="auto"/>
            <w:shd w:val="clear" w:color="auto" w:fill="auto"/>
            <w:hideMark/>
          </w:tcPr>
          <w:p w14:paraId="1E73CAAD" w14:textId="77777777" w:rsidR="00465964" w:rsidRPr="00465964" w:rsidRDefault="00465964" w:rsidP="00465964">
            <w:pPr>
              <w:rPr>
                <w:lang w:val="pt-PT"/>
              </w:rPr>
            </w:pPr>
            <w:r w:rsidRPr="00465964">
              <w:rPr>
                <w:lang w:val="pt-PT"/>
              </w:rPr>
              <w:t>A restituição dos lucros obtidos ou das perdas evitadas em resultado da infração, na medida em que possam ser determinados;</w:t>
            </w:r>
          </w:p>
        </w:tc>
      </w:tr>
    </w:tbl>
    <w:p w14:paraId="51B01C02"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98"/>
        <w:gridCol w:w="8828"/>
      </w:tblGrid>
      <w:tr w:rsidR="00465964" w:rsidRPr="00465964" w14:paraId="35578E62" w14:textId="77777777" w:rsidTr="00465964">
        <w:tc>
          <w:tcPr>
            <w:tcW w:w="0" w:type="auto"/>
            <w:shd w:val="clear" w:color="auto" w:fill="auto"/>
            <w:hideMark/>
          </w:tcPr>
          <w:p w14:paraId="6C2F6824" w14:textId="77777777" w:rsidR="00465964" w:rsidRPr="00465964" w:rsidRDefault="00465964" w:rsidP="00465964">
            <w:r w:rsidRPr="00465964">
              <w:t>d)</w:t>
            </w:r>
          </w:p>
        </w:tc>
        <w:tc>
          <w:tcPr>
            <w:tcW w:w="0" w:type="auto"/>
            <w:shd w:val="clear" w:color="auto" w:fill="auto"/>
            <w:hideMark/>
          </w:tcPr>
          <w:p w14:paraId="71BB3119" w14:textId="77777777" w:rsidR="00465964" w:rsidRPr="00465964" w:rsidRDefault="00465964" w:rsidP="00465964">
            <w:pPr>
              <w:rPr>
                <w:lang w:val="pt-PT"/>
              </w:rPr>
            </w:pPr>
            <w:r w:rsidRPr="00465964">
              <w:rPr>
                <w:lang w:val="pt-PT"/>
              </w:rPr>
              <w:t>A revogação ou a suspensão da autorização de um prestador de serviços de criptoativos;</w:t>
            </w:r>
          </w:p>
        </w:tc>
      </w:tr>
    </w:tbl>
    <w:p w14:paraId="7AFE1AA4"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1"/>
        <w:gridCol w:w="8845"/>
      </w:tblGrid>
      <w:tr w:rsidR="00465964" w:rsidRPr="00465964" w14:paraId="28C8D393" w14:textId="77777777" w:rsidTr="00465964">
        <w:tc>
          <w:tcPr>
            <w:tcW w:w="0" w:type="auto"/>
            <w:shd w:val="clear" w:color="auto" w:fill="auto"/>
            <w:hideMark/>
          </w:tcPr>
          <w:p w14:paraId="01510C01" w14:textId="77777777" w:rsidR="00465964" w:rsidRPr="00465964" w:rsidRDefault="00465964" w:rsidP="00465964">
            <w:r w:rsidRPr="00465964">
              <w:t>e)</w:t>
            </w:r>
          </w:p>
        </w:tc>
        <w:tc>
          <w:tcPr>
            <w:tcW w:w="0" w:type="auto"/>
            <w:shd w:val="clear" w:color="auto" w:fill="auto"/>
            <w:hideMark/>
          </w:tcPr>
          <w:p w14:paraId="1D4630BF" w14:textId="77777777" w:rsidR="00465964" w:rsidRPr="00465964" w:rsidRDefault="00465964" w:rsidP="00465964">
            <w:pPr>
              <w:rPr>
                <w:lang w:val="pt-PT"/>
              </w:rPr>
            </w:pPr>
            <w:r w:rsidRPr="00465964">
              <w:rPr>
                <w:lang w:val="pt-PT"/>
              </w:rPr>
              <w:t>A interdição temporária do exercício de funções de gestão em prestadores de serviços de criptoativos por qualquer membro do órgão de administração do prestador de serviços de criptoativos ou por qualquer outra pessoa singular que seja responsável pela infração;</w:t>
            </w:r>
          </w:p>
        </w:tc>
      </w:tr>
    </w:tbl>
    <w:p w14:paraId="3B69789F"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36"/>
        <w:gridCol w:w="8890"/>
      </w:tblGrid>
      <w:tr w:rsidR="00465964" w:rsidRPr="00465964" w14:paraId="351E929A" w14:textId="77777777" w:rsidTr="00465964">
        <w:tc>
          <w:tcPr>
            <w:tcW w:w="0" w:type="auto"/>
            <w:shd w:val="clear" w:color="auto" w:fill="auto"/>
            <w:hideMark/>
          </w:tcPr>
          <w:p w14:paraId="58452F29" w14:textId="77777777" w:rsidR="00465964" w:rsidRPr="00465964" w:rsidRDefault="00465964" w:rsidP="00465964">
            <w:r w:rsidRPr="00465964">
              <w:t>f)</w:t>
            </w:r>
          </w:p>
        </w:tc>
        <w:tc>
          <w:tcPr>
            <w:tcW w:w="0" w:type="auto"/>
            <w:shd w:val="clear" w:color="auto" w:fill="auto"/>
            <w:hideMark/>
          </w:tcPr>
          <w:p w14:paraId="712F0D4F" w14:textId="77777777" w:rsidR="00465964" w:rsidRPr="00465964" w:rsidRDefault="00465964" w:rsidP="00465964">
            <w:pPr>
              <w:rPr>
                <w:lang w:val="pt-PT"/>
              </w:rPr>
            </w:pPr>
            <w:r w:rsidRPr="00465964">
              <w:rPr>
                <w:lang w:val="pt-PT"/>
              </w:rPr>
              <w:t>Em caso de infrações reiteradas ao artigo 89.</w:t>
            </w:r>
            <w:r w:rsidRPr="00465964">
              <w:rPr>
                <w:vertAlign w:val="superscript"/>
                <w:lang w:val="pt-PT"/>
              </w:rPr>
              <w:t>o</w:t>
            </w:r>
            <w:r w:rsidRPr="00465964">
              <w:rPr>
                <w:lang w:val="pt-PT"/>
              </w:rPr>
              <w:t>, 90.</w:t>
            </w:r>
            <w:r w:rsidRPr="00465964">
              <w:rPr>
                <w:vertAlign w:val="superscript"/>
                <w:lang w:val="pt-PT"/>
              </w:rPr>
              <w:t>o</w:t>
            </w:r>
            <w:r w:rsidRPr="00465964">
              <w:rPr>
                <w:lang w:val="pt-PT"/>
              </w:rPr>
              <w:t>, 91.</w:t>
            </w:r>
            <w:r w:rsidRPr="00465964">
              <w:rPr>
                <w:vertAlign w:val="superscript"/>
                <w:lang w:val="pt-PT"/>
              </w:rPr>
              <w:t>o</w:t>
            </w:r>
            <w:r w:rsidRPr="00465964">
              <w:rPr>
                <w:lang w:val="pt-PT"/>
              </w:rPr>
              <w:t> ou 92.</w:t>
            </w:r>
            <w:r w:rsidRPr="00465964">
              <w:rPr>
                <w:vertAlign w:val="superscript"/>
                <w:lang w:val="pt-PT"/>
              </w:rPr>
              <w:t>o</w:t>
            </w:r>
            <w:r w:rsidRPr="00465964">
              <w:rPr>
                <w:lang w:val="pt-PT"/>
              </w:rPr>
              <w:t>, uma interdição de, pelo menos, dez anos do exercício de funções de gestão num prestador de serviços de criptoativos por qualquer membro do órgão de administração do prestador de serviços de criptoativos ou por qualquer outra pessoa singular que seja responsável pela infração;</w:t>
            </w:r>
          </w:p>
        </w:tc>
      </w:tr>
    </w:tbl>
    <w:p w14:paraId="70EADE02"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74"/>
        <w:gridCol w:w="8852"/>
      </w:tblGrid>
      <w:tr w:rsidR="00465964" w:rsidRPr="00465964" w14:paraId="547E1497" w14:textId="77777777" w:rsidTr="00465964">
        <w:tc>
          <w:tcPr>
            <w:tcW w:w="0" w:type="auto"/>
            <w:shd w:val="clear" w:color="auto" w:fill="auto"/>
            <w:hideMark/>
          </w:tcPr>
          <w:p w14:paraId="7D53D82D" w14:textId="77777777" w:rsidR="00465964" w:rsidRPr="00465964" w:rsidRDefault="00465964" w:rsidP="00465964">
            <w:r w:rsidRPr="00465964">
              <w:t>g)</w:t>
            </w:r>
          </w:p>
        </w:tc>
        <w:tc>
          <w:tcPr>
            <w:tcW w:w="0" w:type="auto"/>
            <w:shd w:val="clear" w:color="auto" w:fill="auto"/>
            <w:hideMark/>
          </w:tcPr>
          <w:p w14:paraId="14993474" w14:textId="77777777" w:rsidR="00465964" w:rsidRPr="00465964" w:rsidRDefault="00465964" w:rsidP="00465964">
            <w:pPr>
              <w:rPr>
                <w:lang w:val="pt-PT"/>
              </w:rPr>
            </w:pPr>
            <w:r w:rsidRPr="00465964">
              <w:rPr>
                <w:lang w:val="pt-PT"/>
              </w:rPr>
              <w:t>A interdição temporária de negociação por conta própria por qualquer membro do órgão de administração de um prestador de serviços de criptoativos ou por qualquer outra pessoa singular que seja responsável pela infração;</w:t>
            </w:r>
          </w:p>
        </w:tc>
      </w:tr>
    </w:tbl>
    <w:p w14:paraId="03E8C584"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6"/>
        <w:gridCol w:w="8840"/>
      </w:tblGrid>
      <w:tr w:rsidR="00465964" w:rsidRPr="00465964" w14:paraId="6F8A8787" w14:textId="77777777" w:rsidTr="00465964">
        <w:tc>
          <w:tcPr>
            <w:tcW w:w="0" w:type="auto"/>
            <w:shd w:val="clear" w:color="auto" w:fill="auto"/>
            <w:hideMark/>
          </w:tcPr>
          <w:p w14:paraId="13EE1892" w14:textId="77777777" w:rsidR="00465964" w:rsidRPr="00465964" w:rsidRDefault="00465964" w:rsidP="00465964">
            <w:r w:rsidRPr="00465964">
              <w:t>h)</w:t>
            </w:r>
          </w:p>
        </w:tc>
        <w:tc>
          <w:tcPr>
            <w:tcW w:w="0" w:type="auto"/>
            <w:shd w:val="clear" w:color="auto" w:fill="auto"/>
            <w:hideMark/>
          </w:tcPr>
          <w:p w14:paraId="303154AF" w14:textId="77777777" w:rsidR="00465964" w:rsidRPr="00465964" w:rsidRDefault="00465964" w:rsidP="00465964">
            <w:pPr>
              <w:rPr>
                <w:lang w:val="pt-PT"/>
              </w:rPr>
            </w:pPr>
            <w:r w:rsidRPr="00465964">
              <w:rPr>
                <w:lang w:val="pt-PT"/>
              </w:rPr>
              <w:t>Coimas máximas correspondentes pelo menos ao triplo do montante dos lucros obtidos ou das perdas evitadas com a infração, quando esse montante puder ser determinado, mesmo que ultrapassem os montantes máximos estabelecidos na alínea i) ou j), consoante o caso;</w:t>
            </w:r>
          </w:p>
        </w:tc>
      </w:tr>
    </w:tbl>
    <w:p w14:paraId="307E2A99"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17"/>
        <w:gridCol w:w="8909"/>
      </w:tblGrid>
      <w:tr w:rsidR="00465964" w:rsidRPr="00465964" w14:paraId="65000BF0" w14:textId="77777777" w:rsidTr="00465964">
        <w:tc>
          <w:tcPr>
            <w:tcW w:w="0" w:type="auto"/>
            <w:shd w:val="clear" w:color="auto" w:fill="auto"/>
            <w:hideMark/>
          </w:tcPr>
          <w:p w14:paraId="7335006D" w14:textId="77777777" w:rsidR="00465964" w:rsidRPr="00465964" w:rsidRDefault="00465964" w:rsidP="00465964">
            <w:proofErr w:type="spellStart"/>
            <w:r w:rsidRPr="00465964">
              <w:t>i</w:t>
            </w:r>
            <w:proofErr w:type="spellEnd"/>
            <w:r w:rsidRPr="00465964">
              <w:t>)</w:t>
            </w:r>
          </w:p>
        </w:tc>
        <w:tc>
          <w:tcPr>
            <w:tcW w:w="0" w:type="auto"/>
            <w:shd w:val="clear" w:color="auto" w:fill="auto"/>
            <w:hideMark/>
          </w:tcPr>
          <w:p w14:paraId="535E556D" w14:textId="77777777" w:rsidR="00465964" w:rsidRPr="00465964" w:rsidRDefault="00465964" w:rsidP="00465964">
            <w:pPr>
              <w:rPr>
                <w:lang w:val="pt-PT"/>
              </w:rPr>
            </w:pPr>
            <w:r w:rsidRPr="00465964">
              <w:rPr>
                <w:lang w:val="pt-PT"/>
              </w:rPr>
              <w:t>No caso das pessoas singulares, coimas máximas de pelo menos 1 000 000 EUR por infrações ao artigo 88.</w:t>
            </w:r>
            <w:r w:rsidRPr="00465964">
              <w:rPr>
                <w:vertAlign w:val="superscript"/>
                <w:lang w:val="pt-PT"/>
              </w:rPr>
              <w:t>o</w:t>
            </w:r>
            <w:r w:rsidRPr="00465964">
              <w:rPr>
                <w:lang w:val="pt-PT"/>
              </w:rPr>
              <w:t> e de 5 000 000 EUR por infrações aos artigos 89.</w:t>
            </w:r>
            <w:r w:rsidRPr="00465964">
              <w:rPr>
                <w:vertAlign w:val="superscript"/>
                <w:lang w:val="pt-PT"/>
              </w:rPr>
              <w:t>o</w:t>
            </w:r>
            <w:r w:rsidRPr="00465964">
              <w:rPr>
                <w:lang w:val="pt-PT"/>
              </w:rPr>
              <w:t> a 92.</w:t>
            </w:r>
            <w:r w:rsidRPr="00465964">
              <w:rPr>
                <w:vertAlign w:val="superscript"/>
                <w:lang w:val="pt-PT"/>
              </w:rPr>
              <w:t>o</w:t>
            </w:r>
            <w:r w:rsidRPr="00465964">
              <w:rPr>
                <w:lang w:val="pt-PT"/>
              </w:rPr>
              <w:t> ou, nos Estados-Membros cuja moeda oficial não seja o euro, o contravalor na moeda oficial em 29 de junho de 2023;</w:t>
            </w:r>
          </w:p>
        </w:tc>
      </w:tr>
    </w:tbl>
    <w:p w14:paraId="4DD6F21E"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17"/>
        <w:gridCol w:w="8909"/>
      </w:tblGrid>
      <w:tr w:rsidR="00465964" w:rsidRPr="00465964" w14:paraId="544C4FFF" w14:textId="77777777" w:rsidTr="00465964">
        <w:tc>
          <w:tcPr>
            <w:tcW w:w="0" w:type="auto"/>
            <w:shd w:val="clear" w:color="auto" w:fill="auto"/>
            <w:hideMark/>
          </w:tcPr>
          <w:p w14:paraId="4A13535F" w14:textId="77777777" w:rsidR="00465964" w:rsidRPr="00465964" w:rsidRDefault="00465964" w:rsidP="00465964">
            <w:r w:rsidRPr="00465964">
              <w:t>j)</w:t>
            </w:r>
          </w:p>
        </w:tc>
        <w:tc>
          <w:tcPr>
            <w:tcW w:w="0" w:type="auto"/>
            <w:shd w:val="clear" w:color="auto" w:fill="auto"/>
            <w:hideMark/>
          </w:tcPr>
          <w:p w14:paraId="6272419F" w14:textId="77777777" w:rsidR="00465964" w:rsidRPr="00465964" w:rsidRDefault="00465964" w:rsidP="00465964">
            <w:pPr>
              <w:rPr>
                <w:lang w:val="pt-PT"/>
              </w:rPr>
            </w:pPr>
            <w:r w:rsidRPr="00465964">
              <w:rPr>
                <w:lang w:val="pt-PT"/>
              </w:rPr>
              <w:t>No caso das pessoas coletivas, coimas máximas de pelo menos 2 500 000 EUR por infrações ao artigo 88.</w:t>
            </w:r>
            <w:r w:rsidRPr="00465964">
              <w:rPr>
                <w:vertAlign w:val="superscript"/>
                <w:lang w:val="pt-PT"/>
              </w:rPr>
              <w:t>o</w:t>
            </w:r>
            <w:r w:rsidRPr="00465964">
              <w:rPr>
                <w:lang w:val="pt-PT"/>
              </w:rPr>
              <w:t> e de 15 000 000 EUR por infrações aos artigos 89.</w:t>
            </w:r>
            <w:r w:rsidRPr="00465964">
              <w:rPr>
                <w:vertAlign w:val="superscript"/>
                <w:lang w:val="pt-PT"/>
              </w:rPr>
              <w:t>o</w:t>
            </w:r>
            <w:r w:rsidRPr="00465964">
              <w:rPr>
                <w:lang w:val="pt-PT"/>
              </w:rPr>
              <w:t> a 92.</w:t>
            </w:r>
            <w:r w:rsidRPr="00465964">
              <w:rPr>
                <w:vertAlign w:val="superscript"/>
                <w:lang w:val="pt-PT"/>
              </w:rPr>
              <w:t>o</w:t>
            </w:r>
            <w:r w:rsidRPr="00465964">
              <w:rPr>
                <w:lang w:val="pt-PT"/>
              </w:rPr>
              <w:t>, ou de 2 % por infrações ao artigo 88.</w:t>
            </w:r>
            <w:r w:rsidRPr="00465964">
              <w:rPr>
                <w:vertAlign w:val="superscript"/>
                <w:lang w:val="pt-PT"/>
              </w:rPr>
              <w:t>o</w:t>
            </w:r>
            <w:r w:rsidRPr="00465964">
              <w:rPr>
                <w:lang w:val="pt-PT"/>
              </w:rPr>
              <w:t> e 15 % por infrações aos artigos 89.</w:t>
            </w:r>
            <w:r w:rsidRPr="00465964">
              <w:rPr>
                <w:vertAlign w:val="superscript"/>
                <w:lang w:val="pt-PT"/>
              </w:rPr>
              <w:t>o</w:t>
            </w:r>
            <w:r w:rsidRPr="00465964">
              <w:rPr>
                <w:lang w:val="pt-PT"/>
              </w:rPr>
              <w:t> a 92.</w:t>
            </w:r>
            <w:r w:rsidRPr="00465964">
              <w:rPr>
                <w:vertAlign w:val="superscript"/>
                <w:lang w:val="pt-PT"/>
              </w:rPr>
              <w:t>o</w:t>
            </w:r>
            <w:r w:rsidRPr="00465964">
              <w:rPr>
                <w:lang w:val="pt-PT"/>
              </w:rPr>
              <w:t> do volume de negócios anual total da pessoa coletiva, de acordo com as últimas contas disponíveis aprovadas pelo órgão de administração, ou, nos Estados-Membros cuja moeda oficial não seja o euro, o contravalor na moeda oficial em 29 de junho de 2023.</w:t>
            </w:r>
          </w:p>
        </w:tc>
      </w:tr>
    </w:tbl>
    <w:p w14:paraId="0EA5BE4F" w14:textId="77777777" w:rsidR="00465964" w:rsidRPr="00465964" w:rsidRDefault="00465964" w:rsidP="00465964">
      <w:pPr>
        <w:rPr>
          <w:lang w:val="pt-PT"/>
        </w:rPr>
      </w:pPr>
      <w:r w:rsidRPr="00465964">
        <w:rPr>
          <w:lang w:val="pt-PT"/>
        </w:rPr>
        <w:t>Para efeitos da alínea j) do primeiro parágrafo, caso a pessoa coletiva seja uma empresa-mãe ou uma filial da empresa-mãe obrigada a elaborar demonstrações financeiras consolidadas nos termos da Diretiva 2013/34/UE, o volume de negócios anual total relevante é o volume de negócios anual total ou o tipo de rendimento correspondente nos termos do direito da União aplicável em matéria de contabilidade, de acordo com as últimas contas consolidadas disponíveis aprovadas pelo órgão de administração da empresa-mãe em última instância.</w:t>
      </w:r>
    </w:p>
    <w:p w14:paraId="078299EB" w14:textId="77777777" w:rsidR="00465964" w:rsidRPr="00465964" w:rsidRDefault="00465964" w:rsidP="00465964">
      <w:pPr>
        <w:rPr>
          <w:lang w:val="pt-PT"/>
        </w:rPr>
      </w:pPr>
      <w:r w:rsidRPr="00465964">
        <w:rPr>
          <w:lang w:val="pt-PT"/>
        </w:rPr>
        <w:t xml:space="preserve">6.   Os Estados-Membros podem estabelecer que as autoridades competentes dispõem de outros poderes para além dos referidos nos </w:t>
      </w:r>
      <w:proofErr w:type="spellStart"/>
      <w:proofErr w:type="gramStart"/>
      <w:r w:rsidRPr="00465964">
        <w:rPr>
          <w:lang w:val="pt-PT"/>
        </w:rPr>
        <w:t>n.</w:t>
      </w:r>
      <w:r w:rsidRPr="00465964">
        <w:rPr>
          <w:vertAlign w:val="superscript"/>
          <w:lang w:val="pt-PT"/>
        </w:rPr>
        <w:t>os</w:t>
      </w:r>
      <w:proofErr w:type="spellEnd"/>
      <w:proofErr w:type="gramEnd"/>
      <w:r w:rsidRPr="00465964">
        <w:rPr>
          <w:lang w:val="pt-PT"/>
        </w:rPr>
        <w:t> 2 a 5 e podem prever sanções mais elevadas do que as estabelecidas nesses números, tanto em relação às pessoas singulares como às pessoas coletivas responsáveis pela infração.</w:t>
      </w:r>
    </w:p>
    <w:p w14:paraId="38578F35" w14:textId="77777777" w:rsidR="00465964" w:rsidRPr="00465964" w:rsidRDefault="00465964" w:rsidP="00465964">
      <w:pPr>
        <w:rPr>
          <w:i/>
          <w:iCs/>
          <w:lang w:val="pt-PT"/>
        </w:rPr>
      </w:pPr>
      <w:r w:rsidRPr="00465964">
        <w:rPr>
          <w:i/>
          <w:iCs/>
          <w:lang w:val="pt-PT"/>
        </w:rPr>
        <w:t>Artigo 112.</w:t>
      </w:r>
      <w:r w:rsidRPr="00465964">
        <w:rPr>
          <w:i/>
          <w:iCs/>
          <w:vertAlign w:val="superscript"/>
          <w:lang w:val="pt-PT"/>
        </w:rPr>
        <w:t>o</w:t>
      </w:r>
    </w:p>
    <w:p w14:paraId="121DBEFF" w14:textId="77777777" w:rsidR="00465964" w:rsidRPr="00465964" w:rsidRDefault="00465964" w:rsidP="00465964">
      <w:pPr>
        <w:rPr>
          <w:b/>
          <w:bCs/>
          <w:lang w:val="pt-PT"/>
        </w:rPr>
      </w:pPr>
      <w:r w:rsidRPr="00465964">
        <w:rPr>
          <w:b/>
          <w:bCs/>
          <w:lang w:val="pt-PT"/>
        </w:rPr>
        <w:lastRenderedPageBreak/>
        <w:t>Exercício dos poderes de supervisão e dos poderes para aplicar sanções</w:t>
      </w:r>
    </w:p>
    <w:p w14:paraId="1A34EED7" w14:textId="77777777" w:rsidR="00465964" w:rsidRPr="00465964" w:rsidRDefault="00465964" w:rsidP="00465964">
      <w:pPr>
        <w:rPr>
          <w:lang w:val="pt-PT"/>
        </w:rPr>
      </w:pPr>
      <w:r w:rsidRPr="00465964">
        <w:rPr>
          <w:lang w:val="pt-PT"/>
        </w:rPr>
        <w:t>1.   Ao determinarem o tipo e o nível de uma sanção administrativa ou de outra medida administrativa a impor nos termos do artigo 111.</w:t>
      </w:r>
      <w:r w:rsidRPr="00465964">
        <w:rPr>
          <w:vertAlign w:val="superscript"/>
          <w:lang w:val="pt-PT"/>
        </w:rPr>
        <w:t>o</w:t>
      </w:r>
      <w:r w:rsidRPr="00465964">
        <w:rPr>
          <w:lang w:val="pt-PT"/>
        </w:rPr>
        <w:t>, as autoridades competentes têm em conta todas as circunstâncias relevantes, nomeadamente, se for o caso:</w:t>
      </w:r>
    </w:p>
    <w:tbl>
      <w:tblPr>
        <w:tblW w:w="5000" w:type="pct"/>
        <w:tblCellMar>
          <w:left w:w="0" w:type="dxa"/>
          <w:right w:w="0" w:type="dxa"/>
        </w:tblCellMar>
        <w:tblLook w:val="04A0" w:firstRow="1" w:lastRow="0" w:firstColumn="1" w:lastColumn="0" w:noHBand="0" w:noVBand="1"/>
      </w:tblPr>
      <w:tblGrid>
        <w:gridCol w:w="457"/>
        <w:gridCol w:w="8569"/>
      </w:tblGrid>
      <w:tr w:rsidR="00465964" w:rsidRPr="00465964" w14:paraId="40A240B8" w14:textId="77777777" w:rsidTr="00465964">
        <w:tc>
          <w:tcPr>
            <w:tcW w:w="0" w:type="auto"/>
            <w:shd w:val="clear" w:color="auto" w:fill="auto"/>
            <w:hideMark/>
          </w:tcPr>
          <w:p w14:paraId="7BBB7C67" w14:textId="77777777" w:rsidR="00465964" w:rsidRPr="00465964" w:rsidRDefault="00465964" w:rsidP="00465964">
            <w:r w:rsidRPr="00465964">
              <w:t>a)</w:t>
            </w:r>
          </w:p>
        </w:tc>
        <w:tc>
          <w:tcPr>
            <w:tcW w:w="0" w:type="auto"/>
            <w:shd w:val="clear" w:color="auto" w:fill="auto"/>
            <w:hideMark/>
          </w:tcPr>
          <w:p w14:paraId="62A07480" w14:textId="77777777" w:rsidR="00465964" w:rsidRPr="00465964" w:rsidRDefault="00465964" w:rsidP="00465964">
            <w:pPr>
              <w:rPr>
                <w:lang w:val="pt-PT"/>
              </w:rPr>
            </w:pPr>
            <w:r w:rsidRPr="00465964">
              <w:rPr>
                <w:lang w:val="pt-PT"/>
              </w:rPr>
              <w:t>A gravidade e a duração da infração;</w:t>
            </w:r>
          </w:p>
        </w:tc>
      </w:tr>
    </w:tbl>
    <w:p w14:paraId="2B99B41A"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256"/>
        <w:gridCol w:w="8770"/>
      </w:tblGrid>
      <w:tr w:rsidR="00465964" w:rsidRPr="00465964" w14:paraId="0DD65718" w14:textId="77777777" w:rsidTr="00465964">
        <w:tc>
          <w:tcPr>
            <w:tcW w:w="0" w:type="auto"/>
            <w:shd w:val="clear" w:color="auto" w:fill="auto"/>
            <w:hideMark/>
          </w:tcPr>
          <w:p w14:paraId="429F1A71" w14:textId="77777777" w:rsidR="00465964" w:rsidRPr="00465964" w:rsidRDefault="00465964" w:rsidP="00465964">
            <w:r w:rsidRPr="00465964">
              <w:t>b)</w:t>
            </w:r>
          </w:p>
        </w:tc>
        <w:tc>
          <w:tcPr>
            <w:tcW w:w="0" w:type="auto"/>
            <w:shd w:val="clear" w:color="auto" w:fill="auto"/>
            <w:hideMark/>
          </w:tcPr>
          <w:p w14:paraId="6CC64873" w14:textId="77777777" w:rsidR="00465964" w:rsidRPr="00465964" w:rsidRDefault="00465964" w:rsidP="00465964">
            <w:pPr>
              <w:rPr>
                <w:lang w:val="pt-PT"/>
              </w:rPr>
            </w:pPr>
            <w:r w:rsidRPr="00465964">
              <w:rPr>
                <w:lang w:val="pt-PT"/>
              </w:rPr>
              <w:t>O facto de a infração ter sido cometida com dolo ou por negligência;</w:t>
            </w:r>
          </w:p>
        </w:tc>
      </w:tr>
    </w:tbl>
    <w:p w14:paraId="72D7FC2C"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98"/>
        <w:gridCol w:w="8828"/>
      </w:tblGrid>
      <w:tr w:rsidR="00465964" w:rsidRPr="00465964" w14:paraId="42B74818" w14:textId="77777777" w:rsidTr="00465964">
        <w:tc>
          <w:tcPr>
            <w:tcW w:w="0" w:type="auto"/>
            <w:shd w:val="clear" w:color="auto" w:fill="auto"/>
            <w:hideMark/>
          </w:tcPr>
          <w:p w14:paraId="62F2169F" w14:textId="77777777" w:rsidR="00465964" w:rsidRPr="00465964" w:rsidRDefault="00465964" w:rsidP="00465964">
            <w:r w:rsidRPr="00465964">
              <w:t>c)</w:t>
            </w:r>
          </w:p>
        </w:tc>
        <w:tc>
          <w:tcPr>
            <w:tcW w:w="0" w:type="auto"/>
            <w:shd w:val="clear" w:color="auto" w:fill="auto"/>
            <w:hideMark/>
          </w:tcPr>
          <w:p w14:paraId="7C5ACEAA" w14:textId="77777777" w:rsidR="00465964" w:rsidRPr="00465964" w:rsidRDefault="00465964" w:rsidP="00465964">
            <w:pPr>
              <w:rPr>
                <w:lang w:val="pt-PT"/>
              </w:rPr>
            </w:pPr>
            <w:r w:rsidRPr="00465964">
              <w:rPr>
                <w:lang w:val="pt-PT"/>
              </w:rPr>
              <w:t>O grau de responsabilidade da pessoa singular ou coletiva responsável pela infração;</w:t>
            </w:r>
          </w:p>
        </w:tc>
      </w:tr>
    </w:tbl>
    <w:p w14:paraId="0C558FC6"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8"/>
        <w:gridCol w:w="8838"/>
      </w:tblGrid>
      <w:tr w:rsidR="00465964" w:rsidRPr="00465964" w14:paraId="3188DB32" w14:textId="77777777" w:rsidTr="00465964">
        <w:tc>
          <w:tcPr>
            <w:tcW w:w="0" w:type="auto"/>
            <w:shd w:val="clear" w:color="auto" w:fill="auto"/>
            <w:hideMark/>
          </w:tcPr>
          <w:p w14:paraId="4979443E" w14:textId="77777777" w:rsidR="00465964" w:rsidRPr="00465964" w:rsidRDefault="00465964" w:rsidP="00465964">
            <w:r w:rsidRPr="00465964">
              <w:t>d)</w:t>
            </w:r>
          </w:p>
        </w:tc>
        <w:tc>
          <w:tcPr>
            <w:tcW w:w="0" w:type="auto"/>
            <w:shd w:val="clear" w:color="auto" w:fill="auto"/>
            <w:hideMark/>
          </w:tcPr>
          <w:p w14:paraId="4C3BE9E5" w14:textId="77777777" w:rsidR="00465964" w:rsidRPr="00465964" w:rsidRDefault="00465964" w:rsidP="00465964">
            <w:pPr>
              <w:rPr>
                <w:lang w:val="pt-PT"/>
              </w:rPr>
            </w:pPr>
            <w:r w:rsidRPr="00465964">
              <w:rPr>
                <w:lang w:val="pt-PT"/>
              </w:rPr>
              <w:t>A capacidade financeira da pessoa singular ou coletiva responsável pela infração, indicada pelo volume de negócios total da pessoa coletiva responsável ou pelo rendimento anual e pelos ativos líquidos da pessoa singular responsável;</w:t>
            </w:r>
          </w:p>
        </w:tc>
      </w:tr>
    </w:tbl>
    <w:p w14:paraId="6A4DE14E"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1"/>
        <w:gridCol w:w="8845"/>
      </w:tblGrid>
      <w:tr w:rsidR="00465964" w:rsidRPr="00465964" w14:paraId="3D56B736" w14:textId="77777777" w:rsidTr="00465964">
        <w:tc>
          <w:tcPr>
            <w:tcW w:w="0" w:type="auto"/>
            <w:shd w:val="clear" w:color="auto" w:fill="auto"/>
            <w:hideMark/>
          </w:tcPr>
          <w:p w14:paraId="48C96CDD" w14:textId="77777777" w:rsidR="00465964" w:rsidRPr="00465964" w:rsidRDefault="00465964" w:rsidP="00465964">
            <w:r w:rsidRPr="00465964">
              <w:t>e)</w:t>
            </w:r>
          </w:p>
        </w:tc>
        <w:tc>
          <w:tcPr>
            <w:tcW w:w="0" w:type="auto"/>
            <w:shd w:val="clear" w:color="auto" w:fill="auto"/>
            <w:hideMark/>
          </w:tcPr>
          <w:p w14:paraId="726239F7" w14:textId="77777777" w:rsidR="00465964" w:rsidRPr="00465964" w:rsidRDefault="00465964" w:rsidP="00465964">
            <w:pPr>
              <w:rPr>
                <w:lang w:val="pt-PT"/>
              </w:rPr>
            </w:pPr>
            <w:r w:rsidRPr="00465964">
              <w:rPr>
                <w:lang w:val="pt-PT"/>
              </w:rPr>
              <w:t>A importância dos lucros obtidos ou das perdas evitadas pela pessoa singular ou coletiva responsável pela infração, na medida em que sejam determináveis;</w:t>
            </w:r>
          </w:p>
        </w:tc>
      </w:tr>
    </w:tbl>
    <w:p w14:paraId="42BF5D79"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44"/>
        <w:gridCol w:w="8882"/>
      </w:tblGrid>
      <w:tr w:rsidR="00465964" w:rsidRPr="00465964" w14:paraId="7D761954" w14:textId="77777777" w:rsidTr="00465964">
        <w:tc>
          <w:tcPr>
            <w:tcW w:w="0" w:type="auto"/>
            <w:shd w:val="clear" w:color="auto" w:fill="auto"/>
            <w:hideMark/>
          </w:tcPr>
          <w:p w14:paraId="4271B00B" w14:textId="77777777" w:rsidR="00465964" w:rsidRPr="00465964" w:rsidRDefault="00465964" w:rsidP="00465964">
            <w:r w:rsidRPr="00465964">
              <w:t>f)</w:t>
            </w:r>
          </w:p>
        </w:tc>
        <w:tc>
          <w:tcPr>
            <w:tcW w:w="0" w:type="auto"/>
            <w:shd w:val="clear" w:color="auto" w:fill="auto"/>
            <w:hideMark/>
          </w:tcPr>
          <w:p w14:paraId="1E7B5B9B" w14:textId="77777777" w:rsidR="00465964" w:rsidRPr="00465964" w:rsidRDefault="00465964" w:rsidP="00465964">
            <w:pPr>
              <w:rPr>
                <w:lang w:val="pt-PT"/>
              </w:rPr>
            </w:pPr>
            <w:r w:rsidRPr="00465964">
              <w:rPr>
                <w:lang w:val="pt-PT"/>
              </w:rPr>
              <w:t>Os prejuízos causados a terceiros pela infração, na medida em que sejam determináveis;</w:t>
            </w:r>
          </w:p>
        </w:tc>
      </w:tr>
    </w:tbl>
    <w:p w14:paraId="36B6AB6B"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74"/>
        <w:gridCol w:w="8852"/>
      </w:tblGrid>
      <w:tr w:rsidR="00465964" w:rsidRPr="00465964" w14:paraId="27A37F46" w14:textId="77777777" w:rsidTr="00465964">
        <w:tc>
          <w:tcPr>
            <w:tcW w:w="0" w:type="auto"/>
            <w:shd w:val="clear" w:color="auto" w:fill="auto"/>
            <w:hideMark/>
          </w:tcPr>
          <w:p w14:paraId="18DB041C" w14:textId="77777777" w:rsidR="00465964" w:rsidRPr="00465964" w:rsidRDefault="00465964" w:rsidP="00465964">
            <w:r w:rsidRPr="00465964">
              <w:t>g)</w:t>
            </w:r>
          </w:p>
        </w:tc>
        <w:tc>
          <w:tcPr>
            <w:tcW w:w="0" w:type="auto"/>
            <w:shd w:val="clear" w:color="auto" w:fill="auto"/>
            <w:hideMark/>
          </w:tcPr>
          <w:p w14:paraId="253970A7" w14:textId="77777777" w:rsidR="00465964" w:rsidRPr="00465964" w:rsidRDefault="00465964" w:rsidP="00465964">
            <w:pPr>
              <w:rPr>
                <w:lang w:val="pt-PT"/>
              </w:rPr>
            </w:pPr>
            <w:r w:rsidRPr="00465964">
              <w:rPr>
                <w:lang w:val="pt-PT"/>
              </w:rPr>
              <w:t>O nível de colaboração da pessoa singular ou coletiva responsável com a autoridade competente, sem prejuízo da necessidade de assegurar a restituição dos lucros obtidos ou das perdas evitadas por essa pessoa;</w:t>
            </w:r>
          </w:p>
        </w:tc>
      </w:tr>
    </w:tbl>
    <w:p w14:paraId="46567AA5"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6"/>
        <w:gridCol w:w="8840"/>
      </w:tblGrid>
      <w:tr w:rsidR="00465964" w:rsidRPr="00465964" w14:paraId="58C0181C" w14:textId="77777777" w:rsidTr="00465964">
        <w:tc>
          <w:tcPr>
            <w:tcW w:w="0" w:type="auto"/>
            <w:shd w:val="clear" w:color="auto" w:fill="auto"/>
            <w:hideMark/>
          </w:tcPr>
          <w:p w14:paraId="7EABDA17" w14:textId="77777777" w:rsidR="00465964" w:rsidRPr="00465964" w:rsidRDefault="00465964" w:rsidP="00465964">
            <w:r w:rsidRPr="00465964">
              <w:t>h)</w:t>
            </w:r>
          </w:p>
        </w:tc>
        <w:tc>
          <w:tcPr>
            <w:tcW w:w="0" w:type="auto"/>
            <w:shd w:val="clear" w:color="auto" w:fill="auto"/>
            <w:hideMark/>
          </w:tcPr>
          <w:p w14:paraId="21DA8F81" w14:textId="77777777" w:rsidR="00465964" w:rsidRPr="00465964" w:rsidRDefault="00465964" w:rsidP="00465964">
            <w:pPr>
              <w:rPr>
                <w:lang w:val="pt-PT"/>
              </w:rPr>
            </w:pPr>
            <w:r w:rsidRPr="00465964">
              <w:rPr>
                <w:lang w:val="pt-PT"/>
              </w:rPr>
              <w:t>Anteriores infrações ao presente regulamento cometidas pela pessoa singular ou coletiva responsável pela infração;</w:t>
            </w:r>
          </w:p>
        </w:tc>
      </w:tr>
    </w:tbl>
    <w:p w14:paraId="5C69D89D"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17"/>
        <w:gridCol w:w="8909"/>
      </w:tblGrid>
      <w:tr w:rsidR="00465964" w:rsidRPr="00465964" w14:paraId="02D38F6C" w14:textId="77777777" w:rsidTr="00465964">
        <w:tc>
          <w:tcPr>
            <w:tcW w:w="0" w:type="auto"/>
            <w:shd w:val="clear" w:color="auto" w:fill="auto"/>
            <w:hideMark/>
          </w:tcPr>
          <w:p w14:paraId="63A7F532" w14:textId="77777777" w:rsidR="00465964" w:rsidRPr="00465964" w:rsidRDefault="00465964" w:rsidP="00465964">
            <w:proofErr w:type="spellStart"/>
            <w:r w:rsidRPr="00465964">
              <w:t>i</w:t>
            </w:r>
            <w:proofErr w:type="spellEnd"/>
            <w:r w:rsidRPr="00465964">
              <w:t>)</w:t>
            </w:r>
          </w:p>
        </w:tc>
        <w:tc>
          <w:tcPr>
            <w:tcW w:w="0" w:type="auto"/>
            <w:shd w:val="clear" w:color="auto" w:fill="auto"/>
            <w:hideMark/>
          </w:tcPr>
          <w:p w14:paraId="3D766A2A" w14:textId="77777777" w:rsidR="00465964" w:rsidRPr="00465964" w:rsidRDefault="00465964" w:rsidP="00465964">
            <w:pPr>
              <w:rPr>
                <w:lang w:val="pt-PT"/>
              </w:rPr>
            </w:pPr>
            <w:r w:rsidRPr="00465964">
              <w:rPr>
                <w:lang w:val="pt-PT"/>
              </w:rPr>
              <w:t>Medidas tomadas, após a infração, pela pessoa responsável pela infração a fim de evitar a sua repetição;</w:t>
            </w:r>
          </w:p>
        </w:tc>
      </w:tr>
    </w:tbl>
    <w:p w14:paraId="0931E4A0"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17"/>
        <w:gridCol w:w="8909"/>
      </w:tblGrid>
      <w:tr w:rsidR="00465964" w:rsidRPr="00465964" w14:paraId="33E30CCB" w14:textId="77777777" w:rsidTr="00465964">
        <w:tc>
          <w:tcPr>
            <w:tcW w:w="0" w:type="auto"/>
            <w:shd w:val="clear" w:color="auto" w:fill="auto"/>
            <w:hideMark/>
          </w:tcPr>
          <w:p w14:paraId="5A1C7F0E" w14:textId="77777777" w:rsidR="00465964" w:rsidRPr="00465964" w:rsidRDefault="00465964" w:rsidP="00465964">
            <w:r w:rsidRPr="00465964">
              <w:t>j)</w:t>
            </w:r>
          </w:p>
        </w:tc>
        <w:tc>
          <w:tcPr>
            <w:tcW w:w="0" w:type="auto"/>
            <w:shd w:val="clear" w:color="auto" w:fill="auto"/>
            <w:hideMark/>
          </w:tcPr>
          <w:p w14:paraId="12431E03" w14:textId="77777777" w:rsidR="00465964" w:rsidRPr="00465964" w:rsidRDefault="00465964" w:rsidP="00465964">
            <w:pPr>
              <w:rPr>
                <w:lang w:val="pt-PT"/>
              </w:rPr>
            </w:pPr>
            <w:r w:rsidRPr="00465964">
              <w:rPr>
                <w:lang w:val="pt-PT"/>
              </w:rPr>
              <w:t>O impacto da infração nos interesses dos detentores de criptoativos e dos clientes dos prestadores de serviços de criptoativos, em especial dos detentores não profissionais.</w:t>
            </w:r>
          </w:p>
        </w:tc>
      </w:tr>
    </w:tbl>
    <w:p w14:paraId="286E87F6" w14:textId="77777777" w:rsidR="00465964" w:rsidRPr="00465964" w:rsidRDefault="00465964" w:rsidP="00465964">
      <w:pPr>
        <w:rPr>
          <w:lang w:val="pt-PT"/>
        </w:rPr>
      </w:pPr>
      <w:r w:rsidRPr="00465964">
        <w:rPr>
          <w:lang w:val="pt-PT"/>
        </w:rPr>
        <w:t>2.   No exercício dos seus poderes para aplicar sanções administrativas e outras medidas administrativas nos termos do artigo 111.</w:t>
      </w:r>
      <w:r w:rsidRPr="00465964">
        <w:rPr>
          <w:vertAlign w:val="superscript"/>
          <w:lang w:val="pt-PT"/>
        </w:rPr>
        <w:t>o</w:t>
      </w:r>
      <w:r w:rsidRPr="00465964">
        <w:rPr>
          <w:lang w:val="pt-PT"/>
        </w:rPr>
        <w:t>, as autoridades competentes cooperam estreitamente para assegurar que o exercício dos seus poderes de supervisão e de investigação, bem como as sanções administrativas e outras medidas administrativas aplicadas, são eficazes e adequados. As autoridades competentes coordenam as suas ações de modo a evitar duplicações e sobreposições quando exercerem os seus poderes de supervisão e investigação e quando aplicarem as sanções administrativas e outras medidas administrativas em casos transfronteiriços.</w:t>
      </w:r>
    </w:p>
    <w:p w14:paraId="3362B565" w14:textId="77777777" w:rsidR="00465964" w:rsidRPr="00465964" w:rsidRDefault="00465964" w:rsidP="00465964">
      <w:pPr>
        <w:rPr>
          <w:i/>
          <w:iCs/>
          <w:lang w:val="pt-PT"/>
        </w:rPr>
      </w:pPr>
      <w:r w:rsidRPr="00465964">
        <w:rPr>
          <w:i/>
          <w:iCs/>
          <w:lang w:val="pt-PT"/>
        </w:rPr>
        <w:t>Artigo 113.</w:t>
      </w:r>
      <w:r w:rsidRPr="00465964">
        <w:rPr>
          <w:i/>
          <w:iCs/>
          <w:vertAlign w:val="superscript"/>
          <w:lang w:val="pt-PT"/>
        </w:rPr>
        <w:t>o</w:t>
      </w:r>
    </w:p>
    <w:p w14:paraId="6CD5B30A" w14:textId="77777777" w:rsidR="00465964" w:rsidRPr="00465964" w:rsidRDefault="00465964" w:rsidP="00465964">
      <w:pPr>
        <w:rPr>
          <w:b/>
          <w:bCs/>
          <w:lang w:val="pt-PT"/>
        </w:rPr>
      </w:pPr>
      <w:r w:rsidRPr="00465964">
        <w:rPr>
          <w:b/>
          <w:bCs/>
          <w:lang w:val="pt-PT"/>
        </w:rPr>
        <w:t>Direito de recurso</w:t>
      </w:r>
    </w:p>
    <w:p w14:paraId="5D426E2F" w14:textId="77777777" w:rsidR="00465964" w:rsidRPr="00465964" w:rsidRDefault="00465964" w:rsidP="00465964">
      <w:pPr>
        <w:rPr>
          <w:lang w:val="pt-PT"/>
        </w:rPr>
      </w:pPr>
      <w:r w:rsidRPr="00465964">
        <w:rPr>
          <w:lang w:val="pt-PT"/>
        </w:rPr>
        <w:t>1.   Os Estados-Membros asseguram que as decisões tomadas pelas autoridades competentes nos termos do presente regulamento são devidamente fundamentadas e passíveis de recurso para um tribunal. O direito de recurso para os tribunais é igualmente aplicável no caso de, relativamente a um pedido de autorização acompanhado de todos os elementos exigidos, não ter sido tomada qualquer decisão no prazo de seis meses a contar da data em que foi apresentado.</w:t>
      </w:r>
    </w:p>
    <w:p w14:paraId="5889DC1C" w14:textId="77777777" w:rsidR="00465964" w:rsidRPr="00465964" w:rsidRDefault="00465964" w:rsidP="00465964">
      <w:pPr>
        <w:rPr>
          <w:lang w:val="pt-PT"/>
        </w:rPr>
      </w:pPr>
      <w:r w:rsidRPr="00465964">
        <w:rPr>
          <w:lang w:val="pt-PT"/>
        </w:rPr>
        <w:lastRenderedPageBreak/>
        <w:t>2.   Os Estados-Membros devem prever que um ou mais dos organismos a seguir indicados, conforme previsto pelo direito nacional, possam, no interesse dos consumidores e nos termos do direito nacional, recorrer aos tribunais ou aos órgãos administrativos competentes para garantir a aplicação do presente regulamento:</w:t>
      </w:r>
    </w:p>
    <w:tbl>
      <w:tblPr>
        <w:tblW w:w="5000" w:type="pct"/>
        <w:tblCellMar>
          <w:left w:w="0" w:type="dxa"/>
          <w:right w:w="0" w:type="dxa"/>
        </w:tblCellMar>
        <w:tblLook w:val="04A0" w:firstRow="1" w:lastRow="0" w:firstColumn="1" w:lastColumn="0" w:noHBand="0" w:noVBand="1"/>
      </w:tblPr>
      <w:tblGrid>
        <w:gridCol w:w="363"/>
        <w:gridCol w:w="8663"/>
      </w:tblGrid>
      <w:tr w:rsidR="00465964" w:rsidRPr="00465964" w14:paraId="5F88556A" w14:textId="77777777" w:rsidTr="00465964">
        <w:tc>
          <w:tcPr>
            <w:tcW w:w="0" w:type="auto"/>
            <w:shd w:val="clear" w:color="auto" w:fill="auto"/>
            <w:hideMark/>
          </w:tcPr>
          <w:p w14:paraId="3BCE129C" w14:textId="77777777" w:rsidR="00465964" w:rsidRPr="00465964" w:rsidRDefault="00465964" w:rsidP="00465964">
            <w:r w:rsidRPr="00465964">
              <w:t>a)</w:t>
            </w:r>
          </w:p>
        </w:tc>
        <w:tc>
          <w:tcPr>
            <w:tcW w:w="0" w:type="auto"/>
            <w:shd w:val="clear" w:color="auto" w:fill="auto"/>
            <w:hideMark/>
          </w:tcPr>
          <w:p w14:paraId="6BACCED9" w14:textId="77777777" w:rsidR="00465964" w:rsidRPr="00465964" w:rsidRDefault="00465964" w:rsidP="00465964">
            <w:pPr>
              <w:rPr>
                <w:lang w:val="pt-PT"/>
              </w:rPr>
            </w:pPr>
            <w:r w:rsidRPr="00465964">
              <w:rPr>
                <w:lang w:val="pt-PT"/>
              </w:rPr>
              <w:t>Organismos públicos ou seus representantes;</w:t>
            </w:r>
          </w:p>
        </w:tc>
      </w:tr>
    </w:tbl>
    <w:p w14:paraId="0C41A3A5"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8"/>
        <w:gridCol w:w="8838"/>
      </w:tblGrid>
      <w:tr w:rsidR="00465964" w:rsidRPr="00465964" w14:paraId="47C8275F" w14:textId="77777777" w:rsidTr="00465964">
        <w:tc>
          <w:tcPr>
            <w:tcW w:w="0" w:type="auto"/>
            <w:shd w:val="clear" w:color="auto" w:fill="auto"/>
            <w:hideMark/>
          </w:tcPr>
          <w:p w14:paraId="4D2FA624" w14:textId="77777777" w:rsidR="00465964" w:rsidRPr="00465964" w:rsidRDefault="00465964" w:rsidP="00465964">
            <w:r w:rsidRPr="00465964">
              <w:t>b)</w:t>
            </w:r>
          </w:p>
        </w:tc>
        <w:tc>
          <w:tcPr>
            <w:tcW w:w="0" w:type="auto"/>
            <w:shd w:val="clear" w:color="auto" w:fill="auto"/>
            <w:hideMark/>
          </w:tcPr>
          <w:p w14:paraId="38058B92" w14:textId="77777777" w:rsidR="00465964" w:rsidRPr="00465964" w:rsidRDefault="00465964" w:rsidP="00465964">
            <w:pPr>
              <w:rPr>
                <w:lang w:val="pt-PT"/>
              </w:rPr>
            </w:pPr>
            <w:r w:rsidRPr="00465964">
              <w:rPr>
                <w:lang w:val="pt-PT"/>
              </w:rPr>
              <w:t>Organizações de consumidores com um interesse legítimo na proteção dos detentores de criptoativos;</w:t>
            </w:r>
          </w:p>
        </w:tc>
      </w:tr>
    </w:tbl>
    <w:p w14:paraId="649B3E5A"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94"/>
        <w:gridCol w:w="8832"/>
      </w:tblGrid>
      <w:tr w:rsidR="00465964" w:rsidRPr="00465964" w14:paraId="29854A40" w14:textId="77777777" w:rsidTr="00465964">
        <w:tc>
          <w:tcPr>
            <w:tcW w:w="0" w:type="auto"/>
            <w:shd w:val="clear" w:color="auto" w:fill="auto"/>
            <w:hideMark/>
          </w:tcPr>
          <w:p w14:paraId="32B3F08B" w14:textId="77777777" w:rsidR="00465964" w:rsidRPr="00465964" w:rsidRDefault="00465964" w:rsidP="00465964">
            <w:r w:rsidRPr="00465964">
              <w:t>c)</w:t>
            </w:r>
          </w:p>
        </w:tc>
        <w:tc>
          <w:tcPr>
            <w:tcW w:w="0" w:type="auto"/>
            <w:shd w:val="clear" w:color="auto" w:fill="auto"/>
            <w:hideMark/>
          </w:tcPr>
          <w:p w14:paraId="3C1FC2E9" w14:textId="77777777" w:rsidR="00465964" w:rsidRPr="00465964" w:rsidRDefault="00465964" w:rsidP="00465964">
            <w:pPr>
              <w:rPr>
                <w:lang w:val="pt-PT"/>
              </w:rPr>
            </w:pPr>
            <w:r w:rsidRPr="00465964">
              <w:rPr>
                <w:lang w:val="pt-PT"/>
              </w:rPr>
              <w:t>Organizações profissionais com um interesse legítimo na proteção dos seus membros.</w:t>
            </w:r>
          </w:p>
        </w:tc>
      </w:tr>
    </w:tbl>
    <w:p w14:paraId="797E3869" w14:textId="77777777" w:rsidR="00465964" w:rsidRPr="00465964" w:rsidRDefault="00465964" w:rsidP="00465964">
      <w:pPr>
        <w:rPr>
          <w:i/>
          <w:iCs/>
          <w:lang w:val="pt-PT"/>
        </w:rPr>
      </w:pPr>
      <w:r w:rsidRPr="00465964">
        <w:rPr>
          <w:i/>
          <w:iCs/>
          <w:lang w:val="pt-PT"/>
        </w:rPr>
        <w:t>Artigo 114.</w:t>
      </w:r>
      <w:r w:rsidRPr="00465964">
        <w:rPr>
          <w:i/>
          <w:iCs/>
          <w:vertAlign w:val="superscript"/>
          <w:lang w:val="pt-PT"/>
        </w:rPr>
        <w:t>o</w:t>
      </w:r>
    </w:p>
    <w:p w14:paraId="7A471910" w14:textId="77777777" w:rsidR="00465964" w:rsidRPr="00465964" w:rsidRDefault="00465964" w:rsidP="00465964">
      <w:pPr>
        <w:rPr>
          <w:b/>
          <w:bCs/>
          <w:lang w:val="pt-PT"/>
        </w:rPr>
      </w:pPr>
      <w:r w:rsidRPr="00465964">
        <w:rPr>
          <w:b/>
          <w:bCs/>
          <w:lang w:val="pt-PT"/>
        </w:rPr>
        <w:t>Publicação das decisões</w:t>
      </w:r>
    </w:p>
    <w:p w14:paraId="14998402" w14:textId="77777777" w:rsidR="00465964" w:rsidRPr="00465964" w:rsidRDefault="00465964" w:rsidP="00465964">
      <w:pPr>
        <w:rPr>
          <w:lang w:val="pt-PT"/>
        </w:rPr>
      </w:pPr>
      <w:r w:rsidRPr="00465964">
        <w:rPr>
          <w:lang w:val="pt-PT"/>
        </w:rPr>
        <w:t>1.   As decisões que determinam a aplicação de sanções administrativas ou outras medidas administrativas por uma infração ao presente regulamento em conformidade com o artigo 111.</w:t>
      </w:r>
      <w:r w:rsidRPr="00465964">
        <w:rPr>
          <w:vertAlign w:val="superscript"/>
          <w:lang w:val="pt-PT"/>
        </w:rPr>
        <w:t>o</w:t>
      </w:r>
      <w:r w:rsidRPr="00465964">
        <w:rPr>
          <w:lang w:val="pt-PT"/>
        </w:rPr>
        <w:t> são publicadas pelas autoridades competentes no seu sítio Web oficial sem demora injustificada após a pessoa singular ou coletiva sancionada ter sido informada da decisão. A publicação deve incluir, no mínimo, informações sobre o tipo e a natureza da infração e a identidade das pessoas singulares ou coletivas responsáveis. As decisões que imponham medidas de natureza investigatória não têm de ser publicadas.</w:t>
      </w:r>
    </w:p>
    <w:p w14:paraId="606A0AAE" w14:textId="77777777" w:rsidR="00465964" w:rsidRPr="00465964" w:rsidRDefault="00465964" w:rsidP="00465964">
      <w:pPr>
        <w:rPr>
          <w:lang w:val="pt-PT"/>
        </w:rPr>
      </w:pPr>
      <w:r w:rsidRPr="00465964">
        <w:rPr>
          <w:lang w:val="pt-PT"/>
        </w:rPr>
        <w:t>2.   Se a publicação da identidade das pessoas coletivas, ou da identidade ou dos dados pessoais das pessoas singulares, for considerada desproporcionada pela autoridade competente na sequência de uma avaliação casuística efetuada quanto à proporcionalidade da publicação desses dados, ou se essa publicação puder pôr em causa uma investigação em curso, as autoridades competentes procedem de uma das seguintes formas:</w:t>
      </w:r>
    </w:p>
    <w:tbl>
      <w:tblPr>
        <w:tblW w:w="5000" w:type="pct"/>
        <w:tblCellMar>
          <w:left w:w="0" w:type="dxa"/>
          <w:right w:w="0" w:type="dxa"/>
        </w:tblCellMar>
        <w:tblLook w:val="04A0" w:firstRow="1" w:lastRow="0" w:firstColumn="1" w:lastColumn="0" w:noHBand="0" w:noVBand="1"/>
      </w:tblPr>
      <w:tblGrid>
        <w:gridCol w:w="182"/>
        <w:gridCol w:w="8844"/>
      </w:tblGrid>
      <w:tr w:rsidR="00465964" w:rsidRPr="00465964" w14:paraId="13519D73" w14:textId="77777777" w:rsidTr="00465964">
        <w:tc>
          <w:tcPr>
            <w:tcW w:w="0" w:type="auto"/>
            <w:shd w:val="clear" w:color="auto" w:fill="auto"/>
            <w:hideMark/>
          </w:tcPr>
          <w:p w14:paraId="5F2899C3" w14:textId="77777777" w:rsidR="00465964" w:rsidRPr="00465964" w:rsidRDefault="00465964" w:rsidP="00465964">
            <w:r w:rsidRPr="00465964">
              <w:t>a)</w:t>
            </w:r>
          </w:p>
        </w:tc>
        <w:tc>
          <w:tcPr>
            <w:tcW w:w="0" w:type="auto"/>
            <w:shd w:val="clear" w:color="auto" w:fill="auto"/>
            <w:hideMark/>
          </w:tcPr>
          <w:p w14:paraId="339FC4E7" w14:textId="77777777" w:rsidR="00465964" w:rsidRPr="00465964" w:rsidRDefault="00465964" w:rsidP="00465964">
            <w:pPr>
              <w:rPr>
                <w:lang w:val="pt-PT"/>
              </w:rPr>
            </w:pPr>
            <w:r w:rsidRPr="00465964">
              <w:rPr>
                <w:lang w:val="pt-PT"/>
              </w:rPr>
              <w:t>Adiam a publicação da decisão de aplicar uma sanção administrativa ou outra medida administrativa até ao momento em que deixem de se verificar as razões para a não publicação;</w:t>
            </w:r>
          </w:p>
        </w:tc>
      </w:tr>
    </w:tbl>
    <w:p w14:paraId="3D11FBDA"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8"/>
        <w:gridCol w:w="8838"/>
      </w:tblGrid>
      <w:tr w:rsidR="00465964" w:rsidRPr="00465964" w14:paraId="595BE6AD" w14:textId="77777777" w:rsidTr="00465964">
        <w:tc>
          <w:tcPr>
            <w:tcW w:w="0" w:type="auto"/>
            <w:shd w:val="clear" w:color="auto" w:fill="auto"/>
            <w:hideMark/>
          </w:tcPr>
          <w:p w14:paraId="75F7A113" w14:textId="77777777" w:rsidR="00465964" w:rsidRPr="00465964" w:rsidRDefault="00465964" w:rsidP="00465964">
            <w:r w:rsidRPr="00465964">
              <w:t>b)</w:t>
            </w:r>
          </w:p>
        </w:tc>
        <w:tc>
          <w:tcPr>
            <w:tcW w:w="0" w:type="auto"/>
            <w:shd w:val="clear" w:color="auto" w:fill="auto"/>
            <w:hideMark/>
          </w:tcPr>
          <w:p w14:paraId="37EB4FA9" w14:textId="77777777" w:rsidR="00465964" w:rsidRPr="00465964" w:rsidRDefault="00465964" w:rsidP="00465964">
            <w:pPr>
              <w:rPr>
                <w:lang w:val="pt-PT"/>
              </w:rPr>
            </w:pPr>
            <w:r w:rsidRPr="00465964">
              <w:rPr>
                <w:lang w:val="pt-PT"/>
              </w:rPr>
              <w:t>Publicam a decisão de aplicar uma sanção administrativa ou outra medida administrativa na base do anonimato em termos consentâneos com o direito nacional, se tal publicação anónima assegurar a proteção efetiva dos dados pessoais em causa;</w:t>
            </w:r>
          </w:p>
        </w:tc>
      </w:tr>
    </w:tbl>
    <w:p w14:paraId="35AD6459"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0"/>
        <w:gridCol w:w="8846"/>
      </w:tblGrid>
      <w:tr w:rsidR="00465964" w:rsidRPr="00465964" w14:paraId="20161461" w14:textId="77777777" w:rsidTr="00465964">
        <w:tc>
          <w:tcPr>
            <w:tcW w:w="0" w:type="auto"/>
            <w:shd w:val="clear" w:color="auto" w:fill="auto"/>
            <w:hideMark/>
          </w:tcPr>
          <w:p w14:paraId="57EF7A94" w14:textId="77777777" w:rsidR="00465964" w:rsidRPr="00465964" w:rsidRDefault="00465964" w:rsidP="00465964">
            <w:r w:rsidRPr="00465964">
              <w:t>c)</w:t>
            </w:r>
          </w:p>
        </w:tc>
        <w:tc>
          <w:tcPr>
            <w:tcW w:w="0" w:type="auto"/>
            <w:shd w:val="clear" w:color="auto" w:fill="auto"/>
            <w:hideMark/>
          </w:tcPr>
          <w:p w14:paraId="193E6E36" w14:textId="77777777" w:rsidR="00465964" w:rsidRPr="00465964" w:rsidRDefault="00465964" w:rsidP="00465964">
            <w:pPr>
              <w:rPr>
                <w:lang w:val="pt-PT"/>
              </w:rPr>
            </w:pPr>
            <w:r w:rsidRPr="00465964">
              <w:rPr>
                <w:lang w:val="pt-PT"/>
              </w:rPr>
              <w:t>Não publicam a decisão de aplicar uma sanção administrativa ou outra medida administrativa se as opções previstas nas alíneas a) e b) forem consideradas insuficientes para assegurar:</w:t>
            </w:r>
          </w:p>
          <w:tbl>
            <w:tblPr>
              <w:tblW w:w="5000" w:type="pct"/>
              <w:tblCellMar>
                <w:left w:w="0" w:type="dxa"/>
                <w:right w:w="0" w:type="dxa"/>
              </w:tblCellMar>
              <w:tblLook w:val="04A0" w:firstRow="1" w:lastRow="0" w:firstColumn="1" w:lastColumn="0" w:noHBand="0" w:noVBand="1"/>
            </w:tblPr>
            <w:tblGrid>
              <w:gridCol w:w="152"/>
              <w:gridCol w:w="8694"/>
            </w:tblGrid>
            <w:tr w:rsidR="00465964" w:rsidRPr="00465964" w14:paraId="34213B64" w14:textId="77777777">
              <w:tc>
                <w:tcPr>
                  <w:tcW w:w="0" w:type="auto"/>
                  <w:shd w:val="clear" w:color="auto" w:fill="auto"/>
                  <w:hideMark/>
                </w:tcPr>
                <w:p w14:paraId="0B16DD6B" w14:textId="77777777" w:rsidR="00465964" w:rsidRPr="00465964" w:rsidRDefault="00465964" w:rsidP="00465964">
                  <w:proofErr w:type="spellStart"/>
                  <w:r w:rsidRPr="00465964">
                    <w:t>i</w:t>
                  </w:r>
                  <w:proofErr w:type="spellEnd"/>
                  <w:r w:rsidRPr="00465964">
                    <w:t>)</w:t>
                  </w:r>
                </w:p>
              </w:tc>
              <w:tc>
                <w:tcPr>
                  <w:tcW w:w="0" w:type="auto"/>
                  <w:shd w:val="clear" w:color="auto" w:fill="auto"/>
                  <w:hideMark/>
                </w:tcPr>
                <w:p w14:paraId="07391682" w14:textId="77777777" w:rsidR="00465964" w:rsidRPr="00465964" w:rsidRDefault="00465964" w:rsidP="00465964">
                  <w:pPr>
                    <w:rPr>
                      <w:lang w:val="pt-PT"/>
                    </w:rPr>
                  </w:pPr>
                  <w:r w:rsidRPr="00465964">
                    <w:rPr>
                      <w:lang w:val="pt-PT"/>
                    </w:rPr>
                    <w:t>que a estabilidade dos mercados financeiros não seja posta em causa,</w:t>
                  </w:r>
                </w:p>
              </w:tc>
            </w:tr>
          </w:tbl>
          <w:p w14:paraId="79F02DB6"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70"/>
              <w:gridCol w:w="8676"/>
            </w:tblGrid>
            <w:tr w:rsidR="00465964" w:rsidRPr="00465964" w14:paraId="6C0DFDD8" w14:textId="77777777">
              <w:tc>
                <w:tcPr>
                  <w:tcW w:w="0" w:type="auto"/>
                  <w:shd w:val="clear" w:color="auto" w:fill="auto"/>
                  <w:hideMark/>
                </w:tcPr>
                <w:p w14:paraId="0E169CC6" w14:textId="77777777" w:rsidR="00465964" w:rsidRPr="00465964" w:rsidRDefault="00465964" w:rsidP="00465964">
                  <w:r w:rsidRPr="00465964">
                    <w:t>ii)</w:t>
                  </w:r>
                </w:p>
              </w:tc>
              <w:tc>
                <w:tcPr>
                  <w:tcW w:w="0" w:type="auto"/>
                  <w:shd w:val="clear" w:color="auto" w:fill="auto"/>
                  <w:hideMark/>
                </w:tcPr>
                <w:p w14:paraId="148922F0" w14:textId="77777777" w:rsidR="00465964" w:rsidRPr="00465964" w:rsidRDefault="00465964" w:rsidP="00465964">
                  <w:pPr>
                    <w:rPr>
                      <w:lang w:val="pt-PT"/>
                    </w:rPr>
                  </w:pPr>
                  <w:r w:rsidRPr="00465964">
                    <w:rPr>
                      <w:lang w:val="pt-PT"/>
                    </w:rPr>
                    <w:t>a proporcionalidade da publicação dessa decisão, relativamente a medidas consideradas de natureza menor.</w:t>
                  </w:r>
                </w:p>
              </w:tc>
            </w:tr>
          </w:tbl>
          <w:p w14:paraId="6FD02B32" w14:textId="77777777" w:rsidR="00465964" w:rsidRPr="00465964" w:rsidRDefault="00465964" w:rsidP="00465964">
            <w:pPr>
              <w:rPr>
                <w:lang w:val="pt-PT"/>
              </w:rPr>
            </w:pPr>
          </w:p>
        </w:tc>
      </w:tr>
    </w:tbl>
    <w:p w14:paraId="0A18806B" w14:textId="77777777" w:rsidR="00465964" w:rsidRPr="00465964" w:rsidRDefault="00465964" w:rsidP="00465964">
      <w:pPr>
        <w:rPr>
          <w:lang w:val="pt-PT"/>
        </w:rPr>
      </w:pPr>
      <w:r w:rsidRPr="00465964">
        <w:rPr>
          <w:lang w:val="pt-PT"/>
        </w:rPr>
        <w:t>Caso seja decidida a publicação de uma sanção administrativa ou outra medida administrativa na base do anonimato, como referido no primeiro parágrafo, alínea b), a publicação dos dados relevantes pode ser diferida durante um prazo razoável se se previr que, no decurso desse prazo, deixarão de se verificar as razões para a publicação anónima.</w:t>
      </w:r>
    </w:p>
    <w:p w14:paraId="69033EAB" w14:textId="77777777" w:rsidR="00465964" w:rsidRPr="00465964" w:rsidRDefault="00465964" w:rsidP="00465964">
      <w:pPr>
        <w:rPr>
          <w:lang w:val="pt-PT"/>
        </w:rPr>
      </w:pPr>
      <w:r w:rsidRPr="00465964">
        <w:rPr>
          <w:lang w:val="pt-PT"/>
        </w:rPr>
        <w:t xml:space="preserve">3.   Caso seja interposto recurso da decisão de aplicar uma sanção administrativa ou outra medida administrativa perante os tribunais ou os órgãos administrativos pertinentes, as </w:t>
      </w:r>
      <w:r w:rsidRPr="00465964">
        <w:rPr>
          <w:lang w:val="pt-PT"/>
        </w:rPr>
        <w:lastRenderedPageBreak/>
        <w:t>autoridades competentes publicam de imediato no seu sítio Web oficial essas informações, bem como informações posteriores relativas ao resultado desse recurso. Além disso, é também publicada qualquer decisão que anule uma decisão anterior de aplicar uma sanção administrativa ou outra medida administrativa.</w:t>
      </w:r>
    </w:p>
    <w:p w14:paraId="3C880FFF" w14:textId="77777777" w:rsidR="00465964" w:rsidRPr="00465964" w:rsidRDefault="00465964" w:rsidP="00465964">
      <w:pPr>
        <w:rPr>
          <w:lang w:val="pt-PT"/>
        </w:rPr>
      </w:pPr>
      <w:r w:rsidRPr="00465964">
        <w:rPr>
          <w:lang w:val="pt-PT"/>
        </w:rPr>
        <w:t>4.   As autoridades competentes asseguram que as publicações nos termos do presente artigo estão disponíveis no seu sítio Web oficial durante um período de pelo menos cinco anos após a sua publicação. Os dados pessoais constantes da publicação estão disponíveis no sítio Web oficial da autoridade competente apenas durante o período necessário nos termos das regras aplicáveis em matéria de proteção de dados.</w:t>
      </w:r>
    </w:p>
    <w:p w14:paraId="4ADA765D" w14:textId="77777777" w:rsidR="00465964" w:rsidRPr="00465964" w:rsidRDefault="00465964" w:rsidP="00465964">
      <w:pPr>
        <w:rPr>
          <w:i/>
          <w:iCs/>
          <w:lang w:val="pt-PT"/>
        </w:rPr>
      </w:pPr>
      <w:r w:rsidRPr="00465964">
        <w:rPr>
          <w:i/>
          <w:iCs/>
          <w:lang w:val="pt-PT"/>
        </w:rPr>
        <w:t>Artigo 115.</w:t>
      </w:r>
      <w:r w:rsidRPr="00465964">
        <w:rPr>
          <w:i/>
          <w:iCs/>
          <w:vertAlign w:val="superscript"/>
          <w:lang w:val="pt-PT"/>
        </w:rPr>
        <w:t>o</w:t>
      </w:r>
    </w:p>
    <w:p w14:paraId="39FBA7A0" w14:textId="77777777" w:rsidR="00465964" w:rsidRPr="00465964" w:rsidRDefault="00465964" w:rsidP="00465964">
      <w:pPr>
        <w:rPr>
          <w:b/>
          <w:bCs/>
          <w:lang w:val="pt-PT"/>
        </w:rPr>
      </w:pPr>
      <w:r w:rsidRPr="00465964">
        <w:rPr>
          <w:b/>
          <w:bCs/>
          <w:lang w:val="pt-PT"/>
        </w:rPr>
        <w:t>Comunicação de sanções administrativas e outras medidas administrativas à ESMA e à EBA</w:t>
      </w:r>
    </w:p>
    <w:p w14:paraId="065A76CD" w14:textId="77777777" w:rsidR="00465964" w:rsidRPr="00465964" w:rsidRDefault="00465964" w:rsidP="00465964">
      <w:pPr>
        <w:rPr>
          <w:lang w:val="pt-PT"/>
        </w:rPr>
      </w:pPr>
      <w:r w:rsidRPr="00465964">
        <w:rPr>
          <w:lang w:val="pt-PT"/>
        </w:rPr>
        <w:t>1.   A autoridade competente presta anualmente à ESMA e à EBA informações agregadas sobre todas as sanções administrativas e outras medidas administrativas aplicadas nos termos do artigo 111.</w:t>
      </w:r>
      <w:r w:rsidRPr="00465964">
        <w:rPr>
          <w:vertAlign w:val="superscript"/>
          <w:lang w:val="pt-PT"/>
        </w:rPr>
        <w:t>o</w:t>
      </w:r>
      <w:r w:rsidRPr="00465964">
        <w:rPr>
          <w:lang w:val="pt-PT"/>
        </w:rPr>
        <w:t>. A ESMA publica essas informações num relatório anual.</w:t>
      </w:r>
    </w:p>
    <w:p w14:paraId="578C497F" w14:textId="77777777" w:rsidR="00465964" w:rsidRPr="00465964" w:rsidRDefault="00465964" w:rsidP="00465964">
      <w:pPr>
        <w:rPr>
          <w:lang w:val="pt-PT"/>
        </w:rPr>
      </w:pPr>
      <w:r w:rsidRPr="00465964">
        <w:rPr>
          <w:lang w:val="pt-PT"/>
        </w:rPr>
        <w:t>Caso os Estados-Membros tenham, nos termos do artigo 111.</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1, segundo parágrafo, estabelecido sanções penais para infrações às disposições aí referidas, as suas autoridades competentes facultam anualmente à EBA e à ESMA dados anonimizados e agregados relativos a todas as investigações criminais pertinentes efetuadas e às sanções penais aplicadas. A ESMA publica num relatório anual os dados sobre as sanções penais aplicadas.</w:t>
      </w:r>
    </w:p>
    <w:p w14:paraId="3BEC81BA" w14:textId="77777777" w:rsidR="00465964" w:rsidRPr="00465964" w:rsidRDefault="00465964" w:rsidP="00465964">
      <w:pPr>
        <w:rPr>
          <w:lang w:val="pt-PT"/>
        </w:rPr>
      </w:pPr>
      <w:r w:rsidRPr="00465964">
        <w:rPr>
          <w:lang w:val="pt-PT"/>
        </w:rPr>
        <w:t>2.   Caso a autoridade competente tenha divulgado ao público sanções administrativas, outras medidas administrativas ou sanções penais, comunica-as em simultâneo à ESMA.</w:t>
      </w:r>
    </w:p>
    <w:p w14:paraId="7B398852" w14:textId="77777777" w:rsidR="00465964" w:rsidRPr="00465964" w:rsidRDefault="00465964" w:rsidP="00465964">
      <w:pPr>
        <w:rPr>
          <w:lang w:val="pt-PT"/>
        </w:rPr>
      </w:pPr>
      <w:r w:rsidRPr="00465964">
        <w:rPr>
          <w:lang w:val="pt-PT"/>
        </w:rPr>
        <w:t xml:space="preserve">3.   As autoridades competentes informam a EBA e a ESMA de todas as sanções administrativas ou outras medidas administrativas </w:t>
      </w:r>
      <w:proofErr w:type="gramStart"/>
      <w:r w:rsidRPr="00465964">
        <w:rPr>
          <w:lang w:val="pt-PT"/>
        </w:rPr>
        <w:t>aplicadas</w:t>
      </w:r>
      <w:proofErr w:type="gramEnd"/>
      <w:r w:rsidRPr="00465964">
        <w:rPr>
          <w:lang w:val="pt-PT"/>
        </w:rPr>
        <w:t xml:space="preserve"> mas não publicadas, incluindo qualquer recurso das mesmas e o seu resultado. Os Estados-Membros asseguram que as autoridades competentes recebem as informações e a decisão transitada em julgado relativa a quaisquer sanções penais aplicadas e que as transmitem à EBA e à ESMA. A ESMA mantém uma base de dados central das sanções e medidas administrativas que lhe são comunicadas exclusivamente para efeitos de troca de informações entre autoridades competentes. Essa base de dados está acessível apenas à EBA, à ESMA e às autoridades competentes e é atualizada com base nas informações prestadas pelas autoridades competentes.</w:t>
      </w:r>
    </w:p>
    <w:p w14:paraId="692FA421" w14:textId="77777777" w:rsidR="00465964" w:rsidRPr="00465964" w:rsidRDefault="00465964" w:rsidP="00465964">
      <w:pPr>
        <w:rPr>
          <w:i/>
          <w:iCs/>
          <w:lang w:val="pt-PT"/>
        </w:rPr>
      </w:pPr>
      <w:r w:rsidRPr="00465964">
        <w:rPr>
          <w:i/>
          <w:iCs/>
          <w:lang w:val="pt-PT"/>
        </w:rPr>
        <w:t>Artigo 116.</w:t>
      </w:r>
      <w:r w:rsidRPr="00465964">
        <w:rPr>
          <w:i/>
          <w:iCs/>
          <w:vertAlign w:val="superscript"/>
          <w:lang w:val="pt-PT"/>
        </w:rPr>
        <w:t>o</w:t>
      </w:r>
    </w:p>
    <w:p w14:paraId="63B86705" w14:textId="77777777" w:rsidR="00465964" w:rsidRPr="00465964" w:rsidRDefault="00465964" w:rsidP="00465964">
      <w:pPr>
        <w:rPr>
          <w:b/>
          <w:bCs/>
          <w:lang w:val="pt-PT"/>
        </w:rPr>
      </w:pPr>
      <w:r w:rsidRPr="00465964">
        <w:rPr>
          <w:b/>
          <w:bCs/>
          <w:lang w:val="pt-PT"/>
        </w:rPr>
        <w:t>Denúncia de infrações e proteção dos denunciantes</w:t>
      </w:r>
    </w:p>
    <w:p w14:paraId="34550D46" w14:textId="77777777" w:rsidR="00465964" w:rsidRPr="00465964" w:rsidRDefault="00465964" w:rsidP="00465964">
      <w:pPr>
        <w:rPr>
          <w:lang w:val="pt-PT"/>
        </w:rPr>
      </w:pPr>
      <w:r w:rsidRPr="00465964">
        <w:rPr>
          <w:lang w:val="pt-PT"/>
        </w:rPr>
        <w:t>A Diretiva (UE) 2019/1937 aplica-se à denúncia de infrações ao presente regulamento e à proteção das pessoas que as denunciam.</w:t>
      </w:r>
    </w:p>
    <w:p w14:paraId="3DEB03D5" w14:textId="77777777" w:rsidR="00465964" w:rsidRPr="00465964" w:rsidRDefault="00465964" w:rsidP="00465964">
      <w:pPr>
        <w:rPr>
          <w:b/>
          <w:bCs/>
          <w:lang w:val="pt-PT"/>
        </w:rPr>
      </w:pPr>
      <w:r w:rsidRPr="00465964">
        <w:rPr>
          <w:b/>
          <w:bCs/>
          <w:i/>
          <w:iCs/>
          <w:lang w:val="pt-PT"/>
        </w:rPr>
        <w:t>CAPÍTULO 4</w:t>
      </w:r>
    </w:p>
    <w:p w14:paraId="7BFECE34" w14:textId="160F4A6B" w:rsidR="00465964" w:rsidRPr="00465964" w:rsidRDefault="00465964" w:rsidP="00465964">
      <w:pPr>
        <w:rPr>
          <w:b/>
          <w:bCs/>
          <w:lang w:val="pt-PT"/>
        </w:rPr>
      </w:pPr>
      <w:r w:rsidRPr="00465964">
        <w:rPr>
          <w:b/>
          <w:bCs/>
          <w:i/>
          <w:iCs/>
          <w:lang w:val="pt-PT"/>
        </w:rPr>
        <w:t xml:space="preserve">Responsabilidades de supervisão da EBA em relação aos emitentes de </w:t>
      </w:r>
      <w:r>
        <w:rPr>
          <w:b/>
          <w:bCs/>
          <w:i/>
          <w:iCs/>
          <w:lang w:val="pt-PT"/>
        </w:rPr>
        <w:t>criptomoedas</w:t>
      </w:r>
      <w:r w:rsidRPr="00465964">
        <w:rPr>
          <w:b/>
          <w:bCs/>
          <w:i/>
          <w:iCs/>
          <w:lang w:val="pt-PT"/>
        </w:rPr>
        <w:t xml:space="preserve"> referenciadas a ativos significativas e de </w:t>
      </w:r>
      <w:r>
        <w:rPr>
          <w:b/>
          <w:bCs/>
          <w:i/>
          <w:iCs/>
          <w:lang w:val="pt-PT"/>
        </w:rPr>
        <w:t>criptomoedas</w:t>
      </w:r>
      <w:r w:rsidRPr="00465964">
        <w:rPr>
          <w:b/>
          <w:bCs/>
          <w:i/>
          <w:iCs/>
          <w:lang w:val="pt-PT"/>
        </w:rPr>
        <w:t xml:space="preserve"> de moeda eletrónica significativas e aos colégios de supervisão</w:t>
      </w:r>
    </w:p>
    <w:p w14:paraId="79399A32" w14:textId="77777777" w:rsidR="00465964" w:rsidRPr="00465964" w:rsidRDefault="00465964" w:rsidP="00465964">
      <w:pPr>
        <w:rPr>
          <w:i/>
          <w:iCs/>
          <w:lang w:val="pt-PT"/>
        </w:rPr>
      </w:pPr>
      <w:r w:rsidRPr="00465964">
        <w:rPr>
          <w:i/>
          <w:iCs/>
          <w:lang w:val="pt-PT"/>
        </w:rPr>
        <w:t>Artigo 117.</w:t>
      </w:r>
      <w:r w:rsidRPr="00465964">
        <w:rPr>
          <w:i/>
          <w:iCs/>
          <w:vertAlign w:val="superscript"/>
          <w:lang w:val="pt-PT"/>
        </w:rPr>
        <w:t>o</w:t>
      </w:r>
    </w:p>
    <w:p w14:paraId="31DD735D" w14:textId="7EE0F7C7" w:rsidR="00465964" w:rsidRPr="00465964" w:rsidRDefault="00465964" w:rsidP="00465964">
      <w:pPr>
        <w:rPr>
          <w:b/>
          <w:bCs/>
          <w:lang w:val="pt-PT"/>
        </w:rPr>
      </w:pPr>
      <w:r w:rsidRPr="00465964">
        <w:rPr>
          <w:b/>
          <w:bCs/>
          <w:lang w:val="pt-PT"/>
        </w:rPr>
        <w:lastRenderedPageBreak/>
        <w:t xml:space="preserve">Responsabilidades de supervisão da EBA em relação aos emitentes de </w:t>
      </w:r>
      <w:r>
        <w:rPr>
          <w:b/>
          <w:bCs/>
          <w:lang w:val="pt-PT"/>
        </w:rPr>
        <w:t>criptomoedas</w:t>
      </w:r>
      <w:r w:rsidRPr="00465964">
        <w:rPr>
          <w:b/>
          <w:bCs/>
          <w:lang w:val="pt-PT"/>
        </w:rPr>
        <w:t xml:space="preserve"> referenciadas a ativos significativas e de </w:t>
      </w:r>
      <w:r>
        <w:rPr>
          <w:b/>
          <w:bCs/>
          <w:lang w:val="pt-PT"/>
        </w:rPr>
        <w:t>criptomoedas</w:t>
      </w:r>
      <w:r w:rsidRPr="00465964">
        <w:rPr>
          <w:b/>
          <w:bCs/>
          <w:lang w:val="pt-PT"/>
        </w:rPr>
        <w:t xml:space="preserve"> de moeda eletrónica significativas</w:t>
      </w:r>
    </w:p>
    <w:p w14:paraId="179F92BA" w14:textId="77777777" w:rsidR="00465964" w:rsidRPr="00465964" w:rsidRDefault="00465964" w:rsidP="00465964">
      <w:pPr>
        <w:rPr>
          <w:lang w:val="pt-PT"/>
        </w:rPr>
      </w:pPr>
      <w:r w:rsidRPr="00465964">
        <w:rPr>
          <w:lang w:val="pt-PT"/>
        </w:rPr>
        <w:t xml:space="preserve">1.   Caso uma </w:t>
      </w:r>
      <w:proofErr w:type="spellStart"/>
      <w:r w:rsidRPr="00465964">
        <w:rPr>
          <w:lang w:val="pt-PT"/>
        </w:rPr>
        <w:t>criptoficha</w:t>
      </w:r>
      <w:proofErr w:type="spellEnd"/>
      <w:r w:rsidRPr="00465964">
        <w:rPr>
          <w:lang w:val="pt-PT"/>
        </w:rPr>
        <w:t xml:space="preserve"> referenciada a ativos tenha sido classificada como significativa nos termos do artigo 43.</w:t>
      </w:r>
      <w:r w:rsidRPr="00465964">
        <w:rPr>
          <w:vertAlign w:val="superscript"/>
          <w:lang w:val="pt-PT"/>
        </w:rPr>
        <w:t>o</w:t>
      </w:r>
      <w:r w:rsidRPr="00465964">
        <w:rPr>
          <w:lang w:val="pt-PT"/>
        </w:rPr>
        <w:t> ou 44.</w:t>
      </w:r>
      <w:r w:rsidRPr="00465964">
        <w:rPr>
          <w:vertAlign w:val="superscript"/>
          <w:lang w:val="pt-PT"/>
        </w:rPr>
        <w:t>o</w:t>
      </w:r>
      <w:r w:rsidRPr="00465964">
        <w:rPr>
          <w:lang w:val="pt-PT"/>
        </w:rPr>
        <w:t xml:space="preserve">, o emitente dessa </w:t>
      </w:r>
      <w:proofErr w:type="spellStart"/>
      <w:r w:rsidRPr="00465964">
        <w:rPr>
          <w:lang w:val="pt-PT"/>
        </w:rPr>
        <w:t>criptoficha</w:t>
      </w:r>
      <w:proofErr w:type="spellEnd"/>
      <w:r w:rsidRPr="00465964">
        <w:rPr>
          <w:lang w:val="pt-PT"/>
        </w:rPr>
        <w:t xml:space="preserve"> exerce as suas atividades sob a supervisão da EBA.</w:t>
      </w:r>
    </w:p>
    <w:p w14:paraId="5FCC982D" w14:textId="52FC7120" w:rsidR="00465964" w:rsidRPr="00465964" w:rsidRDefault="00465964" w:rsidP="00465964">
      <w:pPr>
        <w:rPr>
          <w:lang w:val="pt-PT"/>
        </w:rPr>
      </w:pPr>
      <w:r w:rsidRPr="00465964">
        <w:rPr>
          <w:lang w:val="pt-PT"/>
        </w:rPr>
        <w:t xml:space="preserve">Sem prejuízo dos poderes das autoridades nacionais competentes nos termos do </w:t>
      </w:r>
      <w:proofErr w:type="spellStart"/>
      <w:proofErr w:type="gramStart"/>
      <w:r w:rsidRPr="00465964">
        <w:rPr>
          <w:lang w:val="pt-PT"/>
        </w:rPr>
        <w:t>n.</w:t>
      </w:r>
      <w:r w:rsidRPr="00465964">
        <w:rPr>
          <w:vertAlign w:val="superscript"/>
          <w:lang w:val="pt-PT"/>
        </w:rPr>
        <w:t>o</w:t>
      </w:r>
      <w:proofErr w:type="spellEnd"/>
      <w:proofErr w:type="gramEnd"/>
      <w:r w:rsidRPr="00465964">
        <w:rPr>
          <w:lang w:val="pt-PT"/>
        </w:rPr>
        <w:t> 2 do presente artigo, a EBA exerce os poderes das autoridades competentes conferidos pelos artigos 22.</w:t>
      </w:r>
      <w:r w:rsidRPr="00465964">
        <w:rPr>
          <w:vertAlign w:val="superscript"/>
          <w:lang w:val="pt-PT"/>
        </w:rPr>
        <w:t>o</w:t>
      </w:r>
      <w:r w:rsidRPr="00465964">
        <w:rPr>
          <w:lang w:val="pt-PT"/>
        </w:rPr>
        <w:t> a 25.</w:t>
      </w:r>
      <w:r w:rsidRPr="00465964">
        <w:rPr>
          <w:vertAlign w:val="superscript"/>
          <w:lang w:val="pt-PT"/>
        </w:rPr>
        <w:t>o</w:t>
      </w:r>
      <w:r w:rsidRPr="00465964">
        <w:rPr>
          <w:lang w:val="pt-PT"/>
        </w:rPr>
        <w:t>, 29.</w:t>
      </w:r>
      <w:r w:rsidRPr="00465964">
        <w:rPr>
          <w:vertAlign w:val="superscript"/>
          <w:lang w:val="pt-PT"/>
        </w:rPr>
        <w:t>o</w:t>
      </w:r>
      <w:r w:rsidRPr="00465964">
        <w:rPr>
          <w:lang w:val="pt-PT"/>
        </w:rPr>
        <w:t> e 33.</w:t>
      </w:r>
      <w:r w:rsidRPr="00465964">
        <w:rPr>
          <w:vertAlign w:val="superscript"/>
          <w:lang w:val="pt-PT"/>
        </w:rPr>
        <w:t>o</w:t>
      </w:r>
      <w:r w:rsidRPr="00465964">
        <w:rPr>
          <w:lang w:val="pt-PT"/>
        </w:rPr>
        <w:t>, pelo artigo 34.</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os</w:t>
      </w:r>
      <w:proofErr w:type="spellEnd"/>
      <w:r w:rsidRPr="00465964">
        <w:rPr>
          <w:lang w:val="pt-PT"/>
        </w:rPr>
        <w:t> 7 e 12, pelo artigo 35.</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os</w:t>
      </w:r>
      <w:proofErr w:type="spellEnd"/>
      <w:r w:rsidRPr="00465964">
        <w:rPr>
          <w:lang w:val="pt-PT"/>
        </w:rPr>
        <w:t> 3 e 5, pelo artigo 36.</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10, e pelos artigos 41.</w:t>
      </w:r>
      <w:r w:rsidRPr="00465964">
        <w:rPr>
          <w:vertAlign w:val="superscript"/>
          <w:lang w:val="pt-PT"/>
        </w:rPr>
        <w:t>o</w:t>
      </w:r>
      <w:r w:rsidRPr="00465964">
        <w:rPr>
          <w:lang w:val="pt-PT"/>
        </w:rPr>
        <w:t>, 42.</w:t>
      </w:r>
      <w:r w:rsidRPr="00465964">
        <w:rPr>
          <w:vertAlign w:val="superscript"/>
          <w:lang w:val="pt-PT"/>
        </w:rPr>
        <w:t>o</w:t>
      </w:r>
      <w:r w:rsidRPr="00465964">
        <w:rPr>
          <w:lang w:val="pt-PT"/>
        </w:rPr>
        <w:t>, 46.</w:t>
      </w:r>
      <w:r w:rsidRPr="00465964">
        <w:rPr>
          <w:vertAlign w:val="superscript"/>
          <w:lang w:val="pt-PT"/>
        </w:rPr>
        <w:t>o</w:t>
      </w:r>
      <w:r w:rsidRPr="00465964">
        <w:rPr>
          <w:lang w:val="pt-PT"/>
        </w:rPr>
        <w:t> e 47.</w:t>
      </w:r>
      <w:r w:rsidRPr="00465964">
        <w:rPr>
          <w:vertAlign w:val="superscript"/>
          <w:lang w:val="pt-PT"/>
        </w:rPr>
        <w:t>o</w:t>
      </w:r>
      <w:r w:rsidRPr="00465964">
        <w:rPr>
          <w:lang w:val="pt-PT"/>
        </w:rPr>
        <w:t xml:space="preserve"> em relação aos emitentes de </w:t>
      </w:r>
      <w:r>
        <w:rPr>
          <w:lang w:val="pt-PT"/>
        </w:rPr>
        <w:t>criptomoedas</w:t>
      </w:r>
      <w:r w:rsidRPr="00465964">
        <w:rPr>
          <w:lang w:val="pt-PT"/>
        </w:rPr>
        <w:t xml:space="preserve"> referenciadas a ativos significativas.</w:t>
      </w:r>
    </w:p>
    <w:p w14:paraId="46F6CF70" w14:textId="690E49B7" w:rsidR="00465964" w:rsidRPr="00465964" w:rsidRDefault="00465964" w:rsidP="00465964">
      <w:pPr>
        <w:rPr>
          <w:lang w:val="pt-PT"/>
        </w:rPr>
      </w:pPr>
      <w:r w:rsidRPr="00465964">
        <w:rPr>
          <w:lang w:val="pt-PT"/>
        </w:rPr>
        <w:t xml:space="preserve">2.   Caso um emitente de uma </w:t>
      </w:r>
      <w:proofErr w:type="spellStart"/>
      <w:r w:rsidRPr="00465964">
        <w:rPr>
          <w:lang w:val="pt-PT"/>
        </w:rPr>
        <w:t>criptoficha</w:t>
      </w:r>
      <w:proofErr w:type="spellEnd"/>
      <w:r w:rsidRPr="00465964">
        <w:rPr>
          <w:lang w:val="pt-PT"/>
        </w:rPr>
        <w:t xml:space="preserve"> referenciada a ativos significativa também preste serviços de criptoativos ou emita criptoativos que não sejam </w:t>
      </w:r>
      <w:r>
        <w:rPr>
          <w:lang w:val="pt-PT"/>
        </w:rPr>
        <w:t>criptomoedas</w:t>
      </w:r>
      <w:r w:rsidRPr="00465964">
        <w:rPr>
          <w:lang w:val="pt-PT"/>
        </w:rPr>
        <w:t xml:space="preserve"> referenciadas a ativos significativas, esses serviços e atividades permanecem sob a supervisão da autoridade competente do Estado-Membro de origem.</w:t>
      </w:r>
    </w:p>
    <w:p w14:paraId="0580D468" w14:textId="77777777" w:rsidR="00465964" w:rsidRPr="00465964" w:rsidRDefault="00465964" w:rsidP="00465964">
      <w:pPr>
        <w:rPr>
          <w:lang w:val="pt-PT"/>
        </w:rPr>
      </w:pPr>
      <w:r w:rsidRPr="00465964">
        <w:rPr>
          <w:lang w:val="pt-PT"/>
        </w:rPr>
        <w:t xml:space="preserve">3.   Caso uma </w:t>
      </w:r>
      <w:proofErr w:type="spellStart"/>
      <w:r w:rsidRPr="00465964">
        <w:rPr>
          <w:lang w:val="pt-PT"/>
        </w:rPr>
        <w:t>criptoficha</w:t>
      </w:r>
      <w:proofErr w:type="spellEnd"/>
      <w:r w:rsidRPr="00465964">
        <w:rPr>
          <w:lang w:val="pt-PT"/>
        </w:rPr>
        <w:t xml:space="preserve"> referenciada a ativos tenha sido classificada como significativa nos termos do artigo 43.</w:t>
      </w:r>
      <w:r w:rsidRPr="00465964">
        <w:rPr>
          <w:vertAlign w:val="superscript"/>
          <w:lang w:val="pt-PT"/>
        </w:rPr>
        <w:t>o</w:t>
      </w:r>
      <w:r w:rsidRPr="00465964">
        <w:rPr>
          <w:lang w:val="pt-PT"/>
        </w:rPr>
        <w:t>, a EBA conduz uma reavaliação de supervisão para assegurar que o emitente cumpre o disposto no título III.</w:t>
      </w:r>
    </w:p>
    <w:p w14:paraId="3A614FA8" w14:textId="77777777" w:rsidR="00465964" w:rsidRPr="00465964" w:rsidRDefault="00465964" w:rsidP="00465964">
      <w:pPr>
        <w:rPr>
          <w:lang w:val="pt-PT"/>
        </w:rPr>
      </w:pPr>
      <w:r w:rsidRPr="00465964">
        <w:rPr>
          <w:lang w:val="pt-PT"/>
        </w:rPr>
        <w:t xml:space="preserve">4.   Caso uma </w:t>
      </w:r>
      <w:proofErr w:type="spellStart"/>
      <w:r w:rsidRPr="00465964">
        <w:rPr>
          <w:lang w:val="pt-PT"/>
        </w:rPr>
        <w:t>criptoficha</w:t>
      </w:r>
      <w:proofErr w:type="spellEnd"/>
      <w:r w:rsidRPr="00465964">
        <w:rPr>
          <w:lang w:val="pt-PT"/>
        </w:rPr>
        <w:t xml:space="preserve"> de moeda eletrónica emitida por uma instituição de moeda eletrónica tenha sido classificada como significativa nos termos dos artigos 56.</w:t>
      </w:r>
      <w:r w:rsidRPr="00465964">
        <w:rPr>
          <w:vertAlign w:val="superscript"/>
          <w:lang w:val="pt-PT"/>
        </w:rPr>
        <w:t>o</w:t>
      </w:r>
      <w:r w:rsidRPr="00465964">
        <w:rPr>
          <w:lang w:val="pt-PT"/>
        </w:rPr>
        <w:t> ou 57.</w:t>
      </w:r>
      <w:r w:rsidRPr="00465964">
        <w:rPr>
          <w:vertAlign w:val="superscript"/>
          <w:lang w:val="pt-PT"/>
        </w:rPr>
        <w:t>o</w:t>
      </w:r>
      <w:r w:rsidRPr="00465964">
        <w:rPr>
          <w:lang w:val="pt-PT"/>
        </w:rPr>
        <w:t>, a EBA supervisiona o cumprimento do disposto nos artigos 55.</w:t>
      </w:r>
      <w:r w:rsidRPr="00465964">
        <w:rPr>
          <w:vertAlign w:val="superscript"/>
          <w:lang w:val="pt-PT"/>
        </w:rPr>
        <w:t>o</w:t>
      </w:r>
      <w:r w:rsidRPr="00465964">
        <w:rPr>
          <w:lang w:val="pt-PT"/>
        </w:rPr>
        <w:t> e 58.</w:t>
      </w:r>
      <w:r w:rsidRPr="00465964">
        <w:rPr>
          <w:vertAlign w:val="superscript"/>
          <w:lang w:val="pt-PT"/>
        </w:rPr>
        <w:t>o</w:t>
      </w:r>
      <w:r w:rsidRPr="00465964">
        <w:rPr>
          <w:lang w:val="pt-PT"/>
        </w:rPr>
        <w:t xml:space="preserve"> pelo emitente dessa </w:t>
      </w:r>
      <w:proofErr w:type="spellStart"/>
      <w:r w:rsidRPr="00465964">
        <w:rPr>
          <w:lang w:val="pt-PT"/>
        </w:rPr>
        <w:t>criptoficha</w:t>
      </w:r>
      <w:proofErr w:type="spellEnd"/>
      <w:r w:rsidRPr="00465964">
        <w:rPr>
          <w:lang w:val="pt-PT"/>
        </w:rPr>
        <w:t xml:space="preserve"> de moeda eletrónica significativa.</w:t>
      </w:r>
    </w:p>
    <w:p w14:paraId="4239AA83" w14:textId="74C19D5C" w:rsidR="00465964" w:rsidRPr="00465964" w:rsidRDefault="00465964" w:rsidP="00465964">
      <w:pPr>
        <w:rPr>
          <w:lang w:val="pt-PT"/>
        </w:rPr>
      </w:pPr>
      <w:r w:rsidRPr="00465964">
        <w:rPr>
          <w:lang w:val="pt-PT"/>
        </w:rPr>
        <w:t xml:space="preserve">Para efeitos da supervisão relativa ao cumprimento dos artigos </w:t>
      </w:r>
      <w:proofErr w:type="gramStart"/>
      <w:r w:rsidRPr="00465964">
        <w:rPr>
          <w:lang w:val="pt-PT"/>
        </w:rPr>
        <w:t>55.</w:t>
      </w:r>
      <w:r w:rsidRPr="00465964">
        <w:rPr>
          <w:vertAlign w:val="superscript"/>
          <w:lang w:val="pt-PT"/>
        </w:rPr>
        <w:t>o</w:t>
      </w:r>
      <w:proofErr w:type="gramEnd"/>
      <w:r w:rsidRPr="00465964">
        <w:rPr>
          <w:lang w:val="pt-PT"/>
        </w:rPr>
        <w:t> e 58.</w:t>
      </w:r>
      <w:r w:rsidRPr="00465964">
        <w:rPr>
          <w:vertAlign w:val="superscript"/>
          <w:lang w:val="pt-PT"/>
        </w:rPr>
        <w:t>o</w:t>
      </w:r>
      <w:r w:rsidRPr="00465964">
        <w:rPr>
          <w:lang w:val="pt-PT"/>
        </w:rPr>
        <w:t>, a EBA exerce os poderes das autoridades competentes que lhes são conferidos pelos artigos 22.</w:t>
      </w:r>
      <w:r w:rsidRPr="00465964">
        <w:rPr>
          <w:vertAlign w:val="superscript"/>
          <w:lang w:val="pt-PT"/>
        </w:rPr>
        <w:t>o</w:t>
      </w:r>
      <w:r w:rsidRPr="00465964">
        <w:rPr>
          <w:lang w:val="pt-PT"/>
        </w:rPr>
        <w:t> e 23.</w:t>
      </w:r>
      <w:r w:rsidRPr="00465964">
        <w:rPr>
          <w:vertAlign w:val="superscript"/>
          <w:lang w:val="pt-PT"/>
        </w:rPr>
        <w:t>o</w:t>
      </w:r>
      <w:r w:rsidRPr="00465964">
        <w:rPr>
          <w:lang w:val="pt-PT"/>
        </w:rPr>
        <w:t>, pelo artigo 24.</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3, pelo artigo 35.</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os</w:t>
      </w:r>
      <w:proofErr w:type="spellEnd"/>
      <w:r w:rsidRPr="00465964">
        <w:rPr>
          <w:lang w:val="pt-PT"/>
        </w:rPr>
        <w:t> 3 e 5, pelo artigo 36.</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10, e pelos artigos 46.</w:t>
      </w:r>
      <w:r w:rsidRPr="00465964">
        <w:rPr>
          <w:vertAlign w:val="superscript"/>
          <w:lang w:val="pt-PT"/>
        </w:rPr>
        <w:t>o</w:t>
      </w:r>
      <w:r w:rsidRPr="00465964">
        <w:rPr>
          <w:lang w:val="pt-PT"/>
        </w:rPr>
        <w:t> e 47.</w:t>
      </w:r>
      <w:r w:rsidRPr="00465964">
        <w:rPr>
          <w:vertAlign w:val="superscript"/>
          <w:lang w:val="pt-PT"/>
        </w:rPr>
        <w:t>o</w:t>
      </w:r>
      <w:r w:rsidRPr="00465964">
        <w:rPr>
          <w:lang w:val="pt-PT"/>
        </w:rPr>
        <w:t xml:space="preserve"> em relação às instituições de moeda eletrónica que emitem </w:t>
      </w:r>
      <w:r>
        <w:rPr>
          <w:lang w:val="pt-PT"/>
        </w:rPr>
        <w:t>criptomoedas</w:t>
      </w:r>
      <w:r w:rsidRPr="00465964">
        <w:rPr>
          <w:lang w:val="pt-PT"/>
        </w:rPr>
        <w:t xml:space="preserve"> de moeda eletrónica significativas.</w:t>
      </w:r>
    </w:p>
    <w:p w14:paraId="394F2C32" w14:textId="77777777" w:rsidR="00465964" w:rsidRPr="00465964" w:rsidRDefault="00465964" w:rsidP="00465964">
      <w:pPr>
        <w:rPr>
          <w:lang w:val="pt-PT"/>
        </w:rPr>
      </w:pPr>
      <w:r w:rsidRPr="00465964">
        <w:rPr>
          <w:lang w:val="pt-PT"/>
        </w:rPr>
        <w:t xml:space="preserve">5.   A EBA exerce os seus poderes de supervisão previstos nos </w:t>
      </w:r>
      <w:proofErr w:type="spellStart"/>
      <w:proofErr w:type="gramStart"/>
      <w:r w:rsidRPr="00465964">
        <w:rPr>
          <w:lang w:val="pt-PT"/>
        </w:rPr>
        <w:t>n.</w:t>
      </w:r>
      <w:r w:rsidRPr="00465964">
        <w:rPr>
          <w:vertAlign w:val="superscript"/>
          <w:lang w:val="pt-PT"/>
        </w:rPr>
        <w:t>os</w:t>
      </w:r>
      <w:proofErr w:type="spellEnd"/>
      <w:proofErr w:type="gramEnd"/>
      <w:r w:rsidRPr="00465964">
        <w:rPr>
          <w:lang w:val="pt-PT"/>
        </w:rPr>
        <w:t> 1 a 4 em estreita cooperação com as outras autoridades competentes responsáveis pela supervisão do emitente, em especial:</w:t>
      </w:r>
    </w:p>
    <w:tbl>
      <w:tblPr>
        <w:tblW w:w="5000" w:type="pct"/>
        <w:tblCellMar>
          <w:left w:w="0" w:type="dxa"/>
          <w:right w:w="0" w:type="dxa"/>
        </w:tblCellMar>
        <w:tblLook w:val="04A0" w:firstRow="1" w:lastRow="0" w:firstColumn="1" w:lastColumn="0" w:noHBand="0" w:noVBand="1"/>
      </w:tblPr>
      <w:tblGrid>
        <w:gridCol w:w="182"/>
        <w:gridCol w:w="8844"/>
      </w:tblGrid>
      <w:tr w:rsidR="00465964" w:rsidRPr="00465964" w14:paraId="2FD1501D" w14:textId="77777777" w:rsidTr="00465964">
        <w:tc>
          <w:tcPr>
            <w:tcW w:w="0" w:type="auto"/>
            <w:shd w:val="clear" w:color="auto" w:fill="auto"/>
            <w:hideMark/>
          </w:tcPr>
          <w:p w14:paraId="2D5F5461" w14:textId="77777777" w:rsidR="00465964" w:rsidRPr="00465964" w:rsidRDefault="00465964" w:rsidP="00465964">
            <w:r w:rsidRPr="00465964">
              <w:t>a)</w:t>
            </w:r>
          </w:p>
        </w:tc>
        <w:tc>
          <w:tcPr>
            <w:tcW w:w="0" w:type="auto"/>
            <w:shd w:val="clear" w:color="auto" w:fill="auto"/>
            <w:hideMark/>
          </w:tcPr>
          <w:p w14:paraId="3D34DB64" w14:textId="77777777" w:rsidR="00465964" w:rsidRPr="00465964" w:rsidRDefault="00465964" w:rsidP="00465964">
            <w:pPr>
              <w:rPr>
                <w:lang w:val="pt-PT"/>
              </w:rPr>
            </w:pPr>
            <w:r w:rsidRPr="00465964">
              <w:rPr>
                <w:lang w:val="pt-PT"/>
              </w:rPr>
              <w:t xml:space="preserve">A autoridade de supervisão prudencial, nomeadamente, se for caso disso, o BCE, nos termos do Regulamento (UE) </w:t>
            </w:r>
            <w:proofErr w:type="spellStart"/>
            <w:r w:rsidRPr="00465964">
              <w:rPr>
                <w:lang w:val="pt-PT"/>
              </w:rPr>
              <w:t>n.</w:t>
            </w:r>
            <w:r w:rsidRPr="00465964">
              <w:rPr>
                <w:vertAlign w:val="superscript"/>
                <w:lang w:val="pt-PT"/>
              </w:rPr>
              <w:t>o</w:t>
            </w:r>
            <w:proofErr w:type="spellEnd"/>
            <w:r w:rsidRPr="00465964">
              <w:rPr>
                <w:lang w:val="pt-PT"/>
              </w:rPr>
              <w:t> 1024/2013;</w:t>
            </w:r>
          </w:p>
        </w:tc>
      </w:tr>
    </w:tbl>
    <w:p w14:paraId="0BFB38A3"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8"/>
        <w:gridCol w:w="8838"/>
      </w:tblGrid>
      <w:tr w:rsidR="00465964" w:rsidRPr="00465964" w14:paraId="664FCD1D" w14:textId="77777777" w:rsidTr="00465964">
        <w:tc>
          <w:tcPr>
            <w:tcW w:w="0" w:type="auto"/>
            <w:shd w:val="clear" w:color="auto" w:fill="auto"/>
            <w:hideMark/>
          </w:tcPr>
          <w:p w14:paraId="3FB87F5C" w14:textId="77777777" w:rsidR="00465964" w:rsidRPr="00465964" w:rsidRDefault="00465964" w:rsidP="00465964">
            <w:r w:rsidRPr="00465964">
              <w:t>b)</w:t>
            </w:r>
          </w:p>
        </w:tc>
        <w:tc>
          <w:tcPr>
            <w:tcW w:w="0" w:type="auto"/>
            <w:shd w:val="clear" w:color="auto" w:fill="auto"/>
            <w:hideMark/>
          </w:tcPr>
          <w:p w14:paraId="23FAC477" w14:textId="77777777" w:rsidR="00465964" w:rsidRPr="00465964" w:rsidRDefault="00465964" w:rsidP="00465964">
            <w:pPr>
              <w:rPr>
                <w:lang w:val="pt-PT"/>
              </w:rPr>
            </w:pPr>
            <w:r w:rsidRPr="00465964">
              <w:rPr>
                <w:lang w:val="pt-PT"/>
              </w:rPr>
              <w:t>As autoridades competentes pertinentes nos termos do direito nacional que transpõe a Diretiva 2009/110/CE, se for caso disso;</w:t>
            </w:r>
          </w:p>
        </w:tc>
      </w:tr>
    </w:tbl>
    <w:p w14:paraId="1E7CC11B"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266"/>
        <w:gridCol w:w="8760"/>
      </w:tblGrid>
      <w:tr w:rsidR="00465964" w:rsidRPr="00465964" w14:paraId="51126F47" w14:textId="77777777" w:rsidTr="00465964">
        <w:tc>
          <w:tcPr>
            <w:tcW w:w="0" w:type="auto"/>
            <w:shd w:val="clear" w:color="auto" w:fill="auto"/>
            <w:hideMark/>
          </w:tcPr>
          <w:p w14:paraId="3308EE0B" w14:textId="77777777" w:rsidR="00465964" w:rsidRPr="00465964" w:rsidRDefault="00465964" w:rsidP="00465964">
            <w:r w:rsidRPr="00465964">
              <w:t>c)</w:t>
            </w:r>
          </w:p>
        </w:tc>
        <w:tc>
          <w:tcPr>
            <w:tcW w:w="0" w:type="auto"/>
            <w:shd w:val="clear" w:color="auto" w:fill="auto"/>
            <w:hideMark/>
          </w:tcPr>
          <w:p w14:paraId="78A0EF8A" w14:textId="77777777" w:rsidR="00465964" w:rsidRPr="00465964" w:rsidRDefault="00465964" w:rsidP="00465964">
            <w:pPr>
              <w:rPr>
                <w:lang w:val="pt-PT"/>
              </w:rPr>
            </w:pPr>
            <w:r w:rsidRPr="00465964">
              <w:rPr>
                <w:lang w:val="pt-PT"/>
              </w:rPr>
              <w:t>As autoridades competentes a que se refere o artigo 20.</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1.</w:t>
            </w:r>
          </w:p>
        </w:tc>
      </w:tr>
    </w:tbl>
    <w:p w14:paraId="4B43D13B" w14:textId="77777777" w:rsidR="00465964" w:rsidRPr="00465964" w:rsidRDefault="00465964" w:rsidP="00465964">
      <w:pPr>
        <w:rPr>
          <w:i/>
          <w:iCs/>
          <w:lang w:val="pt-PT"/>
        </w:rPr>
      </w:pPr>
      <w:r w:rsidRPr="00465964">
        <w:rPr>
          <w:i/>
          <w:iCs/>
          <w:lang w:val="pt-PT"/>
        </w:rPr>
        <w:t>Artigo 118.</w:t>
      </w:r>
      <w:r w:rsidRPr="00465964">
        <w:rPr>
          <w:i/>
          <w:iCs/>
          <w:vertAlign w:val="superscript"/>
          <w:lang w:val="pt-PT"/>
        </w:rPr>
        <w:t>o</w:t>
      </w:r>
    </w:p>
    <w:p w14:paraId="03BEA77E" w14:textId="77777777" w:rsidR="00465964" w:rsidRPr="00465964" w:rsidRDefault="00465964" w:rsidP="00465964">
      <w:pPr>
        <w:rPr>
          <w:b/>
          <w:bCs/>
          <w:lang w:val="pt-PT"/>
        </w:rPr>
      </w:pPr>
      <w:r w:rsidRPr="00465964">
        <w:rPr>
          <w:b/>
          <w:bCs/>
          <w:lang w:val="pt-PT"/>
        </w:rPr>
        <w:t>Comité de criptoativos da EBA</w:t>
      </w:r>
    </w:p>
    <w:p w14:paraId="442C4532" w14:textId="77777777" w:rsidR="00465964" w:rsidRPr="00465964" w:rsidRDefault="00465964" w:rsidP="00465964">
      <w:pPr>
        <w:rPr>
          <w:lang w:val="pt-PT"/>
        </w:rPr>
      </w:pPr>
      <w:r w:rsidRPr="00465964">
        <w:rPr>
          <w:lang w:val="pt-PT"/>
        </w:rPr>
        <w:t>1.   A EBA cria um comité interno permanente, nos termos do artigo 41.</w:t>
      </w:r>
      <w:r w:rsidRPr="00465964">
        <w:rPr>
          <w:vertAlign w:val="superscript"/>
          <w:lang w:val="pt-PT"/>
        </w:rPr>
        <w:t>o</w:t>
      </w:r>
      <w:r w:rsidRPr="00465964">
        <w:rPr>
          <w:lang w:val="pt-PT"/>
        </w:rPr>
        <w:t xml:space="preserve"> do Regulamento (UE) </w:t>
      </w:r>
      <w:proofErr w:type="spellStart"/>
      <w:r w:rsidRPr="00465964">
        <w:rPr>
          <w:lang w:val="pt-PT"/>
        </w:rPr>
        <w:t>n.</w:t>
      </w:r>
      <w:r w:rsidRPr="00465964">
        <w:rPr>
          <w:vertAlign w:val="superscript"/>
          <w:lang w:val="pt-PT"/>
        </w:rPr>
        <w:t>o</w:t>
      </w:r>
      <w:proofErr w:type="spellEnd"/>
      <w:r w:rsidRPr="00465964">
        <w:rPr>
          <w:lang w:val="pt-PT"/>
        </w:rPr>
        <w:t> 1093/2010, encarregado de preparar as decisões da EBA a tomar nos termos do artigo 44.</w:t>
      </w:r>
      <w:r w:rsidRPr="00465964">
        <w:rPr>
          <w:vertAlign w:val="superscript"/>
          <w:lang w:val="pt-PT"/>
        </w:rPr>
        <w:t>o</w:t>
      </w:r>
      <w:r w:rsidRPr="00465964">
        <w:rPr>
          <w:lang w:val="pt-PT"/>
        </w:rPr>
        <w:t> do referido regulamento, nomeadamente decisões respeitantes às funções de supervisão atribuídas à EBA pelo presente regulamento.</w:t>
      </w:r>
    </w:p>
    <w:p w14:paraId="71676062" w14:textId="77777777" w:rsidR="00465964" w:rsidRPr="00465964" w:rsidRDefault="00465964" w:rsidP="00465964">
      <w:pPr>
        <w:rPr>
          <w:lang w:val="pt-PT"/>
        </w:rPr>
      </w:pPr>
      <w:r w:rsidRPr="00465964">
        <w:rPr>
          <w:lang w:val="pt-PT"/>
        </w:rPr>
        <w:lastRenderedPageBreak/>
        <w:t>2.   O comité de criptoativos pode também preparar decisões relativas a projetos de normas técnicas de regulamentação e projetos de normas técnicas de execução respeitantes às funções de supervisão atribuídas à EBA pelo presente regulamento.</w:t>
      </w:r>
    </w:p>
    <w:p w14:paraId="25E98BE9" w14:textId="77777777" w:rsidR="00465964" w:rsidRPr="00465964" w:rsidRDefault="00465964" w:rsidP="00465964">
      <w:pPr>
        <w:rPr>
          <w:lang w:val="pt-PT"/>
        </w:rPr>
      </w:pPr>
      <w:r w:rsidRPr="00465964">
        <w:rPr>
          <w:lang w:val="pt-PT"/>
        </w:rPr>
        <w:t xml:space="preserve">3.   A EBA assegura que o comité de criptoativos exerce apenas as atividades referidas nos </w:t>
      </w:r>
      <w:proofErr w:type="spellStart"/>
      <w:proofErr w:type="gramStart"/>
      <w:r w:rsidRPr="00465964">
        <w:rPr>
          <w:lang w:val="pt-PT"/>
        </w:rPr>
        <w:t>n.</w:t>
      </w:r>
      <w:r w:rsidRPr="00465964">
        <w:rPr>
          <w:vertAlign w:val="superscript"/>
          <w:lang w:val="pt-PT"/>
        </w:rPr>
        <w:t>os</w:t>
      </w:r>
      <w:proofErr w:type="spellEnd"/>
      <w:proofErr w:type="gramEnd"/>
      <w:r w:rsidRPr="00465964">
        <w:rPr>
          <w:lang w:val="pt-PT"/>
        </w:rPr>
        <w:t> 1 e 2 e quaisquer outras funções necessárias ao exercício das suas atividades relacionadas com criptoativos.</w:t>
      </w:r>
    </w:p>
    <w:p w14:paraId="0BA92A50" w14:textId="77777777" w:rsidR="00465964" w:rsidRPr="00465964" w:rsidRDefault="00465964" w:rsidP="00465964">
      <w:pPr>
        <w:rPr>
          <w:i/>
          <w:iCs/>
          <w:lang w:val="pt-PT"/>
        </w:rPr>
      </w:pPr>
      <w:r w:rsidRPr="00465964">
        <w:rPr>
          <w:i/>
          <w:iCs/>
          <w:lang w:val="pt-PT"/>
        </w:rPr>
        <w:t>Artigo 119.</w:t>
      </w:r>
      <w:r w:rsidRPr="00465964">
        <w:rPr>
          <w:i/>
          <w:iCs/>
          <w:vertAlign w:val="superscript"/>
          <w:lang w:val="pt-PT"/>
        </w:rPr>
        <w:t>o</w:t>
      </w:r>
    </w:p>
    <w:p w14:paraId="73C8E92B" w14:textId="7C2809A5" w:rsidR="00465964" w:rsidRPr="00465964" w:rsidRDefault="00465964" w:rsidP="00465964">
      <w:pPr>
        <w:rPr>
          <w:b/>
          <w:bCs/>
          <w:lang w:val="pt-PT"/>
        </w:rPr>
      </w:pPr>
      <w:r w:rsidRPr="00465964">
        <w:rPr>
          <w:b/>
          <w:bCs/>
          <w:lang w:val="pt-PT"/>
        </w:rPr>
        <w:t xml:space="preserve">Colégios para emitentes de </w:t>
      </w:r>
      <w:r>
        <w:rPr>
          <w:b/>
          <w:bCs/>
          <w:lang w:val="pt-PT"/>
        </w:rPr>
        <w:t>criptomoedas</w:t>
      </w:r>
      <w:r w:rsidRPr="00465964">
        <w:rPr>
          <w:b/>
          <w:bCs/>
          <w:lang w:val="pt-PT"/>
        </w:rPr>
        <w:t xml:space="preserve"> referenciadas a ativos significativas e de </w:t>
      </w:r>
      <w:r>
        <w:rPr>
          <w:b/>
          <w:bCs/>
          <w:lang w:val="pt-PT"/>
        </w:rPr>
        <w:t>criptomoedas</w:t>
      </w:r>
      <w:r w:rsidRPr="00465964">
        <w:rPr>
          <w:b/>
          <w:bCs/>
          <w:lang w:val="pt-PT"/>
        </w:rPr>
        <w:t xml:space="preserve"> de moeda eletrónica significativas</w:t>
      </w:r>
    </w:p>
    <w:p w14:paraId="7DA619F8" w14:textId="77777777" w:rsidR="00465964" w:rsidRPr="00465964" w:rsidRDefault="00465964" w:rsidP="00465964">
      <w:pPr>
        <w:rPr>
          <w:lang w:val="pt-PT"/>
        </w:rPr>
      </w:pPr>
      <w:r w:rsidRPr="00465964">
        <w:rPr>
          <w:lang w:val="pt-PT"/>
        </w:rPr>
        <w:t xml:space="preserve">1.   No prazo de 30 dias de calendário a contar de uma decisão que classifique uma </w:t>
      </w:r>
      <w:proofErr w:type="spellStart"/>
      <w:r w:rsidRPr="00465964">
        <w:rPr>
          <w:lang w:val="pt-PT"/>
        </w:rPr>
        <w:t>criptoficha</w:t>
      </w:r>
      <w:proofErr w:type="spellEnd"/>
      <w:r w:rsidRPr="00465964">
        <w:rPr>
          <w:lang w:val="pt-PT"/>
        </w:rPr>
        <w:t xml:space="preserve"> referenciada a ativos ou uma </w:t>
      </w:r>
      <w:proofErr w:type="spellStart"/>
      <w:r w:rsidRPr="00465964">
        <w:rPr>
          <w:lang w:val="pt-PT"/>
        </w:rPr>
        <w:t>criptoficha</w:t>
      </w:r>
      <w:proofErr w:type="spellEnd"/>
      <w:r w:rsidRPr="00465964">
        <w:rPr>
          <w:lang w:val="pt-PT"/>
        </w:rPr>
        <w:t xml:space="preserve"> de moeda eletrónica como significativa nos termos do artigo 43.</w:t>
      </w:r>
      <w:r w:rsidRPr="00465964">
        <w:rPr>
          <w:vertAlign w:val="superscript"/>
          <w:lang w:val="pt-PT"/>
        </w:rPr>
        <w:t>o</w:t>
      </w:r>
      <w:r w:rsidRPr="00465964">
        <w:rPr>
          <w:lang w:val="pt-PT"/>
        </w:rPr>
        <w:t>, 44.</w:t>
      </w:r>
      <w:r w:rsidRPr="00465964">
        <w:rPr>
          <w:vertAlign w:val="superscript"/>
          <w:lang w:val="pt-PT"/>
        </w:rPr>
        <w:t>o</w:t>
      </w:r>
      <w:r w:rsidRPr="00465964">
        <w:rPr>
          <w:lang w:val="pt-PT"/>
        </w:rPr>
        <w:t>, 56.</w:t>
      </w:r>
      <w:r w:rsidRPr="00465964">
        <w:rPr>
          <w:vertAlign w:val="superscript"/>
          <w:lang w:val="pt-PT"/>
        </w:rPr>
        <w:t>o</w:t>
      </w:r>
      <w:r w:rsidRPr="00465964">
        <w:rPr>
          <w:lang w:val="pt-PT"/>
        </w:rPr>
        <w:t> ou 57.</w:t>
      </w:r>
      <w:r w:rsidRPr="00465964">
        <w:rPr>
          <w:vertAlign w:val="superscript"/>
          <w:lang w:val="pt-PT"/>
        </w:rPr>
        <w:t>o</w:t>
      </w:r>
      <w:r w:rsidRPr="00465964">
        <w:rPr>
          <w:lang w:val="pt-PT"/>
        </w:rPr>
        <w:t xml:space="preserve">, consoante o caso, a EBA cria, gere e preside a um colégio de supervisão consultivo para cada emitente de uma </w:t>
      </w:r>
      <w:proofErr w:type="spellStart"/>
      <w:r w:rsidRPr="00465964">
        <w:rPr>
          <w:lang w:val="pt-PT"/>
        </w:rPr>
        <w:t>criptoficha</w:t>
      </w:r>
      <w:proofErr w:type="spellEnd"/>
      <w:r w:rsidRPr="00465964">
        <w:rPr>
          <w:lang w:val="pt-PT"/>
        </w:rPr>
        <w:t xml:space="preserve"> referenciada a ativos significativa ou de uma </w:t>
      </w:r>
      <w:proofErr w:type="spellStart"/>
      <w:r w:rsidRPr="00465964">
        <w:rPr>
          <w:lang w:val="pt-PT"/>
        </w:rPr>
        <w:t>criptoficha</w:t>
      </w:r>
      <w:proofErr w:type="spellEnd"/>
      <w:r w:rsidRPr="00465964">
        <w:rPr>
          <w:lang w:val="pt-PT"/>
        </w:rPr>
        <w:t xml:space="preserve"> de moeda eletrónica significativa, a fim de facilitar o exercício das atribuições de supervisão e ser um veículo para a coordenação das atividades de supervisão nos termos do presente regulamento.</w:t>
      </w:r>
    </w:p>
    <w:p w14:paraId="683F28F7" w14:textId="77777777" w:rsidR="00465964" w:rsidRPr="00465964" w:rsidRDefault="00465964" w:rsidP="00465964">
      <w:pPr>
        <w:rPr>
          <w:lang w:val="pt-PT"/>
        </w:rPr>
      </w:pPr>
      <w:r w:rsidRPr="00465964">
        <w:rPr>
          <w:lang w:val="pt-PT"/>
        </w:rPr>
        <w:t xml:space="preserve">2.   Um colégio referido no </w:t>
      </w:r>
      <w:proofErr w:type="spellStart"/>
      <w:r w:rsidRPr="00465964">
        <w:rPr>
          <w:lang w:val="pt-PT"/>
        </w:rPr>
        <w:t>n.</w:t>
      </w:r>
      <w:r w:rsidRPr="00465964">
        <w:rPr>
          <w:vertAlign w:val="superscript"/>
          <w:lang w:val="pt-PT"/>
        </w:rPr>
        <w:t>o</w:t>
      </w:r>
      <w:proofErr w:type="spellEnd"/>
      <w:r w:rsidRPr="00465964">
        <w:rPr>
          <w:lang w:val="pt-PT"/>
        </w:rPr>
        <w:t> 1 é composto pelas seguintes entidades:</w:t>
      </w:r>
    </w:p>
    <w:tbl>
      <w:tblPr>
        <w:tblW w:w="5000" w:type="pct"/>
        <w:tblCellMar>
          <w:left w:w="0" w:type="dxa"/>
          <w:right w:w="0" w:type="dxa"/>
        </w:tblCellMar>
        <w:tblLook w:val="04A0" w:firstRow="1" w:lastRow="0" w:firstColumn="1" w:lastColumn="0" w:noHBand="0" w:noVBand="1"/>
      </w:tblPr>
      <w:tblGrid>
        <w:gridCol w:w="2046"/>
        <w:gridCol w:w="6980"/>
      </w:tblGrid>
      <w:tr w:rsidR="00465964" w:rsidRPr="00465964" w14:paraId="1BF1E58E" w14:textId="77777777" w:rsidTr="00465964">
        <w:tc>
          <w:tcPr>
            <w:tcW w:w="0" w:type="auto"/>
            <w:shd w:val="clear" w:color="auto" w:fill="auto"/>
            <w:hideMark/>
          </w:tcPr>
          <w:p w14:paraId="5A137EE5" w14:textId="77777777" w:rsidR="00465964" w:rsidRPr="00465964" w:rsidRDefault="00465964" w:rsidP="00465964">
            <w:r w:rsidRPr="00465964">
              <w:t>a)</w:t>
            </w:r>
          </w:p>
        </w:tc>
        <w:tc>
          <w:tcPr>
            <w:tcW w:w="0" w:type="auto"/>
            <w:shd w:val="clear" w:color="auto" w:fill="auto"/>
            <w:hideMark/>
          </w:tcPr>
          <w:p w14:paraId="38F7F800" w14:textId="77777777" w:rsidR="00465964" w:rsidRPr="00465964" w:rsidRDefault="00465964" w:rsidP="00465964">
            <w:proofErr w:type="gramStart"/>
            <w:r w:rsidRPr="00465964">
              <w:t>A</w:t>
            </w:r>
            <w:proofErr w:type="gramEnd"/>
            <w:r w:rsidRPr="00465964">
              <w:t xml:space="preserve"> EBA;</w:t>
            </w:r>
          </w:p>
        </w:tc>
      </w:tr>
    </w:tbl>
    <w:p w14:paraId="2A002BFD"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737"/>
        <w:gridCol w:w="7289"/>
      </w:tblGrid>
      <w:tr w:rsidR="00465964" w:rsidRPr="00465964" w14:paraId="587E47B5" w14:textId="77777777" w:rsidTr="00465964">
        <w:tc>
          <w:tcPr>
            <w:tcW w:w="0" w:type="auto"/>
            <w:shd w:val="clear" w:color="auto" w:fill="auto"/>
            <w:hideMark/>
          </w:tcPr>
          <w:p w14:paraId="63A4539D" w14:textId="77777777" w:rsidR="00465964" w:rsidRPr="00465964" w:rsidRDefault="00465964" w:rsidP="00465964">
            <w:r w:rsidRPr="00465964">
              <w:t>b)</w:t>
            </w:r>
          </w:p>
        </w:tc>
        <w:tc>
          <w:tcPr>
            <w:tcW w:w="0" w:type="auto"/>
            <w:shd w:val="clear" w:color="auto" w:fill="auto"/>
            <w:hideMark/>
          </w:tcPr>
          <w:p w14:paraId="32288B8C" w14:textId="77777777" w:rsidR="00465964" w:rsidRPr="00465964" w:rsidRDefault="00465964" w:rsidP="00465964">
            <w:proofErr w:type="gramStart"/>
            <w:r w:rsidRPr="00465964">
              <w:t>A</w:t>
            </w:r>
            <w:proofErr w:type="gramEnd"/>
            <w:r w:rsidRPr="00465964">
              <w:t xml:space="preserve"> ESMA;</w:t>
            </w:r>
          </w:p>
        </w:tc>
      </w:tr>
    </w:tbl>
    <w:p w14:paraId="7F91E063"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0"/>
        <w:gridCol w:w="8846"/>
      </w:tblGrid>
      <w:tr w:rsidR="00465964" w:rsidRPr="00465964" w14:paraId="267FEDAB" w14:textId="77777777" w:rsidTr="00465964">
        <w:tc>
          <w:tcPr>
            <w:tcW w:w="0" w:type="auto"/>
            <w:shd w:val="clear" w:color="auto" w:fill="auto"/>
            <w:hideMark/>
          </w:tcPr>
          <w:p w14:paraId="1A5A3CEA" w14:textId="77777777" w:rsidR="00465964" w:rsidRPr="00465964" w:rsidRDefault="00465964" w:rsidP="00465964">
            <w:r w:rsidRPr="00465964">
              <w:t>c)</w:t>
            </w:r>
          </w:p>
        </w:tc>
        <w:tc>
          <w:tcPr>
            <w:tcW w:w="0" w:type="auto"/>
            <w:shd w:val="clear" w:color="auto" w:fill="auto"/>
            <w:hideMark/>
          </w:tcPr>
          <w:p w14:paraId="12DF95BB" w14:textId="77777777" w:rsidR="00465964" w:rsidRPr="00465964" w:rsidRDefault="00465964" w:rsidP="00465964">
            <w:pPr>
              <w:rPr>
                <w:lang w:val="pt-PT"/>
              </w:rPr>
            </w:pPr>
            <w:r w:rsidRPr="00465964">
              <w:rPr>
                <w:lang w:val="pt-PT"/>
              </w:rPr>
              <w:t xml:space="preserve">As autoridades competentes do Estado-Membro de origem onde o emitente da </w:t>
            </w:r>
            <w:proofErr w:type="spellStart"/>
            <w:r w:rsidRPr="00465964">
              <w:rPr>
                <w:lang w:val="pt-PT"/>
              </w:rPr>
              <w:t>criptoficha</w:t>
            </w:r>
            <w:proofErr w:type="spellEnd"/>
            <w:r w:rsidRPr="00465964">
              <w:rPr>
                <w:lang w:val="pt-PT"/>
              </w:rPr>
              <w:t xml:space="preserve"> referenciada a ativos significativa ou da </w:t>
            </w:r>
            <w:proofErr w:type="spellStart"/>
            <w:r w:rsidRPr="00465964">
              <w:rPr>
                <w:lang w:val="pt-PT"/>
              </w:rPr>
              <w:t>criptoficha</w:t>
            </w:r>
            <w:proofErr w:type="spellEnd"/>
            <w:r w:rsidRPr="00465964">
              <w:rPr>
                <w:lang w:val="pt-PT"/>
              </w:rPr>
              <w:t xml:space="preserve"> de moeda eletrónica significativa se encontra estabelecido;</w:t>
            </w:r>
          </w:p>
        </w:tc>
      </w:tr>
    </w:tbl>
    <w:p w14:paraId="14CD7E95"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8"/>
        <w:gridCol w:w="8838"/>
      </w:tblGrid>
      <w:tr w:rsidR="00465964" w:rsidRPr="00465964" w14:paraId="00AE1342" w14:textId="77777777" w:rsidTr="00465964">
        <w:tc>
          <w:tcPr>
            <w:tcW w:w="0" w:type="auto"/>
            <w:shd w:val="clear" w:color="auto" w:fill="auto"/>
            <w:hideMark/>
          </w:tcPr>
          <w:p w14:paraId="2A7DDC38" w14:textId="77777777" w:rsidR="00465964" w:rsidRPr="00465964" w:rsidRDefault="00465964" w:rsidP="00465964">
            <w:r w:rsidRPr="00465964">
              <w:t>d)</w:t>
            </w:r>
          </w:p>
        </w:tc>
        <w:tc>
          <w:tcPr>
            <w:tcW w:w="0" w:type="auto"/>
            <w:shd w:val="clear" w:color="auto" w:fill="auto"/>
            <w:hideMark/>
          </w:tcPr>
          <w:p w14:paraId="39760BC3" w14:textId="538DD391" w:rsidR="00465964" w:rsidRPr="00465964" w:rsidRDefault="00465964" w:rsidP="00465964">
            <w:pPr>
              <w:rPr>
                <w:lang w:val="pt-PT"/>
              </w:rPr>
            </w:pPr>
            <w:r w:rsidRPr="00465964">
              <w:rPr>
                <w:lang w:val="pt-PT"/>
              </w:rPr>
              <w:t>As autoridades competentes dos prestadores de serviços de criptoativos, instituições de crédito ou empresas de investimento mais relevantes que assegurem a custódia de ativos de reserva em conformidade com o artigo 37.</w:t>
            </w:r>
            <w:r w:rsidRPr="00465964">
              <w:rPr>
                <w:vertAlign w:val="superscript"/>
                <w:lang w:val="pt-PT"/>
              </w:rPr>
              <w:t>o</w:t>
            </w:r>
            <w:r w:rsidRPr="00465964">
              <w:rPr>
                <w:lang w:val="pt-PT"/>
              </w:rPr>
              <w:t xml:space="preserve"> ou dos fundos recebidos em troca de </w:t>
            </w:r>
            <w:r>
              <w:rPr>
                <w:lang w:val="pt-PT"/>
              </w:rPr>
              <w:t>criptomoedas</w:t>
            </w:r>
            <w:r w:rsidRPr="00465964">
              <w:rPr>
                <w:lang w:val="pt-PT"/>
              </w:rPr>
              <w:t xml:space="preserve"> de moeda eletrónica significativas;</w:t>
            </w:r>
          </w:p>
        </w:tc>
      </w:tr>
    </w:tbl>
    <w:p w14:paraId="31256F2B"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1"/>
        <w:gridCol w:w="8845"/>
      </w:tblGrid>
      <w:tr w:rsidR="00465964" w:rsidRPr="00465964" w14:paraId="2138A6A7" w14:textId="77777777" w:rsidTr="00465964">
        <w:tc>
          <w:tcPr>
            <w:tcW w:w="0" w:type="auto"/>
            <w:shd w:val="clear" w:color="auto" w:fill="auto"/>
            <w:hideMark/>
          </w:tcPr>
          <w:p w14:paraId="04269433" w14:textId="77777777" w:rsidR="00465964" w:rsidRPr="00465964" w:rsidRDefault="00465964" w:rsidP="00465964">
            <w:r w:rsidRPr="00465964">
              <w:t>e)</w:t>
            </w:r>
          </w:p>
        </w:tc>
        <w:tc>
          <w:tcPr>
            <w:tcW w:w="0" w:type="auto"/>
            <w:shd w:val="clear" w:color="auto" w:fill="auto"/>
            <w:hideMark/>
          </w:tcPr>
          <w:p w14:paraId="571023C2" w14:textId="611AC72F" w:rsidR="00465964" w:rsidRPr="00465964" w:rsidRDefault="00465964" w:rsidP="00465964">
            <w:pPr>
              <w:rPr>
                <w:lang w:val="pt-PT"/>
              </w:rPr>
            </w:pPr>
            <w:r w:rsidRPr="00465964">
              <w:rPr>
                <w:lang w:val="pt-PT"/>
              </w:rPr>
              <w:t xml:space="preserve">Se for o caso, as autoridades competentes das plataformas de negociação de criptoativos mais relevantes em que sejam admitidas à negociação </w:t>
            </w:r>
            <w:r>
              <w:rPr>
                <w:lang w:val="pt-PT"/>
              </w:rPr>
              <w:t>criptomoedas</w:t>
            </w:r>
            <w:r w:rsidRPr="00465964">
              <w:rPr>
                <w:lang w:val="pt-PT"/>
              </w:rPr>
              <w:t xml:space="preserve"> referenciadas a ativos significativas ou </w:t>
            </w:r>
            <w:r>
              <w:rPr>
                <w:lang w:val="pt-PT"/>
              </w:rPr>
              <w:t>criptomoedas</w:t>
            </w:r>
            <w:r w:rsidRPr="00465964">
              <w:rPr>
                <w:lang w:val="pt-PT"/>
              </w:rPr>
              <w:t xml:space="preserve"> de moeda eletrónica significativas;</w:t>
            </w:r>
          </w:p>
        </w:tc>
      </w:tr>
    </w:tbl>
    <w:p w14:paraId="155E164F"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36"/>
        <w:gridCol w:w="8890"/>
      </w:tblGrid>
      <w:tr w:rsidR="00465964" w:rsidRPr="00465964" w14:paraId="193682A6" w14:textId="77777777" w:rsidTr="00465964">
        <w:tc>
          <w:tcPr>
            <w:tcW w:w="0" w:type="auto"/>
            <w:shd w:val="clear" w:color="auto" w:fill="auto"/>
            <w:hideMark/>
          </w:tcPr>
          <w:p w14:paraId="558A8CAB" w14:textId="77777777" w:rsidR="00465964" w:rsidRPr="00465964" w:rsidRDefault="00465964" w:rsidP="00465964">
            <w:r w:rsidRPr="00465964">
              <w:t>f)</w:t>
            </w:r>
          </w:p>
        </w:tc>
        <w:tc>
          <w:tcPr>
            <w:tcW w:w="0" w:type="auto"/>
            <w:shd w:val="clear" w:color="auto" w:fill="auto"/>
            <w:hideMark/>
          </w:tcPr>
          <w:p w14:paraId="3F437043" w14:textId="6521086A" w:rsidR="00465964" w:rsidRPr="00465964" w:rsidRDefault="00465964" w:rsidP="00465964">
            <w:pPr>
              <w:rPr>
                <w:lang w:val="pt-PT"/>
              </w:rPr>
            </w:pPr>
            <w:r w:rsidRPr="00465964">
              <w:rPr>
                <w:lang w:val="pt-PT"/>
              </w:rPr>
              <w:t xml:space="preserve">As autoridades competentes dos prestadores de serviços de pagamento mais relevantes que prestem serviços de pagamento em relação a </w:t>
            </w:r>
            <w:r>
              <w:rPr>
                <w:lang w:val="pt-PT"/>
              </w:rPr>
              <w:t>criptomoedas</w:t>
            </w:r>
            <w:r w:rsidRPr="00465964">
              <w:rPr>
                <w:lang w:val="pt-PT"/>
              </w:rPr>
              <w:t xml:space="preserve"> de moeda eletrónica significativas;</w:t>
            </w:r>
          </w:p>
        </w:tc>
      </w:tr>
    </w:tbl>
    <w:p w14:paraId="5B3ED8A5"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74"/>
        <w:gridCol w:w="8852"/>
      </w:tblGrid>
      <w:tr w:rsidR="00465964" w:rsidRPr="00465964" w14:paraId="093CEDE9" w14:textId="77777777" w:rsidTr="00465964">
        <w:tc>
          <w:tcPr>
            <w:tcW w:w="0" w:type="auto"/>
            <w:shd w:val="clear" w:color="auto" w:fill="auto"/>
            <w:hideMark/>
          </w:tcPr>
          <w:p w14:paraId="150A1094" w14:textId="77777777" w:rsidR="00465964" w:rsidRPr="00465964" w:rsidRDefault="00465964" w:rsidP="00465964">
            <w:r w:rsidRPr="00465964">
              <w:t>g)</w:t>
            </w:r>
          </w:p>
        </w:tc>
        <w:tc>
          <w:tcPr>
            <w:tcW w:w="0" w:type="auto"/>
            <w:shd w:val="clear" w:color="auto" w:fill="auto"/>
            <w:hideMark/>
          </w:tcPr>
          <w:p w14:paraId="3E2AC10D" w14:textId="77777777" w:rsidR="00465964" w:rsidRPr="00465964" w:rsidRDefault="00465964" w:rsidP="00465964">
            <w:pPr>
              <w:rPr>
                <w:lang w:val="pt-PT"/>
              </w:rPr>
            </w:pPr>
            <w:r w:rsidRPr="00465964">
              <w:rPr>
                <w:lang w:val="pt-PT"/>
              </w:rPr>
              <w:t>Se for o caso, as autoridades competentes das entidades que asseguram as funções a que se refere o artigo 34.</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5, primeiro parágrafo, alínea h);</w:t>
            </w:r>
          </w:p>
        </w:tc>
      </w:tr>
    </w:tbl>
    <w:p w14:paraId="017FC37D"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6"/>
        <w:gridCol w:w="8840"/>
      </w:tblGrid>
      <w:tr w:rsidR="00465964" w:rsidRPr="00465964" w14:paraId="2778C42A" w14:textId="77777777" w:rsidTr="00465964">
        <w:tc>
          <w:tcPr>
            <w:tcW w:w="0" w:type="auto"/>
            <w:shd w:val="clear" w:color="auto" w:fill="auto"/>
            <w:hideMark/>
          </w:tcPr>
          <w:p w14:paraId="1D7B3C99" w14:textId="77777777" w:rsidR="00465964" w:rsidRPr="00465964" w:rsidRDefault="00465964" w:rsidP="00465964">
            <w:r w:rsidRPr="00465964">
              <w:t>h)</w:t>
            </w:r>
          </w:p>
        </w:tc>
        <w:tc>
          <w:tcPr>
            <w:tcW w:w="0" w:type="auto"/>
            <w:shd w:val="clear" w:color="auto" w:fill="auto"/>
            <w:hideMark/>
          </w:tcPr>
          <w:p w14:paraId="1BD0772D" w14:textId="280BA1F8" w:rsidR="00465964" w:rsidRPr="00465964" w:rsidRDefault="00465964" w:rsidP="00465964">
            <w:pPr>
              <w:rPr>
                <w:lang w:val="pt-PT"/>
              </w:rPr>
            </w:pPr>
            <w:r w:rsidRPr="00465964">
              <w:rPr>
                <w:lang w:val="pt-PT"/>
              </w:rPr>
              <w:t xml:space="preserve">Se for o caso, as autoridades competentes dos prestadores de serviços de criptoativos mais relevantes que prestam serviços de custódia e administração de criptoativos em nome de clientes em relação às </w:t>
            </w:r>
            <w:r>
              <w:rPr>
                <w:lang w:val="pt-PT"/>
              </w:rPr>
              <w:t>criptomoedas</w:t>
            </w:r>
            <w:r w:rsidRPr="00465964">
              <w:rPr>
                <w:lang w:val="pt-PT"/>
              </w:rPr>
              <w:t xml:space="preserve"> referenciadas a ativos significativas ou às </w:t>
            </w:r>
            <w:r>
              <w:rPr>
                <w:lang w:val="pt-PT"/>
              </w:rPr>
              <w:t>criptomoedas</w:t>
            </w:r>
            <w:r w:rsidRPr="00465964">
              <w:rPr>
                <w:lang w:val="pt-PT"/>
              </w:rPr>
              <w:t xml:space="preserve"> de moeda eletrónica significativas;</w:t>
            </w:r>
          </w:p>
        </w:tc>
      </w:tr>
    </w:tbl>
    <w:p w14:paraId="5F0A540A"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332"/>
        <w:gridCol w:w="7694"/>
      </w:tblGrid>
      <w:tr w:rsidR="00465964" w:rsidRPr="00465964" w14:paraId="43F9CB56" w14:textId="77777777" w:rsidTr="00465964">
        <w:tc>
          <w:tcPr>
            <w:tcW w:w="0" w:type="auto"/>
            <w:shd w:val="clear" w:color="auto" w:fill="auto"/>
            <w:hideMark/>
          </w:tcPr>
          <w:p w14:paraId="2A46DE7C" w14:textId="77777777" w:rsidR="00465964" w:rsidRPr="00465964" w:rsidRDefault="00465964" w:rsidP="00465964">
            <w:proofErr w:type="spellStart"/>
            <w:r w:rsidRPr="00465964">
              <w:t>i</w:t>
            </w:r>
            <w:proofErr w:type="spellEnd"/>
            <w:r w:rsidRPr="00465964">
              <w:t>)</w:t>
            </w:r>
          </w:p>
        </w:tc>
        <w:tc>
          <w:tcPr>
            <w:tcW w:w="0" w:type="auto"/>
            <w:shd w:val="clear" w:color="auto" w:fill="auto"/>
            <w:hideMark/>
          </w:tcPr>
          <w:p w14:paraId="7BD20AEB" w14:textId="77777777" w:rsidR="00465964" w:rsidRPr="00465964" w:rsidRDefault="00465964" w:rsidP="00465964">
            <w:r w:rsidRPr="00465964">
              <w:t>O BCE;</w:t>
            </w:r>
          </w:p>
        </w:tc>
      </w:tr>
    </w:tbl>
    <w:p w14:paraId="60FA86B8"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17"/>
        <w:gridCol w:w="8909"/>
      </w:tblGrid>
      <w:tr w:rsidR="00465964" w:rsidRPr="00465964" w14:paraId="01A58CCF" w14:textId="77777777" w:rsidTr="00465964">
        <w:tc>
          <w:tcPr>
            <w:tcW w:w="0" w:type="auto"/>
            <w:shd w:val="clear" w:color="auto" w:fill="auto"/>
            <w:hideMark/>
          </w:tcPr>
          <w:p w14:paraId="060F30F1" w14:textId="77777777" w:rsidR="00465964" w:rsidRPr="00465964" w:rsidRDefault="00465964" w:rsidP="00465964">
            <w:r w:rsidRPr="00465964">
              <w:lastRenderedPageBreak/>
              <w:t>j)</w:t>
            </w:r>
          </w:p>
        </w:tc>
        <w:tc>
          <w:tcPr>
            <w:tcW w:w="0" w:type="auto"/>
            <w:shd w:val="clear" w:color="auto" w:fill="auto"/>
            <w:hideMark/>
          </w:tcPr>
          <w:p w14:paraId="0FD536D7" w14:textId="77777777" w:rsidR="00465964" w:rsidRPr="00465964" w:rsidRDefault="00465964" w:rsidP="00465964">
            <w:pPr>
              <w:rPr>
                <w:lang w:val="pt-PT"/>
              </w:rPr>
            </w:pPr>
            <w:r w:rsidRPr="00465964">
              <w:rPr>
                <w:lang w:val="pt-PT"/>
              </w:rPr>
              <w:t xml:space="preserve">Se o emitente da </w:t>
            </w:r>
            <w:proofErr w:type="spellStart"/>
            <w:r w:rsidRPr="00465964">
              <w:rPr>
                <w:lang w:val="pt-PT"/>
              </w:rPr>
              <w:t>criptoficha</w:t>
            </w:r>
            <w:proofErr w:type="spellEnd"/>
            <w:r w:rsidRPr="00465964">
              <w:rPr>
                <w:lang w:val="pt-PT"/>
              </w:rPr>
              <w:t xml:space="preserve"> referenciada a ativos significativas estiver estabelecido num Estado-Membro cuja moeda oficial não seja o euro, ou se uma moeda oficial que não seja o euro for referenciada pela </w:t>
            </w:r>
            <w:proofErr w:type="spellStart"/>
            <w:r w:rsidRPr="00465964">
              <w:rPr>
                <w:lang w:val="pt-PT"/>
              </w:rPr>
              <w:t>criptoficha</w:t>
            </w:r>
            <w:proofErr w:type="spellEnd"/>
            <w:r w:rsidRPr="00465964">
              <w:rPr>
                <w:lang w:val="pt-PT"/>
              </w:rPr>
              <w:t xml:space="preserve"> referenciada a ativos significativa, o banco central desse Estado-Membro;</w:t>
            </w:r>
          </w:p>
        </w:tc>
      </w:tr>
    </w:tbl>
    <w:p w14:paraId="4717853D"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72"/>
        <w:gridCol w:w="8854"/>
      </w:tblGrid>
      <w:tr w:rsidR="00465964" w:rsidRPr="00465964" w14:paraId="26B08D6D" w14:textId="77777777" w:rsidTr="00465964">
        <w:tc>
          <w:tcPr>
            <w:tcW w:w="0" w:type="auto"/>
            <w:shd w:val="clear" w:color="auto" w:fill="auto"/>
            <w:hideMark/>
          </w:tcPr>
          <w:p w14:paraId="6C5F5D29" w14:textId="77777777" w:rsidR="00465964" w:rsidRPr="00465964" w:rsidRDefault="00465964" w:rsidP="00465964">
            <w:r w:rsidRPr="00465964">
              <w:t>k)</w:t>
            </w:r>
          </w:p>
        </w:tc>
        <w:tc>
          <w:tcPr>
            <w:tcW w:w="0" w:type="auto"/>
            <w:shd w:val="clear" w:color="auto" w:fill="auto"/>
            <w:hideMark/>
          </w:tcPr>
          <w:p w14:paraId="2185D7B2" w14:textId="77777777" w:rsidR="00465964" w:rsidRPr="00465964" w:rsidRDefault="00465964" w:rsidP="00465964">
            <w:pPr>
              <w:rPr>
                <w:lang w:val="pt-PT"/>
              </w:rPr>
            </w:pPr>
            <w:r w:rsidRPr="00465964">
              <w:rPr>
                <w:lang w:val="pt-PT"/>
              </w:rPr>
              <w:t xml:space="preserve">Se o emitente da </w:t>
            </w:r>
            <w:proofErr w:type="spellStart"/>
            <w:r w:rsidRPr="00465964">
              <w:rPr>
                <w:lang w:val="pt-PT"/>
              </w:rPr>
              <w:t>criptoficha</w:t>
            </w:r>
            <w:proofErr w:type="spellEnd"/>
            <w:r w:rsidRPr="00465964">
              <w:rPr>
                <w:lang w:val="pt-PT"/>
              </w:rPr>
              <w:t xml:space="preserve"> de moeda eletrónica significativa estiver estabelecido num Estado-Membro cuja moeda oficial não seja o euro, ou se uma moeda oficial que não seja o euro for referenciada pela </w:t>
            </w:r>
            <w:proofErr w:type="spellStart"/>
            <w:r w:rsidRPr="00465964">
              <w:rPr>
                <w:lang w:val="pt-PT"/>
              </w:rPr>
              <w:t>criptoficha</w:t>
            </w:r>
            <w:proofErr w:type="spellEnd"/>
            <w:r w:rsidRPr="00465964">
              <w:rPr>
                <w:lang w:val="pt-PT"/>
              </w:rPr>
              <w:t xml:space="preserve"> de moeda eletrónica significativa, o banco central desse Estado-Membro;</w:t>
            </w:r>
          </w:p>
        </w:tc>
      </w:tr>
    </w:tbl>
    <w:p w14:paraId="5E2E4631"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22"/>
        <w:gridCol w:w="8904"/>
      </w:tblGrid>
      <w:tr w:rsidR="00465964" w:rsidRPr="00465964" w14:paraId="5FC1991F" w14:textId="77777777" w:rsidTr="00465964">
        <w:tc>
          <w:tcPr>
            <w:tcW w:w="0" w:type="auto"/>
            <w:shd w:val="clear" w:color="auto" w:fill="auto"/>
            <w:hideMark/>
          </w:tcPr>
          <w:p w14:paraId="3047BD76" w14:textId="77777777" w:rsidR="00465964" w:rsidRPr="00465964" w:rsidRDefault="00465964" w:rsidP="00465964">
            <w:r w:rsidRPr="00465964">
              <w:t>l)</w:t>
            </w:r>
          </w:p>
        </w:tc>
        <w:tc>
          <w:tcPr>
            <w:tcW w:w="0" w:type="auto"/>
            <w:shd w:val="clear" w:color="auto" w:fill="auto"/>
            <w:hideMark/>
          </w:tcPr>
          <w:p w14:paraId="4B3C34C7" w14:textId="77777777" w:rsidR="00465964" w:rsidRPr="00465964" w:rsidRDefault="00465964" w:rsidP="00465964">
            <w:pPr>
              <w:rPr>
                <w:lang w:val="pt-PT"/>
              </w:rPr>
            </w:pPr>
            <w:r w:rsidRPr="00465964">
              <w:rPr>
                <w:lang w:val="pt-PT"/>
              </w:rPr>
              <w:t xml:space="preserve">As autoridades competentes dos Estados-Membros em que a </w:t>
            </w:r>
            <w:proofErr w:type="spellStart"/>
            <w:r w:rsidRPr="00465964">
              <w:rPr>
                <w:lang w:val="pt-PT"/>
              </w:rPr>
              <w:t>criptoficha</w:t>
            </w:r>
            <w:proofErr w:type="spellEnd"/>
            <w:r w:rsidRPr="00465964">
              <w:rPr>
                <w:lang w:val="pt-PT"/>
              </w:rPr>
              <w:t xml:space="preserve"> referenciada a ativos ou a </w:t>
            </w:r>
            <w:proofErr w:type="spellStart"/>
            <w:r w:rsidRPr="00465964">
              <w:rPr>
                <w:lang w:val="pt-PT"/>
              </w:rPr>
              <w:t>criptoficha</w:t>
            </w:r>
            <w:proofErr w:type="spellEnd"/>
            <w:r w:rsidRPr="00465964">
              <w:rPr>
                <w:lang w:val="pt-PT"/>
              </w:rPr>
              <w:t xml:space="preserve"> de moeda eletrónica for utilizada em grande escala, a seu pedido;</w:t>
            </w:r>
          </w:p>
        </w:tc>
      </w:tr>
    </w:tbl>
    <w:p w14:paraId="211C2A82"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253"/>
        <w:gridCol w:w="8773"/>
      </w:tblGrid>
      <w:tr w:rsidR="00465964" w:rsidRPr="00465964" w14:paraId="0EFD9CBD" w14:textId="77777777" w:rsidTr="00465964">
        <w:tc>
          <w:tcPr>
            <w:tcW w:w="0" w:type="auto"/>
            <w:shd w:val="clear" w:color="auto" w:fill="auto"/>
            <w:hideMark/>
          </w:tcPr>
          <w:p w14:paraId="50977473" w14:textId="77777777" w:rsidR="00465964" w:rsidRPr="00465964" w:rsidRDefault="00465964" w:rsidP="00465964">
            <w:r w:rsidRPr="00465964">
              <w:t>m)</w:t>
            </w:r>
          </w:p>
        </w:tc>
        <w:tc>
          <w:tcPr>
            <w:tcW w:w="0" w:type="auto"/>
            <w:shd w:val="clear" w:color="auto" w:fill="auto"/>
            <w:hideMark/>
          </w:tcPr>
          <w:p w14:paraId="5D5B3498" w14:textId="77777777" w:rsidR="00465964" w:rsidRPr="00465964" w:rsidRDefault="00465964" w:rsidP="00465964">
            <w:pPr>
              <w:rPr>
                <w:lang w:val="pt-PT"/>
              </w:rPr>
            </w:pPr>
            <w:r w:rsidRPr="00465964">
              <w:rPr>
                <w:lang w:val="pt-PT"/>
              </w:rPr>
              <w:t xml:space="preserve">As autoridades de supervisão relevantes de países terceiros com os quais a EBA tenha celebrado acordos administrativos nos termos do artigo </w:t>
            </w:r>
            <w:proofErr w:type="gramStart"/>
            <w:r w:rsidRPr="00465964">
              <w:rPr>
                <w:lang w:val="pt-PT"/>
              </w:rPr>
              <w:t>126.</w:t>
            </w:r>
            <w:r w:rsidRPr="00465964">
              <w:rPr>
                <w:vertAlign w:val="superscript"/>
                <w:lang w:val="pt-PT"/>
              </w:rPr>
              <w:t>o</w:t>
            </w:r>
            <w:r w:rsidRPr="00465964">
              <w:rPr>
                <w:lang w:val="pt-PT"/>
              </w:rPr>
              <w:t>.</w:t>
            </w:r>
            <w:proofErr w:type="gramEnd"/>
          </w:p>
        </w:tc>
      </w:tr>
    </w:tbl>
    <w:p w14:paraId="3272B941" w14:textId="77777777" w:rsidR="00465964" w:rsidRPr="00465964" w:rsidRDefault="00465964" w:rsidP="00465964">
      <w:pPr>
        <w:rPr>
          <w:lang w:val="pt-PT"/>
        </w:rPr>
      </w:pPr>
      <w:r w:rsidRPr="00465964">
        <w:rPr>
          <w:lang w:val="pt-PT"/>
        </w:rPr>
        <w:t xml:space="preserve">3.   A EBA pode convidar outras autoridades a serem membros do colégio referido no </w:t>
      </w:r>
      <w:proofErr w:type="spellStart"/>
      <w:r w:rsidRPr="00465964">
        <w:rPr>
          <w:lang w:val="pt-PT"/>
        </w:rPr>
        <w:t>n.</w:t>
      </w:r>
      <w:r w:rsidRPr="00465964">
        <w:rPr>
          <w:vertAlign w:val="superscript"/>
          <w:lang w:val="pt-PT"/>
        </w:rPr>
        <w:t>o</w:t>
      </w:r>
      <w:proofErr w:type="spellEnd"/>
      <w:r w:rsidRPr="00465964">
        <w:rPr>
          <w:lang w:val="pt-PT"/>
        </w:rPr>
        <w:t> 1 sempre que as entidades que supervisionam sejam relevantes para o trabalho do colégio.</w:t>
      </w:r>
    </w:p>
    <w:p w14:paraId="7639CE19" w14:textId="77777777" w:rsidR="00465964" w:rsidRPr="00465964" w:rsidRDefault="00465964" w:rsidP="00465964">
      <w:pPr>
        <w:rPr>
          <w:lang w:val="pt-PT"/>
        </w:rPr>
      </w:pPr>
      <w:r w:rsidRPr="00465964">
        <w:rPr>
          <w:lang w:val="pt-PT"/>
        </w:rPr>
        <w:t>4.   As autoridades competentes dos Estados-Membros que não sejam membros do colégio podem solicitar ao colégio quaisquer informações relevantes para o exercício das suas funções de supervisão nos termos do presente regulamento.</w:t>
      </w:r>
    </w:p>
    <w:p w14:paraId="22A48CF8" w14:textId="77777777" w:rsidR="00465964" w:rsidRPr="00465964" w:rsidRDefault="00465964" w:rsidP="00465964">
      <w:pPr>
        <w:rPr>
          <w:lang w:val="pt-PT"/>
        </w:rPr>
      </w:pPr>
      <w:r w:rsidRPr="00465964">
        <w:rPr>
          <w:lang w:val="pt-PT"/>
        </w:rPr>
        <w:t xml:space="preserve">5.   Sem prejuízo das responsabilidades atribuídas pelo presente regulamento às autoridades competentes, um colégio referido no </w:t>
      </w:r>
      <w:proofErr w:type="spellStart"/>
      <w:r w:rsidRPr="00465964">
        <w:rPr>
          <w:lang w:val="pt-PT"/>
        </w:rPr>
        <w:t>n.</w:t>
      </w:r>
      <w:r w:rsidRPr="00465964">
        <w:rPr>
          <w:vertAlign w:val="superscript"/>
          <w:lang w:val="pt-PT"/>
        </w:rPr>
        <w:t>o</w:t>
      </w:r>
      <w:proofErr w:type="spellEnd"/>
      <w:r w:rsidRPr="00465964">
        <w:rPr>
          <w:lang w:val="pt-PT"/>
        </w:rPr>
        <w:t> 1 do presente artigo assegura:</w:t>
      </w:r>
    </w:p>
    <w:tbl>
      <w:tblPr>
        <w:tblW w:w="5000" w:type="pct"/>
        <w:tblCellMar>
          <w:left w:w="0" w:type="dxa"/>
          <w:right w:w="0" w:type="dxa"/>
        </w:tblCellMar>
        <w:tblLook w:val="04A0" w:firstRow="1" w:lastRow="0" w:firstColumn="1" w:lastColumn="0" w:noHBand="0" w:noVBand="1"/>
      </w:tblPr>
      <w:tblGrid>
        <w:gridCol w:w="244"/>
        <w:gridCol w:w="8782"/>
      </w:tblGrid>
      <w:tr w:rsidR="00465964" w:rsidRPr="00465964" w14:paraId="21196785" w14:textId="77777777" w:rsidTr="00465964">
        <w:tc>
          <w:tcPr>
            <w:tcW w:w="0" w:type="auto"/>
            <w:shd w:val="clear" w:color="auto" w:fill="auto"/>
            <w:hideMark/>
          </w:tcPr>
          <w:p w14:paraId="1DC0D18D" w14:textId="77777777" w:rsidR="00465964" w:rsidRPr="00465964" w:rsidRDefault="00465964" w:rsidP="00465964">
            <w:r w:rsidRPr="00465964">
              <w:t>a)</w:t>
            </w:r>
          </w:p>
        </w:tc>
        <w:tc>
          <w:tcPr>
            <w:tcW w:w="0" w:type="auto"/>
            <w:shd w:val="clear" w:color="auto" w:fill="auto"/>
            <w:hideMark/>
          </w:tcPr>
          <w:p w14:paraId="0933BE55" w14:textId="77777777" w:rsidR="00465964" w:rsidRPr="00465964" w:rsidRDefault="00465964" w:rsidP="00465964">
            <w:pPr>
              <w:rPr>
                <w:lang w:val="pt-PT"/>
              </w:rPr>
            </w:pPr>
            <w:r w:rsidRPr="00465964">
              <w:rPr>
                <w:lang w:val="pt-PT"/>
              </w:rPr>
              <w:t>A elaboração do parecer não vinculativo a que se refere o artigo 120.</w:t>
            </w:r>
            <w:r w:rsidRPr="00465964">
              <w:rPr>
                <w:vertAlign w:val="superscript"/>
                <w:lang w:val="pt-PT"/>
              </w:rPr>
              <w:t>o</w:t>
            </w:r>
            <w:r w:rsidRPr="00465964">
              <w:rPr>
                <w:lang w:val="pt-PT"/>
              </w:rPr>
              <w:t>;</w:t>
            </w:r>
          </w:p>
        </w:tc>
      </w:tr>
    </w:tbl>
    <w:p w14:paraId="66A52C56"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244"/>
        <w:gridCol w:w="8782"/>
      </w:tblGrid>
      <w:tr w:rsidR="00465964" w:rsidRPr="00465964" w14:paraId="4535F8EE" w14:textId="77777777" w:rsidTr="00465964">
        <w:tc>
          <w:tcPr>
            <w:tcW w:w="0" w:type="auto"/>
            <w:shd w:val="clear" w:color="auto" w:fill="auto"/>
            <w:hideMark/>
          </w:tcPr>
          <w:p w14:paraId="69A2C2F8" w14:textId="77777777" w:rsidR="00465964" w:rsidRPr="00465964" w:rsidRDefault="00465964" w:rsidP="00465964">
            <w:r w:rsidRPr="00465964">
              <w:t>b)</w:t>
            </w:r>
          </w:p>
        </w:tc>
        <w:tc>
          <w:tcPr>
            <w:tcW w:w="0" w:type="auto"/>
            <w:shd w:val="clear" w:color="auto" w:fill="auto"/>
            <w:hideMark/>
          </w:tcPr>
          <w:p w14:paraId="241E9B3B" w14:textId="77777777" w:rsidR="00465964" w:rsidRPr="00465964" w:rsidRDefault="00465964" w:rsidP="00465964">
            <w:pPr>
              <w:rPr>
                <w:lang w:val="pt-PT"/>
              </w:rPr>
            </w:pPr>
            <w:r w:rsidRPr="00465964">
              <w:rPr>
                <w:lang w:val="pt-PT"/>
              </w:rPr>
              <w:t>A troca de informações em conformidade com o presente regulamento;</w:t>
            </w:r>
          </w:p>
        </w:tc>
      </w:tr>
    </w:tbl>
    <w:p w14:paraId="429B9BC7"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211"/>
        <w:gridCol w:w="8815"/>
      </w:tblGrid>
      <w:tr w:rsidR="00465964" w:rsidRPr="00465964" w14:paraId="0DB43FB0" w14:textId="77777777" w:rsidTr="00465964">
        <w:tc>
          <w:tcPr>
            <w:tcW w:w="0" w:type="auto"/>
            <w:shd w:val="clear" w:color="auto" w:fill="auto"/>
            <w:hideMark/>
          </w:tcPr>
          <w:p w14:paraId="66B3E88C" w14:textId="77777777" w:rsidR="00465964" w:rsidRPr="00465964" w:rsidRDefault="00465964" w:rsidP="00465964">
            <w:r w:rsidRPr="00465964">
              <w:t>c)</w:t>
            </w:r>
          </w:p>
        </w:tc>
        <w:tc>
          <w:tcPr>
            <w:tcW w:w="0" w:type="auto"/>
            <w:shd w:val="clear" w:color="auto" w:fill="auto"/>
            <w:hideMark/>
          </w:tcPr>
          <w:p w14:paraId="1EED3919" w14:textId="77777777" w:rsidR="00465964" w:rsidRPr="00465964" w:rsidRDefault="00465964" w:rsidP="00465964">
            <w:pPr>
              <w:rPr>
                <w:lang w:val="pt-PT"/>
              </w:rPr>
            </w:pPr>
            <w:r w:rsidRPr="00465964">
              <w:rPr>
                <w:lang w:val="pt-PT"/>
              </w:rPr>
              <w:t>O acordo sobre a distribuição voluntária de atribuições entre os seus membros.</w:t>
            </w:r>
          </w:p>
        </w:tc>
      </w:tr>
    </w:tbl>
    <w:p w14:paraId="56FC00FA" w14:textId="77777777" w:rsidR="00465964" w:rsidRPr="00465964" w:rsidRDefault="00465964" w:rsidP="00465964">
      <w:pPr>
        <w:rPr>
          <w:lang w:val="pt-PT"/>
        </w:rPr>
      </w:pPr>
      <w:r w:rsidRPr="00465964">
        <w:rPr>
          <w:lang w:val="pt-PT"/>
        </w:rPr>
        <w:t xml:space="preserve">A fim de facilitar o exercício das atribuições conferidas aos colégios nos termos do primeiro parágrafo do presente número, os membros do colégio a que se refere o </w:t>
      </w:r>
      <w:proofErr w:type="spellStart"/>
      <w:r w:rsidRPr="00465964">
        <w:rPr>
          <w:lang w:val="pt-PT"/>
        </w:rPr>
        <w:t>n.</w:t>
      </w:r>
      <w:r w:rsidRPr="00465964">
        <w:rPr>
          <w:vertAlign w:val="superscript"/>
          <w:lang w:val="pt-PT"/>
        </w:rPr>
        <w:t>o</w:t>
      </w:r>
      <w:proofErr w:type="spellEnd"/>
      <w:r w:rsidRPr="00465964">
        <w:rPr>
          <w:lang w:val="pt-PT"/>
        </w:rPr>
        <w:t> 2 podem contribuir para a elaboração da ordem do dia das reuniões do colégio, em especial acrescentando pontos à ordem do dia de uma reunião.</w:t>
      </w:r>
    </w:p>
    <w:p w14:paraId="1CBE5FF2" w14:textId="77777777" w:rsidR="00465964" w:rsidRPr="00465964" w:rsidRDefault="00465964" w:rsidP="00465964">
      <w:pPr>
        <w:rPr>
          <w:lang w:val="pt-PT"/>
        </w:rPr>
      </w:pPr>
      <w:r w:rsidRPr="00465964">
        <w:rPr>
          <w:lang w:val="pt-PT"/>
        </w:rPr>
        <w:t xml:space="preserve">6.   A criação e o funcionamento do colégio referido no </w:t>
      </w:r>
      <w:proofErr w:type="spellStart"/>
      <w:r w:rsidRPr="00465964">
        <w:rPr>
          <w:lang w:val="pt-PT"/>
        </w:rPr>
        <w:t>n.</w:t>
      </w:r>
      <w:r w:rsidRPr="00465964">
        <w:rPr>
          <w:vertAlign w:val="superscript"/>
          <w:lang w:val="pt-PT"/>
        </w:rPr>
        <w:t>o</w:t>
      </w:r>
      <w:proofErr w:type="spellEnd"/>
      <w:r w:rsidRPr="00465964">
        <w:rPr>
          <w:lang w:val="pt-PT"/>
        </w:rPr>
        <w:t> 1 baseiam-se num acordo escrito entre todos os seus membros.</w:t>
      </w:r>
    </w:p>
    <w:p w14:paraId="4E739AAF" w14:textId="77777777" w:rsidR="00465964" w:rsidRPr="00465964" w:rsidRDefault="00465964" w:rsidP="00465964">
      <w:pPr>
        <w:rPr>
          <w:lang w:val="pt-PT"/>
        </w:rPr>
      </w:pPr>
      <w:r w:rsidRPr="00465964">
        <w:rPr>
          <w:lang w:val="pt-PT"/>
        </w:rPr>
        <w:t>O acordo referido no primeiro parágrafo determina as disposições práticas de funcionamento do colégio, designadamente regras pormenorizadas relativas:</w:t>
      </w:r>
    </w:p>
    <w:tbl>
      <w:tblPr>
        <w:tblW w:w="5000" w:type="pct"/>
        <w:tblCellMar>
          <w:left w:w="0" w:type="dxa"/>
          <w:right w:w="0" w:type="dxa"/>
        </w:tblCellMar>
        <w:tblLook w:val="04A0" w:firstRow="1" w:lastRow="0" w:firstColumn="1" w:lastColumn="0" w:noHBand="0" w:noVBand="1"/>
      </w:tblPr>
      <w:tblGrid>
        <w:gridCol w:w="286"/>
        <w:gridCol w:w="8740"/>
      </w:tblGrid>
      <w:tr w:rsidR="00465964" w:rsidRPr="00465964" w14:paraId="33F3C6F2" w14:textId="77777777" w:rsidTr="00465964">
        <w:tc>
          <w:tcPr>
            <w:tcW w:w="0" w:type="auto"/>
            <w:shd w:val="clear" w:color="auto" w:fill="auto"/>
            <w:hideMark/>
          </w:tcPr>
          <w:p w14:paraId="44020843" w14:textId="77777777" w:rsidR="00465964" w:rsidRPr="00465964" w:rsidRDefault="00465964" w:rsidP="00465964">
            <w:r w:rsidRPr="00465964">
              <w:t>a)</w:t>
            </w:r>
          </w:p>
        </w:tc>
        <w:tc>
          <w:tcPr>
            <w:tcW w:w="0" w:type="auto"/>
            <w:shd w:val="clear" w:color="auto" w:fill="auto"/>
            <w:hideMark/>
          </w:tcPr>
          <w:p w14:paraId="1D03C045" w14:textId="77777777" w:rsidR="00465964" w:rsidRPr="00465964" w:rsidRDefault="00465964" w:rsidP="00465964">
            <w:pPr>
              <w:rPr>
                <w:lang w:val="pt-PT"/>
              </w:rPr>
            </w:pPr>
            <w:r w:rsidRPr="00465964">
              <w:rPr>
                <w:lang w:val="pt-PT"/>
              </w:rPr>
              <w:t>Ao processo de votação a que se refere o artigo 120.</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3;</w:t>
            </w:r>
          </w:p>
        </w:tc>
      </w:tr>
    </w:tbl>
    <w:p w14:paraId="2A240E61"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220"/>
        <w:gridCol w:w="8806"/>
      </w:tblGrid>
      <w:tr w:rsidR="00465964" w:rsidRPr="00465964" w14:paraId="01923578" w14:textId="77777777" w:rsidTr="00465964">
        <w:tc>
          <w:tcPr>
            <w:tcW w:w="0" w:type="auto"/>
            <w:shd w:val="clear" w:color="auto" w:fill="auto"/>
            <w:hideMark/>
          </w:tcPr>
          <w:p w14:paraId="44485842" w14:textId="77777777" w:rsidR="00465964" w:rsidRPr="00465964" w:rsidRDefault="00465964" w:rsidP="00465964">
            <w:r w:rsidRPr="00465964">
              <w:t>b)</w:t>
            </w:r>
          </w:p>
        </w:tc>
        <w:tc>
          <w:tcPr>
            <w:tcW w:w="0" w:type="auto"/>
            <w:shd w:val="clear" w:color="auto" w:fill="auto"/>
            <w:hideMark/>
          </w:tcPr>
          <w:p w14:paraId="266EBE96" w14:textId="77777777" w:rsidR="00465964" w:rsidRPr="00465964" w:rsidRDefault="00465964" w:rsidP="00465964">
            <w:pPr>
              <w:rPr>
                <w:lang w:val="pt-PT"/>
              </w:rPr>
            </w:pPr>
            <w:r w:rsidRPr="00465964">
              <w:rPr>
                <w:lang w:val="pt-PT"/>
              </w:rPr>
              <w:t>Aos procedimentos para a elaboração da ordem do dia das reuniões do colégio;</w:t>
            </w:r>
          </w:p>
        </w:tc>
      </w:tr>
    </w:tbl>
    <w:p w14:paraId="611A002D"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405"/>
        <w:gridCol w:w="8621"/>
      </w:tblGrid>
      <w:tr w:rsidR="00465964" w:rsidRPr="00465964" w14:paraId="7CE223C2" w14:textId="77777777" w:rsidTr="00465964">
        <w:tc>
          <w:tcPr>
            <w:tcW w:w="0" w:type="auto"/>
            <w:shd w:val="clear" w:color="auto" w:fill="auto"/>
            <w:hideMark/>
          </w:tcPr>
          <w:p w14:paraId="3D85B868" w14:textId="77777777" w:rsidR="00465964" w:rsidRPr="00465964" w:rsidRDefault="00465964" w:rsidP="00465964">
            <w:r w:rsidRPr="00465964">
              <w:t>c)</w:t>
            </w:r>
          </w:p>
        </w:tc>
        <w:tc>
          <w:tcPr>
            <w:tcW w:w="0" w:type="auto"/>
            <w:shd w:val="clear" w:color="auto" w:fill="auto"/>
            <w:hideMark/>
          </w:tcPr>
          <w:p w14:paraId="4E004EF6" w14:textId="77777777" w:rsidR="00465964" w:rsidRPr="00465964" w:rsidRDefault="00465964" w:rsidP="00465964">
            <w:pPr>
              <w:rPr>
                <w:lang w:val="pt-PT"/>
              </w:rPr>
            </w:pPr>
            <w:r w:rsidRPr="00465964">
              <w:rPr>
                <w:lang w:val="pt-PT"/>
              </w:rPr>
              <w:t>À periodicidade das reuniões do colégio;</w:t>
            </w:r>
          </w:p>
        </w:tc>
      </w:tr>
    </w:tbl>
    <w:p w14:paraId="0A82B501"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8"/>
        <w:gridCol w:w="8838"/>
      </w:tblGrid>
      <w:tr w:rsidR="00465964" w:rsidRPr="00465964" w14:paraId="7AB50DEC" w14:textId="77777777" w:rsidTr="00465964">
        <w:tc>
          <w:tcPr>
            <w:tcW w:w="0" w:type="auto"/>
            <w:shd w:val="clear" w:color="auto" w:fill="auto"/>
            <w:hideMark/>
          </w:tcPr>
          <w:p w14:paraId="53668DA7" w14:textId="77777777" w:rsidR="00465964" w:rsidRPr="00465964" w:rsidRDefault="00465964" w:rsidP="00465964">
            <w:r w:rsidRPr="00465964">
              <w:t>d)</w:t>
            </w:r>
          </w:p>
        </w:tc>
        <w:tc>
          <w:tcPr>
            <w:tcW w:w="0" w:type="auto"/>
            <w:shd w:val="clear" w:color="auto" w:fill="auto"/>
            <w:hideMark/>
          </w:tcPr>
          <w:p w14:paraId="2055128A" w14:textId="77777777" w:rsidR="00465964" w:rsidRPr="00465964" w:rsidRDefault="00465964" w:rsidP="00465964">
            <w:pPr>
              <w:rPr>
                <w:lang w:val="pt-PT"/>
              </w:rPr>
            </w:pPr>
            <w:r w:rsidRPr="00465964">
              <w:rPr>
                <w:lang w:val="pt-PT"/>
              </w:rPr>
              <w:t>Aos prazos mínimos adequados para a avaliação da documentação relevante pelos membros do colégio;</w:t>
            </w:r>
          </w:p>
        </w:tc>
      </w:tr>
    </w:tbl>
    <w:p w14:paraId="0EE4161E"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264"/>
        <w:gridCol w:w="8762"/>
      </w:tblGrid>
      <w:tr w:rsidR="00465964" w:rsidRPr="00465964" w14:paraId="5615BC0E" w14:textId="77777777" w:rsidTr="00465964">
        <w:tc>
          <w:tcPr>
            <w:tcW w:w="0" w:type="auto"/>
            <w:shd w:val="clear" w:color="auto" w:fill="auto"/>
            <w:hideMark/>
          </w:tcPr>
          <w:p w14:paraId="5F312848" w14:textId="77777777" w:rsidR="00465964" w:rsidRPr="00465964" w:rsidRDefault="00465964" w:rsidP="00465964">
            <w:r w:rsidRPr="00465964">
              <w:t>e)</w:t>
            </w:r>
          </w:p>
        </w:tc>
        <w:tc>
          <w:tcPr>
            <w:tcW w:w="0" w:type="auto"/>
            <w:shd w:val="clear" w:color="auto" w:fill="auto"/>
            <w:hideMark/>
          </w:tcPr>
          <w:p w14:paraId="7BE33283" w14:textId="77777777" w:rsidR="00465964" w:rsidRPr="00465964" w:rsidRDefault="00465964" w:rsidP="00465964">
            <w:pPr>
              <w:rPr>
                <w:lang w:val="pt-PT"/>
              </w:rPr>
            </w:pPr>
            <w:r w:rsidRPr="00465964">
              <w:rPr>
                <w:lang w:val="pt-PT"/>
              </w:rPr>
              <w:t>Às modalidades de comunicação entre os membros do colégio;</w:t>
            </w:r>
          </w:p>
        </w:tc>
      </w:tr>
    </w:tbl>
    <w:p w14:paraId="1ADC57A7"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42"/>
        <w:gridCol w:w="8884"/>
      </w:tblGrid>
      <w:tr w:rsidR="00465964" w:rsidRPr="00465964" w14:paraId="275A0125" w14:textId="77777777" w:rsidTr="00465964">
        <w:tc>
          <w:tcPr>
            <w:tcW w:w="0" w:type="auto"/>
            <w:shd w:val="clear" w:color="auto" w:fill="auto"/>
            <w:hideMark/>
          </w:tcPr>
          <w:p w14:paraId="121B7118" w14:textId="77777777" w:rsidR="00465964" w:rsidRPr="00465964" w:rsidRDefault="00465964" w:rsidP="00465964">
            <w:r w:rsidRPr="00465964">
              <w:t>f)</w:t>
            </w:r>
          </w:p>
        </w:tc>
        <w:tc>
          <w:tcPr>
            <w:tcW w:w="0" w:type="auto"/>
            <w:shd w:val="clear" w:color="auto" w:fill="auto"/>
            <w:hideMark/>
          </w:tcPr>
          <w:p w14:paraId="41CE6DE0" w14:textId="77777777" w:rsidR="00465964" w:rsidRPr="00465964" w:rsidRDefault="00465964" w:rsidP="00465964">
            <w:pPr>
              <w:rPr>
                <w:lang w:val="pt-PT"/>
              </w:rPr>
            </w:pPr>
            <w:r w:rsidRPr="00465964">
              <w:rPr>
                <w:lang w:val="pt-PT"/>
              </w:rPr>
              <w:t>À criação de vários colégios, um para cada criptoativo ou grupo de criptoativos específico.</w:t>
            </w:r>
          </w:p>
        </w:tc>
      </w:tr>
    </w:tbl>
    <w:p w14:paraId="42EAA8F4" w14:textId="77777777" w:rsidR="00465964" w:rsidRPr="00465964" w:rsidRDefault="00465964" w:rsidP="00465964">
      <w:pPr>
        <w:rPr>
          <w:lang w:val="pt-PT"/>
        </w:rPr>
      </w:pPr>
      <w:r w:rsidRPr="00465964">
        <w:rPr>
          <w:lang w:val="pt-PT"/>
        </w:rPr>
        <w:lastRenderedPageBreak/>
        <w:t>O acordo pode também determinar as atribuições a confiar à EBA ou a outro membro do colégio.</w:t>
      </w:r>
    </w:p>
    <w:p w14:paraId="3F60818A" w14:textId="77777777" w:rsidR="00465964" w:rsidRPr="00465964" w:rsidRDefault="00465964" w:rsidP="00465964">
      <w:pPr>
        <w:rPr>
          <w:lang w:val="pt-PT"/>
        </w:rPr>
      </w:pPr>
      <w:r w:rsidRPr="00465964">
        <w:rPr>
          <w:lang w:val="pt-PT"/>
        </w:rPr>
        <w:t>7.   Na qualidade de presidente de cada colégio, a EBA:</w:t>
      </w:r>
    </w:p>
    <w:tbl>
      <w:tblPr>
        <w:tblW w:w="5000" w:type="pct"/>
        <w:tblCellMar>
          <w:left w:w="0" w:type="dxa"/>
          <w:right w:w="0" w:type="dxa"/>
        </w:tblCellMar>
        <w:tblLook w:val="04A0" w:firstRow="1" w:lastRow="0" w:firstColumn="1" w:lastColumn="0" w:noHBand="0" w:noVBand="1"/>
      </w:tblPr>
      <w:tblGrid>
        <w:gridCol w:w="182"/>
        <w:gridCol w:w="8844"/>
      </w:tblGrid>
      <w:tr w:rsidR="00465964" w:rsidRPr="00465964" w14:paraId="22CB88E9" w14:textId="77777777" w:rsidTr="00465964">
        <w:tc>
          <w:tcPr>
            <w:tcW w:w="0" w:type="auto"/>
            <w:shd w:val="clear" w:color="auto" w:fill="auto"/>
            <w:hideMark/>
          </w:tcPr>
          <w:p w14:paraId="7456705C" w14:textId="77777777" w:rsidR="00465964" w:rsidRPr="00465964" w:rsidRDefault="00465964" w:rsidP="00465964">
            <w:r w:rsidRPr="00465964">
              <w:t>a)</w:t>
            </w:r>
          </w:p>
        </w:tc>
        <w:tc>
          <w:tcPr>
            <w:tcW w:w="0" w:type="auto"/>
            <w:shd w:val="clear" w:color="auto" w:fill="auto"/>
            <w:hideMark/>
          </w:tcPr>
          <w:p w14:paraId="33216279" w14:textId="77777777" w:rsidR="00465964" w:rsidRPr="00465964" w:rsidRDefault="00465964" w:rsidP="00465964">
            <w:pPr>
              <w:rPr>
                <w:lang w:val="pt-PT"/>
              </w:rPr>
            </w:pPr>
            <w:r w:rsidRPr="00465964">
              <w:rPr>
                <w:lang w:val="pt-PT"/>
              </w:rPr>
              <w:t>Estabelece disposições e procedimentos escritos para o funcionamento do colégio, após consulta dos outros membros do colégio;</w:t>
            </w:r>
          </w:p>
        </w:tc>
      </w:tr>
    </w:tbl>
    <w:p w14:paraId="75501B06"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415"/>
        <w:gridCol w:w="8611"/>
      </w:tblGrid>
      <w:tr w:rsidR="00465964" w:rsidRPr="00465964" w14:paraId="3D40DAA6" w14:textId="77777777" w:rsidTr="00465964">
        <w:tc>
          <w:tcPr>
            <w:tcW w:w="0" w:type="auto"/>
            <w:shd w:val="clear" w:color="auto" w:fill="auto"/>
            <w:hideMark/>
          </w:tcPr>
          <w:p w14:paraId="1D29A0DB" w14:textId="77777777" w:rsidR="00465964" w:rsidRPr="00465964" w:rsidRDefault="00465964" w:rsidP="00465964">
            <w:r w:rsidRPr="00465964">
              <w:t>b)</w:t>
            </w:r>
          </w:p>
        </w:tc>
        <w:tc>
          <w:tcPr>
            <w:tcW w:w="0" w:type="auto"/>
            <w:shd w:val="clear" w:color="auto" w:fill="auto"/>
            <w:hideMark/>
          </w:tcPr>
          <w:p w14:paraId="610CA5C8" w14:textId="77777777" w:rsidR="00465964" w:rsidRPr="00465964" w:rsidRDefault="00465964" w:rsidP="00465964">
            <w:pPr>
              <w:rPr>
                <w:lang w:val="pt-PT"/>
              </w:rPr>
            </w:pPr>
            <w:r w:rsidRPr="00465964">
              <w:rPr>
                <w:lang w:val="pt-PT"/>
              </w:rPr>
              <w:t>Coordena todas as atividades do colégio;</w:t>
            </w:r>
          </w:p>
        </w:tc>
      </w:tr>
    </w:tbl>
    <w:p w14:paraId="7C10E8D8"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0"/>
        <w:gridCol w:w="8846"/>
      </w:tblGrid>
      <w:tr w:rsidR="00465964" w:rsidRPr="00465964" w14:paraId="4865B724" w14:textId="77777777" w:rsidTr="00465964">
        <w:tc>
          <w:tcPr>
            <w:tcW w:w="0" w:type="auto"/>
            <w:shd w:val="clear" w:color="auto" w:fill="auto"/>
            <w:hideMark/>
          </w:tcPr>
          <w:p w14:paraId="2FC19ECE" w14:textId="77777777" w:rsidR="00465964" w:rsidRPr="00465964" w:rsidRDefault="00465964" w:rsidP="00465964">
            <w:r w:rsidRPr="00465964">
              <w:t>c)</w:t>
            </w:r>
          </w:p>
        </w:tc>
        <w:tc>
          <w:tcPr>
            <w:tcW w:w="0" w:type="auto"/>
            <w:shd w:val="clear" w:color="auto" w:fill="auto"/>
            <w:hideMark/>
          </w:tcPr>
          <w:p w14:paraId="31F613E3" w14:textId="77777777" w:rsidR="00465964" w:rsidRPr="00465964" w:rsidRDefault="00465964" w:rsidP="00465964">
            <w:pPr>
              <w:rPr>
                <w:lang w:val="pt-PT"/>
              </w:rPr>
            </w:pPr>
            <w:r w:rsidRPr="00465964">
              <w:rPr>
                <w:lang w:val="pt-PT"/>
              </w:rPr>
              <w:t>Convoca e preside a todas as suas reuniões e mantém os membros do colégio plenamente informados, com antecedência, da organização de reuniões do colégio, das principais questões a debater e dos pontos a examinar;</w:t>
            </w:r>
          </w:p>
        </w:tc>
      </w:tr>
    </w:tbl>
    <w:p w14:paraId="012FCB74"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8"/>
        <w:gridCol w:w="8838"/>
      </w:tblGrid>
      <w:tr w:rsidR="00465964" w:rsidRPr="00465964" w14:paraId="69CDD023" w14:textId="77777777" w:rsidTr="00465964">
        <w:tc>
          <w:tcPr>
            <w:tcW w:w="0" w:type="auto"/>
            <w:shd w:val="clear" w:color="auto" w:fill="auto"/>
            <w:hideMark/>
          </w:tcPr>
          <w:p w14:paraId="219CDFC8" w14:textId="77777777" w:rsidR="00465964" w:rsidRPr="00465964" w:rsidRDefault="00465964" w:rsidP="00465964">
            <w:r w:rsidRPr="00465964">
              <w:t>d)</w:t>
            </w:r>
          </w:p>
        </w:tc>
        <w:tc>
          <w:tcPr>
            <w:tcW w:w="0" w:type="auto"/>
            <w:shd w:val="clear" w:color="auto" w:fill="auto"/>
            <w:hideMark/>
          </w:tcPr>
          <w:p w14:paraId="1A41CFCE" w14:textId="77777777" w:rsidR="00465964" w:rsidRPr="00465964" w:rsidRDefault="00465964" w:rsidP="00465964">
            <w:pPr>
              <w:rPr>
                <w:lang w:val="pt-PT"/>
              </w:rPr>
            </w:pPr>
            <w:r w:rsidRPr="00465964">
              <w:rPr>
                <w:lang w:val="pt-PT"/>
              </w:rPr>
              <w:t>Notifica os membros do colégio das reuniões programadas, para que possam solicitar a sua participação;</w:t>
            </w:r>
          </w:p>
        </w:tc>
      </w:tr>
    </w:tbl>
    <w:p w14:paraId="17B6BD0D"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1"/>
        <w:gridCol w:w="8845"/>
      </w:tblGrid>
      <w:tr w:rsidR="00465964" w:rsidRPr="00465964" w14:paraId="12A25AC7" w14:textId="77777777" w:rsidTr="00465964">
        <w:tc>
          <w:tcPr>
            <w:tcW w:w="0" w:type="auto"/>
            <w:shd w:val="clear" w:color="auto" w:fill="auto"/>
            <w:hideMark/>
          </w:tcPr>
          <w:p w14:paraId="587F4DEC" w14:textId="77777777" w:rsidR="00465964" w:rsidRPr="00465964" w:rsidRDefault="00465964" w:rsidP="00465964">
            <w:r w:rsidRPr="00465964">
              <w:t>e)</w:t>
            </w:r>
          </w:p>
        </w:tc>
        <w:tc>
          <w:tcPr>
            <w:tcW w:w="0" w:type="auto"/>
            <w:shd w:val="clear" w:color="auto" w:fill="auto"/>
            <w:hideMark/>
          </w:tcPr>
          <w:p w14:paraId="26DD4B66" w14:textId="77777777" w:rsidR="00465964" w:rsidRPr="00465964" w:rsidRDefault="00465964" w:rsidP="00465964">
            <w:pPr>
              <w:rPr>
                <w:lang w:val="pt-PT"/>
              </w:rPr>
            </w:pPr>
            <w:r w:rsidRPr="00465964">
              <w:rPr>
                <w:lang w:val="pt-PT"/>
              </w:rPr>
              <w:t>Mantém os membros do colégio informados, atempadamente, sobre as decisões e os resultados dessas reuniões.</w:t>
            </w:r>
          </w:p>
        </w:tc>
      </w:tr>
    </w:tbl>
    <w:p w14:paraId="79814C25" w14:textId="77777777" w:rsidR="00465964" w:rsidRPr="00465964" w:rsidRDefault="00465964" w:rsidP="00465964">
      <w:pPr>
        <w:rPr>
          <w:lang w:val="pt-PT"/>
        </w:rPr>
      </w:pPr>
      <w:r w:rsidRPr="00465964">
        <w:rPr>
          <w:lang w:val="pt-PT"/>
        </w:rPr>
        <w:t>8.   A fim de assegurar um funcionamento uniforme e coerente dos colégios, a EBA elabora, em cooperação com a ESMA e o BCE, projetos de normas de regulamentação que especifiquem:</w:t>
      </w:r>
    </w:p>
    <w:tbl>
      <w:tblPr>
        <w:tblW w:w="5000" w:type="pct"/>
        <w:tblCellMar>
          <w:left w:w="0" w:type="dxa"/>
          <w:right w:w="0" w:type="dxa"/>
        </w:tblCellMar>
        <w:tblLook w:val="04A0" w:firstRow="1" w:lastRow="0" w:firstColumn="1" w:lastColumn="0" w:noHBand="0" w:noVBand="1"/>
      </w:tblPr>
      <w:tblGrid>
        <w:gridCol w:w="182"/>
        <w:gridCol w:w="8844"/>
      </w:tblGrid>
      <w:tr w:rsidR="00465964" w:rsidRPr="00465964" w14:paraId="5DBF316A" w14:textId="77777777" w:rsidTr="00465964">
        <w:tc>
          <w:tcPr>
            <w:tcW w:w="0" w:type="auto"/>
            <w:shd w:val="clear" w:color="auto" w:fill="auto"/>
            <w:hideMark/>
          </w:tcPr>
          <w:p w14:paraId="70532F0F" w14:textId="77777777" w:rsidR="00465964" w:rsidRPr="00465964" w:rsidRDefault="00465964" w:rsidP="00465964">
            <w:r w:rsidRPr="00465964">
              <w:t>a)</w:t>
            </w:r>
          </w:p>
        </w:tc>
        <w:tc>
          <w:tcPr>
            <w:tcW w:w="0" w:type="auto"/>
            <w:shd w:val="clear" w:color="auto" w:fill="auto"/>
            <w:hideMark/>
          </w:tcPr>
          <w:p w14:paraId="424149F6" w14:textId="77777777" w:rsidR="00465964" w:rsidRPr="00465964" w:rsidRDefault="00465964" w:rsidP="00465964">
            <w:pPr>
              <w:rPr>
                <w:lang w:val="pt-PT"/>
              </w:rPr>
            </w:pPr>
            <w:r w:rsidRPr="00465964">
              <w:rPr>
                <w:lang w:val="pt-PT"/>
              </w:rPr>
              <w:t xml:space="preserve">As condições em que as entidades a que se refere o </w:t>
            </w:r>
            <w:proofErr w:type="spellStart"/>
            <w:r w:rsidRPr="00465964">
              <w:rPr>
                <w:lang w:val="pt-PT"/>
              </w:rPr>
              <w:t>n.</w:t>
            </w:r>
            <w:r w:rsidRPr="00465964">
              <w:rPr>
                <w:vertAlign w:val="superscript"/>
                <w:lang w:val="pt-PT"/>
              </w:rPr>
              <w:t>o</w:t>
            </w:r>
            <w:proofErr w:type="spellEnd"/>
            <w:r w:rsidRPr="00465964">
              <w:rPr>
                <w:lang w:val="pt-PT"/>
              </w:rPr>
              <w:t> 2, alíneas d), e), f) e h), devem ser consideradas as mais relevantes;</w:t>
            </w:r>
          </w:p>
        </w:tc>
      </w:tr>
    </w:tbl>
    <w:p w14:paraId="0AD7A18D"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8"/>
        <w:gridCol w:w="8838"/>
      </w:tblGrid>
      <w:tr w:rsidR="00465964" w:rsidRPr="00465964" w14:paraId="7954A3D4" w14:textId="77777777" w:rsidTr="00465964">
        <w:tc>
          <w:tcPr>
            <w:tcW w:w="0" w:type="auto"/>
            <w:shd w:val="clear" w:color="auto" w:fill="auto"/>
            <w:hideMark/>
          </w:tcPr>
          <w:p w14:paraId="0D5D633C" w14:textId="77777777" w:rsidR="00465964" w:rsidRPr="00465964" w:rsidRDefault="00465964" w:rsidP="00465964">
            <w:r w:rsidRPr="00465964">
              <w:t>b)</w:t>
            </w:r>
          </w:p>
        </w:tc>
        <w:tc>
          <w:tcPr>
            <w:tcW w:w="0" w:type="auto"/>
            <w:shd w:val="clear" w:color="auto" w:fill="auto"/>
            <w:hideMark/>
          </w:tcPr>
          <w:p w14:paraId="52B4B370" w14:textId="4A510FB2" w:rsidR="00465964" w:rsidRPr="00465964" w:rsidRDefault="00465964" w:rsidP="00465964">
            <w:pPr>
              <w:rPr>
                <w:lang w:val="pt-PT"/>
              </w:rPr>
            </w:pPr>
            <w:r w:rsidRPr="00465964">
              <w:rPr>
                <w:lang w:val="pt-PT"/>
              </w:rPr>
              <w:t xml:space="preserve">As condições em que se considera que </w:t>
            </w:r>
            <w:r>
              <w:rPr>
                <w:lang w:val="pt-PT"/>
              </w:rPr>
              <w:t>criptomoedas</w:t>
            </w:r>
            <w:r w:rsidRPr="00465964">
              <w:rPr>
                <w:lang w:val="pt-PT"/>
              </w:rPr>
              <w:t xml:space="preserve"> referenciadas a ativos ou </w:t>
            </w:r>
            <w:r>
              <w:rPr>
                <w:lang w:val="pt-PT"/>
              </w:rPr>
              <w:t>criptomoedas</w:t>
            </w:r>
            <w:r w:rsidRPr="00465964">
              <w:rPr>
                <w:lang w:val="pt-PT"/>
              </w:rPr>
              <w:t xml:space="preserve"> de moeda eletrónica são utilizadas em grande escala, tal como referido no </w:t>
            </w:r>
            <w:proofErr w:type="spellStart"/>
            <w:r w:rsidRPr="00465964">
              <w:rPr>
                <w:lang w:val="pt-PT"/>
              </w:rPr>
              <w:t>n.</w:t>
            </w:r>
            <w:r w:rsidRPr="00465964">
              <w:rPr>
                <w:vertAlign w:val="superscript"/>
                <w:lang w:val="pt-PT"/>
              </w:rPr>
              <w:t>o</w:t>
            </w:r>
            <w:proofErr w:type="spellEnd"/>
            <w:r w:rsidRPr="00465964">
              <w:rPr>
                <w:lang w:val="pt-PT"/>
              </w:rPr>
              <w:t> 2, alínea l); e</w:t>
            </w:r>
          </w:p>
        </w:tc>
      </w:tr>
    </w:tbl>
    <w:p w14:paraId="3F1DFB8B"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263"/>
        <w:gridCol w:w="8763"/>
      </w:tblGrid>
      <w:tr w:rsidR="00465964" w:rsidRPr="00465964" w14:paraId="3FD4EACD" w14:textId="77777777" w:rsidTr="00465964">
        <w:tc>
          <w:tcPr>
            <w:tcW w:w="0" w:type="auto"/>
            <w:shd w:val="clear" w:color="auto" w:fill="auto"/>
            <w:hideMark/>
          </w:tcPr>
          <w:p w14:paraId="7C47E353" w14:textId="77777777" w:rsidR="00465964" w:rsidRPr="00465964" w:rsidRDefault="00465964" w:rsidP="00465964">
            <w:r w:rsidRPr="00465964">
              <w:t>c)</w:t>
            </w:r>
          </w:p>
        </w:tc>
        <w:tc>
          <w:tcPr>
            <w:tcW w:w="0" w:type="auto"/>
            <w:shd w:val="clear" w:color="auto" w:fill="auto"/>
            <w:hideMark/>
          </w:tcPr>
          <w:p w14:paraId="6CE8F391" w14:textId="77777777" w:rsidR="00465964" w:rsidRPr="00465964" w:rsidRDefault="00465964" w:rsidP="00465964">
            <w:pPr>
              <w:rPr>
                <w:lang w:val="pt-PT"/>
              </w:rPr>
            </w:pPr>
            <w:r w:rsidRPr="00465964">
              <w:rPr>
                <w:lang w:val="pt-PT"/>
              </w:rPr>
              <w:t xml:space="preserve">Os pormenores das disposições práticas a que se refere o </w:t>
            </w:r>
            <w:proofErr w:type="spellStart"/>
            <w:r w:rsidRPr="00465964">
              <w:rPr>
                <w:lang w:val="pt-PT"/>
              </w:rPr>
              <w:t>n.</w:t>
            </w:r>
            <w:r w:rsidRPr="00465964">
              <w:rPr>
                <w:vertAlign w:val="superscript"/>
                <w:lang w:val="pt-PT"/>
              </w:rPr>
              <w:t>o</w:t>
            </w:r>
            <w:proofErr w:type="spellEnd"/>
            <w:r w:rsidRPr="00465964">
              <w:rPr>
                <w:lang w:val="pt-PT"/>
              </w:rPr>
              <w:t> 6.</w:t>
            </w:r>
          </w:p>
        </w:tc>
      </w:tr>
    </w:tbl>
    <w:p w14:paraId="66408E51" w14:textId="77777777" w:rsidR="00465964" w:rsidRPr="00465964" w:rsidRDefault="00465964" w:rsidP="00465964">
      <w:pPr>
        <w:rPr>
          <w:lang w:val="pt-PT"/>
        </w:rPr>
      </w:pPr>
      <w:r w:rsidRPr="00465964">
        <w:rPr>
          <w:lang w:val="pt-PT"/>
        </w:rPr>
        <w:t>A EBA apresenta à Comissão os projetos de normas de regulamentação referidos no primeiro parágrafo até 30 de junho de 2024.</w:t>
      </w:r>
    </w:p>
    <w:p w14:paraId="55A09D14" w14:textId="77777777" w:rsidR="00465964" w:rsidRPr="00465964" w:rsidRDefault="00465964" w:rsidP="00465964">
      <w:pPr>
        <w:rPr>
          <w:lang w:val="pt-PT"/>
        </w:rPr>
      </w:pPr>
      <w:r w:rsidRPr="00465964">
        <w:rPr>
          <w:lang w:val="pt-PT"/>
        </w:rPr>
        <w:t>É delegado na Comissão o poder de completar o presente regulamento através da adoção das normas técnicas de regulamentação a que se refere o primeiro parágrafo do presente número em conformidade com os artigos 10.</w:t>
      </w:r>
      <w:r w:rsidRPr="00465964">
        <w:rPr>
          <w:vertAlign w:val="superscript"/>
          <w:lang w:val="pt-PT"/>
        </w:rPr>
        <w:t>o</w:t>
      </w:r>
      <w:r w:rsidRPr="00465964">
        <w:rPr>
          <w:lang w:val="pt-PT"/>
        </w:rPr>
        <w:t> a 14.</w:t>
      </w:r>
      <w:r w:rsidRPr="00465964">
        <w:rPr>
          <w:vertAlign w:val="superscript"/>
          <w:lang w:val="pt-PT"/>
        </w:rPr>
        <w:t>o</w:t>
      </w:r>
      <w:r w:rsidRPr="00465964">
        <w:rPr>
          <w:lang w:val="pt-PT"/>
        </w:rPr>
        <w:t xml:space="preserve"> do Regulamento (UE) </w:t>
      </w:r>
      <w:proofErr w:type="spellStart"/>
      <w:r w:rsidRPr="00465964">
        <w:rPr>
          <w:lang w:val="pt-PT"/>
        </w:rPr>
        <w:t>n.</w:t>
      </w:r>
      <w:r w:rsidRPr="00465964">
        <w:rPr>
          <w:vertAlign w:val="superscript"/>
          <w:lang w:val="pt-PT"/>
        </w:rPr>
        <w:t>o</w:t>
      </w:r>
      <w:proofErr w:type="spellEnd"/>
      <w:r w:rsidRPr="00465964">
        <w:rPr>
          <w:lang w:val="pt-PT"/>
        </w:rPr>
        <w:t> 1093/2010.</w:t>
      </w:r>
    </w:p>
    <w:p w14:paraId="0DB6F870" w14:textId="77777777" w:rsidR="00465964" w:rsidRPr="00465964" w:rsidRDefault="00465964" w:rsidP="00465964">
      <w:pPr>
        <w:rPr>
          <w:i/>
          <w:iCs/>
          <w:lang w:val="pt-PT"/>
        </w:rPr>
      </w:pPr>
      <w:r w:rsidRPr="00465964">
        <w:rPr>
          <w:i/>
          <w:iCs/>
          <w:lang w:val="pt-PT"/>
        </w:rPr>
        <w:t>Artigo 120.</w:t>
      </w:r>
      <w:r w:rsidRPr="00465964">
        <w:rPr>
          <w:i/>
          <w:iCs/>
          <w:vertAlign w:val="superscript"/>
          <w:lang w:val="pt-PT"/>
        </w:rPr>
        <w:t>o</w:t>
      </w:r>
    </w:p>
    <w:p w14:paraId="3F6590F1" w14:textId="6CD40C77" w:rsidR="00465964" w:rsidRPr="00465964" w:rsidRDefault="00465964" w:rsidP="00465964">
      <w:pPr>
        <w:rPr>
          <w:b/>
          <w:bCs/>
          <w:lang w:val="pt-PT"/>
        </w:rPr>
      </w:pPr>
      <w:r w:rsidRPr="00465964">
        <w:rPr>
          <w:b/>
          <w:bCs/>
          <w:lang w:val="pt-PT"/>
        </w:rPr>
        <w:t xml:space="preserve">Pareceres não vinculativos dos colégios para emitentes de </w:t>
      </w:r>
      <w:r>
        <w:rPr>
          <w:b/>
          <w:bCs/>
          <w:lang w:val="pt-PT"/>
        </w:rPr>
        <w:t>criptomoedas</w:t>
      </w:r>
      <w:r w:rsidRPr="00465964">
        <w:rPr>
          <w:b/>
          <w:bCs/>
          <w:lang w:val="pt-PT"/>
        </w:rPr>
        <w:t xml:space="preserve"> referenciadas a ativos significativas e de </w:t>
      </w:r>
      <w:r>
        <w:rPr>
          <w:b/>
          <w:bCs/>
          <w:lang w:val="pt-PT"/>
        </w:rPr>
        <w:t>criptomoedas</w:t>
      </w:r>
      <w:r w:rsidRPr="00465964">
        <w:rPr>
          <w:b/>
          <w:bCs/>
          <w:lang w:val="pt-PT"/>
        </w:rPr>
        <w:t xml:space="preserve"> de moeda eletrónica significativas</w:t>
      </w:r>
    </w:p>
    <w:p w14:paraId="3676467E" w14:textId="77777777" w:rsidR="00465964" w:rsidRPr="00465964" w:rsidRDefault="00465964" w:rsidP="00465964">
      <w:pPr>
        <w:rPr>
          <w:lang w:val="pt-PT"/>
        </w:rPr>
      </w:pPr>
      <w:r w:rsidRPr="00465964">
        <w:rPr>
          <w:lang w:val="pt-PT"/>
        </w:rPr>
        <w:t>1.   Um colégio a que se refere o artigo 119.</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1, pode emitir um parecer não vinculativo sobre:</w:t>
      </w:r>
    </w:p>
    <w:tbl>
      <w:tblPr>
        <w:tblW w:w="5000" w:type="pct"/>
        <w:tblCellMar>
          <w:left w:w="0" w:type="dxa"/>
          <w:right w:w="0" w:type="dxa"/>
        </w:tblCellMar>
        <w:tblLook w:val="04A0" w:firstRow="1" w:lastRow="0" w:firstColumn="1" w:lastColumn="0" w:noHBand="0" w:noVBand="1"/>
      </w:tblPr>
      <w:tblGrid>
        <w:gridCol w:w="268"/>
        <w:gridCol w:w="8758"/>
      </w:tblGrid>
      <w:tr w:rsidR="00465964" w:rsidRPr="00465964" w14:paraId="2E1AFE32" w14:textId="77777777" w:rsidTr="00465964">
        <w:tc>
          <w:tcPr>
            <w:tcW w:w="0" w:type="auto"/>
            <w:shd w:val="clear" w:color="auto" w:fill="auto"/>
            <w:hideMark/>
          </w:tcPr>
          <w:p w14:paraId="727B1A8D" w14:textId="77777777" w:rsidR="00465964" w:rsidRPr="00465964" w:rsidRDefault="00465964" w:rsidP="00465964">
            <w:r w:rsidRPr="00465964">
              <w:t>a)</w:t>
            </w:r>
          </w:p>
        </w:tc>
        <w:tc>
          <w:tcPr>
            <w:tcW w:w="0" w:type="auto"/>
            <w:shd w:val="clear" w:color="auto" w:fill="auto"/>
            <w:hideMark/>
          </w:tcPr>
          <w:p w14:paraId="77B677B3" w14:textId="77777777" w:rsidR="00465964" w:rsidRPr="00465964" w:rsidRDefault="00465964" w:rsidP="00465964">
            <w:pPr>
              <w:rPr>
                <w:lang w:val="pt-PT"/>
              </w:rPr>
            </w:pPr>
            <w:r w:rsidRPr="00465964">
              <w:rPr>
                <w:lang w:val="pt-PT"/>
              </w:rPr>
              <w:t>A reavaliação de supervisão a que se refere o artigo 117.</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3;</w:t>
            </w:r>
          </w:p>
        </w:tc>
      </w:tr>
    </w:tbl>
    <w:p w14:paraId="5C969ADB"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8"/>
        <w:gridCol w:w="8838"/>
      </w:tblGrid>
      <w:tr w:rsidR="00465964" w:rsidRPr="00465964" w14:paraId="0CDCF11B" w14:textId="77777777" w:rsidTr="00465964">
        <w:tc>
          <w:tcPr>
            <w:tcW w:w="0" w:type="auto"/>
            <w:shd w:val="clear" w:color="auto" w:fill="auto"/>
            <w:hideMark/>
          </w:tcPr>
          <w:p w14:paraId="18BFA378" w14:textId="77777777" w:rsidR="00465964" w:rsidRPr="00465964" w:rsidRDefault="00465964" w:rsidP="00465964">
            <w:r w:rsidRPr="00465964">
              <w:t>b)</w:t>
            </w:r>
          </w:p>
        </w:tc>
        <w:tc>
          <w:tcPr>
            <w:tcW w:w="0" w:type="auto"/>
            <w:shd w:val="clear" w:color="auto" w:fill="auto"/>
            <w:hideMark/>
          </w:tcPr>
          <w:p w14:paraId="0AEEF941" w14:textId="77777777" w:rsidR="00465964" w:rsidRPr="00465964" w:rsidRDefault="00465964" w:rsidP="00465964">
            <w:pPr>
              <w:rPr>
                <w:lang w:val="pt-PT"/>
              </w:rPr>
            </w:pPr>
            <w:r w:rsidRPr="00465964">
              <w:rPr>
                <w:lang w:val="pt-PT"/>
              </w:rPr>
              <w:t xml:space="preserve">Qualquer decisão que imponha a um emitente de uma </w:t>
            </w:r>
            <w:proofErr w:type="spellStart"/>
            <w:r w:rsidRPr="00465964">
              <w:rPr>
                <w:lang w:val="pt-PT"/>
              </w:rPr>
              <w:t>criptoficha</w:t>
            </w:r>
            <w:proofErr w:type="spellEnd"/>
            <w:r w:rsidRPr="00465964">
              <w:rPr>
                <w:lang w:val="pt-PT"/>
              </w:rPr>
              <w:t xml:space="preserve"> referenciada a ativos significativa ou de uma </w:t>
            </w:r>
            <w:proofErr w:type="spellStart"/>
            <w:r w:rsidRPr="00465964">
              <w:rPr>
                <w:lang w:val="pt-PT"/>
              </w:rPr>
              <w:t>criptoficha</w:t>
            </w:r>
            <w:proofErr w:type="spellEnd"/>
            <w:r w:rsidRPr="00465964">
              <w:rPr>
                <w:lang w:val="pt-PT"/>
              </w:rPr>
              <w:t xml:space="preserve"> de moeda eletrónica significativa a obrigação de deter fundos próprios num montante mais elevado, em conformidade com o artigo </w:t>
            </w:r>
            <w:proofErr w:type="gramStart"/>
            <w:r w:rsidRPr="00465964">
              <w:rPr>
                <w:lang w:val="pt-PT"/>
              </w:rPr>
              <w:t>35.</w:t>
            </w:r>
            <w:r w:rsidRPr="00465964">
              <w:rPr>
                <w:vertAlign w:val="superscript"/>
                <w:lang w:val="pt-PT"/>
              </w:rPr>
              <w:t>o</w:t>
            </w:r>
            <w:proofErr w:type="gramEnd"/>
            <w:r w:rsidRPr="00465964">
              <w:rPr>
                <w:lang w:val="pt-PT"/>
              </w:rPr>
              <w:t xml:space="preserve">, </w:t>
            </w:r>
            <w:proofErr w:type="spellStart"/>
            <w:r w:rsidRPr="00465964">
              <w:rPr>
                <w:lang w:val="pt-PT"/>
              </w:rPr>
              <w:t>n.</w:t>
            </w:r>
            <w:r w:rsidRPr="00465964">
              <w:rPr>
                <w:vertAlign w:val="superscript"/>
                <w:lang w:val="pt-PT"/>
              </w:rPr>
              <w:t>os</w:t>
            </w:r>
            <w:proofErr w:type="spellEnd"/>
            <w:r w:rsidRPr="00465964">
              <w:rPr>
                <w:lang w:val="pt-PT"/>
              </w:rPr>
              <w:t> 2, 3 e 5, o artigo 45.</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5 e o artigo 58.</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1, consoante aplicável;</w:t>
            </w:r>
          </w:p>
        </w:tc>
      </w:tr>
    </w:tbl>
    <w:p w14:paraId="131A5F05"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0"/>
        <w:gridCol w:w="8846"/>
      </w:tblGrid>
      <w:tr w:rsidR="00465964" w:rsidRPr="00465964" w14:paraId="45FB13CB" w14:textId="77777777" w:rsidTr="00465964">
        <w:tc>
          <w:tcPr>
            <w:tcW w:w="0" w:type="auto"/>
            <w:shd w:val="clear" w:color="auto" w:fill="auto"/>
            <w:hideMark/>
          </w:tcPr>
          <w:p w14:paraId="75BBFDDB" w14:textId="77777777" w:rsidR="00465964" w:rsidRPr="00465964" w:rsidRDefault="00465964" w:rsidP="00465964">
            <w:r w:rsidRPr="00465964">
              <w:lastRenderedPageBreak/>
              <w:t>c)</w:t>
            </w:r>
          </w:p>
        </w:tc>
        <w:tc>
          <w:tcPr>
            <w:tcW w:w="0" w:type="auto"/>
            <w:shd w:val="clear" w:color="auto" w:fill="auto"/>
            <w:hideMark/>
          </w:tcPr>
          <w:p w14:paraId="4806BFDB" w14:textId="77777777" w:rsidR="00465964" w:rsidRPr="00465964" w:rsidRDefault="00465964" w:rsidP="00465964">
            <w:pPr>
              <w:rPr>
                <w:lang w:val="pt-PT"/>
              </w:rPr>
            </w:pPr>
            <w:r w:rsidRPr="00465964">
              <w:rPr>
                <w:lang w:val="pt-PT"/>
              </w:rPr>
              <w:t xml:space="preserve">Qualquer atualização do plano de recuperação ou do plano de reembolso de um emitente de uma </w:t>
            </w:r>
            <w:proofErr w:type="spellStart"/>
            <w:r w:rsidRPr="00465964">
              <w:rPr>
                <w:lang w:val="pt-PT"/>
              </w:rPr>
              <w:t>criptoficha</w:t>
            </w:r>
            <w:proofErr w:type="spellEnd"/>
            <w:r w:rsidRPr="00465964">
              <w:rPr>
                <w:lang w:val="pt-PT"/>
              </w:rPr>
              <w:t xml:space="preserve"> referenciada a ativos significativa ou de um emitente de uma </w:t>
            </w:r>
            <w:proofErr w:type="spellStart"/>
            <w:r w:rsidRPr="00465964">
              <w:rPr>
                <w:lang w:val="pt-PT"/>
              </w:rPr>
              <w:t>criptoficha</w:t>
            </w:r>
            <w:proofErr w:type="spellEnd"/>
            <w:r w:rsidRPr="00465964">
              <w:rPr>
                <w:lang w:val="pt-PT"/>
              </w:rPr>
              <w:t xml:space="preserve"> de moeda eletrónica significativa, nos termos dos artigos 46.</w:t>
            </w:r>
            <w:r w:rsidRPr="00465964">
              <w:rPr>
                <w:vertAlign w:val="superscript"/>
                <w:lang w:val="pt-PT"/>
              </w:rPr>
              <w:t>o</w:t>
            </w:r>
            <w:r w:rsidRPr="00465964">
              <w:rPr>
                <w:lang w:val="pt-PT"/>
              </w:rPr>
              <w:t>, 47.</w:t>
            </w:r>
            <w:r w:rsidRPr="00465964">
              <w:rPr>
                <w:vertAlign w:val="superscript"/>
                <w:lang w:val="pt-PT"/>
              </w:rPr>
              <w:t>o</w:t>
            </w:r>
            <w:r w:rsidRPr="00465964">
              <w:rPr>
                <w:lang w:val="pt-PT"/>
              </w:rPr>
              <w:t> e 55.</w:t>
            </w:r>
            <w:r w:rsidRPr="00465964">
              <w:rPr>
                <w:vertAlign w:val="superscript"/>
                <w:lang w:val="pt-PT"/>
              </w:rPr>
              <w:t>o</w:t>
            </w:r>
            <w:r w:rsidRPr="00465964">
              <w:rPr>
                <w:lang w:val="pt-PT"/>
              </w:rPr>
              <w:t>, consoante aplicável;</w:t>
            </w:r>
          </w:p>
        </w:tc>
      </w:tr>
    </w:tbl>
    <w:p w14:paraId="4C33276A"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8"/>
        <w:gridCol w:w="8838"/>
      </w:tblGrid>
      <w:tr w:rsidR="00465964" w:rsidRPr="00465964" w14:paraId="3212AC8A" w14:textId="77777777" w:rsidTr="00465964">
        <w:tc>
          <w:tcPr>
            <w:tcW w:w="0" w:type="auto"/>
            <w:shd w:val="clear" w:color="auto" w:fill="auto"/>
            <w:hideMark/>
          </w:tcPr>
          <w:p w14:paraId="617BF116" w14:textId="77777777" w:rsidR="00465964" w:rsidRPr="00465964" w:rsidRDefault="00465964" w:rsidP="00465964">
            <w:r w:rsidRPr="00465964">
              <w:t>d)</w:t>
            </w:r>
          </w:p>
        </w:tc>
        <w:tc>
          <w:tcPr>
            <w:tcW w:w="0" w:type="auto"/>
            <w:shd w:val="clear" w:color="auto" w:fill="auto"/>
            <w:hideMark/>
          </w:tcPr>
          <w:p w14:paraId="6ADCC230" w14:textId="77777777" w:rsidR="00465964" w:rsidRPr="00465964" w:rsidRDefault="00465964" w:rsidP="00465964">
            <w:pPr>
              <w:rPr>
                <w:lang w:val="pt-PT"/>
              </w:rPr>
            </w:pPr>
            <w:r w:rsidRPr="00465964">
              <w:rPr>
                <w:lang w:val="pt-PT"/>
              </w:rPr>
              <w:t xml:space="preserve">Qualquer alteração do modelo de negócios de um emitente de uma </w:t>
            </w:r>
            <w:proofErr w:type="spellStart"/>
            <w:r w:rsidRPr="00465964">
              <w:rPr>
                <w:lang w:val="pt-PT"/>
              </w:rPr>
              <w:t>criptoficha</w:t>
            </w:r>
            <w:proofErr w:type="spellEnd"/>
            <w:r w:rsidRPr="00465964">
              <w:rPr>
                <w:lang w:val="pt-PT"/>
              </w:rPr>
              <w:t xml:space="preserve"> referenciada a ativos significativa, nos termos do artigo 25.</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1;</w:t>
            </w:r>
          </w:p>
        </w:tc>
      </w:tr>
    </w:tbl>
    <w:p w14:paraId="117202C7"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1"/>
        <w:gridCol w:w="8845"/>
      </w:tblGrid>
      <w:tr w:rsidR="00465964" w:rsidRPr="00465964" w14:paraId="7DF7D437" w14:textId="77777777" w:rsidTr="00465964">
        <w:tc>
          <w:tcPr>
            <w:tcW w:w="0" w:type="auto"/>
            <w:shd w:val="clear" w:color="auto" w:fill="auto"/>
            <w:hideMark/>
          </w:tcPr>
          <w:p w14:paraId="5DE13B32" w14:textId="77777777" w:rsidR="00465964" w:rsidRPr="00465964" w:rsidRDefault="00465964" w:rsidP="00465964">
            <w:r w:rsidRPr="00465964">
              <w:t>e)</w:t>
            </w:r>
          </w:p>
        </w:tc>
        <w:tc>
          <w:tcPr>
            <w:tcW w:w="0" w:type="auto"/>
            <w:shd w:val="clear" w:color="auto" w:fill="auto"/>
            <w:hideMark/>
          </w:tcPr>
          <w:p w14:paraId="24A8E221" w14:textId="77777777" w:rsidR="00465964" w:rsidRPr="00465964" w:rsidRDefault="00465964" w:rsidP="00465964">
            <w:pPr>
              <w:rPr>
                <w:lang w:val="pt-PT"/>
              </w:rPr>
            </w:pPr>
            <w:r w:rsidRPr="00465964">
              <w:rPr>
                <w:lang w:val="pt-PT"/>
              </w:rPr>
              <w:t>Um projeto de livrete do criptoativo modificado, redigido em conformidade com o artigo 25.</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2;</w:t>
            </w:r>
          </w:p>
        </w:tc>
      </w:tr>
    </w:tbl>
    <w:p w14:paraId="27954615"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54"/>
        <w:gridCol w:w="8872"/>
      </w:tblGrid>
      <w:tr w:rsidR="00465964" w:rsidRPr="00465964" w14:paraId="124FF2F5" w14:textId="77777777" w:rsidTr="00465964">
        <w:tc>
          <w:tcPr>
            <w:tcW w:w="0" w:type="auto"/>
            <w:shd w:val="clear" w:color="auto" w:fill="auto"/>
            <w:hideMark/>
          </w:tcPr>
          <w:p w14:paraId="24AE5019" w14:textId="77777777" w:rsidR="00465964" w:rsidRPr="00465964" w:rsidRDefault="00465964" w:rsidP="00465964">
            <w:r w:rsidRPr="00465964">
              <w:t>f)</w:t>
            </w:r>
          </w:p>
        </w:tc>
        <w:tc>
          <w:tcPr>
            <w:tcW w:w="0" w:type="auto"/>
            <w:shd w:val="clear" w:color="auto" w:fill="auto"/>
            <w:hideMark/>
          </w:tcPr>
          <w:p w14:paraId="4E4398F6" w14:textId="77777777" w:rsidR="00465964" w:rsidRPr="00465964" w:rsidRDefault="00465964" w:rsidP="00465964">
            <w:pPr>
              <w:rPr>
                <w:lang w:val="pt-PT"/>
              </w:rPr>
            </w:pPr>
            <w:r w:rsidRPr="00465964">
              <w:rPr>
                <w:lang w:val="pt-PT"/>
              </w:rPr>
              <w:t>Quaisquer medidas corretivas adequadas previstas nos termos do artigo 25.</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4;</w:t>
            </w:r>
          </w:p>
        </w:tc>
      </w:tr>
    </w:tbl>
    <w:p w14:paraId="20284F76"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228"/>
        <w:gridCol w:w="8798"/>
      </w:tblGrid>
      <w:tr w:rsidR="00465964" w:rsidRPr="00465964" w14:paraId="015EFC6C" w14:textId="77777777" w:rsidTr="00465964">
        <w:tc>
          <w:tcPr>
            <w:tcW w:w="0" w:type="auto"/>
            <w:shd w:val="clear" w:color="auto" w:fill="auto"/>
            <w:hideMark/>
          </w:tcPr>
          <w:p w14:paraId="457D2D05" w14:textId="77777777" w:rsidR="00465964" w:rsidRPr="00465964" w:rsidRDefault="00465964" w:rsidP="00465964">
            <w:r w:rsidRPr="00465964">
              <w:t>g)</w:t>
            </w:r>
          </w:p>
        </w:tc>
        <w:tc>
          <w:tcPr>
            <w:tcW w:w="0" w:type="auto"/>
            <w:shd w:val="clear" w:color="auto" w:fill="auto"/>
            <w:hideMark/>
          </w:tcPr>
          <w:p w14:paraId="6E34F9C5" w14:textId="77777777" w:rsidR="00465964" w:rsidRPr="00465964" w:rsidRDefault="00465964" w:rsidP="00465964">
            <w:pPr>
              <w:rPr>
                <w:lang w:val="pt-PT"/>
              </w:rPr>
            </w:pPr>
            <w:r w:rsidRPr="00465964">
              <w:rPr>
                <w:lang w:val="pt-PT"/>
              </w:rPr>
              <w:t>Quaisquer medidas de supervisão previstas nos termos do artigo 130.</w:t>
            </w:r>
            <w:r w:rsidRPr="00465964">
              <w:rPr>
                <w:vertAlign w:val="superscript"/>
                <w:lang w:val="pt-PT"/>
              </w:rPr>
              <w:t>o</w:t>
            </w:r>
            <w:r w:rsidRPr="00465964">
              <w:rPr>
                <w:lang w:val="pt-PT"/>
              </w:rPr>
              <w:t>;</w:t>
            </w:r>
          </w:p>
        </w:tc>
      </w:tr>
    </w:tbl>
    <w:p w14:paraId="34066678"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6"/>
        <w:gridCol w:w="8840"/>
      </w:tblGrid>
      <w:tr w:rsidR="00465964" w:rsidRPr="00465964" w14:paraId="3FBC5B1D" w14:textId="77777777" w:rsidTr="00465964">
        <w:tc>
          <w:tcPr>
            <w:tcW w:w="0" w:type="auto"/>
            <w:shd w:val="clear" w:color="auto" w:fill="auto"/>
            <w:hideMark/>
          </w:tcPr>
          <w:p w14:paraId="7495DC03" w14:textId="77777777" w:rsidR="00465964" w:rsidRPr="00465964" w:rsidRDefault="00465964" w:rsidP="00465964">
            <w:r w:rsidRPr="00465964">
              <w:t>h)</w:t>
            </w:r>
          </w:p>
        </w:tc>
        <w:tc>
          <w:tcPr>
            <w:tcW w:w="0" w:type="auto"/>
            <w:shd w:val="clear" w:color="auto" w:fill="auto"/>
            <w:hideMark/>
          </w:tcPr>
          <w:p w14:paraId="3426634D" w14:textId="77777777" w:rsidR="00465964" w:rsidRPr="00465964" w:rsidRDefault="00465964" w:rsidP="00465964">
            <w:pPr>
              <w:rPr>
                <w:lang w:val="pt-PT"/>
              </w:rPr>
            </w:pPr>
            <w:r w:rsidRPr="00465964">
              <w:rPr>
                <w:lang w:val="pt-PT"/>
              </w:rPr>
              <w:t>Qualquer acordo administrativo sobre troca de informações previsto com uma autoridade de supervisão de um país terceiro nos termos do artigo 126.</w:t>
            </w:r>
            <w:r w:rsidRPr="00465964">
              <w:rPr>
                <w:vertAlign w:val="superscript"/>
                <w:lang w:val="pt-PT"/>
              </w:rPr>
              <w:t>o</w:t>
            </w:r>
            <w:r w:rsidRPr="00465964">
              <w:rPr>
                <w:lang w:val="pt-PT"/>
              </w:rPr>
              <w:t>;</w:t>
            </w:r>
          </w:p>
        </w:tc>
      </w:tr>
    </w:tbl>
    <w:p w14:paraId="38002EB8"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17"/>
        <w:gridCol w:w="8909"/>
      </w:tblGrid>
      <w:tr w:rsidR="00465964" w:rsidRPr="00465964" w14:paraId="4E277FFC" w14:textId="77777777" w:rsidTr="00465964">
        <w:tc>
          <w:tcPr>
            <w:tcW w:w="0" w:type="auto"/>
            <w:shd w:val="clear" w:color="auto" w:fill="auto"/>
            <w:hideMark/>
          </w:tcPr>
          <w:p w14:paraId="7A0D11BF" w14:textId="77777777" w:rsidR="00465964" w:rsidRPr="00465964" w:rsidRDefault="00465964" w:rsidP="00465964">
            <w:proofErr w:type="spellStart"/>
            <w:r w:rsidRPr="00465964">
              <w:t>i</w:t>
            </w:r>
            <w:proofErr w:type="spellEnd"/>
            <w:r w:rsidRPr="00465964">
              <w:t>)</w:t>
            </w:r>
          </w:p>
        </w:tc>
        <w:tc>
          <w:tcPr>
            <w:tcW w:w="0" w:type="auto"/>
            <w:shd w:val="clear" w:color="auto" w:fill="auto"/>
            <w:hideMark/>
          </w:tcPr>
          <w:p w14:paraId="626EC279" w14:textId="77777777" w:rsidR="00465964" w:rsidRPr="00465964" w:rsidRDefault="00465964" w:rsidP="00465964">
            <w:pPr>
              <w:rPr>
                <w:lang w:val="pt-PT"/>
              </w:rPr>
            </w:pPr>
            <w:r w:rsidRPr="00465964">
              <w:rPr>
                <w:lang w:val="pt-PT"/>
              </w:rPr>
              <w:t>Qualquer delegação de atribuições de supervisão da EBA numa autoridade competente nos termos do artigo 138.</w:t>
            </w:r>
            <w:r w:rsidRPr="00465964">
              <w:rPr>
                <w:vertAlign w:val="superscript"/>
                <w:lang w:val="pt-PT"/>
              </w:rPr>
              <w:t>o</w:t>
            </w:r>
            <w:r w:rsidRPr="00465964">
              <w:rPr>
                <w:lang w:val="pt-PT"/>
              </w:rPr>
              <w:t>;</w:t>
            </w:r>
          </w:p>
        </w:tc>
      </w:tr>
    </w:tbl>
    <w:p w14:paraId="5C65D331"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17"/>
        <w:gridCol w:w="8909"/>
      </w:tblGrid>
      <w:tr w:rsidR="00465964" w:rsidRPr="00465964" w14:paraId="13E2F86E" w14:textId="77777777" w:rsidTr="00465964">
        <w:tc>
          <w:tcPr>
            <w:tcW w:w="0" w:type="auto"/>
            <w:shd w:val="clear" w:color="auto" w:fill="auto"/>
            <w:hideMark/>
          </w:tcPr>
          <w:p w14:paraId="4963E72D" w14:textId="77777777" w:rsidR="00465964" w:rsidRPr="00465964" w:rsidRDefault="00465964" w:rsidP="00465964">
            <w:r w:rsidRPr="00465964">
              <w:t>j)</w:t>
            </w:r>
          </w:p>
        </w:tc>
        <w:tc>
          <w:tcPr>
            <w:tcW w:w="0" w:type="auto"/>
            <w:shd w:val="clear" w:color="auto" w:fill="auto"/>
            <w:hideMark/>
          </w:tcPr>
          <w:p w14:paraId="18A8842A" w14:textId="77777777" w:rsidR="00465964" w:rsidRPr="00465964" w:rsidRDefault="00465964" w:rsidP="00465964">
            <w:pPr>
              <w:rPr>
                <w:lang w:val="pt-PT"/>
              </w:rPr>
            </w:pPr>
            <w:r w:rsidRPr="00465964">
              <w:rPr>
                <w:lang w:val="pt-PT"/>
              </w:rPr>
              <w:t>Qualquer alteração prevista à autorização dos membros do colégio a que se refere o artigo 119.</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2, alíneas d) a h), ou qualquer medida de supervisão prevista em relação a estes membros;</w:t>
            </w:r>
          </w:p>
        </w:tc>
      </w:tr>
    </w:tbl>
    <w:p w14:paraId="05615E25"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72"/>
        <w:gridCol w:w="8854"/>
      </w:tblGrid>
      <w:tr w:rsidR="00465964" w:rsidRPr="00465964" w14:paraId="79860E39" w14:textId="77777777" w:rsidTr="00465964">
        <w:tc>
          <w:tcPr>
            <w:tcW w:w="0" w:type="auto"/>
            <w:shd w:val="clear" w:color="auto" w:fill="auto"/>
            <w:hideMark/>
          </w:tcPr>
          <w:p w14:paraId="03655E2D" w14:textId="77777777" w:rsidR="00465964" w:rsidRPr="00465964" w:rsidRDefault="00465964" w:rsidP="00465964">
            <w:r w:rsidRPr="00465964">
              <w:t>k)</w:t>
            </w:r>
          </w:p>
        </w:tc>
        <w:tc>
          <w:tcPr>
            <w:tcW w:w="0" w:type="auto"/>
            <w:shd w:val="clear" w:color="auto" w:fill="auto"/>
            <w:hideMark/>
          </w:tcPr>
          <w:p w14:paraId="62DAA8AE" w14:textId="77777777" w:rsidR="00465964" w:rsidRPr="00465964" w:rsidRDefault="00465964" w:rsidP="00465964">
            <w:pPr>
              <w:rPr>
                <w:lang w:val="pt-PT"/>
              </w:rPr>
            </w:pPr>
            <w:r w:rsidRPr="00465964">
              <w:rPr>
                <w:lang w:val="pt-PT"/>
              </w:rPr>
              <w:t>Um projeto de livrete do criptoativo modificado redigido em conformidade com o artigo 51.</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12.</w:t>
            </w:r>
          </w:p>
        </w:tc>
      </w:tr>
    </w:tbl>
    <w:p w14:paraId="26DC99F1" w14:textId="77777777" w:rsidR="00465964" w:rsidRPr="00465964" w:rsidRDefault="00465964" w:rsidP="00465964">
      <w:pPr>
        <w:rPr>
          <w:lang w:val="pt-PT"/>
        </w:rPr>
      </w:pPr>
      <w:r w:rsidRPr="00465964">
        <w:rPr>
          <w:lang w:val="pt-PT"/>
        </w:rPr>
        <w:t xml:space="preserve">2.   Sempre que o colégio emita um parecer em conformidade com o </w:t>
      </w:r>
      <w:proofErr w:type="spellStart"/>
      <w:r w:rsidRPr="00465964">
        <w:rPr>
          <w:lang w:val="pt-PT"/>
        </w:rPr>
        <w:t>n.</w:t>
      </w:r>
      <w:r w:rsidRPr="00465964">
        <w:rPr>
          <w:vertAlign w:val="superscript"/>
          <w:lang w:val="pt-PT"/>
        </w:rPr>
        <w:t>o</w:t>
      </w:r>
      <w:proofErr w:type="spellEnd"/>
      <w:r w:rsidRPr="00465964">
        <w:rPr>
          <w:lang w:val="pt-PT"/>
        </w:rPr>
        <w:t xml:space="preserve"> 1, a pedido de qualquer membro do colégio e após aprovação por maioria do colégio nos termos do </w:t>
      </w:r>
      <w:proofErr w:type="spellStart"/>
      <w:r w:rsidRPr="00465964">
        <w:rPr>
          <w:lang w:val="pt-PT"/>
        </w:rPr>
        <w:t>n.</w:t>
      </w:r>
      <w:r w:rsidRPr="00465964">
        <w:rPr>
          <w:vertAlign w:val="superscript"/>
          <w:lang w:val="pt-PT"/>
        </w:rPr>
        <w:t>o</w:t>
      </w:r>
      <w:proofErr w:type="spellEnd"/>
      <w:r w:rsidRPr="00465964">
        <w:rPr>
          <w:lang w:val="pt-PT"/>
        </w:rPr>
        <w:t> 3, o parecer poderá conter recomendações destinadas a corrigir deficiências da medida prevista pela EBA ou pelas autoridades competentes.</w:t>
      </w:r>
    </w:p>
    <w:p w14:paraId="780A887E" w14:textId="77777777" w:rsidR="00465964" w:rsidRPr="00465964" w:rsidRDefault="00465964" w:rsidP="00465964">
      <w:pPr>
        <w:rPr>
          <w:lang w:val="pt-PT"/>
        </w:rPr>
      </w:pPr>
      <w:r w:rsidRPr="00465964">
        <w:rPr>
          <w:lang w:val="pt-PT"/>
        </w:rPr>
        <w:t>3.   Um parecer do colégio é adotado com base numa maioria simples dos seus membros.</w:t>
      </w:r>
    </w:p>
    <w:p w14:paraId="472330BA" w14:textId="77777777" w:rsidR="00465964" w:rsidRPr="00465964" w:rsidRDefault="00465964" w:rsidP="00465964">
      <w:pPr>
        <w:rPr>
          <w:lang w:val="pt-PT"/>
        </w:rPr>
      </w:pPr>
      <w:r w:rsidRPr="00465964">
        <w:rPr>
          <w:lang w:val="pt-PT"/>
        </w:rPr>
        <w:t>Se houver vários membros do colégio por Estado-Membro, apenas um destes membros dispõe de um voto.</w:t>
      </w:r>
    </w:p>
    <w:p w14:paraId="2C11193A" w14:textId="77777777" w:rsidR="00465964" w:rsidRPr="00465964" w:rsidRDefault="00465964" w:rsidP="00465964">
      <w:pPr>
        <w:rPr>
          <w:lang w:val="pt-PT"/>
        </w:rPr>
      </w:pPr>
      <w:r w:rsidRPr="00465964">
        <w:rPr>
          <w:lang w:val="pt-PT"/>
        </w:rPr>
        <w:t>Se o BCE for membro do colégio com várias funções, nomeadamente funções de supervisão, disporá apenas de um voto.</w:t>
      </w:r>
    </w:p>
    <w:p w14:paraId="27018EC1" w14:textId="77777777" w:rsidR="00465964" w:rsidRPr="00465964" w:rsidRDefault="00465964" w:rsidP="00465964">
      <w:pPr>
        <w:rPr>
          <w:lang w:val="pt-PT"/>
        </w:rPr>
      </w:pPr>
      <w:r w:rsidRPr="00465964">
        <w:rPr>
          <w:lang w:val="pt-PT"/>
        </w:rPr>
        <w:t>As autoridades de supervisão de países terceiros a que se refere o artigo 119.</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2, alínea m), não têm direito de voto para a adoção do parecer do colégio.</w:t>
      </w:r>
    </w:p>
    <w:p w14:paraId="01CE3CF0" w14:textId="77777777" w:rsidR="00465964" w:rsidRPr="00465964" w:rsidRDefault="00465964" w:rsidP="00465964">
      <w:pPr>
        <w:rPr>
          <w:lang w:val="pt-PT"/>
        </w:rPr>
      </w:pPr>
      <w:r w:rsidRPr="00465964">
        <w:rPr>
          <w:lang w:val="pt-PT"/>
        </w:rPr>
        <w:t xml:space="preserve">4.   A EBA ou as autoridades competentes, consoante aplicável, têm em devida consideração o parecer não vinculativo do colégio adotado nos termos do </w:t>
      </w:r>
      <w:proofErr w:type="spellStart"/>
      <w:r w:rsidRPr="00465964">
        <w:rPr>
          <w:lang w:val="pt-PT"/>
        </w:rPr>
        <w:t>n.</w:t>
      </w:r>
      <w:r w:rsidRPr="00465964">
        <w:rPr>
          <w:vertAlign w:val="superscript"/>
          <w:lang w:val="pt-PT"/>
        </w:rPr>
        <w:t>o</w:t>
      </w:r>
      <w:proofErr w:type="spellEnd"/>
      <w:r w:rsidRPr="00465964">
        <w:rPr>
          <w:lang w:val="pt-PT"/>
        </w:rPr>
        <w:t xml:space="preserve"> 3, incluindo eventuais recomendações destinadas a corrigir deficiências da medida de supervisão prevista em relação a um emitente de uma </w:t>
      </w:r>
      <w:proofErr w:type="spellStart"/>
      <w:r w:rsidRPr="00465964">
        <w:rPr>
          <w:lang w:val="pt-PT"/>
        </w:rPr>
        <w:t>criptoficha</w:t>
      </w:r>
      <w:proofErr w:type="spellEnd"/>
      <w:r w:rsidRPr="00465964">
        <w:rPr>
          <w:lang w:val="pt-PT"/>
        </w:rPr>
        <w:t xml:space="preserve"> referenciada a ativos significativa, um emitente de uma </w:t>
      </w:r>
      <w:proofErr w:type="spellStart"/>
      <w:r w:rsidRPr="00465964">
        <w:rPr>
          <w:lang w:val="pt-PT"/>
        </w:rPr>
        <w:t>criptoficha</w:t>
      </w:r>
      <w:proofErr w:type="spellEnd"/>
      <w:r w:rsidRPr="00465964">
        <w:rPr>
          <w:lang w:val="pt-PT"/>
        </w:rPr>
        <w:t xml:space="preserve"> de moeda eletrónica significativa, uma entidade ou um prestador de serviços de criptoativos a que se refere o artigo 119.</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2, alíneas d) a h). Caso a EBA ou uma autoridade competente não concorde com um parecer do colégio, incluindo eventuais recomendações destinadas a corrigir deficiências da medida de supervisão prevista, a sua decisão é fundamentada e inclui a explicação de qualquer desvio significativo em relação ao referido parecer ou às recomendações.</w:t>
      </w:r>
    </w:p>
    <w:p w14:paraId="600466DA" w14:textId="77777777" w:rsidR="00465964" w:rsidRPr="00465964" w:rsidRDefault="00465964" w:rsidP="00465964">
      <w:pPr>
        <w:rPr>
          <w:b/>
          <w:bCs/>
          <w:lang w:val="pt-PT"/>
        </w:rPr>
      </w:pPr>
      <w:r w:rsidRPr="00465964">
        <w:rPr>
          <w:b/>
          <w:bCs/>
          <w:i/>
          <w:iCs/>
          <w:lang w:val="pt-PT"/>
        </w:rPr>
        <w:lastRenderedPageBreak/>
        <w:t>CAPÍTULO 5</w:t>
      </w:r>
    </w:p>
    <w:p w14:paraId="23EAA4B9" w14:textId="2F79E387" w:rsidR="00465964" w:rsidRPr="00465964" w:rsidRDefault="00465964" w:rsidP="00465964">
      <w:pPr>
        <w:rPr>
          <w:b/>
          <w:bCs/>
          <w:lang w:val="pt-PT"/>
        </w:rPr>
      </w:pPr>
      <w:r w:rsidRPr="00465964">
        <w:rPr>
          <w:b/>
          <w:bCs/>
          <w:i/>
          <w:iCs/>
          <w:lang w:val="pt-PT"/>
        </w:rPr>
        <w:t xml:space="preserve">Os poderes e competências da EBA em relação aos emitentes de </w:t>
      </w:r>
      <w:r>
        <w:rPr>
          <w:b/>
          <w:bCs/>
          <w:i/>
          <w:iCs/>
          <w:lang w:val="pt-PT"/>
        </w:rPr>
        <w:t>criptomoedas</w:t>
      </w:r>
      <w:r w:rsidRPr="00465964">
        <w:rPr>
          <w:b/>
          <w:bCs/>
          <w:i/>
          <w:iCs/>
          <w:lang w:val="pt-PT"/>
        </w:rPr>
        <w:t xml:space="preserve"> referenciadas a ativos significativas e aos emitentes de </w:t>
      </w:r>
      <w:r>
        <w:rPr>
          <w:b/>
          <w:bCs/>
          <w:i/>
          <w:iCs/>
          <w:lang w:val="pt-PT"/>
        </w:rPr>
        <w:t>criptomoedas</w:t>
      </w:r>
      <w:r w:rsidRPr="00465964">
        <w:rPr>
          <w:b/>
          <w:bCs/>
          <w:i/>
          <w:iCs/>
          <w:lang w:val="pt-PT"/>
        </w:rPr>
        <w:t xml:space="preserve"> de moeda eletrónica significativas</w:t>
      </w:r>
    </w:p>
    <w:p w14:paraId="7BBE0A6C" w14:textId="77777777" w:rsidR="00465964" w:rsidRPr="00465964" w:rsidRDefault="00465964" w:rsidP="00465964">
      <w:pPr>
        <w:rPr>
          <w:i/>
          <w:iCs/>
          <w:lang w:val="pt-PT"/>
        </w:rPr>
      </w:pPr>
      <w:r w:rsidRPr="00465964">
        <w:rPr>
          <w:i/>
          <w:iCs/>
          <w:lang w:val="pt-PT"/>
        </w:rPr>
        <w:t>Artigo 121.</w:t>
      </w:r>
      <w:r w:rsidRPr="00465964">
        <w:rPr>
          <w:i/>
          <w:iCs/>
          <w:vertAlign w:val="superscript"/>
          <w:lang w:val="pt-PT"/>
        </w:rPr>
        <w:t>o</w:t>
      </w:r>
    </w:p>
    <w:p w14:paraId="44A2BA6F" w14:textId="77777777" w:rsidR="00465964" w:rsidRPr="00465964" w:rsidRDefault="00465964" w:rsidP="00465964">
      <w:pPr>
        <w:rPr>
          <w:b/>
          <w:bCs/>
          <w:lang w:val="pt-PT"/>
        </w:rPr>
      </w:pPr>
      <w:r w:rsidRPr="00465964">
        <w:rPr>
          <w:b/>
          <w:bCs/>
          <w:lang w:val="pt-PT"/>
        </w:rPr>
        <w:t>Proteção da confidencialidade</w:t>
      </w:r>
    </w:p>
    <w:p w14:paraId="31D70F10" w14:textId="77777777" w:rsidR="00465964" w:rsidRPr="00465964" w:rsidRDefault="00465964" w:rsidP="00465964">
      <w:pPr>
        <w:rPr>
          <w:lang w:val="pt-PT"/>
        </w:rPr>
      </w:pPr>
      <w:r w:rsidRPr="00465964">
        <w:rPr>
          <w:lang w:val="pt-PT"/>
        </w:rPr>
        <w:t>Os poderes conferidos por força dos artigos 122.</w:t>
      </w:r>
      <w:r w:rsidRPr="00465964">
        <w:rPr>
          <w:vertAlign w:val="superscript"/>
          <w:lang w:val="pt-PT"/>
        </w:rPr>
        <w:t>o</w:t>
      </w:r>
      <w:r w:rsidRPr="00465964">
        <w:rPr>
          <w:lang w:val="pt-PT"/>
        </w:rPr>
        <w:t> a 125.</w:t>
      </w:r>
      <w:r w:rsidRPr="00465964">
        <w:rPr>
          <w:vertAlign w:val="superscript"/>
          <w:lang w:val="pt-PT"/>
        </w:rPr>
        <w:t>o</w:t>
      </w:r>
      <w:r w:rsidRPr="00465964">
        <w:rPr>
          <w:lang w:val="pt-PT"/>
        </w:rPr>
        <w:t> à EBA, ou a qualquer funcionário ou outra pessoa autorizada pela EBA, não podem ser utilizados para exigir a divulgação de informações que beneficiam de proteção da confidencialidade.</w:t>
      </w:r>
    </w:p>
    <w:p w14:paraId="2269B161" w14:textId="77777777" w:rsidR="00465964" w:rsidRPr="00465964" w:rsidRDefault="00465964" w:rsidP="00465964">
      <w:pPr>
        <w:rPr>
          <w:i/>
          <w:iCs/>
          <w:lang w:val="pt-PT"/>
        </w:rPr>
      </w:pPr>
      <w:r w:rsidRPr="00465964">
        <w:rPr>
          <w:i/>
          <w:iCs/>
          <w:lang w:val="pt-PT"/>
        </w:rPr>
        <w:t>Artigo 122.</w:t>
      </w:r>
      <w:r w:rsidRPr="00465964">
        <w:rPr>
          <w:i/>
          <w:iCs/>
          <w:vertAlign w:val="superscript"/>
          <w:lang w:val="pt-PT"/>
        </w:rPr>
        <w:t>o</w:t>
      </w:r>
    </w:p>
    <w:p w14:paraId="4BC6A48A" w14:textId="77777777" w:rsidR="00465964" w:rsidRPr="00465964" w:rsidRDefault="00465964" w:rsidP="00465964">
      <w:pPr>
        <w:rPr>
          <w:b/>
          <w:bCs/>
          <w:lang w:val="pt-PT"/>
        </w:rPr>
      </w:pPr>
      <w:r w:rsidRPr="00465964">
        <w:rPr>
          <w:b/>
          <w:bCs/>
          <w:lang w:val="pt-PT"/>
        </w:rPr>
        <w:t>Pedido de informação</w:t>
      </w:r>
    </w:p>
    <w:p w14:paraId="1EA314DB" w14:textId="77777777" w:rsidR="00465964" w:rsidRPr="00465964" w:rsidRDefault="00465964" w:rsidP="00465964">
      <w:pPr>
        <w:rPr>
          <w:lang w:val="pt-PT"/>
        </w:rPr>
      </w:pPr>
      <w:r w:rsidRPr="00465964">
        <w:rPr>
          <w:lang w:val="pt-PT"/>
        </w:rPr>
        <w:t>1.   A fim de desempenhar as responsabilidades de supervisão que lhe são atribuídas pelo artigo 117.</w:t>
      </w:r>
      <w:r w:rsidRPr="00465964">
        <w:rPr>
          <w:vertAlign w:val="superscript"/>
          <w:lang w:val="pt-PT"/>
        </w:rPr>
        <w:t>o</w:t>
      </w:r>
      <w:r w:rsidRPr="00465964">
        <w:rPr>
          <w:lang w:val="pt-PT"/>
        </w:rPr>
        <w:t>, a EBA pode, mediante pedido simples ou por decisão, exigir que as pessoas a seguir indicadas apresentem toda a informação necessária para permitir que a EBA exerça as suas funções nos termos do presente regulamento:</w:t>
      </w:r>
    </w:p>
    <w:tbl>
      <w:tblPr>
        <w:tblW w:w="5000" w:type="pct"/>
        <w:tblCellMar>
          <w:left w:w="0" w:type="dxa"/>
          <w:right w:w="0" w:type="dxa"/>
        </w:tblCellMar>
        <w:tblLook w:val="04A0" w:firstRow="1" w:lastRow="0" w:firstColumn="1" w:lastColumn="0" w:noHBand="0" w:noVBand="1"/>
      </w:tblPr>
      <w:tblGrid>
        <w:gridCol w:w="182"/>
        <w:gridCol w:w="8844"/>
      </w:tblGrid>
      <w:tr w:rsidR="00465964" w:rsidRPr="00465964" w14:paraId="5E208C59" w14:textId="77777777" w:rsidTr="00465964">
        <w:tc>
          <w:tcPr>
            <w:tcW w:w="0" w:type="auto"/>
            <w:shd w:val="clear" w:color="auto" w:fill="auto"/>
            <w:hideMark/>
          </w:tcPr>
          <w:p w14:paraId="7163DD6A" w14:textId="77777777" w:rsidR="00465964" w:rsidRPr="00465964" w:rsidRDefault="00465964" w:rsidP="00465964">
            <w:r w:rsidRPr="00465964">
              <w:t>a)</w:t>
            </w:r>
          </w:p>
        </w:tc>
        <w:tc>
          <w:tcPr>
            <w:tcW w:w="0" w:type="auto"/>
            <w:shd w:val="clear" w:color="auto" w:fill="auto"/>
            <w:hideMark/>
          </w:tcPr>
          <w:p w14:paraId="1F320CC4" w14:textId="77777777" w:rsidR="00465964" w:rsidRPr="00465964" w:rsidRDefault="00465964" w:rsidP="00465964">
            <w:pPr>
              <w:rPr>
                <w:lang w:val="pt-PT"/>
              </w:rPr>
            </w:pPr>
            <w:r w:rsidRPr="00465964">
              <w:rPr>
                <w:lang w:val="pt-PT"/>
              </w:rPr>
              <w:t xml:space="preserve">Um emitente de uma </w:t>
            </w:r>
            <w:proofErr w:type="spellStart"/>
            <w:r w:rsidRPr="00465964">
              <w:rPr>
                <w:lang w:val="pt-PT"/>
              </w:rPr>
              <w:t>criptoficha</w:t>
            </w:r>
            <w:proofErr w:type="spellEnd"/>
            <w:r w:rsidRPr="00465964">
              <w:rPr>
                <w:lang w:val="pt-PT"/>
              </w:rPr>
              <w:t xml:space="preserve"> referenciada a ativos significativa ou qualquer pessoa que controle ou seja, diretamente ou indiretamente controlada por um emitente de uma </w:t>
            </w:r>
            <w:proofErr w:type="spellStart"/>
            <w:r w:rsidRPr="00465964">
              <w:rPr>
                <w:lang w:val="pt-PT"/>
              </w:rPr>
              <w:t>criptoficha</w:t>
            </w:r>
            <w:proofErr w:type="spellEnd"/>
            <w:r w:rsidRPr="00465964">
              <w:rPr>
                <w:lang w:val="pt-PT"/>
              </w:rPr>
              <w:t xml:space="preserve"> referenciada a ativos significativa;</w:t>
            </w:r>
          </w:p>
        </w:tc>
      </w:tr>
    </w:tbl>
    <w:p w14:paraId="21B527AC"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8"/>
        <w:gridCol w:w="8838"/>
      </w:tblGrid>
      <w:tr w:rsidR="00465964" w:rsidRPr="00465964" w14:paraId="42E3D2E0" w14:textId="77777777" w:rsidTr="00465964">
        <w:tc>
          <w:tcPr>
            <w:tcW w:w="0" w:type="auto"/>
            <w:shd w:val="clear" w:color="auto" w:fill="auto"/>
            <w:hideMark/>
          </w:tcPr>
          <w:p w14:paraId="3DBFB632" w14:textId="77777777" w:rsidR="00465964" w:rsidRPr="00465964" w:rsidRDefault="00465964" w:rsidP="00465964">
            <w:r w:rsidRPr="00465964">
              <w:t>b)</w:t>
            </w:r>
          </w:p>
        </w:tc>
        <w:tc>
          <w:tcPr>
            <w:tcW w:w="0" w:type="auto"/>
            <w:shd w:val="clear" w:color="auto" w:fill="auto"/>
            <w:hideMark/>
          </w:tcPr>
          <w:p w14:paraId="7EBD654A" w14:textId="77777777" w:rsidR="00465964" w:rsidRPr="00465964" w:rsidRDefault="00465964" w:rsidP="00465964">
            <w:pPr>
              <w:rPr>
                <w:lang w:val="pt-PT"/>
              </w:rPr>
            </w:pPr>
            <w:r w:rsidRPr="00465964">
              <w:rPr>
                <w:lang w:val="pt-PT"/>
              </w:rPr>
              <w:t>Um terceiro conforme referido no artigo 34.</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xml:space="preserve"> 5, primeiro parágrafo, alínea h), com o qual o emitente de uma </w:t>
            </w:r>
            <w:proofErr w:type="spellStart"/>
            <w:r w:rsidRPr="00465964">
              <w:rPr>
                <w:lang w:val="pt-PT"/>
              </w:rPr>
              <w:t>criptoficha</w:t>
            </w:r>
            <w:proofErr w:type="spellEnd"/>
            <w:r w:rsidRPr="00465964">
              <w:rPr>
                <w:lang w:val="pt-PT"/>
              </w:rPr>
              <w:t xml:space="preserve"> referenciada a ativos significativa tenha disposições contratuais;</w:t>
            </w:r>
          </w:p>
        </w:tc>
      </w:tr>
    </w:tbl>
    <w:p w14:paraId="391DB31E"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0"/>
        <w:gridCol w:w="8846"/>
      </w:tblGrid>
      <w:tr w:rsidR="00465964" w:rsidRPr="00465964" w14:paraId="3D50F7FF" w14:textId="77777777" w:rsidTr="00465964">
        <w:tc>
          <w:tcPr>
            <w:tcW w:w="0" w:type="auto"/>
            <w:shd w:val="clear" w:color="auto" w:fill="auto"/>
            <w:hideMark/>
          </w:tcPr>
          <w:p w14:paraId="436D5446" w14:textId="77777777" w:rsidR="00465964" w:rsidRPr="00465964" w:rsidRDefault="00465964" w:rsidP="00465964">
            <w:r w:rsidRPr="00465964">
              <w:t>c)</w:t>
            </w:r>
          </w:p>
        </w:tc>
        <w:tc>
          <w:tcPr>
            <w:tcW w:w="0" w:type="auto"/>
            <w:shd w:val="clear" w:color="auto" w:fill="auto"/>
            <w:hideMark/>
          </w:tcPr>
          <w:p w14:paraId="5446DB1E" w14:textId="77777777" w:rsidR="00465964" w:rsidRPr="00465964" w:rsidRDefault="00465964" w:rsidP="00465964">
            <w:pPr>
              <w:rPr>
                <w:lang w:val="pt-PT"/>
              </w:rPr>
            </w:pPr>
            <w:r w:rsidRPr="00465964">
              <w:rPr>
                <w:lang w:val="pt-PT"/>
              </w:rPr>
              <w:t>Um prestador de serviços de criptoativos, instituição de crédito ou empresa de investimento que assegure a custódia dos ativos de reserva em conformidade com o artigo 37.</w:t>
            </w:r>
            <w:r w:rsidRPr="00465964">
              <w:rPr>
                <w:vertAlign w:val="superscript"/>
                <w:lang w:val="pt-PT"/>
              </w:rPr>
              <w:t>o</w:t>
            </w:r>
            <w:r w:rsidRPr="00465964">
              <w:rPr>
                <w:lang w:val="pt-PT"/>
              </w:rPr>
              <w:t>;</w:t>
            </w:r>
          </w:p>
        </w:tc>
      </w:tr>
    </w:tbl>
    <w:p w14:paraId="6646D344"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8"/>
        <w:gridCol w:w="8838"/>
      </w:tblGrid>
      <w:tr w:rsidR="00465964" w:rsidRPr="00465964" w14:paraId="69151A12" w14:textId="77777777" w:rsidTr="00465964">
        <w:tc>
          <w:tcPr>
            <w:tcW w:w="0" w:type="auto"/>
            <w:shd w:val="clear" w:color="auto" w:fill="auto"/>
            <w:hideMark/>
          </w:tcPr>
          <w:p w14:paraId="4623CB8B" w14:textId="77777777" w:rsidR="00465964" w:rsidRPr="00465964" w:rsidRDefault="00465964" w:rsidP="00465964">
            <w:r w:rsidRPr="00465964">
              <w:t>d)</w:t>
            </w:r>
          </w:p>
        </w:tc>
        <w:tc>
          <w:tcPr>
            <w:tcW w:w="0" w:type="auto"/>
            <w:shd w:val="clear" w:color="auto" w:fill="auto"/>
            <w:hideMark/>
          </w:tcPr>
          <w:p w14:paraId="6644664A" w14:textId="77777777" w:rsidR="00465964" w:rsidRPr="00465964" w:rsidRDefault="00465964" w:rsidP="00465964">
            <w:pPr>
              <w:rPr>
                <w:lang w:val="pt-PT"/>
              </w:rPr>
            </w:pPr>
            <w:r w:rsidRPr="00465964">
              <w:rPr>
                <w:lang w:val="pt-PT"/>
              </w:rPr>
              <w:t xml:space="preserve">Um emitente de uma </w:t>
            </w:r>
            <w:proofErr w:type="spellStart"/>
            <w:r w:rsidRPr="00465964">
              <w:rPr>
                <w:lang w:val="pt-PT"/>
              </w:rPr>
              <w:t>criptoficha</w:t>
            </w:r>
            <w:proofErr w:type="spellEnd"/>
            <w:r w:rsidRPr="00465964">
              <w:rPr>
                <w:lang w:val="pt-PT"/>
              </w:rPr>
              <w:t xml:space="preserve"> de moeda eletrónica significativa ou uma pessoa que controle ou seja diretamente ou indiretamente controlada por um emitente de uma </w:t>
            </w:r>
            <w:proofErr w:type="spellStart"/>
            <w:r w:rsidRPr="00465964">
              <w:rPr>
                <w:lang w:val="pt-PT"/>
              </w:rPr>
              <w:t>criptoficha</w:t>
            </w:r>
            <w:proofErr w:type="spellEnd"/>
            <w:r w:rsidRPr="00465964">
              <w:rPr>
                <w:lang w:val="pt-PT"/>
              </w:rPr>
              <w:t xml:space="preserve"> de moeda eletrónica significativa;</w:t>
            </w:r>
          </w:p>
        </w:tc>
      </w:tr>
    </w:tbl>
    <w:p w14:paraId="699601AC"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1"/>
        <w:gridCol w:w="8845"/>
      </w:tblGrid>
      <w:tr w:rsidR="00465964" w:rsidRPr="00465964" w14:paraId="5BE7C46A" w14:textId="77777777" w:rsidTr="00465964">
        <w:tc>
          <w:tcPr>
            <w:tcW w:w="0" w:type="auto"/>
            <w:shd w:val="clear" w:color="auto" w:fill="auto"/>
            <w:hideMark/>
          </w:tcPr>
          <w:p w14:paraId="3ACB1B38" w14:textId="77777777" w:rsidR="00465964" w:rsidRPr="00465964" w:rsidRDefault="00465964" w:rsidP="00465964">
            <w:r w:rsidRPr="00465964">
              <w:t>e)</w:t>
            </w:r>
          </w:p>
        </w:tc>
        <w:tc>
          <w:tcPr>
            <w:tcW w:w="0" w:type="auto"/>
            <w:shd w:val="clear" w:color="auto" w:fill="auto"/>
            <w:hideMark/>
          </w:tcPr>
          <w:p w14:paraId="1CE0173A" w14:textId="7CEE6BDE" w:rsidR="00465964" w:rsidRPr="00465964" w:rsidRDefault="00465964" w:rsidP="00465964">
            <w:pPr>
              <w:rPr>
                <w:lang w:val="pt-PT"/>
              </w:rPr>
            </w:pPr>
            <w:r w:rsidRPr="00465964">
              <w:rPr>
                <w:lang w:val="pt-PT"/>
              </w:rPr>
              <w:t xml:space="preserve">Um prestador de serviços de pagamento que preste serviços de pagamento em relação a </w:t>
            </w:r>
            <w:r>
              <w:rPr>
                <w:lang w:val="pt-PT"/>
              </w:rPr>
              <w:t>criptomoedas</w:t>
            </w:r>
            <w:r w:rsidRPr="00465964">
              <w:rPr>
                <w:lang w:val="pt-PT"/>
              </w:rPr>
              <w:t xml:space="preserve"> de moeda eletrónica significativas;</w:t>
            </w:r>
          </w:p>
        </w:tc>
      </w:tr>
    </w:tbl>
    <w:p w14:paraId="65670720"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36"/>
        <w:gridCol w:w="8890"/>
      </w:tblGrid>
      <w:tr w:rsidR="00465964" w:rsidRPr="00465964" w14:paraId="6CEFB2FA" w14:textId="77777777" w:rsidTr="00465964">
        <w:tc>
          <w:tcPr>
            <w:tcW w:w="0" w:type="auto"/>
            <w:shd w:val="clear" w:color="auto" w:fill="auto"/>
            <w:hideMark/>
          </w:tcPr>
          <w:p w14:paraId="3C8930B0" w14:textId="77777777" w:rsidR="00465964" w:rsidRPr="00465964" w:rsidRDefault="00465964" w:rsidP="00465964">
            <w:r w:rsidRPr="00465964">
              <w:t>f)</w:t>
            </w:r>
          </w:p>
        </w:tc>
        <w:tc>
          <w:tcPr>
            <w:tcW w:w="0" w:type="auto"/>
            <w:shd w:val="clear" w:color="auto" w:fill="auto"/>
            <w:hideMark/>
          </w:tcPr>
          <w:p w14:paraId="761DB683" w14:textId="43F75960" w:rsidR="00465964" w:rsidRPr="00465964" w:rsidRDefault="00465964" w:rsidP="00465964">
            <w:pPr>
              <w:rPr>
                <w:lang w:val="pt-PT"/>
              </w:rPr>
            </w:pPr>
            <w:r w:rsidRPr="00465964">
              <w:rPr>
                <w:lang w:val="pt-PT"/>
              </w:rPr>
              <w:t xml:space="preserve">Uma pessoa singular ou coletiva responsável pela distribuição de </w:t>
            </w:r>
            <w:r>
              <w:rPr>
                <w:lang w:val="pt-PT"/>
              </w:rPr>
              <w:t>criptomoedas</w:t>
            </w:r>
            <w:r w:rsidRPr="00465964">
              <w:rPr>
                <w:lang w:val="pt-PT"/>
              </w:rPr>
              <w:t xml:space="preserve"> de moeda eletrónica significativas em nome de um emitente de </w:t>
            </w:r>
            <w:r>
              <w:rPr>
                <w:lang w:val="pt-PT"/>
              </w:rPr>
              <w:t>criptomoedas</w:t>
            </w:r>
            <w:r w:rsidRPr="00465964">
              <w:rPr>
                <w:lang w:val="pt-PT"/>
              </w:rPr>
              <w:t xml:space="preserve"> de moeda eletrónica significativas;</w:t>
            </w:r>
          </w:p>
        </w:tc>
      </w:tr>
    </w:tbl>
    <w:p w14:paraId="42B21688"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74"/>
        <w:gridCol w:w="8852"/>
      </w:tblGrid>
      <w:tr w:rsidR="00465964" w:rsidRPr="00465964" w14:paraId="6DF11E38" w14:textId="77777777" w:rsidTr="00465964">
        <w:tc>
          <w:tcPr>
            <w:tcW w:w="0" w:type="auto"/>
            <w:shd w:val="clear" w:color="auto" w:fill="auto"/>
            <w:hideMark/>
          </w:tcPr>
          <w:p w14:paraId="45174708" w14:textId="77777777" w:rsidR="00465964" w:rsidRPr="00465964" w:rsidRDefault="00465964" w:rsidP="00465964">
            <w:r w:rsidRPr="00465964">
              <w:t>g)</w:t>
            </w:r>
          </w:p>
        </w:tc>
        <w:tc>
          <w:tcPr>
            <w:tcW w:w="0" w:type="auto"/>
            <w:shd w:val="clear" w:color="auto" w:fill="auto"/>
            <w:hideMark/>
          </w:tcPr>
          <w:p w14:paraId="290CDFC4" w14:textId="284E9F24" w:rsidR="00465964" w:rsidRPr="00465964" w:rsidRDefault="00465964" w:rsidP="00465964">
            <w:pPr>
              <w:rPr>
                <w:lang w:val="pt-PT"/>
              </w:rPr>
            </w:pPr>
            <w:r w:rsidRPr="00465964">
              <w:rPr>
                <w:lang w:val="pt-PT"/>
              </w:rPr>
              <w:t xml:space="preserve">Um prestador de serviços de criptoativos que preste serviços de custódia e administração de criptoativos em nome de clientes em relação a </w:t>
            </w:r>
            <w:r>
              <w:rPr>
                <w:lang w:val="pt-PT"/>
              </w:rPr>
              <w:t>criptomoedas</w:t>
            </w:r>
            <w:r w:rsidRPr="00465964">
              <w:rPr>
                <w:lang w:val="pt-PT"/>
              </w:rPr>
              <w:t xml:space="preserve"> referenciadas a ativos significativas ou a </w:t>
            </w:r>
            <w:r>
              <w:rPr>
                <w:lang w:val="pt-PT"/>
              </w:rPr>
              <w:t>criptomoedas</w:t>
            </w:r>
            <w:r w:rsidRPr="00465964">
              <w:rPr>
                <w:lang w:val="pt-PT"/>
              </w:rPr>
              <w:t xml:space="preserve"> de moeda eletrónica significativas;</w:t>
            </w:r>
          </w:p>
        </w:tc>
      </w:tr>
    </w:tbl>
    <w:p w14:paraId="56213723"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6"/>
        <w:gridCol w:w="8840"/>
      </w:tblGrid>
      <w:tr w:rsidR="00465964" w:rsidRPr="00465964" w14:paraId="323FEBD2" w14:textId="77777777" w:rsidTr="00465964">
        <w:tc>
          <w:tcPr>
            <w:tcW w:w="0" w:type="auto"/>
            <w:shd w:val="clear" w:color="auto" w:fill="auto"/>
            <w:hideMark/>
          </w:tcPr>
          <w:p w14:paraId="534D3007" w14:textId="77777777" w:rsidR="00465964" w:rsidRPr="00465964" w:rsidRDefault="00465964" w:rsidP="00465964">
            <w:r w:rsidRPr="00465964">
              <w:t>h)</w:t>
            </w:r>
          </w:p>
        </w:tc>
        <w:tc>
          <w:tcPr>
            <w:tcW w:w="0" w:type="auto"/>
            <w:shd w:val="clear" w:color="auto" w:fill="auto"/>
            <w:hideMark/>
          </w:tcPr>
          <w:p w14:paraId="53384F1D" w14:textId="77777777" w:rsidR="00465964" w:rsidRPr="00465964" w:rsidRDefault="00465964" w:rsidP="00465964">
            <w:pPr>
              <w:rPr>
                <w:lang w:val="pt-PT"/>
              </w:rPr>
            </w:pPr>
            <w:r w:rsidRPr="00465964">
              <w:rPr>
                <w:lang w:val="pt-PT"/>
              </w:rPr>
              <w:t xml:space="preserve">Um operador de uma plataforma de negociação de criptoativos que tenha admitido à negociação uma </w:t>
            </w:r>
            <w:proofErr w:type="spellStart"/>
            <w:r w:rsidRPr="00465964">
              <w:rPr>
                <w:lang w:val="pt-PT"/>
              </w:rPr>
              <w:t>criptoficha</w:t>
            </w:r>
            <w:proofErr w:type="spellEnd"/>
            <w:r w:rsidRPr="00465964">
              <w:rPr>
                <w:lang w:val="pt-PT"/>
              </w:rPr>
              <w:t xml:space="preserve"> referenciada a ativos significativa ou uma </w:t>
            </w:r>
            <w:proofErr w:type="spellStart"/>
            <w:r w:rsidRPr="00465964">
              <w:rPr>
                <w:lang w:val="pt-PT"/>
              </w:rPr>
              <w:t>criptoficha</w:t>
            </w:r>
            <w:proofErr w:type="spellEnd"/>
            <w:r w:rsidRPr="00465964">
              <w:rPr>
                <w:lang w:val="pt-PT"/>
              </w:rPr>
              <w:t xml:space="preserve"> de moeda eletrónica significativa;</w:t>
            </w:r>
          </w:p>
        </w:tc>
      </w:tr>
    </w:tbl>
    <w:p w14:paraId="59469A6C"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49"/>
        <w:gridCol w:w="8877"/>
      </w:tblGrid>
      <w:tr w:rsidR="00465964" w:rsidRPr="00465964" w14:paraId="71D08BCE" w14:textId="77777777" w:rsidTr="00465964">
        <w:tc>
          <w:tcPr>
            <w:tcW w:w="0" w:type="auto"/>
            <w:shd w:val="clear" w:color="auto" w:fill="auto"/>
            <w:hideMark/>
          </w:tcPr>
          <w:p w14:paraId="049F17DA" w14:textId="77777777" w:rsidR="00465964" w:rsidRPr="00465964" w:rsidRDefault="00465964" w:rsidP="00465964">
            <w:proofErr w:type="spellStart"/>
            <w:r w:rsidRPr="00465964">
              <w:t>i</w:t>
            </w:r>
            <w:proofErr w:type="spellEnd"/>
            <w:r w:rsidRPr="00465964">
              <w:t>)</w:t>
            </w:r>
          </w:p>
        </w:tc>
        <w:tc>
          <w:tcPr>
            <w:tcW w:w="0" w:type="auto"/>
            <w:shd w:val="clear" w:color="auto" w:fill="auto"/>
            <w:hideMark/>
          </w:tcPr>
          <w:p w14:paraId="6662A7E9" w14:textId="77777777" w:rsidR="00465964" w:rsidRPr="00465964" w:rsidRDefault="00465964" w:rsidP="00465964">
            <w:pPr>
              <w:rPr>
                <w:lang w:val="pt-PT"/>
              </w:rPr>
            </w:pPr>
            <w:r w:rsidRPr="00465964">
              <w:rPr>
                <w:lang w:val="pt-PT"/>
              </w:rPr>
              <w:t>O órgão de administração das pessoas a que se referem as alíneas a) a h).</w:t>
            </w:r>
          </w:p>
        </w:tc>
      </w:tr>
    </w:tbl>
    <w:p w14:paraId="689048D5" w14:textId="77777777" w:rsidR="00465964" w:rsidRPr="00465964" w:rsidRDefault="00465964" w:rsidP="00465964">
      <w:pPr>
        <w:rPr>
          <w:lang w:val="pt-PT"/>
        </w:rPr>
      </w:pPr>
      <w:r w:rsidRPr="00465964">
        <w:rPr>
          <w:lang w:val="pt-PT"/>
        </w:rPr>
        <w:t xml:space="preserve">2.   Qualquer pedido de informação simples a que se refere o </w:t>
      </w:r>
      <w:proofErr w:type="spellStart"/>
      <w:r w:rsidRPr="00465964">
        <w:rPr>
          <w:lang w:val="pt-PT"/>
        </w:rPr>
        <w:t>n.</w:t>
      </w:r>
      <w:r w:rsidRPr="00465964">
        <w:rPr>
          <w:vertAlign w:val="superscript"/>
          <w:lang w:val="pt-PT"/>
        </w:rPr>
        <w:t>o</w:t>
      </w:r>
      <w:proofErr w:type="spellEnd"/>
      <w:r w:rsidRPr="00465964">
        <w:rPr>
          <w:lang w:val="pt-PT"/>
        </w:rPr>
        <w:t> 1 deve:</w:t>
      </w:r>
    </w:p>
    <w:tbl>
      <w:tblPr>
        <w:tblW w:w="5000" w:type="pct"/>
        <w:tblCellMar>
          <w:left w:w="0" w:type="dxa"/>
          <w:right w:w="0" w:type="dxa"/>
        </w:tblCellMar>
        <w:tblLook w:val="04A0" w:firstRow="1" w:lastRow="0" w:firstColumn="1" w:lastColumn="0" w:noHBand="0" w:noVBand="1"/>
      </w:tblPr>
      <w:tblGrid>
        <w:gridCol w:w="290"/>
        <w:gridCol w:w="8736"/>
      </w:tblGrid>
      <w:tr w:rsidR="00465964" w:rsidRPr="00465964" w14:paraId="7F583869" w14:textId="77777777" w:rsidTr="00465964">
        <w:tc>
          <w:tcPr>
            <w:tcW w:w="0" w:type="auto"/>
            <w:shd w:val="clear" w:color="auto" w:fill="auto"/>
            <w:hideMark/>
          </w:tcPr>
          <w:p w14:paraId="0246FBE8" w14:textId="77777777" w:rsidR="00465964" w:rsidRPr="00465964" w:rsidRDefault="00465964" w:rsidP="00465964">
            <w:r w:rsidRPr="00465964">
              <w:lastRenderedPageBreak/>
              <w:t>a)</w:t>
            </w:r>
          </w:p>
        </w:tc>
        <w:tc>
          <w:tcPr>
            <w:tcW w:w="0" w:type="auto"/>
            <w:shd w:val="clear" w:color="auto" w:fill="auto"/>
            <w:hideMark/>
          </w:tcPr>
          <w:p w14:paraId="783AB5AA" w14:textId="77777777" w:rsidR="00465964" w:rsidRPr="00465964" w:rsidRDefault="00465964" w:rsidP="00465964">
            <w:pPr>
              <w:rPr>
                <w:lang w:val="pt-PT"/>
              </w:rPr>
            </w:pPr>
            <w:r w:rsidRPr="00465964">
              <w:rPr>
                <w:lang w:val="pt-PT"/>
              </w:rPr>
              <w:t>Referir o presente artigo como base jurídica desse pedido;</w:t>
            </w:r>
          </w:p>
        </w:tc>
      </w:tr>
    </w:tbl>
    <w:p w14:paraId="76791C70"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555"/>
        <w:gridCol w:w="8471"/>
      </w:tblGrid>
      <w:tr w:rsidR="00465964" w:rsidRPr="00465964" w14:paraId="02464901" w14:textId="77777777" w:rsidTr="00465964">
        <w:tc>
          <w:tcPr>
            <w:tcW w:w="0" w:type="auto"/>
            <w:shd w:val="clear" w:color="auto" w:fill="auto"/>
            <w:hideMark/>
          </w:tcPr>
          <w:p w14:paraId="1F44DE1D" w14:textId="77777777" w:rsidR="00465964" w:rsidRPr="00465964" w:rsidRDefault="00465964" w:rsidP="00465964">
            <w:r w:rsidRPr="00465964">
              <w:t>b)</w:t>
            </w:r>
          </w:p>
        </w:tc>
        <w:tc>
          <w:tcPr>
            <w:tcW w:w="0" w:type="auto"/>
            <w:shd w:val="clear" w:color="auto" w:fill="auto"/>
            <w:hideMark/>
          </w:tcPr>
          <w:p w14:paraId="3009C7E4" w14:textId="77777777" w:rsidR="00465964" w:rsidRPr="00465964" w:rsidRDefault="00465964" w:rsidP="00465964">
            <w:pPr>
              <w:rPr>
                <w:lang w:val="pt-PT"/>
              </w:rPr>
            </w:pPr>
            <w:r w:rsidRPr="00465964">
              <w:rPr>
                <w:lang w:val="pt-PT"/>
              </w:rPr>
              <w:t>Indicar a finalidade do pedido;</w:t>
            </w:r>
          </w:p>
        </w:tc>
      </w:tr>
    </w:tbl>
    <w:p w14:paraId="5D6B504D"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454"/>
        <w:gridCol w:w="8572"/>
      </w:tblGrid>
      <w:tr w:rsidR="00465964" w:rsidRPr="00465964" w14:paraId="4E30BEE9" w14:textId="77777777" w:rsidTr="00465964">
        <w:tc>
          <w:tcPr>
            <w:tcW w:w="0" w:type="auto"/>
            <w:shd w:val="clear" w:color="auto" w:fill="auto"/>
            <w:hideMark/>
          </w:tcPr>
          <w:p w14:paraId="78F488DE" w14:textId="77777777" w:rsidR="00465964" w:rsidRPr="00465964" w:rsidRDefault="00465964" w:rsidP="00465964">
            <w:r w:rsidRPr="00465964">
              <w:t>c)</w:t>
            </w:r>
          </w:p>
        </w:tc>
        <w:tc>
          <w:tcPr>
            <w:tcW w:w="0" w:type="auto"/>
            <w:shd w:val="clear" w:color="auto" w:fill="auto"/>
            <w:hideMark/>
          </w:tcPr>
          <w:p w14:paraId="583396E5" w14:textId="77777777" w:rsidR="00465964" w:rsidRPr="00465964" w:rsidRDefault="00465964" w:rsidP="00465964">
            <w:proofErr w:type="spellStart"/>
            <w:r w:rsidRPr="00465964">
              <w:t>Especificar</w:t>
            </w:r>
            <w:proofErr w:type="spellEnd"/>
            <w:r w:rsidRPr="00465964">
              <w:t xml:space="preserve"> a </w:t>
            </w:r>
            <w:proofErr w:type="spellStart"/>
            <w:r w:rsidRPr="00465964">
              <w:t>informação</w:t>
            </w:r>
            <w:proofErr w:type="spellEnd"/>
            <w:r w:rsidRPr="00465964">
              <w:t xml:space="preserve"> </w:t>
            </w:r>
            <w:proofErr w:type="spellStart"/>
            <w:r w:rsidRPr="00465964">
              <w:t>solicitada</w:t>
            </w:r>
            <w:proofErr w:type="spellEnd"/>
            <w:r w:rsidRPr="00465964">
              <w:t>;</w:t>
            </w:r>
          </w:p>
        </w:tc>
      </w:tr>
    </w:tbl>
    <w:p w14:paraId="3F18C3D1"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352"/>
        <w:gridCol w:w="8674"/>
      </w:tblGrid>
      <w:tr w:rsidR="00465964" w:rsidRPr="00465964" w14:paraId="7E862DF9" w14:textId="77777777" w:rsidTr="00465964">
        <w:tc>
          <w:tcPr>
            <w:tcW w:w="0" w:type="auto"/>
            <w:shd w:val="clear" w:color="auto" w:fill="auto"/>
            <w:hideMark/>
          </w:tcPr>
          <w:p w14:paraId="341CF43B" w14:textId="77777777" w:rsidR="00465964" w:rsidRPr="00465964" w:rsidRDefault="00465964" w:rsidP="00465964">
            <w:r w:rsidRPr="00465964">
              <w:t>d)</w:t>
            </w:r>
          </w:p>
        </w:tc>
        <w:tc>
          <w:tcPr>
            <w:tcW w:w="0" w:type="auto"/>
            <w:shd w:val="clear" w:color="auto" w:fill="auto"/>
            <w:hideMark/>
          </w:tcPr>
          <w:p w14:paraId="55D243F7" w14:textId="77777777" w:rsidR="00465964" w:rsidRPr="00465964" w:rsidRDefault="00465964" w:rsidP="00465964">
            <w:pPr>
              <w:rPr>
                <w:lang w:val="pt-PT"/>
              </w:rPr>
            </w:pPr>
            <w:r w:rsidRPr="00465964">
              <w:rPr>
                <w:lang w:val="pt-PT"/>
              </w:rPr>
              <w:t>Incluir um prazo para a prestação da informação;</w:t>
            </w:r>
          </w:p>
        </w:tc>
      </w:tr>
    </w:tbl>
    <w:p w14:paraId="7C9EA217"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1"/>
        <w:gridCol w:w="8845"/>
      </w:tblGrid>
      <w:tr w:rsidR="00465964" w:rsidRPr="00465964" w14:paraId="0B91A327" w14:textId="77777777" w:rsidTr="00465964">
        <w:tc>
          <w:tcPr>
            <w:tcW w:w="0" w:type="auto"/>
            <w:shd w:val="clear" w:color="auto" w:fill="auto"/>
            <w:hideMark/>
          </w:tcPr>
          <w:p w14:paraId="6CBD3747" w14:textId="77777777" w:rsidR="00465964" w:rsidRPr="00465964" w:rsidRDefault="00465964" w:rsidP="00465964">
            <w:r w:rsidRPr="00465964">
              <w:t>e)</w:t>
            </w:r>
          </w:p>
        </w:tc>
        <w:tc>
          <w:tcPr>
            <w:tcW w:w="0" w:type="auto"/>
            <w:shd w:val="clear" w:color="auto" w:fill="auto"/>
            <w:hideMark/>
          </w:tcPr>
          <w:p w14:paraId="31FE806D" w14:textId="77777777" w:rsidR="00465964" w:rsidRPr="00465964" w:rsidRDefault="00465964" w:rsidP="00465964">
            <w:pPr>
              <w:rPr>
                <w:lang w:val="pt-PT"/>
              </w:rPr>
            </w:pPr>
            <w:r w:rsidRPr="00465964">
              <w:rPr>
                <w:lang w:val="pt-PT"/>
              </w:rPr>
              <w:t>Informar a pessoa a quem a informação é solicitada de que não é obrigada a prestá-la, devendo, porém, em caso de resposta voluntária ao pedido, a informação prestada ser corretas e não induzir em erro; e</w:t>
            </w:r>
          </w:p>
        </w:tc>
      </w:tr>
    </w:tbl>
    <w:p w14:paraId="6D2CC291"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36"/>
        <w:gridCol w:w="8890"/>
      </w:tblGrid>
      <w:tr w:rsidR="00465964" w:rsidRPr="00465964" w14:paraId="16D3807E" w14:textId="77777777" w:rsidTr="00465964">
        <w:tc>
          <w:tcPr>
            <w:tcW w:w="0" w:type="auto"/>
            <w:shd w:val="clear" w:color="auto" w:fill="auto"/>
            <w:hideMark/>
          </w:tcPr>
          <w:p w14:paraId="693125BE" w14:textId="77777777" w:rsidR="00465964" w:rsidRPr="00465964" w:rsidRDefault="00465964" w:rsidP="00465964">
            <w:r w:rsidRPr="00465964">
              <w:t>f)</w:t>
            </w:r>
          </w:p>
        </w:tc>
        <w:tc>
          <w:tcPr>
            <w:tcW w:w="0" w:type="auto"/>
            <w:shd w:val="clear" w:color="auto" w:fill="auto"/>
            <w:hideMark/>
          </w:tcPr>
          <w:p w14:paraId="1D81C79C" w14:textId="77777777" w:rsidR="00465964" w:rsidRPr="00465964" w:rsidRDefault="00465964" w:rsidP="00465964">
            <w:pPr>
              <w:rPr>
                <w:lang w:val="pt-PT"/>
              </w:rPr>
            </w:pPr>
            <w:r w:rsidRPr="00465964">
              <w:rPr>
                <w:lang w:val="pt-PT"/>
              </w:rPr>
              <w:t>Indicar a coima prevista no artigo 131.</w:t>
            </w:r>
            <w:r w:rsidRPr="00465964">
              <w:rPr>
                <w:vertAlign w:val="superscript"/>
                <w:lang w:val="pt-PT"/>
              </w:rPr>
              <w:t>o</w:t>
            </w:r>
            <w:r w:rsidRPr="00465964">
              <w:rPr>
                <w:lang w:val="pt-PT"/>
              </w:rPr>
              <w:t> para os casos em que as respostas às perguntas colocadas estejam incorretas ou sejam enganadoras.</w:t>
            </w:r>
          </w:p>
        </w:tc>
      </w:tr>
    </w:tbl>
    <w:p w14:paraId="4AF52CED" w14:textId="77777777" w:rsidR="00465964" w:rsidRPr="00465964" w:rsidRDefault="00465964" w:rsidP="00465964">
      <w:pPr>
        <w:rPr>
          <w:lang w:val="pt-PT"/>
        </w:rPr>
      </w:pPr>
      <w:r w:rsidRPr="00465964">
        <w:rPr>
          <w:lang w:val="pt-PT"/>
        </w:rPr>
        <w:t xml:space="preserve">3.   Ao solicitar a prestação de informações mediante uma decisão nos termos do </w:t>
      </w:r>
      <w:proofErr w:type="spellStart"/>
      <w:r w:rsidRPr="00465964">
        <w:rPr>
          <w:lang w:val="pt-PT"/>
        </w:rPr>
        <w:t>n.</w:t>
      </w:r>
      <w:r w:rsidRPr="00465964">
        <w:rPr>
          <w:vertAlign w:val="superscript"/>
          <w:lang w:val="pt-PT"/>
        </w:rPr>
        <w:t>o</w:t>
      </w:r>
      <w:proofErr w:type="spellEnd"/>
      <w:r w:rsidRPr="00465964">
        <w:rPr>
          <w:lang w:val="pt-PT"/>
        </w:rPr>
        <w:t> 1, a EBA deve:</w:t>
      </w:r>
    </w:p>
    <w:tbl>
      <w:tblPr>
        <w:tblW w:w="5000" w:type="pct"/>
        <w:tblCellMar>
          <w:left w:w="0" w:type="dxa"/>
          <w:right w:w="0" w:type="dxa"/>
        </w:tblCellMar>
        <w:tblLook w:val="04A0" w:firstRow="1" w:lastRow="0" w:firstColumn="1" w:lastColumn="0" w:noHBand="0" w:noVBand="1"/>
      </w:tblPr>
      <w:tblGrid>
        <w:gridCol w:w="260"/>
        <w:gridCol w:w="8766"/>
      </w:tblGrid>
      <w:tr w:rsidR="00465964" w:rsidRPr="00465964" w14:paraId="5B83A5EC" w14:textId="77777777" w:rsidTr="00465964">
        <w:tc>
          <w:tcPr>
            <w:tcW w:w="0" w:type="auto"/>
            <w:shd w:val="clear" w:color="auto" w:fill="auto"/>
            <w:hideMark/>
          </w:tcPr>
          <w:p w14:paraId="3AC9610E" w14:textId="77777777" w:rsidR="00465964" w:rsidRPr="00465964" w:rsidRDefault="00465964" w:rsidP="00465964">
            <w:r w:rsidRPr="00465964">
              <w:t>a)</w:t>
            </w:r>
          </w:p>
        </w:tc>
        <w:tc>
          <w:tcPr>
            <w:tcW w:w="0" w:type="auto"/>
            <w:shd w:val="clear" w:color="auto" w:fill="auto"/>
            <w:hideMark/>
          </w:tcPr>
          <w:p w14:paraId="5A9D3192" w14:textId="77777777" w:rsidR="00465964" w:rsidRPr="00465964" w:rsidRDefault="00465964" w:rsidP="00465964">
            <w:pPr>
              <w:rPr>
                <w:lang w:val="pt-PT"/>
              </w:rPr>
            </w:pPr>
            <w:r w:rsidRPr="00465964">
              <w:rPr>
                <w:lang w:val="pt-PT"/>
              </w:rPr>
              <w:t>Remeter para o presente artigo como base jurídica desse pedido;</w:t>
            </w:r>
          </w:p>
        </w:tc>
      </w:tr>
    </w:tbl>
    <w:p w14:paraId="6481408C"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555"/>
        <w:gridCol w:w="8471"/>
      </w:tblGrid>
      <w:tr w:rsidR="00465964" w:rsidRPr="00465964" w14:paraId="28F31F5C" w14:textId="77777777" w:rsidTr="00465964">
        <w:tc>
          <w:tcPr>
            <w:tcW w:w="0" w:type="auto"/>
            <w:shd w:val="clear" w:color="auto" w:fill="auto"/>
            <w:hideMark/>
          </w:tcPr>
          <w:p w14:paraId="4D9637B0" w14:textId="77777777" w:rsidR="00465964" w:rsidRPr="00465964" w:rsidRDefault="00465964" w:rsidP="00465964">
            <w:r w:rsidRPr="00465964">
              <w:t>b)</w:t>
            </w:r>
          </w:p>
        </w:tc>
        <w:tc>
          <w:tcPr>
            <w:tcW w:w="0" w:type="auto"/>
            <w:shd w:val="clear" w:color="auto" w:fill="auto"/>
            <w:hideMark/>
          </w:tcPr>
          <w:p w14:paraId="16E34C4F" w14:textId="77777777" w:rsidR="00465964" w:rsidRPr="00465964" w:rsidRDefault="00465964" w:rsidP="00465964">
            <w:pPr>
              <w:rPr>
                <w:lang w:val="pt-PT"/>
              </w:rPr>
            </w:pPr>
            <w:r w:rsidRPr="00465964">
              <w:rPr>
                <w:lang w:val="pt-PT"/>
              </w:rPr>
              <w:t>Indicar a finalidade do pedido;</w:t>
            </w:r>
          </w:p>
        </w:tc>
      </w:tr>
    </w:tbl>
    <w:p w14:paraId="1206C9CB"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417"/>
        <w:gridCol w:w="8609"/>
      </w:tblGrid>
      <w:tr w:rsidR="00465964" w:rsidRPr="00465964" w14:paraId="1C2605DC" w14:textId="77777777" w:rsidTr="00465964">
        <w:tc>
          <w:tcPr>
            <w:tcW w:w="0" w:type="auto"/>
            <w:shd w:val="clear" w:color="auto" w:fill="auto"/>
            <w:hideMark/>
          </w:tcPr>
          <w:p w14:paraId="29781B28" w14:textId="77777777" w:rsidR="00465964" w:rsidRPr="00465964" w:rsidRDefault="00465964" w:rsidP="00465964">
            <w:r w:rsidRPr="00465964">
              <w:t>c)</w:t>
            </w:r>
          </w:p>
        </w:tc>
        <w:tc>
          <w:tcPr>
            <w:tcW w:w="0" w:type="auto"/>
            <w:shd w:val="clear" w:color="auto" w:fill="auto"/>
            <w:hideMark/>
          </w:tcPr>
          <w:p w14:paraId="7FB6A006" w14:textId="77777777" w:rsidR="00465964" w:rsidRPr="00465964" w:rsidRDefault="00465964" w:rsidP="00465964">
            <w:proofErr w:type="spellStart"/>
            <w:r w:rsidRPr="00465964">
              <w:t>Especificar</w:t>
            </w:r>
            <w:proofErr w:type="spellEnd"/>
            <w:r w:rsidRPr="00465964">
              <w:t xml:space="preserve"> as </w:t>
            </w:r>
            <w:proofErr w:type="spellStart"/>
            <w:r w:rsidRPr="00465964">
              <w:t>informações</w:t>
            </w:r>
            <w:proofErr w:type="spellEnd"/>
            <w:r w:rsidRPr="00465964">
              <w:t xml:space="preserve"> </w:t>
            </w:r>
            <w:proofErr w:type="spellStart"/>
            <w:r w:rsidRPr="00465964">
              <w:t>solicitadas</w:t>
            </w:r>
            <w:proofErr w:type="spellEnd"/>
            <w:r w:rsidRPr="00465964">
              <w:t>;</w:t>
            </w:r>
          </w:p>
        </w:tc>
      </w:tr>
    </w:tbl>
    <w:p w14:paraId="79BB902D"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347"/>
        <w:gridCol w:w="8679"/>
      </w:tblGrid>
      <w:tr w:rsidR="00465964" w:rsidRPr="00465964" w14:paraId="66D0CEDD" w14:textId="77777777" w:rsidTr="00465964">
        <w:tc>
          <w:tcPr>
            <w:tcW w:w="0" w:type="auto"/>
            <w:shd w:val="clear" w:color="auto" w:fill="auto"/>
            <w:hideMark/>
          </w:tcPr>
          <w:p w14:paraId="2B970496" w14:textId="77777777" w:rsidR="00465964" w:rsidRPr="00465964" w:rsidRDefault="00465964" w:rsidP="00465964">
            <w:r w:rsidRPr="00465964">
              <w:t>d)</w:t>
            </w:r>
          </w:p>
        </w:tc>
        <w:tc>
          <w:tcPr>
            <w:tcW w:w="0" w:type="auto"/>
            <w:shd w:val="clear" w:color="auto" w:fill="auto"/>
            <w:hideMark/>
          </w:tcPr>
          <w:p w14:paraId="5B97BA3E" w14:textId="77777777" w:rsidR="00465964" w:rsidRPr="00465964" w:rsidRDefault="00465964" w:rsidP="00465964">
            <w:pPr>
              <w:rPr>
                <w:lang w:val="pt-PT"/>
              </w:rPr>
            </w:pPr>
            <w:r w:rsidRPr="00465964">
              <w:rPr>
                <w:lang w:val="pt-PT"/>
              </w:rPr>
              <w:t>Fixar um prazo para a prestação das informações;</w:t>
            </w:r>
          </w:p>
        </w:tc>
      </w:tr>
    </w:tbl>
    <w:p w14:paraId="739CD52A"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1"/>
        <w:gridCol w:w="8845"/>
      </w:tblGrid>
      <w:tr w:rsidR="00465964" w:rsidRPr="00465964" w14:paraId="33ABB549" w14:textId="77777777" w:rsidTr="00465964">
        <w:tc>
          <w:tcPr>
            <w:tcW w:w="0" w:type="auto"/>
            <w:shd w:val="clear" w:color="auto" w:fill="auto"/>
            <w:hideMark/>
          </w:tcPr>
          <w:p w14:paraId="62AAA723" w14:textId="77777777" w:rsidR="00465964" w:rsidRPr="00465964" w:rsidRDefault="00465964" w:rsidP="00465964">
            <w:r w:rsidRPr="00465964">
              <w:t>e)</w:t>
            </w:r>
          </w:p>
        </w:tc>
        <w:tc>
          <w:tcPr>
            <w:tcW w:w="0" w:type="auto"/>
            <w:shd w:val="clear" w:color="auto" w:fill="auto"/>
            <w:hideMark/>
          </w:tcPr>
          <w:p w14:paraId="47DAE5B9" w14:textId="77777777" w:rsidR="00465964" w:rsidRPr="00465964" w:rsidRDefault="00465964" w:rsidP="00465964">
            <w:pPr>
              <w:rPr>
                <w:lang w:val="pt-PT"/>
              </w:rPr>
            </w:pPr>
            <w:r w:rsidRPr="00465964">
              <w:rPr>
                <w:lang w:val="pt-PT"/>
              </w:rPr>
              <w:t>Indicar as sanções pecuniárias compulsórias previstas no artigo 132.</w:t>
            </w:r>
            <w:r w:rsidRPr="00465964">
              <w:rPr>
                <w:vertAlign w:val="superscript"/>
                <w:lang w:val="pt-PT"/>
              </w:rPr>
              <w:t>o</w:t>
            </w:r>
            <w:r w:rsidRPr="00465964">
              <w:rPr>
                <w:lang w:val="pt-PT"/>
              </w:rPr>
              <w:t> para os casos em que seja exigida a apresentação de informações;</w:t>
            </w:r>
          </w:p>
        </w:tc>
      </w:tr>
    </w:tbl>
    <w:p w14:paraId="5D568B82"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36"/>
        <w:gridCol w:w="8890"/>
      </w:tblGrid>
      <w:tr w:rsidR="00465964" w:rsidRPr="00465964" w14:paraId="792A74CD" w14:textId="77777777" w:rsidTr="00465964">
        <w:tc>
          <w:tcPr>
            <w:tcW w:w="0" w:type="auto"/>
            <w:shd w:val="clear" w:color="auto" w:fill="auto"/>
            <w:hideMark/>
          </w:tcPr>
          <w:p w14:paraId="5C32D9D5" w14:textId="77777777" w:rsidR="00465964" w:rsidRPr="00465964" w:rsidRDefault="00465964" w:rsidP="00465964">
            <w:r w:rsidRPr="00465964">
              <w:t>f)</w:t>
            </w:r>
          </w:p>
        </w:tc>
        <w:tc>
          <w:tcPr>
            <w:tcW w:w="0" w:type="auto"/>
            <w:shd w:val="clear" w:color="auto" w:fill="auto"/>
            <w:hideMark/>
          </w:tcPr>
          <w:p w14:paraId="25DBB7E4" w14:textId="77777777" w:rsidR="00465964" w:rsidRPr="00465964" w:rsidRDefault="00465964" w:rsidP="00465964">
            <w:pPr>
              <w:rPr>
                <w:lang w:val="pt-PT"/>
              </w:rPr>
            </w:pPr>
            <w:r w:rsidRPr="00465964">
              <w:rPr>
                <w:lang w:val="pt-PT"/>
              </w:rPr>
              <w:t>Indicar a coima prevista no artigo 131.</w:t>
            </w:r>
            <w:r w:rsidRPr="00465964">
              <w:rPr>
                <w:vertAlign w:val="superscript"/>
                <w:lang w:val="pt-PT"/>
              </w:rPr>
              <w:t>o</w:t>
            </w:r>
            <w:r w:rsidRPr="00465964">
              <w:rPr>
                <w:lang w:val="pt-PT"/>
              </w:rPr>
              <w:t> para os casos em que as respostas às perguntas colocadas estejam incorretas ou sejam enganadoras;</w:t>
            </w:r>
          </w:p>
        </w:tc>
      </w:tr>
    </w:tbl>
    <w:p w14:paraId="6CCFC78B"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74"/>
        <w:gridCol w:w="8852"/>
      </w:tblGrid>
      <w:tr w:rsidR="00465964" w:rsidRPr="00465964" w14:paraId="2573A3A3" w14:textId="77777777" w:rsidTr="00465964">
        <w:tc>
          <w:tcPr>
            <w:tcW w:w="0" w:type="auto"/>
            <w:shd w:val="clear" w:color="auto" w:fill="auto"/>
            <w:hideMark/>
          </w:tcPr>
          <w:p w14:paraId="7A270F10" w14:textId="77777777" w:rsidR="00465964" w:rsidRPr="00465964" w:rsidRDefault="00465964" w:rsidP="00465964">
            <w:r w:rsidRPr="00465964">
              <w:t>g)</w:t>
            </w:r>
          </w:p>
        </w:tc>
        <w:tc>
          <w:tcPr>
            <w:tcW w:w="0" w:type="auto"/>
            <w:shd w:val="clear" w:color="auto" w:fill="auto"/>
            <w:hideMark/>
          </w:tcPr>
          <w:p w14:paraId="4779C47C" w14:textId="77777777" w:rsidR="00465964" w:rsidRPr="00465964" w:rsidRDefault="00465964" w:rsidP="00465964">
            <w:pPr>
              <w:rPr>
                <w:lang w:val="pt-PT"/>
              </w:rPr>
            </w:pPr>
            <w:r w:rsidRPr="00465964">
              <w:rPr>
                <w:lang w:val="pt-PT"/>
              </w:rPr>
              <w:t>Mencionar o direito de recorrer da decisão para a Câmara de Recurso da EBA e o direito ao controlo jurisdicional da decisão pelo Tribunal de Justiça em conformidade com os artigos 60.</w:t>
            </w:r>
            <w:r w:rsidRPr="00465964">
              <w:rPr>
                <w:vertAlign w:val="superscript"/>
                <w:lang w:val="pt-PT"/>
              </w:rPr>
              <w:t>o</w:t>
            </w:r>
            <w:r w:rsidRPr="00465964">
              <w:rPr>
                <w:lang w:val="pt-PT"/>
              </w:rPr>
              <w:t> e 61.</w:t>
            </w:r>
            <w:r w:rsidRPr="00465964">
              <w:rPr>
                <w:vertAlign w:val="superscript"/>
                <w:lang w:val="pt-PT"/>
              </w:rPr>
              <w:t>o</w:t>
            </w:r>
            <w:r w:rsidRPr="00465964">
              <w:rPr>
                <w:lang w:val="pt-PT"/>
              </w:rPr>
              <w:t xml:space="preserve"> do Regulamento (UE) </w:t>
            </w:r>
            <w:proofErr w:type="spellStart"/>
            <w:r w:rsidRPr="00465964">
              <w:rPr>
                <w:lang w:val="pt-PT"/>
              </w:rPr>
              <w:t>n.</w:t>
            </w:r>
            <w:r w:rsidRPr="00465964">
              <w:rPr>
                <w:vertAlign w:val="superscript"/>
                <w:lang w:val="pt-PT"/>
              </w:rPr>
              <w:t>o</w:t>
            </w:r>
            <w:proofErr w:type="spellEnd"/>
            <w:r w:rsidRPr="00465964">
              <w:rPr>
                <w:lang w:val="pt-PT"/>
              </w:rPr>
              <w:t> 1093/2010.</w:t>
            </w:r>
          </w:p>
        </w:tc>
      </w:tr>
    </w:tbl>
    <w:p w14:paraId="60596ED7" w14:textId="77777777" w:rsidR="00465964" w:rsidRPr="00465964" w:rsidRDefault="00465964" w:rsidP="00465964">
      <w:pPr>
        <w:rPr>
          <w:lang w:val="pt-PT"/>
        </w:rPr>
      </w:pPr>
      <w:r w:rsidRPr="00465964">
        <w:rPr>
          <w:lang w:val="pt-PT"/>
        </w:rPr>
        <w:t xml:space="preserve">4.   As pessoas referidas no </w:t>
      </w:r>
      <w:proofErr w:type="spellStart"/>
      <w:r w:rsidRPr="00465964">
        <w:rPr>
          <w:lang w:val="pt-PT"/>
        </w:rPr>
        <w:t>n.</w:t>
      </w:r>
      <w:r w:rsidRPr="00465964">
        <w:rPr>
          <w:vertAlign w:val="superscript"/>
          <w:lang w:val="pt-PT"/>
        </w:rPr>
        <w:t>o</w:t>
      </w:r>
      <w:proofErr w:type="spellEnd"/>
      <w:r w:rsidRPr="00465964">
        <w:rPr>
          <w:lang w:val="pt-PT"/>
        </w:rPr>
        <w:t> 1 ou os seus representantes e, no caso de pessoas coletivas ou de associações sem personalidade jurídica, as pessoas habilitadas a representá-las nos termos da lei devem prestar as informações solicitadas.</w:t>
      </w:r>
    </w:p>
    <w:p w14:paraId="61FE2B02" w14:textId="77777777" w:rsidR="00465964" w:rsidRPr="00465964" w:rsidRDefault="00465964" w:rsidP="00465964">
      <w:pPr>
        <w:rPr>
          <w:lang w:val="pt-PT"/>
        </w:rPr>
      </w:pPr>
      <w:r w:rsidRPr="00465964">
        <w:rPr>
          <w:lang w:val="pt-PT"/>
        </w:rPr>
        <w:t>5.   A EBA envia sem demora uma cópia do pedido simples ou da sua decisão à autoridade competente do Estado-Membro em cujo território estejam domiciliadas ou estabelecidas as pessoas às quais o pedido de informações diga respeito.</w:t>
      </w:r>
    </w:p>
    <w:p w14:paraId="6EC4E40F" w14:textId="77777777" w:rsidR="00465964" w:rsidRPr="00465964" w:rsidRDefault="00465964" w:rsidP="00465964">
      <w:pPr>
        <w:rPr>
          <w:i/>
          <w:iCs/>
          <w:lang w:val="pt-PT"/>
        </w:rPr>
      </w:pPr>
      <w:r w:rsidRPr="00465964">
        <w:rPr>
          <w:i/>
          <w:iCs/>
          <w:lang w:val="pt-PT"/>
        </w:rPr>
        <w:t>Artigo 123.</w:t>
      </w:r>
      <w:r w:rsidRPr="00465964">
        <w:rPr>
          <w:i/>
          <w:iCs/>
          <w:vertAlign w:val="superscript"/>
          <w:lang w:val="pt-PT"/>
        </w:rPr>
        <w:t>o</w:t>
      </w:r>
    </w:p>
    <w:p w14:paraId="126E08B7" w14:textId="77777777" w:rsidR="00465964" w:rsidRPr="00465964" w:rsidRDefault="00465964" w:rsidP="00465964">
      <w:pPr>
        <w:rPr>
          <w:b/>
          <w:bCs/>
          <w:lang w:val="pt-PT"/>
        </w:rPr>
      </w:pPr>
      <w:r w:rsidRPr="00465964">
        <w:rPr>
          <w:b/>
          <w:bCs/>
          <w:lang w:val="pt-PT"/>
        </w:rPr>
        <w:t>Poderes gerais de investigação</w:t>
      </w:r>
    </w:p>
    <w:p w14:paraId="2251124C" w14:textId="4E2D1B62" w:rsidR="00465964" w:rsidRPr="00465964" w:rsidRDefault="00465964" w:rsidP="00465964">
      <w:pPr>
        <w:rPr>
          <w:lang w:val="pt-PT"/>
        </w:rPr>
      </w:pPr>
      <w:r w:rsidRPr="00465964">
        <w:rPr>
          <w:lang w:val="pt-PT"/>
        </w:rPr>
        <w:t>1.   A fim de desempenhar as responsabilidades de supervisão que lhe são atribuídas pelo artigo 117.</w:t>
      </w:r>
      <w:r w:rsidRPr="00465964">
        <w:rPr>
          <w:vertAlign w:val="superscript"/>
          <w:lang w:val="pt-PT"/>
        </w:rPr>
        <w:t>o</w:t>
      </w:r>
      <w:r w:rsidRPr="00465964">
        <w:rPr>
          <w:lang w:val="pt-PT"/>
        </w:rPr>
        <w:t xml:space="preserve">, a EBA pode conduzir investigações sobre emitentes de </w:t>
      </w:r>
      <w:r>
        <w:rPr>
          <w:lang w:val="pt-PT"/>
        </w:rPr>
        <w:t>criptomoedas</w:t>
      </w:r>
      <w:r w:rsidRPr="00465964">
        <w:rPr>
          <w:lang w:val="pt-PT"/>
        </w:rPr>
        <w:t xml:space="preserve"> referenciadas a ativos significativas e emitentes de </w:t>
      </w:r>
      <w:r>
        <w:rPr>
          <w:lang w:val="pt-PT"/>
        </w:rPr>
        <w:t>criptomoedas</w:t>
      </w:r>
      <w:r w:rsidRPr="00465964">
        <w:rPr>
          <w:lang w:val="pt-PT"/>
        </w:rPr>
        <w:t xml:space="preserve"> de moeda eletrónica significativas. Para esse efeito, os funcionários e outras pessoas autorizadas pela EBA estão habilitados a:</w:t>
      </w:r>
    </w:p>
    <w:tbl>
      <w:tblPr>
        <w:tblW w:w="5000" w:type="pct"/>
        <w:tblCellMar>
          <w:left w:w="0" w:type="dxa"/>
          <w:right w:w="0" w:type="dxa"/>
        </w:tblCellMar>
        <w:tblLook w:val="04A0" w:firstRow="1" w:lastRow="0" w:firstColumn="1" w:lastColumn="0" w:noHBand="0" w:noVBand="1"/>
      </w:tblPr>
      <w:tblGrid>
        <w:gridCol w:w="182"/>
        <w:gridCol w:w="8844"/>
      </w:tblGrid>
      <w:tr w:rsidR="00465964" w:rsidRPr="00465964" w14:paraId="220C075F" w14:textId="77777777" w:rsidTr="00465964">
        <w:tc>
          <w:tcPr>
            <w:tcW w:w="0" w:type="auto"/>
            <w:shd w:val="clear" w:color="auto" w:fill="auto"/>
            <w:hideMark/>
          </w:tcPr>
          <w:p w14:paraId="1B37C1D5" w14:textId="77777777" w:rsidR="00465964" w:rsidRPr="00465964" w:rsidRDefault="00465964" w:rsidP="00465964">
            <w:r w:rsidRPr="00465964">
              <w:lastRenderedPageBreak/>
              <w:t>a)</w:t>
            </w:r>
          </w:p>
        </w:tc>
        <w:tc>
          <w:tcPr>
            <w:tcW w:w="0" w:type="auto"/>
            <w:shd w:val="clear" w:color="auto" w:fill="auto"/>
            <w:hideMark/>
          </w:tcPr>
          <w:p w14:paraId="4513C226" w14:textId="77777777" w:rsidR="00465964" w:rsidRPr="00465964" w:rsidRDefault="00465964" w:rsidP="00465964">
            <w:pPr>
              <w:rPr>
                <w:lang w:val="pt-PT"/>
              </w:rPr>
            </w:pPr>
            <w:r w:rsidRPr="00465964">
              <w:rPr>
                <w:lang w:val="pt-PT"/>
              </w:rPr>
              <w:t>Examinar quaisquer registos, dados, procedimentos ou qualquer outro material relevante para o exercício das suas atribuições, independentemente do meio em que se encontrem armazenados;</w:t>
            </w:r>
          </w:p>
        </w:tc>
      </w:tr>
    </w:tbl>
    <w:p w14:paraId="428379A4"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8"/>
        <w:gridCol w:w="8838"/>
      </w:tblGrid>
      <w:tr w:rsidR="00465964" w:rsidRPr="00465964" w14:paraId="59FDA6E4" w14:textId="77777777" w:rsidTr="00465964">
        <w:tc>
          <w:tcPr>
            <w:tcW w:w="0" w:type="auto"/>
            <w:shd w:val="clear" w:color="auto" w:fill="auto"/>
            <w:hideMark/>
          </w:tcPr>
          <w:p w14:paraId="48DE4FE9" w14:textId="77777777" w:rsidR="00465964" w:rsidRPr="00465964" w:rsidRDefault="00465964" w:rsidP="00465964">
            <w:r w:rsidRPr="00465964">
              <w:t>b)</w:t>
            </w:r>
          </w:p>
        </w:tc>
        <w:tc>
          <w:tcPr>
            <w:tcW w:w="0" w:type="auto"/>
            <w:shd w:val="clear" w:color="auto" w:fill="auto"/>
            <w:hideMark/>
          </w:tcPr>
          <w:p w14:paraId="13AC747D" w14:textId="77777777" w:rsidR="00465964" w:rsidRPr="00465964" w:rsidRDefault="00465964" w:rsidP="00465964">
            <w:pPr>
              <w:rPr>
                <w:lang w:val="pt-PT"/>
              </w:rPr>
            </w:pPr>
            <w:r w:rsidRPr="00465964">
              <w:rPr>
                <w:lang w:val="pt-PT"/>
              </w:rPr>
              <w:t>Recolher ou obter cópias autenticadas ou extratos desses registos, dados, procedimentos e outro material;</w:t>
            </w:r>
          </w:p>
        </w:tc>
      </w:tr>
    </w:tbl>
    <w:p w14:paraId="72F85D9B"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0"/>
        <w:gridCol w:w="8846"/>
      </w:tblGrid>
      <w:tr w:rsidR="00465964" w:rsidRPr="00465964" w14:paraId="1E132E8C" w14:textId="77777777" w:rsidTr="00465964">
        <w:tc>
          <w:tcPr>
            <w:tcW w:w="0" w:type="auto"/>
            <w:shd w:val="clear" w:color="auto" w:fill="auto"/>
            <w:hideMark/>
          </w:tcPr>
          <w:p w14:paraId="3D2BE8E9" w14:textId="77777777" w:rsidR="00465964" w:rsidRPr="00465964" w:rsidRDefault="00465964" w:rsidP="00465964">
            <w:r w:rsidRPr="00465964">
              <w:t>c)</w:t>
            </w:r>
          </w:p>
        </w:tc>
        <w:tc>
          <w:tcPr>
            <w:tcW w:w="0" w:type="auto"/>
            <w:shd w:val="clear" w:color="auto" w:fill="auto"/>
            <w:hideMark/>
          </w:tcPr>
          <w:p w14:paraId="5893182C" w14:textId="77777777" w:rsidR="00465964" w:rsidRPr="00465964" w:rsidRDefault="00465964" w:rsidP="00465964">
            <w:pPr>
              <w:rPr>
                <w:lang w:val="pt-PT"/>
              </w:rPr>
            </w:pPr>
            <w:r w:rsidRPr="00465964">
              <w:rPr>
                <w:lang w:val="pt-PT"/>
              </w:rPr>
              <w:t xml:space="preserve">Convocar e solicitar a qualquer emitente de uma </w:t>
            </w:r>
            <w:proofErr w:type="spellStart"/>
            <w:r w:rsidRPr="00465964">
              <w:rPr>
                <w:lang w:val="pt-PT"/>
              </w:rPr>
              <w:t>criptoficha</w:t>
            </w:r>
            <w:proofErr w:type="spellEnd"/>
            <w:r w:rsidRPr="00465964">
              <w:rPr>
                <w:lang w:val="pt-PT"/>
              </w:rPr>
              <w:t xml:space="preserve"> referenciada a ativos significativa ou de uma </w:t>
            </w:r>
            <w:proofErr w:type="spellStart"/>
            <w:r w:rsidRPr="00465964">
              <w:rPr>
                <w:lang w:val="pt-PT"/>
              </w:rPr>
              <w:t>criptoficha</w:t>
            </w:r>
            <w:proofErr w:type="spellEnd"/>
            <w:r w:rsidRPr="00465964">
              <w:rPr>
                <w:lang w:val="pt-PT"/>
              </w:rPr>
              <w:t xml:space="preserve"> de moeda eletrónica significativa, ou ao respetivo órgão de administração ou aos membros do seu pessoal, que prestem esclarecimentos, oralmente ou por escrito, sobre factos ou documentos relacionados com o objeto e a finalidade da investigação e registar as suas respostas;</w:t>
            </w:r>
          </w:p>
        </w:tc>
      </w:tr>
    </w:tbl>
    <w:p w14:paraId="60ED6D2D"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8"/>
        <w:gridCol w:w="8838"/>
      </w:tblGrid>
      <w:tr w:rsidR="00465964" w:rsidRPr="00465964" w14:paraId="71425934" w14:textId="77777777" w:rsidTr="00465964">
        <w:tc>
          <w:tcPr>
            <w:tcW w:w="0" w:type="auto"/>
            <w:shd w:val="clear" w:color="auto" w:fill="auto"/>
            <w:hideMark/>
          </w:tcPr>
          <w:p w14:paraId="0F8239A8" w14:textId="77777777" w:rsidR="00465964" w:rsidRPr="00465964" w:rsidRDefault="00465964" w:rsidP="00465964">
            <w:r w:rsidRPr="00465964">
              <w:t>d)</w:t>
            </w:r>
          </w:p>
        </w:tc>
        <w:tc>
          <w:tcPr>
            <w:tcW w:w="0" w:type="auto"/>
            <w:shd w:val="clear" w:color="auto" w:fill="auto"/>
            <w:hideMark/>
          </w:tcPr>
          <w:p w14:paraId="11EAA180" w14:textId="77777777" w:rsidR="00465964" w:rsidRPr="00465964" w:rsidRDefault="00465964" w:rsidP="00465964">
            <w:pPr>
              <w:rPr>
                <w:lang w:val="pt-PT"/>
              </w:rPr>
            </w:pPr>
            <w:r w:rsidRPr="00465964">
              <w:rPr>
                <w:lang w:val="pt-PT"/>
              </w:rPr>
              <w:t>Inquirir quaisquer outras pessoas singulares ou coletivas que consintam em ser inquiridas, a fim de recolher informações relacionadas com o objeto da investigação;</w:t>
            </w:r>
          </w:p>
        </w:tc>
      </w:tr>
    </w:tbl>
    <w:p w14:paraId="19651874"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237"/>
        <w:gridCol w:w="8789"/>
      </w:tblGrid>
      <w:tr w:rsidR="00465964" w:rsidRPr="00465964" w14:paraId="07E01148" w14:textId="77777777" w:rsidTr="00465964">
        <w:tc>
          <w:tcPr>
            <w:tcW w:w="0" w:type="auto"/>
            <w:shd w:val="clear" w:color="auto" w:fill="auto"/>
            <w:hideMark/>
          </w:tcPr>
          <w:p w14:paraId="5667D7A8" w14:textId="77777777" w:rsidR="00465964" w:rsidRPr="00465964" w:rsidRDefault="00465964" w:rsidP="00465964">
            <w:r w:rsidRPr="00465964">
              <w:t>e)</w:t>
            </w:r>
          </w:p>
        </w:tc>
        <w:tc>
          <w:tcPr>
            <w:tcW w:w="0" w:type="auto"/>
            <w:shd w:val="clear" w:color="auto" w:fill="auto"/>
            <w:hideMark/>
          </w:tcPr>
          <w:p w14:paraId="68C926BD" w14:textId="77777777" w:rsidR="00465964" w:rsidRPr="00465964" w:rsidRDefault="00465964" w:rsidP="00465964">
            <w:pPr>
              <w:rPr>
                <w:lang w:val="pt-PT"/>
              </w:rPr>
            </w:pPr>
            <w:r w:rsidRPr="00465964">
              <w:rPr>
                <w:lang w:val="pt-PT"/>
              </w:rPr>
              <w:t>Requerer a apresentação de registos telefónicos e do tráfego de dados.</w:t>
            </w:r>
          </w:p>
        </w:tc>
      </w:tr>
    </w:tbl>
    <w:p w14:paraId="3A03AADC" w14:textId="77777777" w:rsidR="00465964" w:rsidRPr="00465964" w:rsidRDefault="00465964" w:rsidP="00465964">
      <w:pPr>
        <w:rPr>
          <w:lang w:val="pt-PT"/>
        </w:rPr>
      </w:pPr>
      <w:r w:rsidRPr="00465964">
        <w:rPr>
          <w:lang w:val="pt-PT"/>
        </w:rPr>
        <w:t>Qualquer colégio a que se refere o artigo 119.</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1, é informado sem demora injustificada de quaisquer conclusões suscetíveis de serem relevantes para o exercício das suas atribuições.</w:t>
      </w:r>
    </w:p>
    <w:p w14:paraId="39BE7A23" w14:textId="272D47E6" w:rsidR="00465964" w:rsidRPr="00465964" w:rsidRDefault="00465964" w:rsidP="00465964">
      <w:pPr>
        <w:rPr>
          <w:lang w:val="pt-PT"/>
        </w:rPr>
      </w:pPr>
      <w:r w:rsidRPr="00465964">
        <w:rPr>
          <w:lang w:val="pt-PT"/>
        </w:rPr>
        <w:t xml:space="preserve">2.   Os funcionários e outras pessoas autorizadas pela EBA para efeitos da investigação a que se refere o </w:t>
      </w:r>
      <w:proofErr w:type="spellStart"/>
      <w:r w:rsidRPr="00465964">
        <w:rPr>
          <w:lang w:val="pt-PT"/>
        </w:rPr>
        <w:t>n.</w:t>
      </w:r>
      <w:r w:rsidRPr="00465964">
        <w:rPr>
          <w:vertAlign w:val="superscript"/>
          <w:lang w:val="pt-PT"/>
        </w:rPr>
        <w:t>o</w:t>
      </w:r>
      <w:proofErr w:type="spellEnd"/>
      <w:r w:rsidRPr="00465964">
        <w:rPr>
          <w:lang w:val="pt-PT"/>
        </w:rPr>
        <w:t> 1 exercem os seus poderes mediante a apresentação de uma autorização escrita que especifique o objeto e a finalidade da investigação. A autorização indica igualmente as sanções pecuniárias compulsórias previstas no artigo 132.</w:t>
      </w:r>
      <w:r w:rsidRPr="00465964">
        <w:rPr>
          <w:vertAlign w:val="superscript"/>
          <w:lang w:val="pt-PT"/>
        </w:rPr>
        <w:t>o</w:t>
      </w:r>
      <w:r w:rsidRPr="00465964">
        <w:rPr>
          <w:lang w:val="pt-PT"/>
        </w:rPr>
        <w:t xml:space="preserve"> no caso de os registos, dados, procedimentos e outro material que tenham sido exigidos ou as respostas às perguntas feitas a emitentes de </w:t>
      </w:r>
      <w:r>
        <w:rPr>
          <w:lang w:val="pt-PT"/>
        </w:rPr>
        <w:t>criptomoedas</w:t>
      </w:r>
      <w:r w:rsidRPr="00465964">
        <w:rPr>
          <w:lang w:val="pt-PT"/>
        </w:rPr>
        <w:t xml:space="preserve"> referenciadas a ativos significativas ou de </w:t>
      </w:r>
      <w:r>
        <w:rPr>
          <w:lang w:val="pt-PT"/>
        </w:rPr>
        <w:t>criptomoedas</w:t>
      </w:r>
      <w:r w:rsidRPr="00465964">
        <w:rPr>
          <w:lang w:val="pt-PT"/>
        </w:rPr>
        <w:t xml:space="preserve"> de moeda eletrónica significativas não serem apresentados ou serem incompletos, bem como as coimas previstas no artigo 131.</w:t>
      </w:r>
      <w:r w:rsidRPr="00465964">
        <w:rPr>
          <w:vertAlign w:val="superscript"/>
          <w:lang w:val="pt-PT"/>
        </w:rPr>
        <w:t>o</w:t>
      </w:r>
      <w:r w:rsidRPr="00465964">
        <w:rPr>
          <w:lang w:val="pt-PT"/>
        </w:rPr>
        <w:t xml:space="preserve"> no caso de as respostas às perguntas feitas a emitentes de </w:t>
      </w:r>
      <w:r>
        <w:rPr>
          <w:lang w:val="pt-PT"/>
        </w:rPr>
        <w:t>criptomoedas</w:t>
      </w:r>
      <w:r w:rsidRPr="00465964">
        <w:rPr>
          <w:lang w:val="pt-PT"/>
        </w:rPr>
        <w:t xml:space="preserve"> referenciadas a ativos significativas ou de </w:t>
      </w:r>
      <w:r>
        <w:rPr>
          <w:lang w:val="pt-PT"/>
        </w:rPr>
        <w:t>criptomoedas</w:t>
      </w:r>
      <w:r w:rsidRPr="00465964">
        <w:rPr>
          <w:lang w:val="pt-PT"/>
        </w:rPr>
        <w:t xml:space="preserve"> de moeda eletrónica significativas estarem incorretas ou serem enganadoras.</w:t>
      </w:r>
    </w:p>
    <w:p w14:paraId="5B605DBD" w14:textId="57E61395" w:rsidR="00465964" w:rsidRPr="00465964" w:rsidRDefault="00465964" w:rsidP="00465964">
      <w:pPr>
        <w:rPr>
          <w:lang w:val="pt-PT"/>
        </w:rPr>
      </w:pPr>
      <w:r w:rsidRPr="00465964">
        <w:rPr>
          <w:lang w:val="pt-PT"/>
        </w:rPr>
        <w:t xml:space="preserve">3.   Os emitentes de </w:t>
      </w:r>
      <w:r>
        <w:rPr>
          <w:lang w:val="pt-PT"/>
        </w:rPr>
        <w:t>criptomoedas</w:t>
      </w:r>
      <w:r w:rsidRPr="00465964">
        <w:rPr>
          <w:lang w:val="pt-PT"/>
        </w:rPr>
        <w:t xml:space="preserve"> referenciadas a ativos significativas e de </w:t>
      </w:r>
      <w:r>
        <w:rPr>
          <w:lang w:val="pt-PT"/>
        </w:rPr>
        <w:t>criptomoedas</w:t>
      </w:r>
      <w:r w:rsidRPr="00465964">
        <w:rPr>
          <w:lang w:val="pt-PT"/>
        </w:rPr>
        <w:t xml:space="preserve"> de moeda eletrónica significativas são obrigados a submeter-se às investigações lançadas com base numa decisão da EBA. A decisão indica o objeto e a finalidade da investigação, as sanções pecuniárias compulsórias previstas no artigo 132.</w:t>
      </w:r>
      <w:r w:rsidRPr="00465964">
        <w:rPr>
          <w:vertAlign w:val="superscript"/>
          <w:lang w:val="pt-PT"/>
        </w:rPr>
        <w:t>o</w:t>
      </w:r>
      <w:r w:rsidRPr="00465964">
        <w:rPr>
          <w:lang w:val="pt-PT"/>
        </w:rPr>
        <w:t xml:space="preserve">, as possibilidades de recurso previstas no Regulamento (UE) </w:t>
      </w:r>
      <w:proofErr w:type="spellStart"/>
      <w:r w:rsidRPr="00465964">
        <w:rPr>
          <w:lang w:val="pt-PT"/>
        </w:rPr>
        <w:t>n.</w:t>
      </w:r>
      <w:r w:rsidRPr="00465964">
        <w:rPr>
          <w:vertAlign w:val="superscript"/>
          <w:lang w:val="pt-PT"/>
        </w:rPr>
        <w:t>o</w:t>
      </w:r>
      <w:proofErr w:type="spellEnd"/>
      <w:r w:rsidRPr="00465964">
        <w:rPr>
          <w:lang w:val="pt-PT"/>
        </w:rPr>
        <w:t> 1093/2010 e o direito de requerer o controlo jurisdicional da decisão pelo Tribunal de Justiça.</w:t>
      </w:r>
    </w:p>
    <w:p w14:paraId="1AF91160" w14:textId="77777777" w:rsidR="00465964" w:rsidRPr="00465964" w:rsidRDefault="00465964" w:rsidP="00465964">
      <w:pPr>
        <w:rPr>
          <w:lang w:val="pt-PT"/>
        </w:rPr>
      </w:pPr>
      <w:r w:rsidRPr="00465964">
        <w:rPr>
          <w:lang w:val="pt-PT"/>
        </w:rPr>
        <w:t xml:space="preserve">4.   Com uma antecedência razoável em relação a uma investigação a que se refere o </w:t>
      </w:r>
      <w:proofErr w:type="spellStart"/>
      <w:r w:rsidRPr="00465964">
        <w:rPr>
          <w:lang w:val="pt-PT"/>
        </w:rPr>
        <w:t>n.</w:t>
      </w:r>
      <w:r w:rsidRPr="00465964">
        <w:rPr>
          <w:vertAlign w:val="superscript"/>
          <w:lang w:val="pt-PT"/>
        </w:rPr>
        <w:t>o</w:t>
      </w:r>
      <w:proofErr w:type="spellEnd"/>
      <w:r w:rsidRPr="00465964">
        <w:rPr>
          <w:lang w:val="pt-PT"/>
        </w:rPr>
        <w:t> 1, a EBA informa a autoridade competente do Estado-Membro no qual a investigação irá ser efetuada da sua realização e da identidade das pessoas autorizadas. A pedido da EBA, os funcionários da autoridade competente em causa devem prestar assistência a essas pessoas autorizadas no desempenho das suas funções. Mediante pedido, os funcionários da autoridade competente em questão podem igualmente estar presentes nas investigações.</w:t>
      </w:r>
    </w:p>
    <w:p w14:paraId="601C5110" w14:textId="77777777" w:rsidR="00465964" w:rsidRPr="00465964" w:rsidRDefault="00465964" w:rsidP="00465964">
      <w:pPr>
        <w:rPr>
          <w:lang w:val="pt-PT"/>
        </w:rPr>
      </w:pPr>
      <w:r w:rsidRPr="00465964">
        <w:rPr>
          <w:lang w:val="pt-PT"/>
        </w:rPr>
        <w:t xml:space="preserve">5.   Se, para exigir a apresentação de registos telefónicos ou de tráfego de dados prevista no </w:t>
      </w:r>
      <w:proofErr w:type="spellStart"/>
      <w:r w:rsidRPr="00465964">
        <w:rPr>
          <w:lang w:val="pt-PT"/>
        </w:rPr>
        <w:t>n.</w:t>
      </w:r>
      <w:r w:rsidRPr="00465964">
        <w:rPr>
          <w:vertAlign w:val="superscript"/>
          <w:lang w:val="pt-PT"/>
        </w:rPr>
        <w:t>o</w:t>
      </w:r>
      <w:proofErr w:type="spellEnd"/>
      <w:r w:rsidRPr="00465964">
        <w:rPr>
          <w:lang w:val="pt-PT"/>
        </w:rPr>
        <w:t> 1, primeiro parágrafo, alínea e), for necessária a autorização de um tribunal nos termos do direito nacional aplicável, essa autorização é solicitada pela EBA. A autorização pode igualmente ser solicitada a título de medida cautelar.</w:t>
      </w:r>
    </w:p>
    <w:p w14:paraId="395EADB4" w14:textId="77777777" w:rsidR="00465964" w:rsidRPr="00465964" w:rsidRDefault="00465964" w:rsidP="00465964">
      <w:pPr>
        <w:rPr>
          <w:lang w:val="pt-PT"/>
        </w:rPr>
      </w:pPr>
      <w:r w:rsidRPr="00465964">
        <w:rPr>
          <w:lang w:val="pt-PT"/>
        </w:rPr>
        <w:lastRenderedPageBreak/>
        <w:t xml:space="preserve">6.   Caso um tribunal num Estado-Membro receba um pedido de autorização para a apresentação de registos telefónicos ou de tráfego de dados a que se refere o </w:t>
      </w:r>
      <w:proofErr w:type="spellStart"/>
      <w:r w:rsidRPr="00465964">
        <w:rPr>
          <w:lang w:val="pt-PT"/>
        </w:rPr>
        <w:t>n.</w:t>
      </w:r>
      <w:r w:rsidRPr="00465964">
        <w:rPr>
          <w:vertAlign w:val="superscript"/>
          <w:lang w:val="pt-PT"/>
        </w:rPr>
        <w:t>o</w:t>
      </w:r>
      <w:proofErr w:type="spellEnd"/>
      <w:r w:rsidRPr="00465964">
        <w:rPr>
          <w:lang w:val="pt-PT"/>
        </w:rPr>
        <w:t> 1, primeiro parágrafo, alínea e), esse tribunal verifica se:</w:t>
      </w:r>
    </w:p>
    <w:tbl>
      <w:tblPr>
        <w:tblW w:w="5000" w:type="pct"/>
        <w:tblCellMar>
          <w:left w:w="0" w:type="dxa"/>
          <w:right w:w="0" w:type="dxa"/>
        </w:tblCellMar>
        <w:tblLook w:val="04A0" w:firstRow="1" w:lastRow="0" w:firstColumn="1" w:lastColumn="0" w:noHBand="0" w:noVBand="1"/>
      </w:tblPr>
      <w:tblGrid>
        <w:gridCol w:w="325"/>
        <w:gridCol w:w="8701"/>
      </w:tblGrid>
      <w:tr w:rsidR="00465964" w:rsidRPr="00465964" w14:paraId="3BBA75B4" w14:textId="77777777" w:rsidTr="00465964">
        <w:tc>
          <w:tcPr>
            <w:tcW w:w="0" w:type="auto"/>
            <w:shd w:val="clear" w:color="auto" w:fill="auto"/>
            <w:hideMark/>
          </w:tcPr>
          <w:p w14:paraId="003A9289" w14:textId="77777777" w:rsidR="00465964" w:rsidRPr="00465964" w:rsidRDefault="00465964" w:rsidP="00465964">
            <w:r w:rsidRPr="00465964">
              <w:t>a)</w:t>
            </w:r>
          </w:p>
        </w:tc>
        <w:tc>
          <w:tcPr>
            <w:tcW w:w="0" w:type="auto"/>
            <w:shd w:val="clear" w:color="auto" w:fill="auto"/>
            <w:hideMark/>
          </w:tcPr>
          <w:p w14:paraId="62143176" w14:textId="77777777" w:rsidR="00465964" w:rsidRPr="00465964" w:rsidRDefault="00465964" w:rsidP="00465964">
            <w:pPr>
              <w:rPr>
                <w:lang w:val="pt-PT"/>
              </w:rPr>
            </w:pPr>
            <w:r w:rsidRPr="00465964">
              <w:rPr>
                <w:lang w:val="pt-PT"/>
              </w:rPr>
              <w:t xml:space="preserve">A decisão da EBA a que se refere o </w:t>
            </w:r>
            <w:proofErr w:type="spellStart"/>
            <w:r w:rsidRPr="00465964">
              <w:rPr>
                <w:lang w:val="pt-PT"/>
              </w:rPr>
              <w:t>n.</w:t>
            </w:r>
            <w:r w:rsidRPr="00465964">
              <w:rPr>
                <w:vertAlign w:val="superscript"/>
                <w:lang w:val="pt-PT"/>
              </w:rPr>
              <w:t>o</w:t>
            </w:r>
            <w:proofErr w:type="spellEnd"/>
            <w:r w:rsidRPr="00465964">
              <w:rPr>
                <w:lang w:val="pt-PT"/>
              </w:rPr>
              <w:t> 3 é autêntica;</w:t>
            </w:r>
          </w:p>
        </w:tc>
      </w:tr>
    </w:tbl>
    <w:p w14:paraId="7B424996"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224"/>
        <w:gridCol w:w="8802"/>
      </w:tblGrid>
      <w:tr w:rsidR="00465964" w:rsidRPr="00465964" w14:paraId="6C937BF5" w14:textId="77777777" w:rsidTr="00465964">
        <w:tc>
          <w:tcPr>
            <w:tcW w:w="0" w:type="auto"/>
            <w:shd w:val="clear" w:color="auto" w:fill="auto"/>
            <w:hideMark/>
          </w:tcPr>
          <w:p w14:paraId="390DFF78" w14:textId="77777777" w:rsidR="00465964" w:rsidRPr="00465964" w:rsidRDefault="00465964" w:rsidP="00465964">
            <w:r w:rsidRPr="00465964">
              <w:t>b)</w:t>
            </w:r>
          </w:p>
        </w:tc>
        <w:tc>
          <w:tcPr>
            <w:tcW w:w="0" w:type="auto"/>
            <w:shd w:val="clear" w:color="auto" w:fill="auto"/>
            <w:hideMark/>
          </w:tcPr>
          <w:p w14:paraId="690E81B9" w14:textId="77777777" w:rsidR="00465964" w:rsidRPr="00465964" w:rsidRDefault="00465964" w:rsidP="00465964">
            <w:pPr>
              <w:rPr>
                <w:lang w:val="pt-PT"/>
              </w:rPr>
            </w:pPr>
            <w:r w:rsidRPr="00465964">
              <w:rPr>
                <w:lang w:val="pt-PT"/>
              </w:rPr>
              <w:t>As medidas a tomar são proporcionadas e não são arbitrárias nem excessivas.</w:t>
            </w:r>
          </w:p>
        </w:tc>
      </w:tr>
    </w:tbl>
    <w:p w14:paraId="71075977" w14:textId="77777777" w:rsidR="00465964" w:rsidRPr="00465964" w:rsidRDefault="00465964" w:rsidP="00465964">
      <w:pPr>
        <w:rPr>
          <w:lang w:val="pt-PT"/>
        </w:rPr>
      </w:pPr>
      <w:r w:rsidRPr="00465964">
        <w:rPr>
          <w:lang w:val="pt-PT"/>
        </w:rPr>
        <w:t xml:space="preserve">7.   Para efeitos do </w:t>
      </w:r>
      <w:proofErr w:type="spellStart"/>
      <w:r w:rsidRPr="00465964">
        <w:rPr>
          <w:lang w:val="pt-PT"/>
        </w:rPr>
        <w:t>n.</w:t>
      </w:r>
      <w:r w:rsidRPr="00465964">
        <w:rPr>
          <w:vertAlign w:val="superscript"/>
          <w:lang w:val="pt-PT"/>
        </w:rPr>
        <w:t>o</w:t>
      </w:r>
      <w:proofErr w:type="spellEnd"/>
      <w:r w:rsidRPr="00465964">
        <w:rPr>
          <w:lang w:val="pt-PT"/>
        </w:rPr>
        <w:t xml:space="preserve"> 6, alínea b), o tribunal pode solicitar à EBA explicações circunstanciadas, relativas, em particular, aos motivos da EBA para suspeitar de uma infração ao presente regulamento, à gravidade da presumível infração e à natureza do envolvimento da pessoa sujeita às medidas coercivas. O tribunal não pode, no entanto, apreciar a necessidade da investigação, nem exigir que lhe sejam apresentadas as informações constantes do processo da EBA. O controlo da legalidade da decisão da EBA cabe exclusivamente ao Tribunal de Justiça, nos termos do procedimento previsto no Regulamento (UE) </w:t>
      </w:r>
      <w:proofErr w:type="spellStart"/>
      <w:r w:rsidRPr="00465964">
        <w:rPr>
          <w:lang w:val="pt-PT"/>
        </w:rPr>
        <w:t>n.</w:t>
      </w:r>
      <w:r w:rsidRPr="00465964">
        <w:rPr>
          <w:vertAlign w:val="superscript"/>
          <w:lang w:val="pt-PT"/>
        </w:rPr>
        <w:t>o</w:t>
      </w:r>
      <w:proofErr w:type="spellEnd"/>
      <w:r w:rsidRPr="00465964">
        <w:rPr>
          <w:lang w:val="pt-PT"/>
        </w:rPr>
        <w:t> 1093/2010.</w:t>
      </w:r>
    </w:p>
    <w:p w14:paraId="420026FC" w14:textId="77777777" w:rsidR="00465964" w:rsidRPr="00465964" w:rsidRDefault="00465964" w:rsidP="00465964">
      <w:pPr>
        <w:rPr>
          <w:i/>
          <w:iCs/>
          <w:lang w:val="pt-PT"/>
        </w:rPr>
      </w:pPr>
      <w:r w:rsidRPr="00465964">
        <w:rPr>
          <w:i/>
          <w:iCs/>
          <w:lang w:val="pt-PT"/>
        </w:rPr>
        <w:t>Artigo 124.</w:t>
      </w:r>
      <w:r w:rsidRPr="00465964">
        <w:rPr>
          <w:i/>
          <w:iCs/>
          <w:vertAlign w:val="superscript"/>
          <w:lang w:val="pt-PT"/>
        </w:rPr>
        <w:t>o</w:t>
      </w:r>
    </w:p>
    <w:p w14:paraId="1AE47C06" w14:textId="77777777" w:rsidR="00465964" w:rsidRPr="00465964" w:rsidRDefault="00465964" w:rsidP="00465964">
      <w:pPr>
        <w:rPr>
          <w:b/>
          <w:bCs/>
          <w:lang w:val="pt-PT"/>
        </w:rPr>
      </w:pPr>
      <w:r w:rsidRPr="00465964">
        <w:rPr>
          <w:b/>
          <w:bCs/>
          <w:lang w:val="pt-PT"/>
        </w:rPr>
        <w:t>Inspeções no local</w:t>
      </w:r>
    </w:p>
    <w:p w14:paraId="4A76A9ED" w14:textId="599810FF" w:rsidR="00465964" w:rsidRPr="00465964" w:rsidRDefault="00465964" w:rsidP="00465964">
      <w:pPr>
        <w:rPr>
          <w:lang w:val="pt-PT"/>
        </w:rPr>
      </w:pPr>
      <w:r w:rsidRPr="00465964">
        <w:rPr>
          <w:lang w:val="pt-PT"/>
        </w:rPr>
        <w:t>1.   A fim de desempenhar as responsabilidades de supervisão que lhe são atribuídas pelo artigo 117.</w:t>
      </w:r>
      <w:r w:rsidRPr="00465964">
        <w:rPr>
          <w:vertAlign w:val="superscript"/>
          <w:lang w:val="pt-PT"/>
        </w:rPr>
        <w:t>o</w:t>
      </w:r>
      <w:r w:rsidRPr="00465964">
        <w:rPr>
          <w:lang w:val="pt-PT"/>
        </w:rPr>
        <w:t xml:space="preserve">, a EBA pode realizar todas as inspeções necessárias nas instalações dos emitentes de </w:t>
      </w:r>
      <w:r>
        <w:rPr>
          <w:lang w:val="pt-PT"/>
        </w:rPr>
        <w:t>criptomoedas</w:t>
      </w:r>
      <w:r w:rsidRPr="00465964">
        <w:rPr>
          <w:lang w:val="pt-PT"/>
        </w:rPr>
        <w:t xml:space="preserve"> referenciadas a ativos significativas e de </w:t>
      </w:r>
      <w:r>
        <w:rPr>
          <w:lang w:val="pt-PT"/>
        </w:rPr>
        <w:t>criptomoedas</w:t>
      </w:r>
      <w:r w:rsidRPr="00465964">
        <w:rPr>
          <w:lang w:val="pt-PT"/>
        </w:rPr>
        <w:t xml:space="preserve"> de moeda eletrónica significativas.</w:t>
      </w:r>
    </w:p>
    <w:p w14:paraId="4561C855" w14:textId="77777777" w:rsidR="00465964" w:rsidRPr="00465964" w:rsidRDefault="00465964" w:rsidP="00465964">
      <w:pPr>
        <w:rPr>
          <w:lang w:val="pt-PT"/>
        </w:rPr>
      </w:pPr>
      <w:r w:rsidRPr="00465964">
        <w:rPr>
          <w:lang w:val="pt-PT"/>
        </w:rPr>
        <w:t>O colégio a que se refere o artigo 119.</w:t>
      </w:r>
      <w:r w:rsidRPr="00465964">
        <w:rPr>
          <w:vertAlign w:val="superscript"/>
          <w:lang w:val="pt-PT"/>
        </w:rPr>
        <w:t>o</w:t>
      </w:r>
      <w:r w:rsidRPr="00465964">
        <w:rPr>
          <w:lang w:val="pt-PT"/>
        </w:rPr>
        <w:t> é informado sem demora injustificada de quaisquer conclusões suscetíveis de serem relevantes para o exercício das suas atribuições.</w:t>
      </w:r>
    </w:p>
    <w:p w14:paraId="534F398C" w14:textId="77777777" w:rsidR="00465964" w:rsidRPr="00465964" w:rsidRDefault="00465964" w:rsidP="00465964">
      <w:pPr>
        <w:rPr>
          <w:lang w:val="pt-PT"/>
        </w:rPr>
      </w:pPr>
      <w:r w:rsidRPr="00465964">
        <w:rPr>
          <w:lang w:val="pt-PT"/>
        </w:rPr>
        <w:t>2.   Os funcionários e outras pessoas autorizadas pela EBA para realizar inspeções no local podem aceder a todas as instalações das pessoas sujeitas a uma decisão de investigação adotada pela EBA e dispõem de todos os poderes previstos no artigo 123.</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1. Têm igualmente poderes para selar quaisquer instalações e livretes ou registos relativos à empresa durante o período da inspeção e na medida do necessário à sua realização.</w:t>
      </w:r>
    </w:p>
    <w:p w14:paraId="215F9371" w14:textId="77777777" w:rsidR="00465964" w:rsidRPr="00465964" w:rsidRDefault="00465964" w:rsidP="00465964">
      <w:pPr>
        <w:rPr>
          <w:lang w:val="pt-PT"/>
        </w:rPr>
      </w:pPr>
      <w:r w:rsidRPr="00465964">
        <w:rPr>
          <w:lang w:val="pt-PT"/>
        </w:rPr>
        <w:t xml:space="preserve">3.   Com a devida antecedência em relação à inspeção, a EBA notifica da mesma a autoridade competente do Estado-Membro onde a inspeção irá ser efetuada. Caso a boa execução e a eficiência das inspeções o exijam, a EBA, após informar esta autoridade competente, pode proceder à inspeção no local sem pré-aviso ao emitente da </w:t>
      </w:r>
      <w:proofErr w:type="spellStart"/>
      <w:r w:rsidRPr="00465964">
        <w:rPr>
          <w:lang w:val="pt-PT"/>
        </w:rPr>
        <w:t>criptoficha</w:t>
      </w:r>
      <w:proofErr w:type="spellEnd"/>
      <w:r w:rsidRPr="00465964">
        <w:rPr>
          <w:lang w:val="pt-PT"/>
        </w:rPr>
        <w:t xml:space="preserve"> referenciada a ativos significativa ou da </w:t>
      </w:r>
      <w:proofErr w:type="spellStart"/>
      <w:r w:rsidRPr="00465964">
        <w:rPr>
          <w:lang w:val="pt-PT"/>
        </w:rPr>
        <w:t>criptoficha</w:t>
      </w:r>
      <w:proofErr w:type="spellEnd"/>
      <w:r w:rsidRPr="00465964">
        <w:rPr>
          <w:lang w:val="pt-PT"/>
        </w:rPr>
        <w:t xml:space="preserve"> de moeda eletrónica significativa.</w:t>
      </w:r>
    </w:p>
    <w:p w14:paraId="6AA818E2" w14:textId="77777777" w:rsidR="00465964" w:rsidRPr="00465964" w:rsidRDefault="00465964" w:rsidP="00465964">
      <w:pPr>
        <w:rPr>
          <w:lang w:val="pt-PT"/>
        </w:rPr>
      </w:pPr>
      <w:r w:rsidRPr="00465964">
        <w:rPr>
          <w:lang w:val="pt-PT"/>
        </w:rPr>
        <w:t>4.   Os funcionários e outras pessoas autorizadas pela EBA para realizar inspeções no local exercem os seus poderes mediante a apresentação de uma autorização escrita que especifique o objeto e a finalidade da inspeção, bem como as sanções pecuniárias compulsórias previstas no artigo 132.</w:t>
      </w:r>
      <w:r w:rsidRPr="00465964">
        <w:rPr>
          <w:vertAlign w:val="superscript"/>
          <w:lang w:val="pt-PT"/>
        </w:rPr>
        <w:t>o</w:t>
      </w:r>
      <w:r w:rsidRPr="00465964">
        <w:rPr>
          <w:lang w:val="pt-PT"/>
        </w:rPr>
        <w:t> caso as pessoas em causa se oponham à inspeção.</w:t>
      </w:r>
    </w:p>
    <w:p w14:paraId="4DCF9734" w14:textId="77777777" w:rsidR="00465964" w:rsidRPr="00465964" w:rsidRDefault="00465964" w:rsidP="00465964">
      <w:pPr>
        <w:rPr>
          <w:lang w:val="pt-PT"/>
        </w:rPr>
      </w:pPr>
      <w:r w:rsidRPr="00465964">
        <w:rPr>
          <w:lang w:val="pt-PT"/>
        </w:rPr>
        <w:t xml:space="preserve">5.   O emitente da </w:t>
      </w:r>
      <w:proofErr w:type="spellStart"/>
      <w:r w:rsidRPr="00465964">
        <w:rPr>
          <w:lang w:val="pt-PT"/>
        </w:rPr>
        <w:t>criptoficha</w:t>
      </w:r>
      <w:proofErr w:type="spellEnd"/>
      <w:r w:rsidRPr="00465964">
        <w:rPr>
          <w:lang w:val="pt-PT"/>
        </w:rPr>
        <w:t xml:space="preserve"> referenciada a ativos significativa ou o emitente da </w:t>
      </w:r>
      <w:proofErr w:type="spellStart"/>
      <w:r w:rsidRPr="00465964">
        <w:rPr>
          <w:lang w:val="pt-PT"/>
        </w:rPr>
        <w:t>criptoficha</w:t>
      </w:r>
      <w:proofErr w:type="spellEnd"/>
      <w:r w:rsidRPr="00465964">
        <w:rPr>
          <w:lang w:val="pt-PT"/>
        </w:rPr>
        <w:t xml:space="preserve"> de moeda eletrónica significativa deve submeter-se às inspeções no local ordenadas com base numa decisão da EBA. A decisão deve especificar o objeto e a finalidade da inspeção, fixar a data em que esta se deve iniciar e indicar as sanções pecuniárias compulsórias previstas no artigo 132.</w:t>
      </w:r>
      <w:r w:rsidRPr="00465964">
        <w:rPr>
          <w:vertAlign w:val="superscript"/>
          <w:lang w:val="pt-PT"/>
        </w:rPr>
        <w:t>o</w:t>
      </w:r>
      <w:r w:rsidRPr="00465964">
        <w:rPr>
          <w:lang w:val="pt-PT"/>
        </w:rPr>
        <w:t xml:space="preserve">, as possibilidades de recurso previstas no Regulamento (UE) </w:t>
      </w:r>
      <w:proofErr w:type="spellStart"/>
      <w:r w:rsidRPr="00465964">
        <w:rPr>
          <w:lang w:val="pt-PT"/>
        </w:rPr>
        <w:t>n.</w:t>
      </w:r>
      <w:r w:rsidRPr="00465964">
        <w:rPr>
          <w:vertAlign w:val="superscript"/>
          <w:lang w:val="pt-PT"/>
        </w:rPr>
        <w:t>o</w:t>
      </w:r>
      <w:proofErr w:type="spellEnd"/>
      <w:r w:rsidRPr="00465964">
        <w:rPr>
          <w:lang w:val="pt-PT"/>
        </w:rPr>
        <w:t> 1093/2010 e o direito de requerer o controlo jurisdicional da decisão pelo Tribunal de Justiça.</w:t>
      </w:r>
    </w:p>
    <w:p w14:paraId="2FE87E75" w14:textId="77777777" w:rsidR="00465964" w:rsidRPr="00465964" w:rsidRDefault="00465964" w:rsidP="00465964">
      <w:pPr>
        <w:rPr>
          <w:lang w:val="pt-PT"/>
        </w:rPr>
      </w:pPr>
      <w:r w:rsidRPr="00465964">
        <w:rPr>
          <w:lang w:val="pt-PT"/>
        </w:rPr>
        <w:lastRenderedPageBreak/>
        <w:t>6.   Os funcionários da autoridade competente do Estado-Membro em cujo território se deve efetuar a inspeção, ou as pessoas autorizadas ou nomeadas por essa autoridade, devem, a pedido da EBA, prestar ativamente assistência aos funcionários da EBA e outras pessoas por esta autorizadas. Os funcionários da autoridade competente do Estado-Membro em causa podem igualmente estar presentes nas inspeções no local.</w:t>
      </w:r>
    </w:p>
    <w:p w14:paraId="05481CCF" w14:textId="77777777" w:rsidR="00465964" w:rsidRPr="00465964" w:rsidRDefault="00465964" w:rsidP="00465964">
      <w:pPr>
        <w:rPr>
          <w:lang w:val="pt-PT"/>
        </w:rPr>
      </w:pPr>
      <w:r w:rsidRPr="00465964">
        <w:rPr>
          <w:lang w:val="pt-PT"/>
        </w:rPr>
        <w:t>7.   A EBA pode igualmente requerer às autoridades competentes que pratiquem, em seu nome, atos específicos de investigação e inspeções no local, nos termos do presente artigo e do artigo 123.</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1.</w:t>
      </w:r>
    </w:p>
    <w:p w14:paraId="3A85DD8F" w14:textId="77777777" w:rsidR="00465964" w:rsidRPr="00465964" w:rsidRDefault="00465964" w:rsidP="00465964">
      <w:pPr>
        <w:rPr>
          <w:lang w:val="pt-PT"/>
        </w:rPr>
      </w:pPr>
      <w:r w:rsidRPr="00465964">
        <w:rPr>
          <w:lang w:val="pt-PT"/>
        </w:rPr>
        <w:t>8.   Caso os agentes da EBA e outras pessoas por ela mandatadas que os acompanhem verifiquem que alguém se opõe a uma inspeção ordenada por força do presente artigo, a autoridade competente do Estado-Membro em causa presta-lhes a assistência necessária, requerendo, se for caso disso, a intervenção da polícia ou de autoridade equivalente, para poderem conduzir a sua inspeção no local.</w:t>
      </w:r>
    </w:p>
    <w:p w14:paraId="3C917ECE" w14:textId="77777777" w:rsidR="00465964" w:rsidRPr="00465964" w:rsidRDefault="00465964" w:rsidP="00465964">
      <w:pPr>
        <w:rPr>
          <w:lang w:val="pt-PT"/>
        </w:rPr>
      </w:pPr>
      <w:r w:rsidRPr="00465964">
        <w:rPr>
          <w:lang w:val="pt-PT"/>
        </w:rPr>
        <w:t xml:space="preserve">9.   Se para a inspeção no local prevista no </w:t>
      </w:r>
      <w:proofErr w:type="spellStart"/>
      <w:r w:rsidRPr="00465964">
        <w:rPr>
          <w:lang w:val="pt-PT"/>
        </w:rPr>
        <w:t>n.</w:t>
      </w:r>
      <w:r w:rsidRPr="00465964">
        <w:rPr>
          <w:vertAlign w:val="superscript"/>
          <w:lang w:val="pt-PT"/>
        </w:rPr>
        <w:t>o</w:t>
      </w:r>
      <w:proofErr w:type="spellEnd"/>
      <w:r w:rsidRPr="00465964">
        <w:rPr>
          <w:lang w:val="pt-PT"/>
        </w:rPr>
        <w:t xml:space="preserve"> 1 ou para a assistência prevista no </w:t>
      </w:r>
      <w:proofErr w:type="spellStart"/>
      <w:r w:rsidRPr="00465964">
        <w:rPr>
          <w:lang w:val="pt-PT"/>
        </w:rPr>
        <w:t>n.</w:t>
      </w:r>
      <w:r w:rsidRPr="00465964">
        <w:rPr>
          <w:vertAlign w:val="superscript"/>
          <w:lang w:val="pt-PT"/>
        </w:rPr>
        <w:t>o</w:t>
      </w:r>
      <w:proofErr w:type="spellEnd"/>
      <w:r w:rsidRPr="00465964">
        <w:rPr>
          <w:lang w:val="pt-PT"/>
        </w:rPr>
        <w:t> 7 for necessária a autorização de um tribunal nos termos do direito nacional, essa autorização deve ser solicitada pela EBA. A autorização pode igualmente ser solicitada a título de medida cautelar.</w:t>
      </w:r>
    </w:p>
    <w:p w14:paraId="34BA8618" w14:textId="77777777" w:rsidR="00465964" w:rsidRPr="00465964" w:rsidRDefault="00465964" w:rsidP="00465964">
      <w:pPr>
        <w:rPr>
          <w:lang w:val="pt-PT"/>
        </w:rPr>
      </w:pPr>
      <w:r w:rsidRPr="00465964">
        <w:rPr>
          <w:lang w:val="pt-PT"/>
        </w:rPr>
        <w:t xml:space="preserve">10.   Caso um tribunal num Estado-Membro receba um pedido de autorização para uma inspeção no local prevista no </w:t>
      </w:r>
      <w:proofErr w:type="spellStart"/>
      <w:r w:rsidRPr="00465964">
        <w:rPr>
          <w:lang w:val="pt-PT"/>
        </w:rPr>
        <w:t>n.</w:t>
      </w:r>
      <w:r w:rsidRPr="00465964">
        <w:rPr>
          <w:vertAlign w:val="superscript"/>
          <w:lang w:val="pt-PT"/>
        </w:rPr>
        <w:t>o</w:t>
      </w:r>
      <w:proofErr w:type="spellEnd"/>
      <w:r w:rsidRPr="00465964">
        <w:rPr>
          <w:lang w:val="pt-PT"/>
        </w:rPr>
        <w:t xml:space="preserve"> 1 ou para a assistência prevista no </w:t>
      </w:r>
      <w:proofErr w:type="spellStart"/>
      <w:r w:rsidRPr="00465964">
        <w:rPr>
          <w:lang w:val="pt-PT"/>
        </w:rPr>
        <w:t>n.</w:t>
      </w:r>
      <w:r w:rsidRPr="00465964">
        <w:rPr>
          <w:vertAlign w:val="superscript"/>
          <w:lang w:val="pt-PT"/>
        </w:rPr>
        <w:t>o</w:t>
      </w:r>
      <w:proofErr w:type="spellEnd"/>
      <w:r w:rsidRPr="00465964">
        <w:rPr>
          <w:lang w:val="pt-PT"/>
        </w:rPr>
        <w:t> 7, esse tribunal verifica se:</w:t>
      </w:r>
    </w:p>
    <w:tbl>
      <w:tblPr>
        <w:tblW w:w="5000" w:type="pct"/>
        <w:tblCellMar>
          <w:left w:w="0" w:type="dxa"/>
          <w:right w:w="0" w:type="dxa"/>
        </w:tblCellMar>
        <w:tblLook w:val="04A0" w:firstRow="1" w:lastRow="0" w:firstColumn="1" w:lastColumn="0" w:noHBand="0" w:noVBand="1"/>
      </w:tblPr>
      <w:tblGrid>
        <w:gridCol w:w="271"/>
        <w:gridCol w:w="8755"/>
      </w:tblGrid>
      <w:tr w:rsidR="00465964" w:rsidRPr="00465964" w14:paraId="5BE2E10D" w14:textId="77777777" w:rsidTr="00465964">
        <w:tc>
          <w:tcPr>
            <w:tcW w:w="0" w:type="auto"/>
            <w:shd w:val="clear" w:color="auto" w:fill="auto"/>
            <w:hideMark/>
          </w:tcPr>
          <w:p w14:paraId="72B717B7" w14:textId="77777777" w:rsidR="00465964" w:rsidRPr="00465964" w:rsidRDefault="00465964" w:rsidP="00465964">
            <w:r w:rsidRPr="00465964">
              <w:t>a)</w:t>
            </w:r>
          </w:p>
        </w:tc>
        <w:tc>
          <w:tcPr>
            <w:tcW w:w="0" w:type="auto"/>
            <w:shd w:val="clear" w:color="auto" w:fill="auto"/>
            <w:hideMark/>
          </w:tcPr>
          <w:p w14:paraId="7515AEE1" w14:textId="77777777" w:rsidR="00465964" w:rsidRPr="00465964" w:rsidRDefault="00465964" w:rsidP="00465964">
            <w:pPr>
              <w:rPr>
                <w:lang w:val="pt-PT"/>
              </w:rPr>
            </w:pPr>
            <w:r w:rsidRPr="00465964">
              <w:rPr>
                <w:lang w:val="pt-PT"/>
              </w:rPr>
              <w:t xml:space="preserve">A decisão adotada pela EBA a que se refere o </w:t>
            </w:r>
            <w:proofErr w:type="spellStart"/>
            <w:r w:rsidRPr="00465964">
              <w:rPr>
                <w:lang w:val="pt-PT"/>
              </w:rPr>
              <w:t>n.</w:t>
            </w:r>
            <w:r w:rsidRPr="00465964">
              <w:rPr>
                <w:vertAlign w:val="superscript"/>
                <w:lang w:val="pt-PT"/>
              </w:rPr>
              <w:t>o</w:t>
            </w:r>
            <w:proofErr w:type="spellEnd"/>
            <w:r w:rsidRPr="00465964">
              <w:rPr>
                <w:lang w:val="pt-PT"/>
              </w:rPr>
              <w:t> 4 é autêntica;</w:t>
            </w:r>
          </w:p>
        </w:tc>
      </w:tr>
    </w:tbl>
    <w:p w14:paraId="29E09E8B"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224"/>
        <w:gridCol w:w="8802"/>
      </w:tblGrid>
      <w:tr w:rsidR="00465964" w:rsidRPr="00465964" w14:paraId="50302430" w14:textId="77777777" w:rsidTr="00465964">
        <w:tc>
          <w:tcPr>
            <w:tcW w:w="0" w:type="auto"/>
            <w:shd w:val="clear" w:color="auto" w:fill="auto"/>
            <w:hideMark/>
          </w:tcPr>
          <w:p w14:paraId="292F06C6" w14:textId="77777777" w:rsidR="00465964" w:rsidRPr="00465964" w:rsidRDefault="00465964" w:rsidP="00465964">
            <w:r w:rsidRPr="00465964">
              <w:t>b)</w:t>
            </w:r>
          </w:p>
        </w:tc>
        <w:tc>
          <w:tcPr>
            <w:tcW w:w="0" w:type="auto"/>
            <w:shd w:val="clear" w:color="auto" w:fill="auto"/>
            <w:hideMark/>
          </w:tcPr>
          <w:p w14:paraId="0C23B053" w14:textId="77777777" w:rsidR="00465964" w:rsidRPr="00465964" w:rsidRDefault="00465964" w:rsidP="00465964">
            <w:pPr>
              <w:rPr>
                <w:lang w:val="pt-PT"/>
              </w:rPr>
            </w:pPr>
            <w:r w:rsidRPr="00465964">
              <w:rPr>
                <w:lang w:val="pt-PT"/>
              </w:rPr>
              <w:t>As medidas a tomar são proporcionadas e não são arbitrárias nem excessivas.</w:t>
            </w:r>
          </w:p>
        </w:tc>
      </w:tr>
    </w:tbl>
    <w:p w14:paraId="61E91C94" w14:textId="77777777" w:rsidR="00465964" w:rsidRPr="00465964" w:rsidRDefault="00465964" w:rsidP="00465964">
      <w:pPr>
        <w:rPr>
          <w:lang w:val="pt-PT"/>
        </w:rPr>
      </w:pPr>
      <w:r w:rsidRPr="00465964">
        <w:rPr>
          <w:lang w:val="pt-PT"/>
        </w:rPr>
        <w:t xml:space="preserve">11.   Para efeitos do </w:t>
      </w:r>
      <w:proofErr w:type="spellStart"/>
      <w:r w:rsidRPr="00465964">
        <w:rPr>
          <w:lang w:val="pt-PT"/>
        </w:rPr>
        <w:t>n.</w:t>
      </w:r>
      <w:r w:rsidRPr="00465964">
        <w:rPr>
          <w:vertAlign w:val="superscript"/>
          <w:lang w:val="pt-PT"/>
        </w:rPr>
        <w:t>o</w:t>
      </w:r>
      <w:proofErr w:type="spellEnd"/>
      <w:r w:rsidRPr="00465964">
        <w:rPr>
          <w:lang w:val="pt-PT"/>
        </w:rPr>
        <w:t xml:space="preserve"> 10, alínea b), o tribunal pode solicitar à EBA explicações circunstanciadas, relativas, em particular, aos motivos da EBA para suspeitar de uma infração ao presente regulamento, à gravidade da presumível infração e à natureza do envolvimento da pessoa sujeita às medidas coercivas. O tribunal não pode, no entanto, apreciar a necessidade da investigação, nem exigir que lhe sejam apresentadas as informações constantes do processo da EBA. O controlo da legalidade da decisão da EBA cabe exclusivamente ao Tribunal de Justiça, nos termos do procedimento previsto no Regulamento (UE) </w:t>
      </w:r>
      <w:proofErr w:type="spellStart"/>
      <w:r w:rsidRPr="00465964">
        <w:rPr>
          <w:lang w:val="pt-PT"/>
        </w:rPr>
        <w:t>n.</w:t>
      </w:r>
      <w:r w:rsidRPr="00465964">
        <w:rPr>
          <w:vertAlign w:val="superscript"/>
          <w:lang w:val="pt-PT"/>
        </w:rPr>
        <w:t>o</w:t>
      </w:r>
      <w:proofErr w:type="spellEnd"/>
      <w:r w:rsidRPr="00465964">
        <w:rPr>
          <w:lang w:val="pt-PT"/>
        </w:rPr>
        <w:t> 1093/2010.</w:t>
      </w:r>
    </w:p>
    <w:p w14:paraId="46FA3D1F" w14:textId="77777777" w:rsidR="00465964" w:rsidRPr="00465964" w:rsidRDefault="00465964" w:rsidP="00465964">
      <w:pPr>
        <w:rPr>
          <w:i/>
          <w:iCs/>
          <w:lang w:val="pt-PT"/>
        </w:rPr>
      </w:pPr>
      <w:r w:rsidRPr="00465964">
        <w:rPr>
          <w:i/>
          <w:iCs/>
          <w:lang w:val="pt-PT"/>
        </w:rPr>
        <w:t>Artigo 125.</w:t>
      </w:r>
      <w:r w:rsidRPr="00465964">
        <w:rPr>
          <w:i/>
          <w:iCs/>
          <w:vertAlign w:val="superscript"/>
          <w:lang w:val="pt-PT"/>
        </w:rPr>
        <w:t>o</w:t>
      </w:r>
    </w:p>
    <w:p w14:paraId="0907A28F" w14:textId="77777777" w:rsidR="00465964" w:rsidRPr="00465964" w:rsidRDefault="00465964" w:rsidP="00465964">
      <w:pPr>
        <w:rPr>
          <w:b/>
          <w:bCs/>
          <w:lang w:val="pt-PT"/>
        </w:rPr>
      </w:pPr>
      <w:r w:rsidRPr="00465964">
        <w:rPr>
          <w:b/>
          <w:bCs/>
          <w:lang w:val="pt-PT"/>
        </w:rPr>
        <w:t>Troca de informação</w:t>
      </w:r>
    </w:p>
    <w:p w14:paraId="04F408B1" w14:textId="77777777" w:rsidR="00465964" w:rsidRPr="00465964" w:rsidRDefault="00465964" w:rsidP="00465964">
      <w:pPr>
        <w:rPr>
          <w:lang w:val="pt-PT"/>
        </w:rPr>
      </w:pPr>
      <w:r w:rsidRPr="00465964">
        <w:rPr>
          <w:lang w:val="pt-PT"/>
        </w:rPr>
        <w:t>1.   Tendo em vista o desempenho das responsabilidades de supervisão da EBA nos termos do artigo 117.</w:t>
      </w:r>
      <w:r w:rsidRPr="00465964">
        <w:rPr>
          <w:vertAlign w:val="superscript"/>
          <w:lang w:val="pt-PT"/>
        </w:rPr>
        <w:t>o</w:t>
      </w:r>
      <w:r w:rsidRPr="00465964">
        <w:rPr>
          <w:lang w:val="pt-PT"/>
        </w:rPr>
        <w:t>, e sem prejuízo do disposto no artigo 96.</w:t>
      </w:r>
      <w:r w:rsidRPr="00465964">
        <w:rPr>
          <w:vertAlign w:val="superscript"/>
          <w:lang w:val="pt-PT"/>
        </w:rPr>
        <w:t>o</w:t>
      </w:r>
      <w:r w:rsidRPr="00465964">
        <w:rPr>
          <w:lang w:val="pt-PT"/>
        </w:rPr>
        <w:t>, a EBA e as autoridades competentes procedem, sem demora injustificada, à troca da informação necessária para o exercício das respetivas funções nos termos do presente regulamento. Para esse efeito, as autoridades competentes e a EBA trocam quaisquer informações relacionadas com:</w:t>
      </w:r>
    </w:p>
    <w:tbl>
      <w:tblPr>
        <w:tblW w:w="5000" w:type="pct"/>
        <w:tblCellMar>
          <w:left w:w="0" w:type="dxa"/>
          <w:right w:w="0" w:type="dxa"/>
        </w:tblCellMar>
        <w:tblLook w:val="04A0" w:firstRow="1" w:lastRow="0" w:firstColumn="1" w:lastColumn="0" w:noHBand="0" w:noVBand="1"/>
      </w:tblPr>
      <w:tblGrid>
        <w:gridCol w:w="182"/>
        <w:gridCol w:w="8844"/>
      </w:tblGrid>
      <w:tr w:rsidR="00465964" w:rsidRPr="00465964" w14:paraId="29F8C09F" w14:textId="77777777" w:rsidTr="00465964">
        <w:tc>
          <w:tcPr>
            <w:tcW w:w="0" w:type="auto"/>
            <w:shd w:val="clear" w:color="auto" w:fill="auto"/>
            <w:hideMark/>
          </w:tcPr>
          <w:p w14:paraId="20FE1F62" w14:textId="77777777" w:rsidR="00465964" w:rsidRPr="00465964" w:rsidRDefault="00465964" w:rsidP="00465964">
            <w:r w:rsidRPr="00465964">
              <w:t>a)</w:t>
            </w:r>
          </w:p>
        </w:tc>
        <w:tc>
          <w:tcPr>
            <w:tcW w:w="0" w:type="auto"/>
            <w:shd w:val="clear" w:color="auto" w:fill="auto"/>
            <w:hideMark/>
          </w:tcPr>
          <w:p w14:paraId="5006A51A" w14:textId="77777777" w:rsidR="00465964" w:rsidRPr="00465964" w:rsidRDefault="00465964" w:rsidP="00465964">
            <w:pPr>
              <w:rPr>
                <w:lang w:val="pt-PT"/>
              </w:rPr>
            </w:pPr>
            <w:r w:rsidRPr="00465964">
              <w:rPr>
                <w:lang w:val="pt-PT"/>
              </w:rPr>
              <w:t xml:space="preserve">Qualquer emitente de uma </w:t>
            </w:r>
            <w:proofErr w:type="spellStart"/>
            <w:r w:rsidRPr="00465964">
              <w:rPr>
                <w:lang w:val="pt-PT"/>
              </w:rPr>
              <w:t>criptoficha</w:t>
            </w:r>
            <w:proofErr w:type="spellEnd"/>
            <w:r w:rsidRPr="00465964">
              <w:rPr>
                <w:lang w:val="pt-PT"/>
              </w:rPr>
              <w:t xml:space="preserve"> referenciada a ativos significativa ou qualquer pessoa que controle ou seja, diretamente ou indiretamente, controlada por um emitente de uma </w:t>
            </w:r>
            <w:proofErr w:type="spellStart"/>
            <w:r w:rsidRPr="00465964">
              <w:rPr>
                <w:lang w:val="pt-PT"/>
              </w:rPr>
              <w:t>criptoficha</w:t>
            </w:r>
            <w:proofErr w:type="spellEnd"/>
            <w:r w:rsidRPr="00465964">
              <w:rPr>
                <w:lang w:val="pt-PT"/>
              </w:rPr>
              <w:t xml:space="preserve"> referenciada a ativos significativa;</w:t>
            </w:r>
          </w:p>
        </w:tc>
      </w:tr>
    </w:tbl>
    <w:p w14:paraId="47025600"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8"/>
        <w:gridCol w:w="8838"/>
      </w:tblGrid>
      <w:tr w:rsidR="00465964" w:rsidRPr="00465964" w14:paraId="1DE0FFBD" w14:textId="77777777" w:rsidTr="00465964">
        <w:tc>
          <w:tcPr>
            <w:tcW w:w="0" w:type="auto"/>
            <w:shd w:val="clear" w:color="auto" w:fill="auto"/>
            <w:hideMark/>
          </w:tcPr>
          <w:p w14:paraId="3FAA075B" w14:textId="77777777" w:rsidR="00465964" w:rsidRPr="00465964" w:rsidRDefault="00465964" w:rsidP="00465964">
            <w:r w:rsidRPr="00465964">
              <w:lastRenderedPageBreak/>
              <w:t>b)</w:t>
            </w:r>
          </w:p>
        </w:tc>
        <w:tc>
          <w:tcPr>
            <w:tcW w:w="0" w:type="auto"/>
            <w:shd w:val="clear" w:color="auto" w:fill="auto"/>
            <w:hideMark/>
          </w:tcPr>
          <w:p w14:paraId="78E9013A" w14:textId="77777777" w:rsidR="00465964" w:rsidRPr="00465964" w:rsidRDefault="00465964" w:rsidP="00465964">
            <w:pPr>
              <w:rPr>
                <w:lang w:val="pt-PT"/>
              </w:rPr>
            </w:pPr>
            <w:r w:rsidRPr="00465964">
              <w:rPr>
                <w:lang w:val="pt-PT"/>
              </w:rPr>
              <w:t>Qualquer terceiro a que se refere o artigo 34.</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xml:space="preserve"> 5, primeiro parágrafo, alínea h), com o qual o emitente de uma </w:t>
            </w:r>
            <w:proofErr w:type="spellStart"/>
            <w:r w:rsidRPr="00465964">
              <w:rPr>
                <w:lang w:val="pt-PT"/>
              </w:rPr>
              <w:t>criptoficha</w:t>
            </w:r>
            <w:proofErr w:type="spellEnd"/>
            <w:r w:rsidRPr="00465964">
              <w:rPr>
                <w:lang w:val="pt-PT"/>
              </w:rPr>
              <w:t xml:space="preserve"> referenciada a ativos significativa tenha disposições contratuais;</w:t>
            </w:r>
          </w:p>
        </w:tc>
      </w:tr>
    </w:tbl>
    <w:p w14:paraId="5BBFBE44"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0"/>
        <w:gridCol w:w="8846"/>
      </w:tblGrid>
      <w:tr w:rsidR="00465964" w:rsidRPr="00465964" w14:paraId="0AF83A78" w14:textId="77777777" w:rsidTr="00465964">
        <w:tc>
          <w:tcPr>
            <w:tcW w:w="0" w:type="auto"/>
            <w:shd w:val="clear" w:color="auto" w:fill="auto"/>
            <w:hideMark/>
          </w:tcPr>
          <w:p w14:paraId="65F310EA" w14:textId="77777777" w:rsidR="00465964" w:rsidRPr="00465964" w:rsidRDefault="00465964" w:rsidP="00465964">
            <w:r w:rsidRPr="00465964">
              <w:t>c)</w:t>
            </w:r>
          </w:p>
        </w:tc>
        <w:tc>
          <w:tcPr>
            <w:tcW w:w="0" w:type="auto"/>
            <w:shd w:val="clear" w:color="auto" w:fill="auto"/>
            <w:hideMark/>
          </w:tcPr>
          <w:p w14:paraId="38DCD586" w14:textId="77777777" w:rsidR="00465964" w:rsidRPr="00465964" w:rsidRDefault="00465964" w:rsidP="00465964">
            <w:pPr>
              <w:rPr>
                <w:lang w:val="pt-PT"/>
              </w:rPr>
            </w:pPr>
            <w:r w:rsidRPr="00465964">
              <w:rPr>
                <w:lang w:val="pt-PT"/>
              </w:rPr>
              <w:t>Qualquer prestador de serviços de criptoativos, instituição de crédito ou empresa de investimento que assegure a custódia dos ativos de reserva em conformidade com o artigo 37.</w:t>
            </w:r>
            <w:r w:rsidRPr="00465964">
              <w:rPr>
                <w:vertAlign w:val="superscript"/>
                <w:lang w:val="pt-PT"/>
              </w:rPr>
              <w:t>o</w:t>
            </w:r>
            <w:r w:rsidRPr="00465964">
              <w:rPr>
                <w:lang w:val="pt-PT"/>
              </w:rPr>
              <w:t>;</w:t>
            </w:r>
          </w:p>
        </w:tc>
      </w:tr>
    </w:tbl>
    <w:p w14:paraId="6FE7B754"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8"/>
        <w:gridCol w:w="8838"/>
      </w:tblGrid>
      <w:tr w:rsidR="00465964" w:rsidRPr="00465964" w14:paraId="619F5697" w14:textId="77777777" w:rsidTr="00465964">
        <w:tc>
          <w:tcPr>
            <w:tcW w:w="0" w:type="auto"/>
            <w:shd w:val="clear" w:color="auto" w:fill="auto"/>
            <w:hideMark/>
          </w:tcPr>
          <w:p w14:paraId="2770F206" w14:textId="77777777" w:rsidR="00465964" w:rsidRPr="00465964" w:rsidRDefault="00465964" w:rsidP="00465964">
            <w:r w:rsidRPr="00465964">
              <w:t>d)</w:t>
            </w:r>
          </w:p>
        </w:tc>
        <w:tc>
          <w:tcPr>
            <w:tcW w:w="0" w:type="auto"/>
            <w:shd w:val="clear" w:color="auto" w:fill="auto"/>
            <w:hideMark/>
          </w:tcPr>
          <w:p w14:paraId="3301A839" w14:textId="77777777" w:rsidR="00465964" w:rsidRPr="00465964" w:rsidRDefault="00465964" w:rsidP="00465964">
            <w:pPr>
              <w:rPr>
                <w:lang w:val="pt-PT"/>
              </w:rPr>
            </w:pPr>
            <w:r w:rsidRPr="00465964">
              <w:rPr>
                <w:lang w:val="pt-PT"/>
              </w:rPr>
              <w:t xml:space="preserve">Qualquer emitente de uma </w:t>
            </w:r>
            <w:proofErr w:type="spellStart"/>
            <w:r w:rsidRPr="00465964">
              <w:rPr>
                <w:lang w:val="pt-PT"/>
              </w:rPr>
              <w:t>criptoficha</w:t>
            </w:r>
            <w:proofErr w:type="spellEnd"/>
            <w:r w:rsidRPr="00465964">
              <w:rPr>
                <w:lang w:val="pt-PT"/>
              </w:rPr>
              <w:t xml:space="preserve"> de moeda eletrónica significativa ou qualquer pessoa que controle ou seja, diretamente ou indiretamente, controlada por um emitente de uma </w:t>
            </w:r>
            <w:proofErr w:type="spellStart"/>
            <w:r w:rsidRPr="00465964">
              <w:rPr>
                <w:lang w:val="pt-PT"/>
              </w:rPr>
              <w:t>criptoficha</w:t>
            </w:r>
            <w:proofErr w:type="spellEnd"/>
            <w:r w:rsidRPr="00465964">
              <w:rPr>
                <w:lang w:val="pt-PT"/>
              </w:rPr>
              <w:t xml:space="preserve"> de moeda eletrónica significativa;</w:t>
            </w:r>
          </w:p>
        </w:tc>
      </w:tr>
    </w:tbl>
    <w:p w14:paraId="38C9CE6D"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1"/>
        <w:gridCol w:w="8845"/>
      </w:tblGrid>
      <w:tr w:rsidR="00465964" w:rsidRPr="00465964" w14:paraId="5991C1E1" w14:textId="77777777" w:rsidTr="00465964">
        <w:tc>
          <w:tcPr>
            <w:tcW w:w="0" w:type="auto"/>
            <w:shd w:val="clear" w:color="auto" w:fill="auto"/>
            <w:hideMark/>
          </w:tcPr>
          <w:p w14:paraId="3100F0D5" w14:textId="77777777" w:rsidR="00465964" w:rsidRPr="00465964" w:rsidRDefault="00465964" w:rsidP="00465964">
            <w:r w:rsidRPr="00465964">
              <w:t>e)</w:t>
            </w:r>
          </w:p>
        </w:tc>
        <w:tc>
          <w:tcPr>
            <w:tcW w:w="0" w:type="auto"/>
            <w:shd w:val="clear" w:color="auto" w:fill="auto"/>
            <w:hideMark/>
          </w:tcPr>
          <w:p w14:paraId="0C23EEED" w14:textId="1E5D0D31" w:rsidR="00465964" w:rsidRPr="00465964" w:rsidRDefault="00465964" w:rsidP="00465964">
            <w:pPr>
              <w:rPr>
                <w:lang w:val="pt-PT"/>
              </w:rPr>
            </w:pPr>
            <w:r w:rsidRPr="00465964">
              <w:rPr>
                <w:lang w:val="pt-PT"/>
              </w:rPr>
              <w:t xml:space="preserve">Qualquer prestador de serviços de pagamento que preste serviços de pagamento em relação a </w:t>
            </w:r>
            <w:r>
              <w:rPr>
                <w:lang w:val="pt-PT"/>
              </w:rPr>
              <w:t>criptomoedas</w:t>
            </w:r>
            <w:r w:rsidRPr="00465964">
              <w:rPr>
                <w:lang w:val="pt-PT"/>
              </w:rPr>
              <w:t xml:space="preserve"> de moeda eletrónica significativas;</w:t>
            </w:r>
          </w:p>
        </w:tc>
      </w:tr>
    </w:tbl>
    <w:p w14:paraId="47C7AF07"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36"/>
        <w:gridCol w:w="8890"/>
      </w:tblGrid>
      <w:tr w:rsidR="00465964" w:rsidRPr="00465964" w14:paraId="253D25B6" w14:textId="77777777" w:rsidTr="00465964">
        <w:tc>
          <w:tcPr>
            <w:tcW w:w="0" w:type="auto"/>
            <w:shd w:val="clear" w:color="auto" w:fill="auto"/>
            <w:hideMark/>
          </w:tcPr>
          <w:p w14:paraId="529274A9" w14:textId="77777777" w:rsidR="00465964" w:rsidRPr="00465964" w:rsidRDefault="00465964" w:rsidP="00465964">
            <w:r w:rsidRPr="00465964">
              <w:t>f)</w:t>
            </w:r>
          </w:p>
        </w:tc>
        <w:tc>
          <w:tcPr>
            <w:tcW w:w="0" w:type="auto"/>
            <w:shd w:val="clear" w:color="auto" w:fill="auto"/>
            <w:hideMark/>
          </w:tcPr>
          <w:p w14:paraId="57925E6B" w14:textId="55101D8F" w:rsidR="00465964" w:rsidRPr="00465964" w:rsidRDefault="00465964" w:rsidP="00465964">
            <w:pPr>
              <w:rPr>
                <w:lang w:val="pt-PT"/>
              </w:rPr>
            </w:pPr>
            <w:r w:rsidRPr="00465964">
              <w:rPr>
                <w:lang w:val="pt-PT"/>
              </w:rPr>
              <w:t xml:space="preserve">Qualquer pessoa singular ou coletiva responsável pela distribuição de </w:t>
            </w:r>
            <w:r>
              <w:rPr>
                <w:lang w:val="pt-PT"/>
              </w:rPr>
              <w:t>criptomoedas</w:t>
            </w:r>
            <w:r w:rsidRPr="00465964">
              <w:rPr>
                <w:lang w:val="pt-PT"/>
              </w:rPr>
              <w:t xml:space="preserve"> de moeda eletrónica significativas em nome dos emitentes de </w:t>
            </w:r>
            <w:r>
              <w:rPr>
                <w:lang w:val="pt-PT"/>
              </w:rPr>
              <w:t>criptomoedas</w:t>
            </w:r>
            <w:r w:rsidRPr="00465964">
              <w:rPr>
                <w:lang w:val="pt-PT"/>
              </w:rPr>
              <w:t xml:space="preserve"> de moeda eletrónica significativas;</w:t>
            </w:r>
          </w:p>
        </w:tc>
      </w:tr>
    </w:tbl>
    <w:p w14:paraId="35DC6DBE"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74"/>
        <w:gridCol w:w="8852"/>
      </w:tblGrid>
      <w:tr w:rsidR="00465964" w:rsidRPr="00465964" w14:paraId="1C8F3916" w14:textId="77777777" w:rsidTr="00465964">
        <w:tc>
          <w:tcPr>
            <w:tcW w:w="0" w:type="auto"/>
            <w:shd w:val="clear" w:color="auto" w:fill="auto"/>
            <w:hideMark/>
          </w:tcPr>
          <w:p w14:paraId="646AD575" w14:textId="77777777" w:rsidR="00465964" w:rsidRPr="00465964" w:rsidRDefault="00465964" w:rsidP="00465964">
            <w:r w:rsidRPr="00465964">
              <w:t>g)</w:t>
            </w:r>
          </w:p>
        </w:tc>
        <w:tc>
          <w:tcPr>
            <w:tcW w:w="0" w:type="auto"/>
            <w:shd w:val="clear" w:color="auto" w:fill="auto"/>
            <w:hideMark/>
          </w:tcPr>
          <w:p w14:paraId="718BD59F" w14:textId="3F88B638" w:rsidR="00465964" w:rsidRPr="00465964" w:rsidRDefault="00465964" w:rsidP="00465964">
            <w:pPr>
              <w:rPr>
                <w:lang w:val="pt-PT"/>
              </w:rPr>
            </w:pPr>
            <w:r w:rsidRPr="00465964">
              <w:rPr>
                <w:lang w:val="pt-PT"/>
              </w:rPr>
              <w:t xml:space="preserve">Qualquer prestador de serviços de criptoativos que preste serviços de custódia e administração de criptoativos em nome de clientes em relação a </w:t>
            </w:r>
            <w:r>
              <w:rPr>
                <w:lang w:val="pt-PT"/>
              </w:rPr>
              <w:t>criptomoedas</w:t>
            </w:r>
            <w:r w:rsidRPr="00465964">
              <w:rPr>
                <w:lang w:val="pt-PT"/>
              </w:rPr>
              <w:t xml:space="preserve"> referenciadas a ativos significativas ou a </w:t>
            </w:r>
            <w:r>
              <w:rPr>
                <w:lang w:val="pt-PT"/>
              </w:rPr>
              <w:t>criptomoedas</w:t>
            </w:r>
            <w:r w:rsidRPr="00465964">
              <w:rPr>
                <w:lang w:val="pt-PT"/>
              </w:rPr>
              <w:t xml:space="preserve"> de moeda eletrónica significativas;</w:t>
            </w:r>
          </w:p>
        </w:tc>
      </w:tr>
    </w:tbl>
    <w:p w14:paraId="3D8DD271"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6"/>
        <w:gridCol w:w="8840"/>
      </w:tblGrid>
      <w:tr w:rsidR="00465964" w:rsidRPr="00465964" w14:paraId="4514D30D" w14:textId="77777777" w:rsidTr="00465964">
        <w:tc>
          <w:tcPr>
            <w:tcW w:w="0" w:type="auto"/>
            <w:shd w:val="clear" w:color="auto" w:fill="auto"/>
            <w:hideMark/>
          </w:tcPr>
          <w:p w14:paraId="04CEFD8A" w14:textId="77777777" w:rsidR="00465964" w:rsidRPr="00465964" w:rsidRDefault="00465964" w:rsidP="00465964">
            <w:r w:rsidRPr="00465964">
              <w:t>h)</w:t>
            </w:r>
          </w:p>
        </w:tc>
        <w:tc>
          <w:tcPr>
            <w:tcW w:w="0" w:type="auto"/>
            <w:shd w:val="clear" w:color="auto" w:fill="auto"/>
            <w:hideMark/>
          </w:tcPr>
          <w:p w14:paraId="13E14B5C" w14:textId="77777777" w:rsidR="00465964" w:rsidRPr="00465964" w:rsidRDefault="00465964" w:rsidP="00465964">
            <w:pPr>
              <w:rPr>
                <w:lang w:val="pt-PT"/>
              </w:rPr>
            </w:pPr>
            <w:r w:rsidRPr="00465964">
              <w:rPr>
                <w:lang w:val="pt-PT"/>
              </w:rPr>
              <w:t xml:space="preserve">Qualquer plataforma de negociação de criptoativos na qual uma </w:t>
            </w:r>
            <w:proofErr w:type="spellStart"/>
            <w:r w:rsidRPr="00465964">
              <w:rPr>
                <w:lang w:val="pt-PT"/>
              </w:rPr>
              <w:t>criptoficha</w:t>
            </w:r>
            <w:proofErr w:type="spellEnd"/>
            <w:r w:rsidRPr="00465964">
              <w:rPr>
                <w:lang w:val="pt-PT"/>
              </w:rPr>
              <w:t xml:space="preserve"> referenciada a ativos significativa ou uma </w:t>
            </w:r>
            <w:proofErr w:type="spellStart"/>
            <w:r w:rsidRPr="00465964">
              <w:rPr>
                <w:lang w:val="pt-PT"/>
              </w:rPr>
              <w:t>criptoficha</w:t>
            </w:r>
            <w:proofErr w:type="spellEnd"/>
            <w:r w:rsidRPr="00465964">
              <w:rPr>
                <w:lang w:val="pt-PT"/>
              </w:rPr>
              <w:t xml:space="preserve"> de moeda eletrónica significativa tenha sido admitida à negociação;</w:t>
            </w:r>
          </w:p>
        </w:tc>
      </w:tr>
    </w:tbl>
    <w:p w14:paraId="4AF17044"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49"/>
        <w:gridCol w:w="8877"/>
      </w:tblGrid>
      <w:tr w:rsidR="00465964" w:rsidRPr="00465964" w14:paraId="5DBF347D" w14:textId="77777777" w:rsidTr="00465964">
        <w:tc>
          <w:tcPr>
            <w:tcW w:w="0" w:type="auto"/>
            <w:shd w:val="clear" w:color="auto" w:fill="auto"/>
            <w:hideMark/>
          </w:tcPr>
          <w:p w14:paraId="2B6CB2AD" w14:textId="77777777" w:rsidR="00465964" w:rsidRPr="00465964" w:rsidRDefault="00465964" w:rsidP="00465964">
            <w:proofErr w:type="spellStart"/>
            <w:r w:rsidRPr="00465964">
              <w:t>i</w:t>
            </w:r>
            <w:proofErr w:type="spellEnd"/>
            <w:r w:rsidRPr="00465964">
              <w:t>)</w:t>
            </w:r>
          </w:p>
        </w:tc>
        <w:tc>
          <w:tcPr>
            <w:tcW w:w="0" w:type="auto"/>
            <w:shd w:val="clear" w:color="auto" w:fill="auto"/>
            <w:hideMark/>
          </w:tcPr>
          <w:p w14:paraId="040F65C0" w14:textId="77777777" w:rsidR="00465964" w:rsidRPr="00465964" w:rsidRDefault="00465964" w:rsidP="00465964">
            <w:pPr>
              <w:rPr>
                <w:lang w:val="pt-PT"/>
              </w:rPr>
            </w:pPr>
            <w:r w:rsidRPr="00465964">
              <w:rPr>
                <w:lang w:val="pt-PT"/>
              </w:rPr>
              <w:t>O órgão de administração das pessoas a que se referem as alíneas a) a h).</w:t>
            </w:r>
          </w:p>
        </w:tc>
      </w:tr>
    </w:tbl>
    <w:p w14:paraId="0B4D9307" w14:textId="77777777" w:rsidR="00465964" w:rsidRPr="00465964" w:rsidRDefault="00465964" w:rsidP="00465964">
      <w:pPr>
        <w:rPr>
          <w:lang w:val="pt-PT"/>
        </w:rPr>
      </w:pPr>
      <w:r w:rsidRPr="00465964">
        <w:rPr>
          <w:lang w:val="pt-PT"/>
        </w:rPr>
        <w:t xml:space="preserve">2.   As autoridades competentes só podem indeferir um pedido de troca de informações nos termos do </w:t>
      </w:r>
      <w:proofErr w:type="spellStart"/>
      <w:r w:rsidRPr="00465964">
        <w:rPr>
          <w:lang w:val="pt-PT"/>
        </w:rPr>
        <w:t>n.</w:t>
      </w:r>
      <w:r w:rsidRPr="00465964">
        <w:rPr>
          <w:vertAlign w:val="superscript"/>
          <w:lang w:val="pt-PT"/>
        </w:rPr>
        <w:t>o</w:t>
      </w:r>
      <w:proofErr w:type="spellEnd"/>
      <w:r w:rsidRPr="00465964">
        <w:rPr>
          <w:lang w:val="pt-PT"/>
        </w:rPr>
        <w:t> 1 do presente artigo ou um pedido de cooperação relativo à realização de uma investigação ou de uma inspeção no local nos termos dos artigos 123.</w:t>
      </w:r>
      <w:r w:rsidRPr="00465964">
        <w:rPr>
          <w:vertAlign w:val="superscript"/>
          <w:lang w:val="pt-PT"/>
        </w:rPr>
        <w:t>o</w:t>
      </w:r>
      <w:r w:rsidRPr="00465964">
        <w:rPr>
          <w:lang w:val="pt-PT"/>
        </w:rPr>
        <w:t> e 124.</w:t>
      </w:r>
      <w:r w:rsidRPr="00465964">
        <w:rPr>
          <w:vertAlign w:val="superscript"/>
          <w:lang w:val="pt-PT"/>
        </w:rPr>
        <w:t>o</w:t>
      </w:r>
      <w:r w:rsidRPr="00465964">
        <w:rPr>
          <w:lang w:val="pt-PT"/>
        </w:rPr>
        <w:t>, nos seguintes casos, respetivamente:</w:t>
      </w:r>
    </w:p>
    <w:tbl>
      <w:tblPr>
        <w:tblW w:w="5000" w:type="pct"/>
        <w:tblCellMar>
          <w:left w:w="0" w:type="dxa"/>
          <w:right w:w="0" w:type="dxa"/>
        </w:tblCellMar>
        <w:tblLook w:val="04A0" w:firstRow="1" w:lastRow="0" w:firstColumn="1" w:lastColumn="0" w:noHBand="0" w:noVBand="1"/>
      </w:tblPr>
      <w:tblGrid>
        <w:gridCol w:w="182"/>
        <w:gridCol w:w="8844"/>
      </w:tblGrid>
      <w:tr w:rsidR="00465964" w:rsidRPr="00465964" w14:paraId="73B65F99" w14:textId="77777777" w:rsidTr="00465964">
        <w:tc>
          <w:tcPr>
            <w:tcW w:w="0" w:type="auto"/>
            <w:shd w:val="clear" w:color="auto" w:fill="auto"/>
            <w:hideMark/>
          </w:tcPr>
          <w:p w14:paraId="3A0E316F" w14:textId="77777777" w:rsidR="00465964" w:rsidRPr="00465964" w:rsidRDefault="00465964" w:rsidP="00465964">
            <w:r w:rsidRPr="00465964">
              <w:t>a)</w:t>
            </w:r>
          </w:p>
        </w:tc>
        <w:tc>
          <w:tcPr>
            <w:tcW w:w="0" w:type="auto"/>
            <w:shd w:val="clear" w:color="auto" w:fill="auto"/>
            <w:hideMark/>
          </w:tcPr>
          <w:p w14:paraId="4D8B4A83" w14:textId="77777777" w:rsidR="00465964" w:rsidRPr="00465964" w:rsidRDefault="00465964" w:rsidP="00465964">
            <w:pPr>
              <w:rPr>
                <w:lang w:val="pt-PT"/>
              </w:rPr>
            </w:pPr>
            <w:r w:rsidRPr="00465964">
              <w:rPr>
                <w:lang w:val="pt-PT"/>
              </w:rPr>
              <w:t>Caso o cumprimento do pedido possa prejudicar a sua própria investigação, as suas próprias atividades de aplicação da lei ou, se for o caso, a sua própria investigação criminal;</w:t>
            </w:r>
          </w:p>
        </w:tc>
      </w:tr>
    </w:tbl>
    <w:p w14:paraId="367E72E2"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8"/>
        <w:gridCol w:w="8838"/>
      </w:tblGrid>
      <w:tr w:rsidR="00465964" w:rsidRPr="00465964" w14:paraId="5B0CA718" w14:textId="77777777" w:rsidTr="00465964">
        <w:tc>
          <w:tcPr>
            <w:tcW w:w="0" w:type="auto"/>
            <w:shd w:val="clear" w:color="auto" w:fill="auto"/>
            <w:hideMark/>
          </w:tcPr>
          <w:p w14:paraId="2C0A1D26" w14:textId="77777777" w:rsidR="00465964" w:rsidRPr="00465964" w:rsidRDefault="00465964" w:rsidP="00465964">
            <w:r w:rsidRPr="00465964">
              <w:t>b)</w:t>
            </w:r>
          </w:p>
        </w:tc>
        <w:tc>
          <w:tcPr>
            <w:tcW w:w="0" w:type="auto"/>
            <w:shd w:val="clear" w:color="auto" w:fill="auto"/>
            <w:hideMark/>
          </w:tcPr>
          <w:p w14:paraId="1B0CF481" w14:textId="77777777" w:rsidR="00465964" w:rsidRPr="00465964" w:rsidRDefault="00465964" w:rsidP="00465964">
            <w:pPr>
              <w:rPr>
                <w:lang w:val="pt-PT"/>
              </w:rPr>
            </w:pPr>
            <w:r w:rsidRPr="00465964">
              <w:rPr>
                <w:lang w:val="pt-PT"/>
              </w:rPr>
              <w:t>Caso já tenha sido intentada ação judicial relativamente aos mesmos atos e contra as mesmas pessoas singulares ou coletivas perante os tribunais do Estado-Membro em questão;</w:t>
            </w:r>
          </w:p>
        </w:tc>
      </w:tr>
    </w:tbl>
    <w:p w14:paraId="0F732055"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0"/>
        <w:gridCol w:w="8846"/>
      </w:tblGrid>
      <w:tr w:rsidR="00465964" w:rsidRPr="00465964" w14:paraId="1D691EE6" w14:textId="77777777" w:rsidTr="00465964">
        <w:tc>
          <w:tcPr>
            <w:tcW w:w="0" w:type="auto"/>
            <w:shd w:val="clear" w:color="auto" w:fill="auto"/>
            <w:hideMark/>
          </w:tcPr>
          <w:p w14:paraId="4EAC23D6" w14:textId="77777777" w:rsidR="00465964" w:rsidRPr="00465964" w:rsidRDefault="00465964" w:rsidP="00465964">
            <w:r w:rsidRPr="00465964">
              <w:t>c)</w:t>
            </w:r>
          </w:p>
        </w:tc>
        <w:tc>
          <w:tcPr>
            <w:tcW w:w="0" w:type="auto"/>
            <w:shd w:val="clear" w:color="auto" w:fill="auto"/>
            <w:hideMark/>
          </w:tcPr>
          <w:p w14:paraId="3CE7A31B" w14:textId="77777777" w:rsidR="00465964" w:rsidRPr="00465964" w:rsidRDefault="00465964" w:rsidP="00465964">
            <w:pPr>
              <w:rPr>
                <w:lang w:val="pt-PT"/>
              </w:rPr>
            </w:pPr>
            <w:r w:rsidRPr="00465964">
              <w:rPr>
                <w:lang w:val="pt-PT"/>
              </w:rPr>
              <w:t>Caso já tenha transitado em julgado uma sentença relativamente a essas pessoas singulares ou coletivas, pelos mesmos atos, no Estado-Membro em causa.</w:t>
            </w:r>
          </w:p>
        </w:tc>
      </w:tr>
    </w:tbl>
    <w:p w14:paraId="64D31A18" w14:textId="77777777" w:rsidR="00465964" w:rsidRPr="00465964" w:rsidRDefault="00465964" w:rsidP="00465964">
      <w:pPr>
        <w:rPr>
          <w:i/>
          <w:iCs/>
          <w:lang w:val="pt-PT"/>
        </w:rPr>
      </w:pPr>
      <w:r w:rsidRPr="00465964">
        <w:rPr>
          <w:i/>
          <w:iCs/>
          <w:lang w:val="pt-PT"/>
        </w:rPr>
        <w:t>Artigo 126.</w:t>
      </w:r>
      <w:r w:rsidRPr="00465964">
        <w:rPr>
          <w:i/>
          <w:iCs/>
          <w:vertAlign w:val="superscript"/>
          <w:lang w:val="pt-PT"/>
        </w:rPr>
        <w:t>o</w:t>
      </w:r>
    </w:p>
    <w:p w14:paraId="119D01EF" w14:textId="77777777" w:rsidR="00465964" w:rsidRPr="00465964" w:rsidRDefault="00465964" w:rsidP="00465964">
      <w:pPr>
        <w:rPr>
          <w:b/>
          <w:bCs/>
          <w:lang w:val="pt-PT"/>
        </w:rPr>
      </w:pPr>
      <w:r w:rsidRPr="00465964">
        <w:rPr>
          <w:b/>
          <w:bCs/>
          <w:lang w:val="pt-PT"/>
        </w:rPr>
        <w:t>Acordos administrativos sobre a troca de informações entre a EBA e países terceiros</w:t>
      </w:r>
    </w:p>
    <w:p w14:paraId="4F5FE0ED" w14:textId="77777777" w:rsidR="00465964" w:rsidRPr="00465964" w:rsidRDefault="00465964" w:rsidP="00465964">
      <w:pPr>
        <w:rPr>
          <w:lang w:val="pt-PT"/>
        </w:rPr>
      </w:pPr>
      <w:r w:rsidRPr="00465964">
        <w:rPr>
          <w:lang w:val="pt-PT"/>
        </w:rPr>
        <w:t>1.   A fim de desempenhar as responsabilidades de supervisão que lhe são atribuídas pelo artigo 117.</w:t>
      </w:r>
      <w:r w:rsidRPr="00465964">
        <w:rPr>
          <w:vertAlign w:val="superscript"/>
          <w:lang w:val="pt-PT"/>
        </w:rPr>
        <w:t>o</w:t>
      </w:r>
      <w:r w:rsidRPr="00465964">
        <w:rPr>
          <w:lang w:val="pt-PT"/>
        </w:rPr>
        <w:t>, a EBA só pode celebrar acordos administrativos sobre a troca de informações com as autoridades de supervisão de países terceiros se as informações a divulgar forem objeto de garantias de sigilo profissional pelo menos equivalentes às previstas no artigo 129.</w:t>
      </w:r>
      <w:r w:rsidRPr="00465964">
        <w:rPr>
          <w:vertAlign w:val="superscript"/>
          <w:lang w:val="pt-PT"/>
        </w:rPr>
        <w:t>o</w:t>
      </w:r>
      <w:r w:rsidRPr="00465964">
        <w:rPr>
          <w:lang w:val="pt-PT"/>
        </w:rPr>
        <w:t>.</w:t>
      </w:r>
    </w:p>
    <w:p w14:paraId="2C44B94B" w14:textId="77777777" w:rsidR="00465964" w:rsidRPr="00465964" w:rsidRDefault="00465964" w:rsidP="00465964">
      <w:pPr>
        <w:rPr>
          <w:lang w:val="pt-PT"/>
        </w:rPr>
      </w:pPr>
      <w:r w:rsidRPr="00465964">
        <w:rPr>
          <w:lang w:val="pt-PT"/>
        </w:rPr>
        <w:lastRenderedPageBreak/>
        <w:t xml:space="preserve">2.   A troca de informações deve ter por objetivo o exercício das atribuições da EBA ou das autoridades de supervisão a que se refere o </w:t>
      </w:r>
      <w:proofErr w:type="spellStart"/>
      <w:r w:rsidRPr="00465964">
        <w:rPr>
          <w:lang w:val="pt-PT"/>
        </w:rPr>
        <w:t>n.</w:t>
      </w:r>
      <w:r w:rsidRPr="00465964">
        <w:rPr>
          <w:vertAlign w:val="superscript"/>
          <w:lang w:val="pt-PT"/>
        </w:rPr>
        <w:t>o</w:t>
      </w:r>
      <w:proofErr w:type="spellEnd"/>
      <w:r w:rsidRPr="00465964">
        <w:rPr>
          <w:lang w:val="pt-PT"/>
        </w:rPr>
        <w:t> 1.</w:t>
      </w:r>
    </w:p>
    <w:p w14:paraId="638539E0" w14:textId="77777777" w:rsidR="00465964" w:rsidRPr="00465964" w:rsidRDefault="00465964" w:rsidP="00465964">
      <w:pPr>
        <w:rPr>
          <w:lang w:val="pt-PT"/>
        </w:rPr>
      </w:pPr>
      <w:r w:rsidRPr="00465964">
        <w:rPr>
          <w:lang w:val="pt-PT"/>
        </w:rPr>
        <w:t>3.   No que respeita ao envio de dados pessoais para países terceiros, a EBA aplica o Regulamento (UE) 2018/1725.</w:t>
      </w:r>
    </w:p>
    <w:p w14:paraId="090A3918" w14:textId="77777777" w:rsidR="00465964" w:rsidRPr="00465964" w:rsidRDefault="00465964" w:rsidP="00465964">
      <w:pPr>
        <w:rPr>
          <w:i/>
          <w:iCs/>
          <w:lang w:val="pt-PT"/>
        </w:rPr>
      </w:pPr>
      <w:r w:rsidRPr="00465964">
        <w:rPr>
          <w:i/>
          <w:iCs/>
          <w:lang w:val="pt-PT"/>
        </w:rPr>
        <w:t>Artigo 127.</w:t>
      </w:r>
      <w:r w:rsidRPr="00465964">
        <w:rPr>
          <w:i/>
          <w:iCs/>
          <w:vertAlign w:val="superscript"/>
          <w:lang w:val="pt-PT"/>
        </w:rPr>
        <w:t>o</w:t>
      </w:r>
    </w:p>
    <w:p w14:paraId="683D04B7" w14:textId="77777777" w:rsidR="00465964" w:rsidRPr="00465964" w:rsidRDefault="00465964" w:rsidP="00465964">
      <w:pPr>
        <w:rPr>
          <w:b/>
          <w:bCs/>
          <w:lang w:val="pt-PT"/>
        </w:rPr>
      </w:pPr>
      <w:r w:rsidRPr="00465964">
        <w:rPr>
          <w:b/>
          <w:bCs/>
          <w:lang w:val="pt-PT"/>
        </w:rPr>
        <w:t>Divulgação de informações provenientes de países terceiros</w:t>
      </w:r>
    </w:p>
    <w:p w14:paraId="07EAC6C3" w14:textId="77777777" w:rsidR="00465964" w:rsidRPr="00465964" w:rsidRDefault="00465964" w:rsidP="00465964">
      <w:pPr>
        <w:rPr>
          <w:lang w:val="pt-PT"/>
        </w:rPr>
      </w:pPr>
      <w:r w:rsidRPr="00465964">
        <w:rPr>
          <w:lang w:val="pt-PT"/>
        </w:rPr>
        <w:t>1.   A EBA só pode divulgar informações recebidas das autoridades de supervisão de países terceiros se ela própria ou a autoridade competente que lhe disponibilizou as informações tiver obtido o acordo expresso da autoridade de supervisão de um país terceiro que enviou as informações e, se for caso disso, se as informações forem divulgadas unicamente para os fins para os quais essa autoridade de supervisão tenha dado o seu acordo, ou se a respetiva divulgação for necessária para fins judiciais.</w:t>
      </w:r>
    </w:p>
    <w:p w14:paraId="54D7D7FE" w14:textId="77777777" w:rsidR="00465964" w:rsidRPr="00465964" w:rsidRDefault="00465964" w:rsidP="00465964">
      <w:pPr>
        <w:rPr>
          <w:lang w:val="pt-PT"/>
        </w:rPr>
      </w:pPr>
      <w:r w:rsidRPr="00465964">
        <w:rPr>
          <w:lang w:val="pt-PT"/>
        </w:rPr>
        <w:t xml:space="preserve">2.   O requisito de acordo expresso a que se refere o </w:t>
      </w:r>
      <w:proofErr w:type="spellStart"/>
      <w:r w:rsidRPr="00465964">
        <w:rPr>
          <w:lang w:val="pt-PT"/>
        </w:rPr>
        <w:t>n.</w:t>
      </w:r>
      <w:r w:rsidRPr="00465964">
        <w:rPr>
          <w:vertAlign w:val="superscript"/>
          <w:lang w:val="pt-PT"/>
        </w:rPr>
        <w:t>o</w:t>
      </w:r>
      <w:proofErr w:type="spellEnd"/>
      <w:r w:rsidRPr="00465964">
        <w:rPr>
          <w:lang w:val="pt-PT"/>
        </w:rPr>
        <w:t> 1 não se aplica a outras autoridades de supervisão da União, se as informações por elas solicitadas forem necessárias para o desempenho das suas atribuições e não se aplica aos tribunais, se as informações por eles solicitadas forem necessárias para investigações ou processos relativos a infrações passíveis de sanções penais.</w:t>
      </w:r>
    </w:p>
    <w:p w14:paraId="77860B1B" w14:textId="77777777" w:rsidR="00465964" w:rsidRPr="00465964" w:rsidRDefault="00465964" w:rsidP="00465964">
      <w:pPr>
        <w:rPr>
          <w:i/>
          <w:iCs/>
          <w:lang w:val="pt-PT"/>
        </w:rPr>
      </w:pPr>
      <w:r w:rsidRPr="00465964">
        <w:rPr>
          <w:i/>
          <w:iCs/>
          <w:lang w:val="pt-PT"/>
        </w:rPr>
        <w:t>Artigo 128.</w:t>
      </w:r>
      <w:r w:rsidRPr="00465964">
        <w:rPr>
          <w:i/>
          <w:iCs/>
          <w:vertAlign w:val="superscript"/>
          <w:lang w:val="pt-PT"/>
        </w:rPr>
        <w:t>o</w:t>
      </w:r>
    </w:p>
    <w:p w14:paraId="6C64F0DC" w14:textId="77777777" w:rsidR="00465964" w:rsidRPr="00465964" w:rsidRDefault="00465964" w:rsidP="00465964">
      <w:pPr>
        <w:rPr>
          <w:b/>
          <w:bCs/>
          <w:lang w:val="pt-PT"/>
        </w:rPr>
      </w:pPr>
      <w:r w:rsidRPr="00465964">
        <w:rPr>
          <w:b/>
          <w:bCs/>
          <w:lang w:val="pt-PT"/>
        </w:rPr>
        <w:t>Cooperação com outras autoridades</w:t>
      </w:r>
    </w:p>
    <w:p w14:paraId="7779110B" w14:textId="77777777" w:rsidR="00465964" w:rsidRPr="00465964" w:rsidRDefault="00465964" w:rsidP="00465964">
      <w:pPr>
        <w:rPr>
          <w:lang w:val="pt-PT"/>
        </w:rPr>
      </w:pPr>
      <w:r w:rsidRPr="00465964">
        <w:rPr>
          <w:lang w:val="pt-PT"/>
        </w:rPr>
        <w:t xml:space="preserve">Nos casos em que um emitente de uma </w:t>
      </w:r>
      <w:proofErr w:type="spellStart"/>
      <w:r w:rsidRPr="00465964">
        <w:rPr>
          <w:lang w:val="pt-PT"/>
        </w:rPr>
        <w:t>criptoficha</w:t>
      </w:r>
      <w:proofErr w:type="spellEnd"/>
      <w:r w:rsidRPr="00465964">
        <w:rPr>
          <w:lang w:val="pt-PT"/>
        </w:rPr>
        <w:t xml:space="preserve"> referenciada a ativos significativa ou um emitente de uma </w:t>
      </w:r>
      <w:proofErr w:type="spellStart"/>
      <w:r w:rsidRPr="00465964">
        <w:rPr>
          <w:lang w:val="pt-PT"/>
        </w:rPr>
        <w:t>criptoficha</w:t>
      </w:r>
      <w:proofErr w:type="spellEnd"/>
      <w:r w:rsidRPr="00465964">
        <w:rPr>
          <w:lang w:val="pt-PT"/>
        </w:rPr>
        <w:t xml:space="preserve"> de moeda eletrónica significativa exerça atividades diferentes das abrangidas pelo presente regulamento, a EBA coopera com as autoridades responsáveis pela supervisão dessas outras atividades nos termos previstos no direito nacional ou no direito da União aplicável, nomeadamente com as autoridades fiscais e as autoridades de supervisão relevantes dos países terceiros que não sejam membros do colégio a que se refere o artigo 119.</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2, alínea m).</w:t>
      </w:r>
    </w:p>
    <w:p w14:paraId="7A8FCD33" w14:textId="77777777" w:rsidR="00465964" w:rsidRPr="00465964" w:rsidRDefault="00465964" w:rsidP="00465964">
      <w:pPr>
        <w:rPr>
          <w:i/>
          <w:iCs/>
          <w:lang w:val="pt-PT"/>
        </w:rPr>
      </w:pPr>
      <w:r w:rsidRPr="00465964">
        <w:rPr>
          <w:i/>
          <w:iCs/>
          <w:lang w:val="pt-PT"/>
        </w:rPr>
        <w:t>Artigo 129.</w:t>
      </w:r>
      <w:r w:rsidRPr="00465964">
        <w:rPr>
          <w:i/>
          <w:iCs/>
          <w:vertAlign w:val="superscript"/>
          <w:lang w:val="pt-PT"/>
        </w:rPr>
        <w:t>o</w:t>
      </w:r>
    </w:p>
    <w:p w14:paraId="79C0279E" w14:textId="77777777" w:rsidR="00465964" w:rsidRPr="00465964" w:rsidRDefault="00465964" w:rsidP="00465964">
      <w:pPr>
        <w:rPr>
          <w:b/>
          <w:bCs/>
          <w:lang w:val="pt-PT"/>
        </w:rPr>
      </w:pPr>
      <w:r w:rsidRPr="00465964">
        <w:rPr>
          <w:b/>
          <w:bCs/>
          <w:lang w:val="pt-PT"/>
        </w:rPr>
        <w:t>Sigilo profissional</w:t>
      </w:r>
    </w:p>
    <w:p w14:paraId="5BBCCF9C" w14:textId="77777777" w:rsidR="00465964" w:rsidRPr="00465964" w:rsidRDefault="00465964" w:rsidP="00465964">
      <w:pPr>
        <w:rPr>
          <w:lang w:val="pt-PT"/>
        </w:rPr>
      </w:pPr>
      <w:r w:rsidRPr="00465964">
        <w:rPr>
          <w:lang w:val="pt-PT"/>
        </w:rPr>
        <w:t>A EBA e todas as pessoas que trabalhem ou tenham trabalhado para a EBA, bem como para qualquer pessoa em quem a EBA tenha delegado atribuições, incluindo os auditores e peritos contratados pela EBA, ficam sujeitas à obrigação de sigilo profissional.</w:t>
      </w:r>
    </w:p>
    <w:p w14:paraId="75756D35" w14:textId="77777777" w:rsidR="00465964" w:rsidRPr="00465964" w:rsidRDefault="00465964" w:rsidP="00465964">
      <w:pPr>
        <w:rPr>
          <w:i/>
          <w:iCs/>
          <w:lang w:val="pt-PT"/>
        </w:rPr>
      </w:pPr>
      <w:r w:rsidRPr="00465964">
        <w:rPr>
          <w:i/>
          <w:iCs/>
          <w:lang w:val="pt-PT"/>
        </w:rPr>
        <w:t>Artigo 130.</w:t>
      </w:r>
      <w:r w:rsidRPr="00465964">
        <w:rPr>
          <w:i/>
          <w:iCs/>
          <w:vertAlign w:val="superscript"/>
          <w:lang w:val="pt-PT"/>
        </w:rPr>
        <w:t>o</w:t>
      </w:r>
    </w:p>
    <w:p w14:paraId="34EB8CC8" w14:textId="77777777" w:rsidR="00465964" w:rsidRPr="00465964" w:rsidRDefault="00465964" w:rsidP="00465964">
      <w:pPr>
        <w:rPr>
          <w:b/>
          <w:bCs/>
          <w:lang w:val="pt-PT"/>
        </w:rPr>
      </w:pPr>
      <w:r w:rsidRPr="00465964">
        <w:rPr>
          <w:b/>
          <w:bCs/>
          <w:lang w:val="pt-PT"/>
        </w:rPr>
        <w:t>Medidas de supervisão adotadas pela EBA</w:t>
      </w:r>
    </w:p>
    <w:p w14:paraId="4B849851" w14:textId="77777777" w:rsidR="00465964" w:rsidRPr="00465964" w:rsidRDefault="00465964" w:rsidP="00465964">
      <w:pPr>
        <w:rPr>
          <w:lang w:val="pt-PT"/>
        </w:rPr>
      </w:pPr>
      <w:r w:rsidRPr="00465964">
        <w:rPr>
          <w:lang w:val="pt-PT"/>
        </w:rPr>
        <w:t xml:space="preserve">1.   Caso a EBA conclua que um emitente de uma </w:t>
      </w:r>
      <w:proofErr w:type="spellStart"/>
      <w:r w:rsidRPr="00465964">
        <w:rPr>
          <w:lang w:val="pt-PT"/>
        </w:rPr>
        <w:t>criptoficha</w:t>
      </w:r>
      <w:proofErr w:type="spellEnd"/>
      <w:r w:rsidRPr="00465964">
        <w:rPr>
          <w:lang w:val="pt-PT"/>
        </w:rPr>
        <w:t xml:space="preserve"> referenciada a ativos significativa cometeu uma infração enumerada no anexo V, pode tomar uma ou mais das seguintes medidas:</w:t>
      </w:r>
    </w:p>
    <w:tbl>
      <w:tblPr>
        <w:tblW w:w="5000" w:type="pct"/>
        <w:tblCellMar>
          <w:left w:w="0" w:type="dxa"/>
          <w:right w:w="0" w:type="dxa"/>
        </w:tblCellMar>
        <w:tblLook w:val="04A0" w:firstRow="1" w:lastRow="0" w:firstColumn="1" w:lastColumn="0" w:noHBand="0" w:noVBand="1"/>
      </w:tblPr>
      <w:tblGrid>
        <w:gridCol w:w="182"/>
        <w:gridCol w:w="8844"/>
      </w:tblGrid>
      <w:tr w:rsidR="00465964" w:rsidRPr="00465964" w14:paraId="6E88200F" w14:textId="77777777" w:rsidTr="00465964">
        <w:tc>
          <w:tcPr>
            <w:tcW w:w="0" w:type="auto"/>
            <w:shd w:val="clear" w:color="auto" w:fill="auto"/>
            <w:hideMark/>
          </w:tcPr>
          <w:p w14:paraId="38D43617" w14:textId="77777777" w:rsidR="00465964" w:rsidRPr="00465964" w:rsidRDefault="00465964" w:rsidP="00465964">
            <w:r w:rsidRPr="00465964">
              <w:t>a)</w:t>
            </w:r>
          </w:p>
        </w:tc>
        <w:tc>
          <w:tcPr>
            <w:tcW w:w="0" w:type="auto"/>
            <w:shd w:val="clear" w:color="auto" w:fill="auto"/>
            <w:hideMark/>
          </w:tcPr>
          <w:p w14:paraId="402BE1F4" w14:textId="77777777" w:rsidR="00465964" w:rsidRPr="00465964" w:rsidRDefault="00465964" w:rsidP="00465964">
            <w:pPr>
              <w:rPr>
                <w:lang w:val="pt-PT"/>
              </w:rPr>
            </w:pPr>
            <w:r w:rsidRPr="00465964">
              <w:rPr>
                <w:lang w:val="pt-PT"/>
              </w:rPr>
              <w:t xml:space="preserve">Adotar uma decisão que exija que o emitente da </w:t>
            </w:r>
            <w:proofErr w:type="spellStart"/>
            <w:r w:rsidRPr="00465964">
              <w:rPr>
                <w:lang w:val="pt-PT"/>
              </w:rPr>
              <w:t>criptoficha</w:t>
            </w:r>
            <w:proofErr w:type="spellEnd"/>
            <w:r w:rsidRPr="00465964">
              <w:rPr>
                <w:lang w:val="pt-PT"/>
              </w:rPr>
              <w:t xml:space="preserve"> referenciada a ativos significativa ponha termo à conduta que constitui a infração;</w:t>
            </w:r>
          </w:p>
        </w:tc>
      </w:tr>
    </w:tbl>
    <w:p w14:paraId="7742D828"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8"/>
        <w:gridCol w:w="8838"/>
      </w:tblGrid>
      <w:tr w:rsidR="00465964" w:rsidRPr="00465964" w14:paraId="38550759" w14:textId="77777777" w:rsidTr="00465964">
        <w:tc>
          <w:tcPr>
            <w:tcW w:w="0" w:type="auto"/>
            <w:shd w:val="clear" w:color="auto" w:fill="auto"/>
            <w:hideMark/>
          </w:tcPr>
          <w:p w14:paraId="5A6B6859" w14:textId="77777777" w:rsidR="00465964" w:rsidRPr="00465964" w:rsidRDefault="00465964" w:rsidP="00465964">
            <w:r w:rsidRPr="00465964">
              <w:lastRenderedPageBreak/>
              <w:t>b)</w:t>
            </w:r>
          </w:p>
        </w:tc>
        <w:tc>
          <w:tcPr>
            <w:tcW w:w="0" w:type="auto"/>
            <w:shd w:val="clear" w:color="auto" w:fill="auto"/>
            <w:hideMark/>
          </w:tcPr>
          <w:p w14:paraId="658EF4DF" w14:textId="77777777" w:rsidR="00465964" w:rsidRPr="00465964" w:rsidRDefault="00465964" w:rsidP="00465964">
            <w:pPr>
              <w:rPr>
                <w:lang w:val="pt-PT"/>
              </w:rPr>
            </w:pPr>
            <w:r w:rsidRPr="00465964">
              <w:rPr>
                <w:lang w:val="pt-PT"/>
              </w:rPr>
              <w:t>Adotar uma decisão que aplique coimas ou sanções pecuniárias compulsórias nos termos dos artigos 131.</w:t>
            </w:r>
            <w:r w:rsidRPr="00465964">
              <w:rPr>
                <w:vertAlign w:val="superscript"/>
                <w:lang w:val="pt-PT"/>
              </w:rPr>
              <w:t>o</w:t>
            </w:r>
            <w:r w:rsidRPr="00465964">
              <w:rPr>
                <w:lang w:val="pt-PT"/>
              </w:rPr>
              <w:t> e 132.</w:t>
            </w:r>
            <w:r w:rsidRPr="00465964">
              <w:rPr>
                <w:vertAlign w:val="superscript"/>
                <w:lang w:val="pt-PT"/>
              </w:rPr>
              <w:t>o</w:t>
            </w:r>
            <w:r w:rsidRPr="00465964">
              <w:rPr>
                <w:lang w:val="pt-PT"/>
              </w:rPr>
              <w:t>;</w:t>
            </w:r>
          </w:p>
        </w:tc>
      </w:tr>
    </w:tbl>
    <w:p w14:paraId="3107B03C"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0"/>
        <w:gridCol w:w="8846"/>
      </w:tblGrid>
      <w:tr w:rsidR="00465964" w:rsidRPr="00465964" w14:paraId="494C85DB" w14:textId="77777777" w:rsidTr="00465964">
        <w:tc>
          <w:tcPr>
            <w:tcW w:w="0" w:type="auto"/>
            <w:shd w:val="clear" w:color="auto" w:fill="auto"/>
            <w:hideMark/>
          </w:tcPr>
          <w:p w14:paraId="0F00AB8B" w14:textId="77777777" w:rsidR="00465964" w:rsidRPr="00465964" w:rsidRDefault="00465964" w:rsidP="00465964">
            <w:r w:rsidRPr="00465964">
              <w:t>c)</w:t>
            </w:r>
          </w:p>
        </w:tc>
        <w:tc>
          <w:tcPr>
            <w:tcW w:w="0" w:type="auto"/>
            <w:shd w:val="clear" w:color="auto" w:fill="auto"/>
            <w:hideMark/>
          </w:tcPr>
          <w:p w14:paraId="27C19A63" w14:textId="77777777" w:rsidR="00465964" w:rsidRPr="00465964" w:rsidRDefault="00465964" w:rsidP="00465964">
            <w:pPr>
              <w:rPr>
                <w:lang w:val="pt-PT"/>
              </w:rPr>
            </w:pPr>
            <w:r w:rsidRPr="00465964">
              <w:rPr>
                <w:lang w:val="pt-PT"/>
              </w:rPr>
              <w:t xml:space="preserve">Adotar uma decisão que exija que o emitente da </w:t>
            </w:r>
            <w:proofErr w:type="spellStart"/>
            <w:r w:rsidRPr="00465964">
              <w:rPr>
                <w:lang w:val="pt-PT"/>
              </w:rPr>
              <w:t>criptoficha</w:t>
            </w:r>
            <w:proofErr w:type="spellEnd"/>
            <w:r w:rsidRPr="00465964">
              <w:rPr>
                <w:lang w:val="pt-PT"/>
              </w:rPr>
              <w:t xml:space="preserve"> referenciada a ativos significativa forneça informação complementar quando tal seja necessário para a proteção dos detentores da </w:t>
            </w:r>
            <w:proofErr w:type="spellStart"/>
            <w:r w:rsidRPr="00465964">
              <w:rPr>
                <w:lang w:val="pt-PT"/>
              </w:rPr>
              <w:t>criptoficha</w:t>
            </w:r>
            <w:proofErr w:type="spellEnd"/>
            <w:r w:rsidRPr="00465964">
              <w:rPr>
                <w:lang w:val="pt-PT"/>
              </w:rPr>
              <w:t xml:space="preserve"> referenciada a ativos, em particular dos detentores não profissionais;</w:t>
            </w:r>
          </w:p>
        </w:tc>
      </w:tr>
    </w:tbl>
    <w:p w14:paraId="17B7FDC0"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8"/>
        <w:gridCol w:w="8838"/>
      </w:tblGrid>
      <w:tr w:rsidR="00465964" w:rsidRPr="00465964" w14:paraId="15647D3F" w14:textId="77777777" w:rsidTr="00465964">
        <w:tc>
          <w:tcPr>
            <w:tcW w:w="0" w:type="auto"/>
            <w:shd w:val="clear" w:color="auto" w:fill="auto"/>
            <w:hideMark/>
          </w:tcPr>
          <w:p w14:paraId="088E6467" w14:textId="77777777" w:rsidR="00465964" w:rsidRPr="00465964" w:rsidRDefault="00465964" w:rsidP="00465964">
            <w:r w:rsidRPr="00465964">
              <w:t>d)</w:t>
            </w:r>
          </w:p>
        </w:tc>
        <w:tc>
          <w:tcPr>
            <w:tcW w:w="0" w:type="auto"/>
            <w:shd w:val="clear" w:color="auto" w:fill="auto"/>
            <w:hideMark/>
          </w:tcPr>
          <w:p w14:paraId="59AE78FE" w14:textId="77777777" w:rsidR="00465964" w:rsidRPr="00465964" w:rsidRDefault="00465964" w:rsidP="00465964">
            <w:pPr>
              <w:rPr>
                <w:lang w:val="pt-PT"/>
              </w:rPr>
            </w:pPr>
            <w:r w:rsidRPr="00465964">
              <w:rPr>
                <w:lang w:val="pt-PT"/>
              </w:rPr>
              <w:t xml:space="preserve">Adotar uma decisão que exija que o emitente da </w:t>
            </w:r>
            <w:proofErr w:type="spellStart"/>
            <w:r w:rsidRPr="00465964">
              <w:rPr>
                <w:lang w:val="pt-PT"/>
              </w:rPr>
              <w:t>criptoficha</w:t>
            </w:r>
            <w:proofErr w:type="spellEnd"/>
            <w:r w:rsidRPr="00465964">
              <w:rPr>
                <w:lang w:val="pt-PT"/>
              </w:rPr>
              <w:t xml:space="preserve"> referenciada a ativos significativa suspenda uma oferta pública de criptoativos por um período máximo de 30 dias úteis consecutivos, de cada vez que tenha motivos razoáveis para suspeitar que o presente regulamento foi infringido;</w:t>
            </w:r>
          </w:p>
        </w:tc>
      </w:tr>
    </w:tbl>
    <w:p w14:paraId="4B258C9D"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1"/>
        <w:gridCol w:w="8845"/>
      </w:tblGrid>
      <w:tr w:rsidR="00465964" w:rsidRPr="00465964" w14:paraId="63058476" w14:textId="77777777" w:rsidTr="00465964">
        <w:tc>
          <w:tcPr>
            <w:tcW w:w="0" w:type="auto"/>
            <w:shd w:val="clear" w:color="auto" w:fill="auto"/>
            <w:hideMark/>
          </w:tcPr>
          <w:p w14:paraId="7A903BBF" w14:textId="77777777" w:rsidR="00465964" w:rsidRPr="00465964" w:rsidRDefault="00465964" w:rsidP="00465964">
            <w:r w:rsidRPr="00465964">
              <w:t>e)</w:t>
            </w:r>
          </w:p>
        </w:tc>
        <w:tc>
          <w:tcPr>
            <w:tcW w:w="0" w:type="auto"/>
            <w:shd w:val="clear" w:color="auto" w:fill="auto"/>
            <w:hideMark/>
          </w:tcPr>
          <w:p w14:paraId="0A5110FE" w14:textId="77777777" w:rsidR="00465964" w:rsidRPr="00465964" w:rsidRDefault="00465964" w:rsidP="00465964">
            <w:pPr>
              <w:rPr>
                <w:lang w:val="pt-PT"/>
              </w:rPr>
            </w:pPr>
            <w:r w:rsidRPr="00465964">
              <w:rPr>
                <w:lang w:val="pt-PT"/>
              </w:rPr>
              <w:t xml:space="preserve">Adotar uma decisão que proíba uma oferta pública da </w:t>
            </w:r>
            <w:proofErr w:type="spellStart"/>
            <w:r w:rsidRPr="00465964">
              <w:rPr>
                <w:lang w:val="pt-PT"/>
              </w:rPr>
              <w:t>criptoficha</w:t>
            </w:r>
            <w:proofErr w:type="spellEnd"/>
            <w:r w:rsidRPr="00465964">
              <w:rPr>
                <w:lang w:val="pt-PT"/>
              </w:rPr>
              <w:t xml:space="preserve"> referenciada a ativos significativa, caso constate que o presente regulamento foi infringido ou caso tenha motivos razoáveis para suspeitar que será infringido;</w:t>
            </w:r>
          </w:p>
        </w:tc>
      </w:tr>
    </w:tbl>
    <w:p w14:paraId="65B798CD"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36"/>
        <w:gridCol w:w="8890"/>
      </w:tblGrid>
      <w:tr w:rsidR="00465964" w:rsidRPr="00465964" w14:paraId="46288F2C" w14:textId="77777777" w:rsidTr="00465964">
        <w:tc>
          <w:tcPr>
            <w:tcW w:w="0" w:type="auto"/>
            <w:shd w:val="clear" w:color="auto" w:fill="auto"/>
            <w:hideMark/>
          </w:tcPr>
          <w:p w14:paraId="4F6DECEE" w14:textId="77777777" w:rsidR="00465964" w:rsidRPr="00465964" w:rsidRDefault="00465964" w:rsidP="00465964">
            <w:r w:rsidRPr="00465964">
              <w:t>f)</w:t>
            </w:r>
          </w:p>
        </w:tc>
        <w:tc>
          <w:tcPr>
            <w:tcW w:w="0" w:type="auto"/>
            <w:shd w:val="clear" w:color="auto" w:fill="auto"/>
            <w:hideMark/>
          </w:tcPr>
          <w:p w14:paraId="472734FC" w14:textId="77777777" w:rsidR="00465964" w:rsidRPr="00465964" w:rsidRDefault="00465964" w:rsidP="00465964">
            <w:pPr>
              <w:rPr>
                <w:lang w:val="pt-PT"/>
              </w:rPr>
            </w:pPr>
            <w:r w:rsidRPr="00465964">
              <w:rPr>
                <w:lang w:val="pt-PT"/>
              </w:rPr>
              <w:t xml:space="preserve">Adotar uma decisão que exija que o prestador de serviços de criptoativos que opera uma plataforma de negociação de criptoativos que tenha admitido à negociação a </w:t>
            </w:r>
            <w:proofErr w:type="spellStart"/>
            <w:r w:rsidRPr="00465964">
              <w:rPr>
                <w:lang w:val="pt-PT"/>
              </w:rPr>
              <w:t>criptoficha</w:t>
            </w:r>
            <w:proofErr w:type="spellEnd"/>
            <w:r w:rsidRPr="00465964">
              <w:rPr>
                <w:lang w:val="pt-PT"/>
              </w:rPr>
              <w:t xml:space="preserve"> referenciada a ativos significativa suspenda a negociação desse criptoativo por um período máximo de 30 dias úteis consecutivos, de cada vez que tenha motivos razoáveis para suspeitar que o presente regulamento foi infringido;</w:t>
            </w:r>
          </w:p>
        </w:tc>
      </w:tr>
    </w:tbl>
    <w:p w14:paraId="1D096CD8"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74"/>
        <w:gridCol w:w="8852"/>
      </w:tblGrid>
      <w:tr w:rsidR="00465964" w:rsidRPr="00465964" w14:paraId="1CEF916B" w14:textId="77777777" w:rsidTr="00465964">
        <w:tc>
          <w:tcPr>
            <w:tcW w:w="0" w:type="auto"/>
            <w:shd w:val="clear" w:color="auto" w:fill="auto"/>
            <w:hideMark/>
          </w:tcPr>
          <w:p w14:paraId="0DA1567D" w14:textId="77777777" w:rsidR="00465964" w:rsidRPr="00465964" w:rsidRDefault="00465964" w:rsidP="00465964">
            <w:r w:rsidRPr="00465964">
              <w:t>g)</w:t>
            </w:r>
          </w:p>
        </w:tc>
        <w:tc>
          <w:tcPr>
            <w:tcW w:w="0" w:type="auto"/>
            <w:shd w:val="clear" w:color="auto" w:fill="auto"/>
            <w:hideMark/>
          </w:tcPr>
          <w:p w14:paraId="017FBFD9" w14:textId="77777777" w:rsidR="00465964" w:rsidRPr="00465964" w:rsidRDefault="00465964" w:rsidP="00465964">
            <w:pPr>
              <w:rPr>
                <w:lang w:val="pt-PT"/>
              </w:rPr>
            </w:pPr>
            <w:r w:rsidRPr="00465964">
              <w:rPr>
                <w:lang w:val="pt-PT"/>
              </w:rPr>
              <w:t xml:space="preserve">Adotar uma decisão que proíba a negociação da </w:t>
            </w:r>
            <w:proofErr w:type="spellStart"/>
            <w:r w:rsidRPr="00465964">
              <w:rPr>
                <w:lang w:val="pt-PT"/>
              </w:rPr>
              <w:t>criptoficha</w:t>
            </w:r>
            <w:proofErr w:type="spellEnd"/>
            <w:r w:rsidRPr="00465964">
              <w:rPr>
                <w:lang w:val="pt-PT"/>
              </w:rPr>
              <w:t xml:space="preserve"> referenciada a ativos significativa numa plataforma de negociação de criptoativos, caso constate que o presente regulamento foi infringido;</w:t>
            </w:r>
          </w:p>
        </w:tc>
      </w:tr>
    </w:tbl>
    <w:p w14:paraId="2DAA8872"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6"/>
        <w:gridCol w:w="8840"/>
      </w:tblGrid>
      <w:tr w:rsidR="00465964" w:rsidRPr="00465964" w14:paraId="551854B4" w14:textId="77777777" w:rsidTr="00465964">
        <w:tc>
          <w:tcPr>
            <w:tcW w:w="0" w:type="auto"/>
            <w:shd w:val="clear" w:color="auto" w:fill="auto"/>
            <w:hideMark/>
          </w:tcPr>
          <w:p w14:paraId="024142D7" w14:textId="77777777" w:rsidR="00465964" w:rsidRPr="00465964" w:rsidRDefault="00465964" w:rsidP="00465964">
            <w:r w:rsidRPr="00465964">
              <w:t>h)</w:t>
            </w:r>
          </w:p>
        </w:tc>
        <w:tc>
          <w:tcPr>
            <w:tcW w:w="0" w:type="auto"/>
            <w:shd w:val="clear" w:color="auto" w:fill="auto"/>
            <w:hideMark/>
          </w:tcPr>
          <w:p w14:paraId="1CADDD87" w14:textId="77777777" w:rsidR="00465964" w:rsidRPr="00465964" w:rsidRDefault="00465964" w:rsidP="00465964">
            <w:pPr>
              <w:rPr>
                <w:lang w:val="pt-PT"/>
              </w:rPr>
            </w:pPr>
            <w:r w:rsidRPr="00465964">
              <w:rPr>
                <w:lang w:val="pt-PT"/>
              </w:rPr>
              <w:t xml:space="preserve">Adotar uma decisão que exija que o emitente da </w:t>
            </w:r>
            <w:proofErr w:type="spellStart"/>
            <w:r w:rsidRPr="00465964">
              <w:rPr>
                <w:lang w:val="pt-PT"/>
              </w:rPr>
              <w:t>criptoficha</w:t>
            </w:r>
            <w:proofErr w:type="spellEnd"/>
            <w:r w:rsidRPr="00465964">
              <w:rPr>
                <w:lang w:val="pt-PT"/>
              </w:rPr>
              <w:t xml:space="preserve"> referenciada a ativos significativa altere as suas comunicações comerciais, caso considere que as comunicações comerciais não cumprem o disposto no artigo 29.</w:t>
            </w:r>
            <w:r w:rsidRPr="00465964">
              <w:rPr>
                <w:vertAlign w:val="superscript"/>
                <w:lang w:val="pt-PT"/>
              </w:rPr>
              <w:t>o</w:t>
            </w:r>
            <w:r w:rsidRPr="00465964">
              <w:rPr>
                <w:lang w:val="pt-PT"/>
              </w:rPr>
              <w:t>;</w:t>
            </w:r>
          </w:p>
        </w:tc>
      </w:tr>
    </w:tbl>
    <w:p w14:paraId="21766F9F"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17"/>
        <w:gridCol w:w="8909"/>
      </w:tblGrid>
      <w:tr w:rsidR="00465964" w:rsidRPr="00465964" w14:paraId="43EF36B3" w14:textId="77777777" w:rsidTr="00465964">
        <w:tc>
          <w:tcPr>
            <w:tcW w:w="0" w:type="auto"/>
            <w:shd w:val="clear" w:color="auto" w:fill="auto"/>
            <w:hideMark/>
          </w:tcPr>
          <w:p w14:paraId="57A4EA0C" w14:textId="77777777" w:rsidR="00465964" w:rsidRPr="00465964" w:rsidRDefault="00465964" w:rsidP="00465964">
            <w:proofErr w:type="spellStart"/>
            <w:r w:rsidRPr="00465964">
              <w:t>i</w:t>
            </w:r>
            <w:proofErr w:type="spellEnd"/>
            <w:r w:rsidRPr="00465964">
              <w:t>)</w:t>
            </w:r>
          </w:p>
        </w:tc>
        <w:tc>
          <w:tcPr>
            <w:tcW w:w="0" w:type="auto"/>
            <w:shd w:val="clear" w:color="auto" w:fill="auto"/>
            <w:hideMark/>
          </w:tcPr>
          <w:p w14:paraId="6CB3AC8B" w14:textId="77777777" w:rsidR="00465964" w:rsidRPr="00465964" w:rsidRDefault="00465964" w:rsidP="00465964">
            <w:pPr>
              <w:rPr>
                <w:lang w:val="pt-PT"/>
              </w:rPr>
            </w:pPr>
            <w:r w:rsidRPr="00465964">
              <w:rPr>
                <w:lang w:val="pt-PT"/>
              </w:rPr>
              <w:t>Adotar uma decisão que suspenda ou proíba comunicações comerciais sempre que haja motivos razoáveis para suspeitar que o presente regulamento foi infringido;</w:t>
            </w:r>
          </w:p>
        </w:tc>
      </w:tr>
    </w:tbl>
    <w:p w14:paraId="4B124193"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17"/>
        <w:gridCol w:w="8909"/>
      </w:tblGrid>
      <w:tr w:rsidR="00465964" w:rsidRPr="00465964" w14:paraId="1C0948CC" w14:textId="77777777" w:rsidTr="00465964">
        <w:tc>
          <w:tcPr>
            <w:tcW w:w="0" w:type="auto"/>
            <w:shd w:val="clear" w:color="auto" w:fill="auto"/>
            <w:hideMark/>
          </w:tcPr>
          <w:p w14:paraId="166A885C" w14:textId="77777777" w:rsidR="00465964" w:rsidRPr="00465964" w:rsidRDefault="00465964" w:rsidP="00465964">
            <w:r w:rsidRPr="00465964">
              <w:t>j)</w:t>
            </w:r>
          </w:p>
        </w:tc>
        <w:tc>
          <w:tcPr>
            <w:tcW w:w="0" w:type="auto"/>
            <w:shd w:val="clear" w:color="auto" w:fill="auto"/>
            <w:hideMark/>
          </w:tcPr>
          <w:p w14:paraId="0FFDF0BD" w14:textId="32DF9251" w:rsidR="00465964" w:rsidRPr="00465964" w:rsidRDefault="00465964" w:rsidP="00465964">
            <w:pPr>
              <w:rPr>
                <w:lang w:val="pt-PT"/>
              </w:rPr>
            </w:pPr>
            <w:r w:rsidRPr="00465964">
              <w:rPr>
                <w:lang w:val="pt-PT"/>
              </w:rPr>
              <w:t xml:space="preserve">Adotar uma decisão que exija que o emitente da </w:t>
            </w:r>
            <w:proofErr w:type="spellStart"/>
            <w:r w:rsidRPr="00465964">
              <w:rPr>
                <w:lang w:val="pt-PT"/>
              </w:rPr>
              <w:t>criptoficha</w:t>
            </w:r>
            <w:proofErr w:type="spellEnd"/>
            <w:r w:rsidRPr="00465964">
              <w:rPr>
                <w:lang w:val="pt-PT"/>
              </w:rPr>
              <w:t xml:space="preserve"> referenciada a ativos significativa divulgue toda a informação relevante suscetível de influenciar a avaliação das </w:t>
            </w:r>
            <w:r>
              <w:rPr>
                <w:lang w:val="pt-PT"/>
              </w:rPr>
              <w:t>criptomoedas</w:t>
            </w:r>
            <w:r w:rsidRPr="00465964">
              <w:rPr>
                <w:lang w:val="pt-PT"/>
              </w:rPr>
              <w:t xml:space="preserve"> referenciadas a ativos significativas objeto de oferta pública ou admitidas à negociação, no intuito de assegurar a proteção dos consumidores ou o regular funcionamento do mercado;</w:t>
            </w:r>
          </w:p>
        </w:tc>
      </w:tr>
    </w:tbl>
    <w:p w14:paraId="2B3A6E30"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72"/>
        <w:gridCol w:w="8854"/>
      </w:tblGrid>
      <w:tr w:rsidR="00465964" w:rsidRPr="00465964" w14:paraId="48F3113A" w14:textId="77777777" w:rsidTr="00465964">
        <w:tc>
          <w:tcPr>
            <w:tcW w:w="0" w:type="auto"/>
            <w:shd w:val="clear" w:color="auto" w:fill="auto"/>
            <w:hideMark/>
          </w:tcPr>
          <w:p w14:paraId="7BA1E420" w14:textId="77777777" w:rsidR="00465964" w:rsidRPr="00465964" w:rsidRDefault="00465964" w:rsidP="00465964">
            <w:r w:rsidRPr="00465964">
              <w:t>k)</w:t>
            </w:r>
          </w:p>
        </w:tc>
        <w:tc>
          <w:tcPr>
            <w:tcW w:w="0" w:type="auto"/>
            <w:shd w:val="clear" w:color="auto" w:fill="auto"/>
            <w:hideMark/>
          </w:tcPr>
          <w:p w14:paraId="0CB9A4C7" w14:textId="77777777" w:rsidR="00465964" w:rsidRPr="00465964" w:rsidRDefault="00465964" w:rsidP="00465964">
            <w:pPr>
              <w:rPr>
                <w:lang w:val="pt-PT"/>
              </w:rPr>
            </w:pPr>
            <w:r w:rsidRPr="00465964">
              <w:rPr>
                <w:lang w:val="pt-PT"/>
              </w:rPr>
              <w:t xml:space="preserve">Emitir alertas sobre o facto de que um emitente da </w:t>
            </w:r>
            <w:proofErr w:type="spellStart"/>
            <w:r w:rsidRPr="00465964">
              <w:rPr>
                <w:lang w:val="pt-PT"/>
              </w:rPr>
              <w:t>criptoficha</w:t>
            </w:r>
            <w:proofErr w:type="spellEnd"/>
            <w:r w:rsidRPr="00465964">
              <w:rPr>
                <w:lang w:val="pt-PT"/>
              </w:rPr>
              <w:t xml:space="preserve"> referenciada a ativos significativa não cumpre as suas obrigações nos termos do presente regulamento;</w:t>
            </w:r>
          </w:p>
        </w:tc>
      </w:tr>
    </w:tbl>
    <w:p w14:paraId="2FE8BAFC"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38"/>
        <w:gridCol w:w="8888"/>
      </w:tblGrid>
      <w:tr w:rsidR="00465964" w:rsidRPr="00465964" w14:paraId="1DAAB377" w14:textId="77777777" w:rsidTr="00465964">
        <w:tc>
          <w:tcPr>
            <w:tcW w:w="0" w:type="auto"/>
            <w:shd w:val="clear" w:color="auto" w:fill="auto"/>
            <w:hideMark/>
          </w:tcPr>
          <w:p w14:paraId="0E5A1204" w14:textId="77777777" w:rsidR="00465964" w:rsidRPr="00465964" w:rsidRDefault="00465964" w:rsidP="00465964">
            <w:r w:rsidRPr="00465964">
              <w:t>l)</w:t>
            </w:r>
          </w:p>
        </w:tc>
        <w:tc>
          <w:tcPr>
            <w:tcW w:w="0" w:type="auto"/>
            <w:shd w:val="clear" w:color="auto" w:fill="auto"/>
            <w:hideMark/>
          </w:tcPr>
          <w:p w14:paraId="3071ED55" w14:textId="77777777" w:rsidR="00465964" w:rsidRPr="00465964" w:rsidRDefault="00465964" w:rsidP="00465964">
            <w:pPr>
              <w:rPr>
                <w:lang w:val="pt-PT"/>
              </w:rPr>
            </w:pPr>
            <w:r w:rsidRPr="00465964">
              <w:rPr>
                <w:lang w:val="pt-PT"/>
              </w:rPr>
              <w:t xml:space="preserve">Revogar a autorização do emitente da </w:t>
            </w:r>
            <w:proofErr w:type="spellStart"/>
            <w:r w:rsidRPr="00465964">
              <w:rPr>
                <w:lang w:val="pt-PT"/>
              </w:rPr>
              <w:t>criptoficha</w:t>
            </w:r>
            <w:proofErr w:type="spellEnd"/>
            <w:r w:rsidRPr="00465964">
              <w:rPr>
                <w:lang w:val="pt-PT"/>
              </w:rPr>
              <w:t xml:space="preserve"> referenciada a ativos significativa;</w:t>
            </w:r>
          </w:p>
        </w:tc>
      </w:tr>
    </w:tbl>
    <w:p w14:paraId="38B3B10D"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253"/>
        <w:gridCol w:w="8773"/>
      </w:tblGrid>
      <w:tr w:rsidR="00465964" w:rsidRPr="00465964" w14:paraId="63CADC5D" w14:textId="77777777" w:rsidTr="00465964">
        <w:tc>
          <w:tcPr>
            <w:tcW w:w="0" w:type="auto"/>
            <w:shd w:val="clear" w:color="auto" w:fill="auto"/>
            <w:hideMark/>
          </w:tcPr>
          <w:p w14:paraId="609C0AE0" w14:textId="77777777" w:rsidR="00465964" w:rsidRPr="00465964" w:rsidRDefault="00465964" w:rsidP="00465964">
            <w:r w:rsidRPr="00465964">
              <w:t>m)</w:t>
            </w:r>
          </w:p>
        </w:tc>
        <w:tc>
          <w:tcPr>
            <w:tcW w:w="0" w:type="auto"/>
            <w:shd w:val="clear" w:color="auto" w:fill="auto"/>
            <w:hideMark/>
          </w:tcPr>
          <w:p w14:paraId="5D5A1455" w14:textId="77777777" w:rsidR="00465964" w:rsidRPr="00465964" w:rsidRDefault="00465964" w:rsidP="00465964">
            <w:pPr>
              <w:rPr>
                <w:lang w:val="pt-PT"/>
              </w:rPr>
            </w:pPr>
            <w:r w:rsidRPr="00465964">
              <w:rPr>
                <w:lang w:val="pt-PT"/>
              </w:rPr>
              <w:t xml:space="preserve">Adotar uma decisão que exija a retirada de uma pessoa singular do órgão de administração do emitente da </w:t>
            </w:r>
            <w:proofErr w:type="spellStart"/>
            <w:r w:rsidRPr="00465964">
              <w:rPr>
                <w:lang w:val="pt-PT"/>
              </w:rPr>
              <w:t>criptoficha</w:t>
            </w:r>
            <w:proofErr w:type="spellEnd"/>
            <w:r w:rsidRPr="00465964">
              <w:rPr>
                <w:lang w:val="pt-PT"/>
              </w:rPr>
              <w:t xml:space="preserve"> referenciada a ativos significativa;</w:t>
            </w:r>
          </w:p>
        </w:tc>
      </w:tr>
    </w:tbl>
    <w:p w14:paraId="7874D3AB"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6"/>
        <w:gridCol w:w="8840"/>
      </w:tblGrid>
      <w:tr w:rsidR="00465964" w:rsidRPr="00465964" w14:paraId="3BC648E8" w14:textId="77777777" w:rsidTr="00465964">
        <w:tc>
          <w:tcPr>
            <w:tcW w:w="0" w:type="auto"/>
            <w:shd w:val="clear" w:color="auto" w:fill="auto"/>
            <w:hideMark/>
          </w:tcPr>
          <w:p w14:paraId="34E938F0" w14:textId="77777777" w:rsidR="00465964" w:rsidRPr="00465964" w:rsidRDefault="00465964" w:rsidP="00465964">
            <w:r w:rsidRPr="00465964">
              <w:t>n)</w:t>
            </w:r>
          </w:p>
        </w:tc>
        <w:tc>
          <w:tcPr>
            <w:tcW w:w="0" w:type="auto"/>
            <w:shd w:val="clear" w:color="auto" w:fill="auto"/>
            <w:hideMark/>
          </w:tcPr>
          <w:p w14:paraId="723A25BA" w14:textId="77777777" w:rsidR="00465964" w:rsidRPr="00465964" w:rsidRDefault="00465964" w:rsidP="00465964">
            <w:pPr>
              <w:rPr>
                <w:lang w:val="pt-PT"/>
              </w:rPr>
            </w:pPr>
            <w:r w:rsidRPr="00465964">
              <w:rPr>
                <w:lang w:val="pt-PT"/>
              </w:rPr>
              <w:t xml:space="preserve">Exigir que o emitente da </w:t>
            </w:r>
            <w:proofErr w:type="spellStart"/>
            <w:r w:rsidRPr="00465964">
              <w:rPr>
                <w:lang w:val="pt-PT"/>
              </w:rPr>
              <w:t>criptoficha</w:t>
            </w:r>
            <w:proofErr w:type="spellEnd"/>
            <w:r w:rsidRPr="00465964">
              <w:rPr>
                <w:lang w:val="pt-PT"/>
              </w:rPr>
              <w:t xml:space="preserve"> referenciada a ativos significativa sob a sua supervisão introduza um montante nominal mínimo relativamente a essa </w:t>
            </w:r>
            <w:proofErr w:type="spellStart"/>
            <w:r w:rsidRPr="00465964">
              <w:rPr>
                <w:lang w:val="pt-PT"/>
              </w:rPr>
              <w:t>criptoficha</w:t>
            </w:r>
            <w:proofErr w:type="spellEnd"/>
            <w:r w:rsidRPr="00465964">
              <w:rPr>
                <w:lang w:val="pt-PT"/>
              </w:rPr>
              <w:t xml:space="preserve"> referenciada a ativos significativa ou limite o montante da </w:t>
            </w:r>
            <w:proofErr w:type="spellStart"/>
            <w:r w:rsidRPr="00465964">
              <w:rPr>
                <w:lang w:val="pt-PT"/>
              </w:rPr>
              <w:t>criptoficha</w:t>
            </w:r>
            <w:proofErr w:type="spellEnd"/>
            <w:r w:rsidRPr="00465964">
              <w:rPr>
                <w:lang w:val="pt-PT"/>
              </w:rPr>
              <w:t xml:space="preserve"> referenciada a ativos significativa emitida, nos termos do artigo 23.</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4, e do artigo 24.</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3.</w:t>
            </w:r>
          </w:p>
        </w:tc>
      </w:tr>
    </w:tbl>
    <w:p w14:paraId="40E7BB55" w14:textId="77777777" w:rsidR="00465964" w:rsidRPr="00465964" w:rsidRDefault="00465964" w:rsidP="00465964">
      <w:pPr>
        <w:rPr>
          <w:lang w:val="pt-PT"/>
        </w:rPr>
      </w:pPr>
      <w:r w:rsidRPr="00465964">
        <w:rPr>
          <w:lang w:val="pt-PT"/>
        </w:rPr>
        <w:lastRenderedPageBreak/>
        <w:t xml:space="preserve">2.   Caso a EBA conclua que um emitente de uma </w:t>
      </w:r>
      <w:proofErr w:type="spellStart"/>
      <w:r w:rsidRPr="00465964">
        <w:rPr>
          <w:lang w:val="pt-PT"/>
        </w:rPr>
        <w:t>criptoficha</w:t>
      </w:r>
      <w:proofErr w:type="spellEnd"/>
      <w:r w:rsidRPr="00465964">
        <w:rPr>
          <w:lang w:val="pt-PT"/>
        </w:rPr>
        <w:t xml:space="preserve"> de moeda eletrónica significativa cometeu uma infração enumerada no anexo VI, pode tomar uma ou mais das seguintes medidas:</w:t>
      </w:r>
    </w:p>
    <w:tbl>
      <w:tblPr>
        <w:tblW w:w="5000" w:type="pct"/>
        <w:tblCellMar>
          <w:left w:w="0" w:type="dxa"/>
          <w:right w:w="0" w:type="dxa"/>
        </w:tblCellMar>
        <w:tblLook w:val="04A0" w:firstRow="1" w:lastRow="0" w:firstColumn="1" w:lastColumn="0" w:noHBand="0" w:noVBand="1"/>
      </w:tblPr>
      <w:tblGrid>
        <w:gridCol w:w="182"/>
        <w:gridCol w:w="8844"/>
      </w:tblGrid>
      <w:tr w:rsidR="00465964" w:rsidRPr="00465964" w14:paraId="121C3503" w14:textId="77777777" w:rsidTr="00465964">
        <w:tc>
          <w:tcPr>
            <w:tcW w:w="0" w:type="auto"/>
            <w:shd w:val="clear" w:color="auto" w:fill="auto"/>
            <w:hideMark/>
          </w:tcPr>
          <w:p w14:paraId="150A778F" w14:textId="77777777" w:rsidR="00465964" w:rsidRPr="00465964" w:rsidRDefault="00465964" w:rsidP="00465964">
            <w:r w:rsidRPr="00465964">
              <w:t>a)</w:t>
            </w:r>
          </w:p>
        </w:tc>
        <w:tc>
          <w:tcPr>
            <w:tcW w:w="0" w:type="auto"/>
            <w:shd w:val="clear" w:color="auto" w:fill="auto"/>
            <w:hideMark/>
          </w:tcPr>
          <w:p w14:paraId="4D996DF5" w14:textId="77777777" w:rsidR="00465964" w:rsidRPr="00465964" w:rsidRDefault="00465964" w:rsidP="00465964">
            <w:pPr>
              <w:rPr>
                <w:lang w:val="pt-PT"/>
              </w:rPr>
            </w:pPr>
            <w:r w:rsidRPr="00465964">
              <w:rPr>
                <w:lang w:val="pt-PT"/>
              </w:rPr>
              <w:t xml:space="preserve">Adotar uma decisão que exija que o emitente da </w:t>
            </w:r>
            <w:proofErr w:type="spellStart"/>
            <w:r w:rsidRPr="00465964">
              <w:rPr>
                <w:lang w:val="pt-PT"/>
              </w:rPr>
              <w:t>criptoficha</w:t>
            </w:r>
            <w:proofErr w:type="spellEnd"/>
            <w:r w:rsidRPr="00465964">
              <w:rPr>
                <w:lang w:val="pt-PT"/>
              </w:rPr>
              <w:t xml:space="preserve"> de moeda eletrónica significativa ponha termo à conduta que constitui a infração;</w:t>
            </w:r>
          </w:p>
        </w:tc>
      </w:tr>
    </w:tbl>
    <w:p w14:paraId="5F2A61DF"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8"/>
        <w:gridCol w:w="8838"/>
      </w:tblGrid>
      <w:tr w:rsidR="00465964" w:rsidRPr="00465964" w14:paraId="00C5BA1A" w14:textId="77777777" w:rsidTr="00465964">
        <w:tc>
          <w:tcPr>
            <w:tcW w:w="0" w:type="auto"/>
            <w:shd w:val="clear" w:color="auto" w:fill="auto"/>
            <w:hideMark/>
          </w:tcPr>
          <w:p w14:paraId="77F9812C" w14:textId="77777777" w:rsidR="00465964" w:rsidRPr="00465964" w:rsidRDefault="00465964" w:rsidP="00465964">
            <w:r w:rsidRPr="00465964">
              <w:t>b)</w:t>
            </w:r>
          </w:p>
        </w:tc>
        <w:tc>
          <w:tcPr>
            <w:tcW w:w="0" w:type="auto"/>
            <w:shd w:val="clear" w:color="auto" w:fill="auto"/>
            <w:hideMark/>
          </w:tcPr>
          <w:p w14:paraId="39DD7B08" w14:textId="77777777" w:rsidR="00465964" w:rsidRPr="00465964" w:rsidRDefault="00465964" w:rsidP="00465964">
            <w:pPr>
              <w:rPr>
                <w:lang w:val="pt-PT"/>
              </w:rPr>
            </w:pPr>
            <w:r w:rsidRPr="00465964">
              <w:rPr>
                <w:lang w:val="pt-PT"/>
              </w:rPr>
              <w:t>Adotar uma decisão que aplique coimas ou sanções pecuniárias compulsórias nos termos dos artigos 131.</w:t>
            </w:r>
            <w:r w:rsidRPr="00465964">
              <w:rPr>
                <w:vertAlign w:val="superscript"/>
                <w:lang w:val="pt-PT"/>
              </w:rPr>
              <w:t>o</w:t>
            </w:r>
            <w:r w:rsidRPr="00465964">
              <w:rPr>
                <w:lang w:val="pt-PT"/>
              </w:rPr>
              <w:t> e 132.</w:t>
            </w:r>
            <w:r w:rsidRPr="00465964">
              <w:rPr>
                <w:vertAlign w:val="superscript"/>
                <w:lang w:val="pt-PT"/>
              </w:rPr>
              <w:t>o</w:t>
            </w:r>
            <w:r w:rsidRPr="00465964">
              <w:rPr>
                <w:lang w:val="pt-PT"/>
              </w:rPr>
              <w:t>;</w:t>
            </w:r>
          </w:p>
        </w:tc>
      </w:tr>
    </w:tbl>
    <w:p w14:paraId="3C8122E7"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0"/>
        <w:gridCol w:w="8846"/>
      </w:tblGrid>
      <w:tr w:rsidR="00465964" w:rsidRPr="00465964" w14:paraId="7F91B8B9" w14:textId="77777777" w:rsidTr="00465964">
        <w:tc>
          <w:tcPr>
            <w:tcW w:w="0" w:type="auto"/>
            <w:shd w:val="clear" w:color="auto" w:fill="auto"/>
            <w:hideMark/>
          </w:tcPr>
          <w:p w14:paraId="4124DF3F" w14:textId="77777777" w:rsidR="00465964" w:rsidRPr="00465964" w:rsidRDefault="00465964" w:rsidP="00465964">
            <w:r w:rsidRPr="00465964">
              <w:t>c)</w:t>
            </w:r>
          </w:p>
        </w:tc>
        <w:tc>
          <w:tcPr>
            <w:tcW w:w="0" w:type="auto"/>
            <w:shd w:val="clear" w:color="auto" w:fill="auto"/>
            <w:hideMark/>
          </w:tcPr>
          <w:p w14:paraId="3E954556" w14:textId="77777777" w:rsidR="00465964" w:rsidRPr="00465964" w:rsidRDefault="00465964" w:rsidP="00465964">
            <w:pPr>
              <w:rPr>
                <w:lang w:val="pt-PT"/>
              </w:rPr>
            </w:pPr>
            <w:r w:rsidRPr="00465964">
              <w:rPr>
                <w:lang w:val="pt-PT"/>
              </w:rPr>
              <w:t xml:space="preserve">Adotar uma decisão que exija que o emitente da </w:t>
            </w:r>
            <w:proofErr w:type="spellStart"/>
            <w:r w:rsidRPr="00465964">
              <w:rPr>
                <w:lang w:val="pt-PT"/>
              </w:rPr>
              <w:t>criptoficha</w:t>
            </w:r>
            <w:proofErr w:type="spellEnd"/>
            <w:r w:rsidRPr="00465964">
              <w:rPr>
                <w:lang w:val="pt-PT"/>
              </w:rPr>
              <w:t xml:space="preserve"> de moeda eletrónica significativa forneça informação complementar, quando tal seja necessário para a proteção dos detentores da </w:t>
            </w:r>
            <w:proofErr w:type="spellStart"/>
            <w:r w:rsidRPr="00465964">
              <w:rPr>
                <w:lang w:val="pt-PT"/>
              </w:rPr>
              <w:t>criptoficha</w:t>
            </w:r>
            <w:proofErr w:type="spellEnd"/>
            <w:r w:rsidRPr="00465964">
              <w:rPr>
                <w:lang w:val="pt-PT"/>
              </w:rPr>
              <w:t xml:space="preserve"> de moeda eletrónica significativa, em particular dos detentores não profissionais;</w:t>
            </w:r>
          </w:p>
        </w:tc>
      </w:tr>
    </w:tbl>
    <w:p w14:paraId="14689229"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8"/>
        <w:gridCol w:w="8838"/>
      </w:tblGrid>
      <w:tr w:rsidR="00465964" w:rsidRPr="00465964" w14:paraId="429EA692" w14:textId="77777777" w:rsidTr="00465964">
        <w:tc>
          <w:tcPr>
            <w:tcW w:w="0" w:type="auto"/>
            <w:shd w:val="clear" w:color="auto" w:fill="auto"/>
            <w:hideMark/>
          </w:tcPr>
          <w:p w14:paraId="0ABBF99A" w14:textId="77777777" w:rsidR="00465964" w:rsidRPr="00465964" w:rsidRDefault="00465964" w:rsidP="00465964">
            <w:r w:rsidRPr="00465964">
              <w:t>d)</w:t>
            </w:r>
          </w:p>
        </w:tc>
        <w:tc>
          <w:tcPr>
            <w:tcW w:w="0" w:type="auto"/>
            <w:shd w:val="clear" w:color="auto" w:fill="auto"/>
            <w:hideMark/>
          </w:tcPr>
          <w:p w14:paraId="68634017" w14:textId="77777777" w:rsidR="00465964" w:rsidRPr="00465964" w:rsidRDefault="00465964" w:rsidP="00465964">
            <w:pPr>
              <w:rPr>
                <w:lang w:val="pt-PT"/>
              </w:rPr>
            </w:pPr>
            <w:r w:rsidRPr="00465964">
              <w:rPr>
                <w:lang w:val="pt-PT"/>
              </w:rPr>
              <w:t xml:space="preserve">Adotar uma decisão que exija que o emitente da </w:t>
            </w:r>
            <w:proofErr w:type="spellStart"/>
            <w:r w:rsidRPr="00465964">
              <w:rPr>
                <w:lang w:val="pt-PT"/>
              </w:rPr>
              <w:t>criptoficha</w:t>
            </w:r>
            <w:proofErr w:type="spellEnd"/>
            <w:r w:rsidRPr="00465964">
              <w:rPr>
                <w:lang w:val="pt-PT"/>
              </w:rPr>
              <w:t xml:space="preserve"> de moeda eletrónica significativa suspenda uma oferta pública de criptoativos por um período máximo de 30 dias úteis consecutivos, de cada vez que tenha motivos razoáveis para suspeitar que o presente regulamento foi infringido;</w:t>
            </w:r>
          </w:p>
        </w:tc>
      </w:tr>
    </w:tbl>
    <w:p w14:paraId="5B68FE50"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1"/>
        <w:gridCol w:w="8845"/>
      </w:tblGrid>
      <w:tr w:rsidR="00465964" w:rsidRPr="00465964" w14:paraId="3A950368" w14:textId="77777777" w:rsidTr="00465964">
        <w:tc>
          <w:tcPr>
            <w:tcW w:w="0" w:type="auto"/>
            <w:shd w:val="clear" w:color="auto" w:fill="auto"/>
            <w:hideMark/>
          </w:tcPr>
          <w:p w14:paraId="65F123A5" w14:textId="77777777" w:rsidR="00465964" w:rsidRPr="00465964" w:rsidRDefault="00465964" w:rsidP="00465964">
            <w:r w:rsidRPr="00465964">
              <w:t>e)</w:t>
            </w:r>
          </w:p>
        </w:tc>
        <w:tc>
          <w:tcPr>
            <w:tcW w:w="0" w:type="auto"/>
            <w:shd w:val="clear" w:color="auto" w:fill="auto"/>
            <w:hideMark/>
          </w:tcPr>
          <w:p w14:paraId="6EF14FF3" w14:textId="77777777" w:rsidR="00465964" w:rsidRPr="00465964" w:rsidRDefault="00465964" w:rsidP="00465964">
            <w:pPr>
              <w:rPr>
                <w:lang w:val="pt-PT"/>
              </w:rPr>
            </w:pPr>
            <w:r w:rsidRPr="00465964">
              <w:rPr>
                <w:lang w:val="pt-PT"/>
              </w:rPr>
              <w:t xml:space="preserve">Adotar uma decisão que proíba uma oferta pública da </w:t>
            </w:r>
            <w:proofErr w:type="spellStart"/>
            <w:r w:rsidRPr="00465964">
              <w:rPr>
                <w:lang w:val="pt-PT"/>
              </w:rPr>
              <w:t>criptoficha</w:t>
            </w:r>
            <w:proofErr w:type="spellEnd"/>
            <w:r w:rsidRPr="00465964">
              <w:rPr>
                <w:lang w:val="pt-PT"/>
              </w:rPr>
              <w:t xml:space="preserve"> de moeda eletrónica significativa, caso constate que o presente regulamento foi infringido ou caso tenha motivos razoáveis para suspeitar que será infringido;</w:t>
            </w:r>
          </w:p>
        </w:tc>
      </w:tr>
    </w:tbl>
    <w:p w14:paraId="01B07671"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36"/>
        <w:gridCol w:w="8890"/>
      </w:tblGrid>
      <w:tr w:rsidR="00465964" w:rsidRPr="00465964" w14:paraId="68757FE9" w14:textId="77777777" w:rsidTr="00465964">
        <w:tc>
          <w:tcPr>
            <w:tcW w:w="0" w:type="auto"/>
            <w:shd w:val="clear" w:color="auto" w:fill="auto"/>
            <w:hideMark/>
          </w:tcPr>
          <w:p w14:paraId="69BC6F5E" w14:textId="77777777" w:rsidR="00465964" w:rsidRPr="00465964" w:rsidRDefault="00465964" w:rsidP="00465964">
            <w:r w:rsidRPr="00465964">
              <w:t>f)</w:t>
            </w:r>
          </w:p>
        </w:tc>
        <w:tc>
          <w:tcPr>
            <w:tcW w:w="0" w:type="auto"/>
            <w:shd w:val="clear" w:color="auto" w:fill="auto"/>
            <w:hideMark/>
          </w:tcPr>
          <w:p w14:paraId="7D094A54" w14:textId="77777777" w:rsidR="00465964" w:rsidRPr="00465964" w:rsidRDefault="00465964" w:rsidP="00465964">
            <w:pPr>
              <w:rPr>
                <w:lang w:val="pt-PT"/>
              </w:rPr>
            </w:pPr>
            <w:r w:rsidRPr="00465964">
              <w:rPr>
                <w:lang w:val="pt-PT"/>
              </w:rPr>
              <w:t xml:space="preserve">Adotar uma decisão que exija que o prestador de serviços de criptoativos pertinente que opera uma plataforma de negociação de criptoativos que tenha admitido à negociação a </w:t>
            </w:r>
            <w:proofErr w:type="spellStart"/>
            <w:r w:rsidRPr="00465964">
              <w:rPr>
                <w:lang w:val="pt-PT"/>
              </w:rPr>
              <w:t>criptoficha</w:t>
            </w:r>
            <w:proofErr w:type="spellEnd"/>
            <w:r w:rsidRPr="00465964">
              <w:rPr>
                <w:lang w:val="pt-PT"/>
              </w:rPr>
              <w:t xml:space="preserve"> de moeda eletrónica significativa suspenda a negociação desse criptoativo por um período máximo de 30 dias úteis consecutivos, de cada vez que tenha motivos razoáveis para suspeitar que o presente regulamento foi infringido;</w:t>
            </w:r>
          </w:p>
        </w:tc>
      </w:tr>
    </w:tbl>
    <w:p w14:paraId="7EB8F02C"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74"/>
        <w:gridCol w:w="8852"/>
      </w:tblGrid>
      <w:tr w:rsidR="00465964" w:rsidRPr="00465964" w14:paraId="5E70B848" w14:textId="77777777" w:rsidTr="00465964">
        <w:tc>
          <w:tcPr>
            <w:tcW w:w="0" w:type="auto"/>
            <w:shd w:val="clear" w:color="auto" w:fill="auto"/>
            <w:hideMark/>
          </w:tcPr>
          <w:p w14:paraId="17E2C2B8" w14:textId="77777777" w:rsidR="00465964" w:rsidRPr="00465964" w:rsidRDefault="00465964" w:rsidP="00465964">
            <w:r w:rsidRPr="00465964">
              <w:t>g)</w:t>
            </w:r>
          </w:p>
        </w:tc>
        <w:tc>
          <w:tcPr>
            <w:tcW w:w="0" w:type="auto"/>
            <w:shd w:val="clear" w:color="auto" w:fill="auto"/>
            <w:hideMark/>
          </w:tcPr>
          <w:p w14:paraId="7154D4B3" w14:textId="16B09184" w:rsidR="00465964" w:rsidRPr="00465964" w:rsidRDefault="00465964" w:rsidP="00465964">
            <w:pPr>
              <w:rPr>
                <w:lang w:val="pt-PT"/>
              </w:rPr>
            </w:pPr>
            <w:r w:rsidRPr="00465964">
              <w:rPr>
                <w:lang w:val="pt-PT"/>
              </w:rPr>
              <w:t xml:space="preserve">Adotar uma decisão que proíba a negociação de </w:t>
            </w:r>
            <w:r>
              <w:rPr>
                <w:lang w:val="pt-PT"/>
              </w:rPr>
              <w:t>criptomoedas</w:t>
            </w:r>
            <w:r w:rsidRPr="00465964">
              <w:rPr>
                <w:lang w:val="pt-PT"/>
              </w:rPr>
              <w:t xml:space="preserve"> de moeda eletrónica significativas numa plataforma de negociação de criptoativos, caso constate que o presente regulamento foi infringido;</w:t>
            </w:r>
          </w:p>
        </w:tc>
      </w:tr>
    </w:tbl>
    <w:p w14:paraId="255A99AB"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6"/>
        <w:gridCol w:w="8840"/>
      </w:tblGrid>
      <w:tr w:rsidR="00465964" w:rsidRPr="00465964" w14:paraId="0309EFE1" w14:textId="77777777" w:rsidTr="00465964">
        <w:tc>
          <w:tcPr>
            <w:tcW w:w="0" w:type="auto"/>
            <w:shd w:val="clear" w:color="auto" w:fill="auto"/>
            <w:hideMark/>
          </w:tcPr>
          <w:p w14:paraId="1FC60419" w14:textId="77777777" w:rsidR="00465964" w:rsidRPr="00465964" w:rsidRDefault="00465964" w:rsidP="00465964">
            <w:r w:rsidRPr="00465964">
              <w:t>h)</w:t>
            </w:r>
          </w:p>
        </w:tc>
        <w:tc>
          <w:tcPr>
            <w:tcW w:w="0" w:type="auto"/>
            <w:shd w:val="clear" w:color="auto" w:fill="auto"/>
            <w:hideMark/>
          </w:tcPr>
          <w:p w14:paraId="0A97F7CB" w14:textId="77777777" w:rsidR="00465964" w:rsidRPr="00465964" w:rsidRDefault="00465964" w:rsidP="00465964">
            <w:pPr>
              <w:rPr>
                <w:lang w:val="pt-PT"/>
              </w:rPr>
            </w:pPr>
            <w:r w:rsidRPr="00465964">
              <w:rPr>
                <w:lang w:val="pt-PT"/>
              </w:rPr>
              <w:t xml:space="preserve">Adotar uma decisão que exija que o emitente da </w:t>
            </w:r>
            <w:proofErr w:type="spellStart"/>
            <w:r w:rsidRPr="00465964">
              <w:rPr>
                <w:lang w:val="pt-PT"/>
              </w:rPr>
              <w:t>criptoficha</w:t>
            </w:r>
            <w:proofErr w:type="spellEnd"/>
            <w:r w:rsidRPr="00465964">
              <w:rPr>
                <w:lang w:val="pt-PT"/>
              </w:rPr>
              <w:t xml:space="preserve"> de moeda eletrónica significativa divulgue toda a informação relevante suscetível de influenciar a avaliação da </w:t>
            </w:r>
            <w:proofErr w:type="spellStart"/>
            <w:r w:rsidRPr="00465964">
              <w:rPr>
                <w:lang w:val="pt-PT"/>
              </w:rPr>
              <w:t>criptoficha</w:t>
            </w:r>
            <w:proofErr w:type="spellEnd"/>
            <w:r w:rsidRPr="00465964">
              <w:rPr>
                <w:lang w:val="pt-PT"/>
              </w:rPr>
              <w:t xml:space="preserve"> de moeda eletrónica significativa objeto de oferta pública ou admitida à negociação, no intuito de assegurar a proteção dos consumidores ou o regular funcionamento do mercado;</w:t>
            </w:r>
          </w:p>
        </w:tc>
      </w:tr>
    </w:tbl>
    <w:p w14:paraId="2F444901"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17"/>
        <w:gridCol w:w="8909"/>
      </w:tblGrid>
      <w:tr w:rsidR="00465964" w:rsidRPr="00465964" w14:paraId="4CD2002B" w14:textId="77777777" w:rsidTr="00465964">
        <w:tc>
          <w:tcPr>
            <w:tcW w:w="0" w:type="auto"/>
            <w:shd w:val="clear" w:color="auto" w:fill="auto"/>
            <w:hideMark/>
          </w:tcPr>
          <w:p w14:paraId="69B18308" w14:textId="77777777" w:rsidR="00465964" w:rsidRPr="00465964" w:rsidRDefault="00465964" w:rsidP="00465964">
            <w:proofErr w:type="spellStart"/>
            <w:r w:rsidRPr="00465964">
              <w:t>i</w:t>
            </w:r>
            <w:proofErr w:type="spellEnd"/>
            <w:r w:rsidRPr="00465964">
              <w:t>)</w:t>
            </w:r>
          </w:p>
        </w:tc>
        <w:tc>
          <w:tcPr>
            <w:tcW w:w="0" w:type="auto"/>
            <w:shd w:val="clear" w:color="auto" w:fill="auto"/>
            <w:hideMark/>
          </w:tcPr>
          <w:p w14:paraId="59FCA851" w14:textId="77777777" w:rsidR="00465964" w:rsidRPr="00465964" w:rsidRDefault="00465964" w:rsidP="00465964">
            <w:pPr>
              <w:rPr>
                <w:lang w:val="pt-PT"/>
              </w:rPr>
            </w:pPr>
            <w:r w:rsidRPr="00465964">
              <w:rPr>
                <w:lang w:val="pt-PT"/>
              </w:rPr>
              <w:t xml:space="preserve">Emitir alertas sobre o facto de que um emitente da </w:t>
            </w:r>
            <w:proofErr w:type="spellStart"/>
            <w:r w:rsidRPr="00465964">
              <w:rPr>
                <w:lang w:val="pt-PT"/>
              </w:rPr>
              <w:t>criptoficha</w:t>
            </w:r>
            <w:proofErr w:type="spellEnd"/>
            <w:r w:rsidRPr="00465964">
              <w:rPr>
                <w:lang w:val="pt-PT"/>
              </w:rPr>
              <w:t xml:space="preserve"> de moeda eletrónica significativa não cumpre as suas obrigações nos termos do presente regulamento.</w:t>
            </w:r>
          </w:p>
        </w:tc>
      </w:tr>
    </w:tbl>
    <w:p w14:paraId="2F5D5C2C"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17"/>
        <w:gridCol w:w="8909"/>
      </w:tblGrid>
      <w:tr w:rsidR="00465964" w:rsidRPr="00465964" w14:paraId="3FAFC21F" w14:textId="77777777" w:rsidTr="00465964">
        <w:tc>
          <w:tcPr>
            <w:tcW w:w="0" w:type="auto"/>
            <w:shd w:val="clear" w:color="auto" w:fill="auto"/>
            <w:hideMark/>
          </w:tcPr>
          <w:p w14:paraId="2BA5C2B3" w14:textId="77777777" w:rsidR="00465964" w:rsidRPr="00465964" w:rsidRDefault="00465964" w:rsidP="00465964">
            <w:r w:rsidRPr="00465964">
              <w:t>j)</w:t>
            </w:r>
          </w:p>
        </w:tc>
        <w:tc>
          <w:tcPr>
            <w:tcW w:w="0" w:type="auto"/>
            <w:shd w:val="clear" w:color="auto" w:fill="auto"/>
            <w:hideMark/>
          </w:tcPr>
          <w:p w14:paraId="112B2825" w14:textId="77777777" w:rsidR="00465964" w:rsidRPr="00465964" w:rsidRDefault="00465964" w:rsidP="00465964">
            <w:pPr>
              <w:rPr>
                <w:lang w:val="pt-PT"/>
              </w:rPr>
            </w:pPr>
            <w:r w:rsidRPr="00465964">
              <w:rPr>
                <w:lang w:val="pt-PT"/>
              </w:rPr>
              <w:t xml:space="preserve">Exigir que o emitente da </w:t>
            </w:r>
            <w:proofErr w:type="spellStart"/>
            <w:r w:rsidRPr="00465964">
              <w:rPr>
                <w:lang w:val="pt-PT"/>
              </w:rPr>
              <w:t>criptoficha</w:t>
            </w:r>
            <w:proofErr w:type="spellEnd"/>
            <w:r w:rsidRPr="00465964">
              <w:rPr>
                <w:lang w:val="pt-PT"/>
              </w:rPr>
              <w:t xml:space="preserve"> de moeda eletrónica significativa sob a sua supervisão introduza um montante nominal mínimo relativamente a essa </w:t>
            </w:r>
            <w:proofErr w:type="spellStart"/>
            <w:r w:rsidRPr="00465964">
              <w:rPr>
                <w:lang w:val="pt-PT"/>
              </w:rPr>
              <w:t>criptoficha</w:t>
            </w:r>
            <w:proofErr w:type="spellEnd"/>
            <w:r w:rsidRPr="00465964">
              <w:rPr>
                <w:lang w:val="pt-PT"/>
              </w:rPr>
              <w:t xml:space="preserve"> de moeda eletrónica significativa ou limite o montante da </w:t>
            </w:r>
            <w:proofErr w:type="spellStart"/>
            <w:r w:rsidRPr="00465964">
              <w:rPr>
                <w:lang w:val="pt-PT"/>
              </w:rPr>
              <w:t>criptoficha</w:t>
            </w:r>
            <w:proofErr w:type="spellEnd"/>
            <w:r w:rsidRPr="00465964">
              <w:rPr>
                <w:lang w:val="pt-PT"/>
              </w:rPr>
              <w:t xml:space="preserve"> de moeda eletrónica significativa emitida, em virtude da aplicação do artigo 58.</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3.</w:t>
            </w:r>
          </w:p>
        </w:tc>
      </w:tr>
    </w:tbl>
    <w:p w14:paraId="54B6FF52" w14:textId="77777777" w:rsidR="00465964" w:rsidRPr="00465964" w:rsidRDefault="00465964" w:rsidP="00465964">
      <w:pPr>
        <w:rPr>
          <w:lang w:val="pt-PT"/>
        </w:rPr>
      </w:pPr>
      <w:r w:rsidRPr="00465964">
        <w:rPr>
          <w:lang w:val="pt-PT"/>
        </w:rPr>
        <w:t xml:space="preserve">3.   Ao tomar as medidas referidas nos </w:t>
      </w:r>
      <w:proofErr w:type="spellStart"/>
      <w:proofErr w:type="gramStart"/>
      <w:r w:rsidRPr="00465964">
        <w:rPr>
          <w:lang w:val="pt-PT"/>
        </w:rPr>
        <w:t>n.</w:t>
      </w:r>
      <w:r w:rsidRPr="00465964">
        <w:rPr>
          <w:vertAlign w:val="superscript"/>
          <w:lang w:val="pt-PT"/>
        </w:rPr>
        <w:t>os</w:t>
      </w:r>
      <w:proofErr w:type="spellEnd"/>
      <w:proofErr w:type="gramEnd"/>
      <w:r w:rsidRPr="00465964">
        <w:rPr>
          <w:lang w:val="pt-PT"/>
        </w:rPr>
        <w:t> 1 ou 2, a EBA tem em conta a natureza e a gravidade da infração, considerando:</w:t>
      </w:r>
    </w:p>
    <w:tbl>
      <w:tblPr>
        <w:tblW w:w="5000" w:type="pct"/>
        <w:tblCellMar>
          <w:left w:w="0" w:type="dxa"/>
          <w:right w:w="0" w:type="dxa"/>
        </w:tblCellMar>
        <w:tblLook w:val="04A0" w:firstRow="1" w:lastRow="0" w:firstColumn="1" w:lastColumn="0" w:noHBand="0" w:noVBand="1"/>
      </w:tblPr>
      <w:tblGrid>
        <w:gridCol w:w="465"/>
        <w:gridCol w:w="8561"/>
      </w:tblGrid>
      <w:tr w:rsidR="00465964" w:rsidRPr="00465964" w14:paraId="0A8869F1" w14:textId="77777777" w:rsidTr="00465964">
        <w:tc>
          <w:tcPr>
            <w:tcW w:w="0" w:type="auto"/>
            <w:shd w:val="clear" w:color="auto" w:fill="auto"/>
            <w:hideMark/>
          </w:tcPr>
          <w:p w14:paraId="0B6DC163" w14:textId="77777777" w:rsidR="00465964" w:rsidRPr="00465964" w:rsidRDefault="00465964" w:rsidP="00465964">
            <w:r w:rsidRPr="00465964">
              <w:t>a)</w:t>
            </w:r>
          </w:p>
        </w:tc>
        <w:tc>
          <w:tcPr>
            <w:tcW w:w="0" w:type="auto"/>
            <w:shd w:val="clear" w:color="auto" w:fill="auto"/>
            <w:hideMark/>
          </w:tcPr>
          <w:p w14:paraId="0CA0A937" w14:textId="77777777" w:rsidR="00465964" w:rsidRPr="00465964" w:rsidRDefault="00465964" w:rsidP="00465964">
            <w:pPr>
              <w:rPr>
                <w:lang w:val="pt-PT"/>
              </w:rPr>
            </w:pPr>
            <w:r w:rsidRPr="00465964">
              <w:rPr>
                <w:lang w:val="pt-PT"/>
              </w:rPr>
              <w:t>A duração e frequência da infração;</w:t>
            </w:r>
          </w:p>
        </w:tc>
      </w:tr>
    </w:tbl>
    <w:p w14:paraId="2E54F68D"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8"/>
        <w:gridCol w:w="8838"/>
      </w:tblGrid>
      <w:tr w:rsidR="00465964" w:rsidRPr="00465964" w14:paraId="50E6B328" w14:textId="77777777" w:rsidTr="00465964">
        <w:tc>
          <w:tcPr>
            <w:tcW w:w="0" w:type="auto"/>
            <w:shd w:val="clear" w:color="auto" w:fill="auto"/>
            <w:hideMark/>
          </w:tcPr>
          <w:p w14:paraId="0C835B50" w14:textId="77777777" w:rsidR="00465964" w:rsidRPr="00465964" w:rsidRDefault="00465964" w:rsidP="00465964">
            <w:r w:rsidRPr="00465964">
              <w:lastRenderedPageBreak/>
              <w:t>b)</w:t>
            </w:r>
          </w:p>
        </w:tc>
        <w:tc>
          <w:tcPr>
            <w:tcW w:w="0" w:type="auto"/>
            <w:shd w:val="clear" w:color="auto" w:fill="auto"/>
            <w:hideMark/>
          </w:tcPr>
          <w:p w14:paraId="2652C89B" w14:textId="77777777" w:rsidR="00465964" w:rsidRPr="00465964" w:rsidRDefault="00465964" w:rsidP="00465964">
            <w:pPr>
              <w:rPr>
                <w:lang w:val="pt-PT"/>
              </w:rPr>
            </w:pPr>
            <w:r w:rsidRPr="00465964">
              <w:rPr>
                <w:lang w:val="pt-PT"/>
              </w:rPr>
              <w:t>O facto de a infração ter ocasionado, facilitado ou estado de alguma forma na origem de atos de criminalidade financeira;</w:t>
            </w:r>
          </w:p>
        </w:tc>
      </w:tr>
    </w:tbl>
    <w:p w14:paraId="3D73DEFF"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0"/>
        <w:gridCol w:w="8846"/>
      </w:tblGrid>
      <w:tr w:rsidR="00465964" w:rsidRPr="00465964" w14:paraId="0EC23F72" w14:textId="77777777" w:rsidTr="00465964">
        <w:tc>
          <w:tcPr>
            <w:tcW w:w="0" w:type="auto"/>
            <w:shd w:val="clear" w:color="auto" w:fill="auto"/>
            <w:hideMark/>
          </w:tcPr>
          <w:p w14:paraId="213EB1D5" w14:textId="77777777" w:rsidR="00465964" w:rsidRPr="00465964" w:rsidRDefault="00465964" w:rsidP="00465964">
            <w:r w:rsidRPr="00465964">
              <w:t>c)</w:t>
            </w:r>
          </w:p>
        </w:tc>
        <w:tc>
          <w:tcPr>
            <w:tcW w:w="0" w:type="auto"/>
            <w:shd w:val="clear" w:color="auto" w:fill="auto"/>
            <w:hideMark/>
          </w:tcPr>
          <w:p w14:paraId="7D390002" w14:textId="77777777" w:rsidR="00465964" w:rsidRPr="00465964" w:rsidRDefault="00465964" w:rsidP="00465964">
            <w:pPr>
              <w:rPr>
                <w:lang w:val="pt-PT"/>
              </w:rPr>
            </w:pPr>
            <w:r w:rsidRPr="00465964">
              <w:rPr>
                <w:lang w:val="pt-PT"/>
              </w:rPr>
              <w:t xml:space="preserve">O facto de a infração ter revelado deficiências graves ou sistémicas nos procedimentos, políticas e medidas de gestão do risco do emitente da </w:t>
            </w:r>
            <w:proofErr w:type="spellStart"/>
            <w:r w:rsidRPr="00465964">
              <w:rPr>
                <w:lang w:val="pt-PT"/>
              </w:rPr>
              <w:t>criptoficha</w:t>
            </w:r>
            <w:proofErr w:type="spellEnd"/>
            <w:r w:rsidRPr="00465964">
              <w:rPr>
                <w:lang w:val="pt-PT"/>
              </w:rPr>
              <w:t xml:space="preserve"> referenciada a ativos significativa ou do emitente da </w:t>
            </w:r>
            <w:proofErr w:type="spellStart"/>
            <w:r w:rsidRPr="00465964">
              <w:rPr>
                <w:lang w:val="pt-PT"/>
              </w:rPr>
              <w:t>criptoficha</w:t>
            </w:r>
            <w:proofErr w:type="spellEnd"/>
            <w:r w:rsidRPr="00465964">
              <w:rPr>
                <w:lang w:val="pt-PT"/>
              </w:rPr>
              <w:t xml:space="preserve"> de moeda eletrónica significativa;</w:t>
            </w:r>
          </w:p>
        </w:tc>
      </w:tr>
    </w:tbl>
    <w:p w14:paraId="4D08AF7C"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256"/>
        <w:gridCol w:w="8770"/>
      </w:tblGrid>
      <w:tr w:rsidR="00465964" w:rsidRPr="00465964" w14:paraId="18DDC0CA" w14:textId="77777777" w:rsidTr="00465964">
        <w:tc>
          <w:tcPr>
            <w:tcW w:w="0" w:type="auto"/>
            <w:shd w:val="clear" w:color="auto" w:fill="auto"/>
            <w:hideMark/>
          </w:tcPr>
          <w:p w14:paraId="6141154A" w14:textId="77777777" w:rsidR="00465964" w:rsidRPr="00465964" w:rsidRDefault="00465964" w:rsidP="00465964">
            <w:r w:rsidRPr="00465964">
              <w:t>d)</w:t>
            </w:r>
          </w:p>
        </w:tc>
        <w:tc>
          <w:tcPr>
            <w:tcW w:w="0" w:type="auto"/>
            <w:shd w:val="clear" w:color="auto" w:fill="auto"/>
            <w:hideMark/>
          </w:tcPr>
          <w:p w14:paraId="18DAB1A5" w14:textId="77777777" w:rsidR="00465964" w:rsidRPr="00465964" w:rsidRDefault="00465964" w:rsidP="00465964">
            <w:pPr>
              <w:rPr>
                <w:lang w:val="pt-PT"/>
              </w:rPr>
            </w:pPr>
            <w:r w:rsidRPr="00465964">
              <w:rPr>
                <w:lang w:val="pt-PT"/>
              </w:rPr>
              <w:t>O facto de a infração ter sido cometida com dolo ou por negligência;</w:t>
            </w:r>
          </w:p>
        </w:tc>
      </w:tr>
    </w:tbl>
    <w:p w14:paraId="0E39C18E"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1"/>
        <w:gridCol w:w="8845"/>
      </w:tblGrid>
      <w:tr w:rsidR="00465964" w:rsidRPr="00465964" w14:paraId="61A20F6B" w14:textId="77777777" w:rsidTr="00465964">
        <w:tc>
          <w:tcPr>
            <w:tcW w:w="0" w:type="auto"/>
            <w:shd w:val="clear" w:color="auto" w:fill="auto"/>
            <w:hideMark/>
          </w:tcPr>
          <w:p w14:paraId="58C31297" w14:textId="77777777" w:rsidR="00465964" w:rsidRPr="00465964" w:rsidRDefault="00465964" w:rsidP="00465964">
            <w:r w:rsidRPr="00465964">
              <w:t>e)</w:t>
            </w:r>
          </w:p>
        </w:tc>
        <w:tc>
          <w:tcPr>
            <w:tcW w:w="0" w:type="auto"/>
            <w:shd w:val="clear" w:color="auto" w:fill="auto"/>
            <w:hideMark/>
          </w:tcPr>
          <w:p w14:paraId="4EAD18ED" w14:textId="77777777" w:rsidR="00465964" w:rsidRPr="00465964" w:rsidRDefault="00465964" w:rsidP="00465964">
            <w:pPr>
              <w:rPr>
                <w:lang w:val="pt-PT"/>
              </w:rPr>
            </w:pPr>
            <w:r w:rsidRPr="00465964">
              <w:rPr>
                <w:lang w:val="pt-PT"/>
              </w:rPr>
              <w:t xml:space="preserve">O grau de responsabilidade do emitente da </w:t>
            </w:r>
            <w:proofErr w:type="spellStart"/>
            <w:r w:rsidRPr="00465964">
              <w:rPr>
                <w:lang w:val="pt-PT"/>
              </w:rPr>
              <w:t>criptoficha</w:t>
            </w:r>
            <w:proofErr w:type="spellEnd"/>
            <w:r w:rsidRPr="00465964">
              <w:rPr>
                <w:lang w:val="pt-PT"/>
              </w:rPr>
              <w:t xml:space="preserve"> referenciada a ativos significativa ou do emitente da </w:t>
            </w:r>
            <w:proofErr w:type="spellStart"/>
            <w:r w:rsidRPr="00465964">
              <w:rPr>
                <w:lang w:val="pt-PT"/>
              </w:rPr>
              <w:t>criptoficha</w:t>
            </w:r>
            <w:proofErr w:type="spellEnd"/>
            <w:r w:rsidRPr="00465964">
              <w:rPr>
                <w:lang w:val="pt-PT"/>
              </w:rPr>
              <w:t xml:space="preserve"> de moeda eletrónica significativa pela infração;</w:t>
            </w:r>
          </w:p>
        </w:tc>
      </w:tr>
    </w:tbl>
    <w:p w14:paraId="2136551D"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36"/>
        <w:gridCol w:w="8890"/>
      </w:tblGrid>
      <w:tr w:rsidR="00465964" w:rsidRPr="00465964" w14:paraId="01D29689" w14:textId="77777777" w:rsidTr="00465964">
        <w:tc>
          <w:tcPr>
            <w:tcW w:w="0" w:type="auto"/>
            <w:shd w:val="clear" w:color="auto" w:fill="auto"/>
            <w:hideMark/>
          </w:tcPr>
          <w:p w14:paraId="3C6BF9D3" w14:textId="77777777" w:rsidR="00465964" w:rsidRPr="00465964" w:rsidRDefault="00465964" w:rsidP="00465964">
            <w:r w:rsidRPr="00465964">
              <w:t>f)</w:t>
            </w:r>
          </w:p>
        </w:tc>
        <w:tc>
          <w:tcPr>
            <w:tcW w:w="0" w:type="auto"/>
            <w:shd w:val="clear" w:color="auto" w:fill="auto"/>
            <w:hideMark/>
          </w:tcPr>
          <w:p w14:paraId="155BE7A6" w14:textId="77777777" w:rsidR="00465964" w:rsidRPr="00465964" w:rsidRDefault="00465964" w:rsidP="00465964">
            <w:pPr>
              <w:rPr>
                <w:lang w:val="pt-PT"/>
              </w:rPr>
            </w:pPr>
            <w:r w:rsidRPr="00465964">
              <w:rPr>
                <w:lang w:val="pt-PT"/>
              </w:rPr>
              <w:t xml:space="preserve">A capacidade financeira do emitente da </w:t>
            </w:r>
            <w:proofErr w:type="spellStart"/>
            <w:r w:rsidRPr="00465964">
              <w:rPr>
                <w:lang w:val="pt-PT"/>
              </w:rPr>
              <w:t>criptoficha</w:t>
            </w:r>
            <w:proofErr w:type="spellEnd"/>
            <w:r w:rsidRPr="00465964">
              <w:rPr>
                <w:lang w:val="pt-PT"/>
              </w:rPr>
              <w:t xml:space="preserve"> referenciada a ativos significativa ou do emitente da </w:t>
            </w:r>
            <w:proofErr w:type="spellStart"/>
            <w:r w:rsidRPr="00465964">
              <w:rPr>
                <w:lang w:val="pt-PT"/>
              </w:rPr>
              <w:t>criptoficha</w:t>
            </w:r>
            <w:proofErr w:type="spellEnd"/>
            <w:r w:rsidRPr="00465964">
              <w:rPr>
                <w:lang w:val="pt-PT"/>
              </w:rPr>
              <w:t xml:space="preserve"> de moeda eletrónica significativa responsável pela infração, indicada pelo volume de negócios total da pessoa coletiva responsável ou pelo rendimento anual e pelos ativos líquidos da pessoa singular responsável;</w:t>
            </w:r>
          </w:p>
        </w:tc>
      </w:tr>
    </w:tbl>
    <w:p w14:paraId="06E5C756"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74"/>
        <w:gridCol w:w="8852"/>
      </w:tblGrid>
      <w:tr w:rsidR="00465964" w:rsidRPr="00465964" w14:paraId="03CD143D" w14:textId="77777777" w:rsidTr="00465964">
        <w:tc>
          <w:tcPr>
            <w:tcW w:w="0" w:type="auto"/>
            <w:shd w:val="clear" w:color="auto" w:fill="auto"/>
            <w:hideMark/>
          </w:tcPr>
          <w:p w14:paraId="381CDF40" w14:textId="77777777" w:rsidR="00465964" w:rsidRPr="00465964" w:rsidRDefault="00465964" w:rsidP="00465964">
            <w:r w:rsidRPr="00465964">
              <w:t>g)</w:t>
            </w:r>
          </w:p>
        </w:tc>
        <w:tc>
          <w:tcPr>
            <w:tcW w:w="0" w:type="auto"/>
            <w:shd w:val="clear" w:color="auto" w:fill="auto"/>
            <w:hideMark/>
          </w:tcPr>
          <w:p w14:paraId="46AD5CC7" w14:textId="216141F4" w:rsidR="00465964" w:rsidRPr="00465964" w:rsidRDefault="00465964" w:rsidP="00465964">
            <w:pPr>
              <w:rPr>
                <w:lang w:val="pt-PT"/>
              </w:rPr>
            </w:pPr>
            <w:r w:rsidRPr="00465964">
              <w:rPr>
                <w:lang w:val="pt-PT"/>
              </w:rPr>
              <w:t xml:space="preserve">O impacto da infração nos interesses dos detentores de </w:t>
            </w:r>
            <w:r>
              <w:rPr>
                <w:lang w:val="pt-PT"/>
              </w:rPr>
              <w:t>criptomoedas</w:t>
            </w:r>
            <w:r w:rsidRPr="00465964">
              <w:rPr>
                <w:lang w:val="pt-PT"/>
              </w:rPr>
              <w:t xml:space="preserve"> referenciadas a ativos significativas ou de </w:t>
            </w:r>
            <w:r>
              <w:rPr>
                <w:lang w:val="pt-PT"/>
              </w:rPr>
              <w:t>criptomoedas</w:t>
            </w:r>
            <w:r w:rsidRPr="00465964">
              <w:rPr>
                <w:lang w:val="pt-PT"/>
              </w:rPr>
              <w:t xml:space="preserve"> de moeda eletrónica significativas;</w:t>
            </w:r>
          </w:p>
        </w:tc>
      </w:tr>
    </w:tbl>
    <w:p w14:paraId="6D8E28BF"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6"/>
        <w:gridCol w:w="8840"/>
      </w:tblGrid>
      <w:tr w:rsidR="00465964" w:rsidRPr="00465964" w14:paraId="2C11D124" w14:textId="77777777" w:rsidTr="00465964">
        <w:tc>
          <w:tcPr>
            <w:tcW w:w="0" w:type="auto"/>
            <w:shd w:val="clear" w:color="auto" w:fill="auto"/>
            <w:hideMark/>
          </w:tcPr>
          <w:p w14:paraId="01BE1742" w14:textId="77777777" w:rsidR="00465964" w:rsidRPr="00465964" w:rsidRDefault="00465964" w:rsidP="00465964">
            <w:r w:rsidRPr="00465964">
              <w:t>h)</w:t>
            </w:r>
          </w:p>
        </w:tc>
        <w:tc>
          <w:tcPr>
            <w:tcW w:w="0" w:type="auto"/>
            <w:shd w:val="clear" w:color="auto" w:fill="auto"/>
            <w:hideMark/>
          </w:tcPr>
          <w:p w14:paraId="748EF9CB" w14:textId="77777777" w:rsidR="00465964" w:rsidRPr="00465964" w:rsidRDefault="00465964" w:rsidP="00465964">
            <w:pPr>
              <w:rPr>
                <w:lang w:val="pt-PT"/>
              </w:rPr>
            </w:pPr>
            <w:r w:rsidRPr="00465964">
              <w:rPr>
                <w:lang w:val="pt-PT"/>
              </w:rPr>
              <w:t xml:space="preserve">A importância dos lucros obtidos ou das perdas evitadas pelo emitente da </w:t>
            </w:r>
            <w:proofErr w:type="spellStart"/>
            <w:r w:rsidRPr="00465964">
              <w:rPr>
                <w:lang w:val="pt-PT"/>
              </w:rPr>
              <w:t>criptoficha</w:t>
            </w:r>
            <w:proofErr w:type="spellEnd"/>
            <w:r w:rsidRPr="00465964">
              <w:rPr>
                <w:lang w:val="pt-PT"/>
              </w:rPr>
              <w:t xml:space="preserve"> referenciada a ativos significativa ou da </w:t>
            </w:r>
            <w:proofErr w:type="spellStart"/>
            <w:r w:rsidRPr="00465964">
              <w:rPr>
                <w:lang w:val="pt-PT"/>
              </w:rPr>
              <w:t>criptoficha</w:t>
            </w:r>
            <w:proofErr w:type="spellEnd"/>
            <w:r w:rsidRPr="00465964">
              <w:rPr>
                <w:lang w:val="pt-PT"/>
              </w:rPr>
              <w:t xml:space="preserve"> de moeda eletrónica significativa responsável pela infração, ou das perdas ocasionadas a terceiros em consequência da infração, na medida em que sejam determináveis;</w:t>
            </w:r>
          </w:p>
        </w:tc>
      </w:tr>
    </w:tbl>
    <w:p w14:paraId="42912E51"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17"/>
        <w:gridCol w:w="8909"/>
      </w:tblGrid>
      <w:tr w:rsidR="00465964" w:rsidRPr="00465964" w14:paraId="2D8DB5AE" w14:textId="77777777" w:rsidTr="00465964">
        <w:tc>
          <w:tcPr>
            <w:tcW w:w="0" w:type="auto"/>
            <w:shd w:val="clear" w:color="auto" w:fill="auto"/>
            <w:hideMark/>
          </w:tcPr>
          <w:p w14:paraId="56AAA3E7" w14:textId="77777777" w:rsidR="00465964" w:rsidRPr="00465964" w:rsidRDefault="00465964" w:rsidP="00465964">
            <w:proofErr w:type="spellStart"/>
            <w:r w:rsidRPr="00465964">
              <w:t>i</w:t>
            </w:r>
            <w:proofErr w:type="spellEnd"/>
            <w:r w:rsidRPr="00465964">
              <w:t>)</w:t>
            </w:r>
          </w:p>
        </w:tc>
        <w:tc>
          <w:tcPr>
            <w:tcW w:w="0" w:type="auto"/>
            <w:shd w:val="clear" w:color="auto" w:fill="auto"/>
            <w:hideMark/>
          </w:tcPr>
          <w:p w14:paraId="6B5EC3E2" w14:textId="77777777" w:rsidR="00465964" w:rsidRPr="00465964" w:rsidRDefault="00465964" w:rsidP="00465964">
            <w:pPr>
              <w:rPr>
                <w:lang w:val="pt-PT"/>
              </w:rPr>
            </w:pPr>
            <w:r w:rsidRPr="00465964">
              <w:rPr>
                <w:lang w:val="pt-PT"/>
              </w:rPr>
              <w:t xml:space="preserve">O nível de cooperação com a EBA do emitente da </w:t>
            </w:r>
            <w:proofErr w:type="spellStart"/>
            <w:r w:rsidRPr="00465964">
              <w:rPr>
                <w:lang w:val="pt-PT"/>
              </w:rPr>
              <w:t>criptoficha</w:t>
            </w:r>
            <w:proofErr w:type="spellEnd"/>
            <w:r w:rsidRPr="00465964">
              <w:rPr>
                <w:lang w:val="pt-PT"/>
              </w:rPr>
              <w:t xml:space="preserve"> referenciada a ativos significativa ou do emitente da </w:t>
            </w:r>
            <w:proofErr w:type="spellStart"/>
            <w:r w:rsidRPr="00465964">
              <w:rPr>
                <w:lang w:val="pt-PT"/>
              </w:rPr>
              <w:t>criptoficha</w:t>
            </w:r>
            <w:proofErr w:type="spellEnd"/>
            <w:r w:rsidRPr="00465964">
              <w:rPr>
                <w:lang w:val="pt-PT"/>
              </w:rPr>
              <w:t xml:space="preserve"> de moeda eletrónica significativa responsável pela infração, sem prejuízo da necessidade de assegurar a restituição dos lucros obtidos ou das perdas evitadas por esse emitente;</w:t>
            </w:r>
          </w:p>
        </w:tc>
      </w:tr>
    </w:tbl>
    <w:p w14:paraId="307FA25D"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17"/>
        <w:gridCol w:w="8909"/>
      </w:tblGrid>
      <w:tr w:rsidR="00465964" w:rsidRPr="00465964" w14:paraId="16DBEA3A" w14:textId="77777777" w:rsidTr="00465964">
        <w:tc>
          <w:tcPr>
            <w:tcW w:w="0" w:type="auto"/>
            <w:shd w:val="clear" w:color="auto" w:fill="auto"/>
            <w:hideMark/>
          </w:tcPr>
          <w:p w14:paraId="2B848E92" w14:textId="77777777" w:rsidR="00465964" w:rsidRPr="00465964" w:rsidRDefault="00465964" w:rsidP="00465964">
            <w:r w:rsidRPr="00465964">
              <w:t>j)</w:t>
            </w:r>
          </w:p>
        </w:tc>
        <w:tc>
          <w:tcPr>
            <w:tcW w:w="0" w:type="auto"/>
            <w:shd w:val="clear" w:color="auto" w:fill="auto"/>
            <w:hideMark/>
          </w:tcPr>
          <w:p w14:paraId="175E4724" w14:textId="77777777" w:rsidR="00465964" w:rsidRPr="00465964" w:rsidRDefault="00465964" w:rsidP="00465964">
            <w:pPr>
              <w:rPr>
                <w:lang w:val="pt-PT"/>
              </w:rPr>
            </w:pPr>
            <w:r w:rsidRPr="00465964">
              <w:rPr>
                <w:lang w:val="pt-PT"/>
              </w:rPr>
              <w:t xml:space="preserve">Infrações anteriores cometidas pelo emitente da </w:t>
            </w:r>
            <w:proofErr w:type="spellStart"/>
            <w:r w:rsidRPr="00465964">
              <w:rPr>
                <w:lang w:val="pt-PT"/>
              </w:rPr>
              <w:t>criptoficha</w:t>
            </w:r>
            <w:proofErr w:type="spellEnd"/>
            <w:r w:rsidRPr="00465964">
              <w:rPr>
                <w:lang w:val="pt-PT"/>
              </w:rPr>
              <w:t xml:space="preserve"> referenciada a ativos significativa ou pelo emitente da </w:t>
            </w:r>
            <w:proofErr w:type="spellStart"/>
            <w:r w:rsidRPr="00465964">
              <w:rPr>
                <w:lang w:val="pt-PT"/>
              </w:rPr>
              <w:t>criptoficha</w:t>
            </w:r>
            <w:proofErr w:type="spellEnd"/>
            <w:r w:rsidRPr="00465964">
              <w:rPr>
                <w:lang w:val="pt-PT"/>
              </w:rPr>
              <w:t xml:space="preserve"> de moeda eletrónica responsável pela infração;</w:t>
            </w:r>
          </w:p>
        </w:tc>
      </w:tr>
    </w:tbl>
    <w:p w14:paraId="0DB564C0"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72"/>
        <w:gridCol w:w="8854"/>
      </w:tblGrid>
      <w:tr w:rsidR="00465964" w:rsidRPr="00465964" w14:paraId="19121779" w14:textId="77777777" w:rsidTr="00465964">
        <w:tc>
          <w:tcPr>
            <w:tcW w:w="0" w:type="auto"/>
            <w:shd w:val="clear" w:color="auto" w:fill="auto"/>
            <w:hideMark/>
          </w:tcPr>
          <w:p w14:paraId="02E6DDA4" w14:textId="77777777" w:rsidR="00465964" w:rsidRPr="00465964" w:rsidRDefault="00465964" w:rsidP="00465964">
            <w:r w:rsidRPr="00465964">
              <w:t>k)</w:t>
            </w:r>
          </w:p>
        </w:tc>
        <w:tc>
          <w:tcPr>
            <w:tcW w:w="0" w:type="auto"/>
            <w:shd w:val="clear" w:color="auto" w:fill="auto"/>
            <w:hideMark/>
          </w:tcPr>
          <w:p w14:paraId="6DD17F6B" w14:textId="77777777" w:rsidR="00465964" w:rsidRPr="00465964" w:rsidRDefault="00465964" w:rsidP="00465964">
            <w:pPr>
              <w:rPr>
                <w:lang w:val="pt-PT"/>
              </w:rPr>
            </w:pPr>
            <w:r w:rsidRPr="00465964">
              <w:rPr>
                <w:lang w:val="pt-PT"/>
              </w:rPr>
              <w:t xml:space="preserve">Medidas adotadas pelo emitente da </w:t>
            </w:r>
            <w:proofErr w:type="spellStart"/>
            <w:r w:rsidRPr="00465964">
              <w:rPr>
                <w:lang w:val="pt-PT"/>
              </w:rPr>
              <w:t>criptoficha</w:t>
            </w:r>
            <w:proofErr w:type="spellEnd"/>
            <w:r w:rsidRPr="00465964">
              <w:rPr>
                <w:lang w:val="pt-PT"/>
              </w:rPr>
              <w:t xml:space="preserve"> referenciada a ativos significativa ou pelo emitente da </w:t>
            </w:r>
            <w:proofErr w:type="spellStart"/>
            <w:r w:rsidRPr="00465964">
              <w:rPr>
                <w:lang w:val="pt-PT"/>
              </w:rPr>
              <w:t>criptoficha</w:t>
            </w:r>
            <w:proofErr w:type="spellEnd"/>
            <w:r w:rsidRPr="00465964">
              <w:rPr>
                <w:lang w:val="pt-PT"/>
              </w:rPr>
              <w:t xml:space="preserve"> de moeda eletrónica significativa após a infração para evitar a repetição desta infração.</w:t>
            </w:r>
          </w:p>
        </w:tc>
      </w:tr>
    </w:tbl>
    <w:p w14:paraId="661B4137" w14:textId="50FA2472" w:rsidR="00465964" w:rsidRPr="00465964" w:rsidRDefault="00465964" w:rsidP="00465964">
      <w:pPr>
        <w:rPr>
          <w:lang w:val="pt-PT"/>
        </w:rPr>
      </w:pPr>
      <w:r w:rsidRPr="00465964">
        <w:rPr>
          <w:lang w:val="pt-PT"/>
        </w:rPr>
        <w:t xml:space="preserve">4.   Antes de tomar qualquer uma das medidas a que se refere o </w:t>
      </w:r>
      <w:proofErr w:type="spellStart"/>
      <w:r w:rsidRPr="00465964">
        <w:rPr>
          <w:lang w:val="pt-PT"/>
        </w:rPr>
        <w:t>n.</w:t>
      </w:r>
      <w:r w:rsidRPr="00465964">
        <w:rPr>
          <w:vertAlign w:val="superscript"/>
          <w:lang w:val="pt-PT"/>
        </w:rPr>
        <w:t>o</w:t>
      </w:r>
      <w:proofErr w:type="spellEnd"/>
      <w:r w:rsidRPr="00465964">
        <w:rPr>
          <w:lang w:val="pt-PT"/>
        </w:rPr>
        <w:t xml:space="preserve"> 1, alíneas d) a g) e j), a EBA informa a ESMA e, nos casos em que as </w:t>
      </w:r>
      <w:r>
        <w:rPr>
          <w:lang w:val="pt-PT"/>
        </w:rPr>
        <w:t>criptomoedas</w:t>
      </w:r>
      <w:r w:rsidRPr="00465964">
        <w:rPr>
          <w:lang w:val="pt-PT"/>
        </w:rPr>
        <w:t xml:space="preserve"> referenciadas a ativos significativas estejam referenciadas ao euro ou a uma moeda oficial de um Estado-Membro que não seja o euro, o BCE ou o banco central do Estado-Membro em causa que emite esta moeda oficial, respetivamente.</w:t>
      </w:r>
    </w:p>
    <w:p w14:paraId="3EA1C707" w14:textId="77777777" w:rsidR="00465964" w:rsidRPr="00465964" w:rsidRDefault="00465964" w:rsidP="00465964">
      <w:pPr>
        <w:rPr>
          <w:lang w:val="pt-PT"/>
        </w:rPr>
      </w:pPr>
      <w:r w:rsidRPr="00465964">
        <w:rPr>
          <w:lang w:val="pt-PT"/>
        </w:rPr>
        <w:t xml:space="preserve">5.   Antes de tomar qualquer uma das medidas a que se refere o </w:t>
      </w:r>
      <w:proofErr w:type="spellStart"/>
      <w:r w:rsidRPr="00465964">
        <w:rPr>
          <w:lang w:val="pt-PT"/>
        </w:rPr>
        <w:t>n.</w:t>
      </w:r>
      <w:r w:rsidRPr="00465964">
        <w:rPr>
          <w:vertAlign w:val="superscript"/>
          <w:lang w:val="pt-PT"/>
        </w:rPr>
        <w:t>o</w:t>
      </w:r>
      <w:proofErr w:type="spellEnd"/>
      <w:r w:rsidRPr="00465964">
        <w:rPr>
          <w:lang w:val="pt-PT"/>
        </w:rPr>
        <w:t xml:space="preserve"> 2, a EBA informa do facto a autoridade competente do emitente da </w:t>
      </w:r>
      <w:proofErr w:type="spellStart"/>
      <w:r w:rsidRPr="00465964">
        <w:rPr>
          <w:lang w:val="pt-PT"/>
        </w:rPr>
        <w:t>criptoficha</w:t>
      </w:r>
      <w:proofErr w:type="spellEnd"/>
      <w:r w:rsidRPr="00465964">
        <w:rPr>
          <w:lang w:val="pt-PT"/>
        </w:rPr>
        <w:t xml:space="preserve"> de moeda eletrónica significativa e o banco central do Estado-Membro a cuja moeda oficial a </w:t>
      </w:r>
      <w:proofErr w:type="spellStart"/>
      <w:r w:rsidRPr="00465964">
        <w:rPr>
          <w:lang w:val="pt-PT"/>
        </w:rPr>
        <w:t>criptoficha</w:t>
      </w:r>
      <w:proofErr w:type="spellEnd"/>
      <w:r w:rsidRPr="00465964">
        <w:rPr>
          <w:lang w:val="pt-PT"/>
        </w:rPr>
        <w:t xml:space="preserve"> de moeda eletrónica significativa está referenciada.</w:t>
      </w:r>
    </w:p>
    <w:p w14:paraId="5F5D2E88" w14:textId="77777777" w:rsidR="00465964" w:rsidRPr="00465964" w:rsidRDefault="00465964" w:rsidP="00465964">
      <w:pPr>
        <w:rPr>
          <w:lang w:val="pt-PT"/>
        </w:rPr>
      </w:pPr>
      <w:r w:rsidRPr="00465964">
        <w:rPr>
          <w:lang w:val="pt-PT"/>
        </w:rPr>
        <w:t xml:space="preserve">6.   A EBA notifica sem demora injustificada qualquer medida tomada nos termos dos </w:t>
      </w:r>
      <w:proofErr w:type="spellStart"/>
      <w:proofErr w:type="gramStart"/>
      <w:r w:rsidRPr="00465964">
        <w:rPr>
          <w:lang w:val="pt-PT"/>
        </w:rPr>
        <w:t>n.</w:t>
      </w:r>
      <w:r w:rsidRPr="00465964">
        <w:rPr>
          <w:vertAlign w:val="superscript"/>
          <w:lang w:val="pt-PT"/>
        </w:rPr>
        <w:t>os</w:t>
      </w:r>
      <w:proofErr w:type="spellEnd"/>
      <w:proofErr w:type="gramEnd"/>
      <w:r w:rsidRPr="00465964">
        <w:rPr>
          <w:lang w:val="pt-PT"/>
        </w:rPr>
        <w:t xml:space="preserve"> 1 ou 2 ao emitente da </w:t>
      </w:r>
      <w:proofErr w:type="spellStart"/>
      <w:r w:rsidRPr="00465964">
        <w:rPr>
          <w:lang w:val="pt-PT"/>
        </w:rPr>
        <w:t>criptoficha</w:t>
      </w:r>
      <w:proofErr w:type="spellEnd"/>
      <w:r w:rsidRPr="00465964">
        <w:rPr>
          <w:lang w:val="pt-PT"/>
        </w:rPr>
        <w:t xml:space="preserve"> referenciada a ativos significativa ou ao emitente da </w:t>
      </w:r>
      <w:proofErr w:type="spellStart"/>
      <w:r w:rsidRPr="00465964">
        <w:rPr>
          <w:lang w:val="pt-PT"/>
        </w:rPr>
        <w:t>criptoficha</w:t>
      </w:r>
      <w:proofErr w:type="spellEnd"/>
      <w:r w:rsidRPr="00465964">
        <w:rPr>
          <w:lang w:val="pt-PT"/>
        </w:rPr>
        <w:t xml:space="preserve"> de moeda eletrónica significativa responsável pela infração e comunica essa medida às autoridades competentes em causa bem como à Comissão. A EBA divulga publicamente essas decisões no seu sítio Web no prazo de 10 dias úteis a contar da data de adoção da decisão, a </w:t>
      </w:r>
      <w:r w:rsidRPr="00465964">
        <w:rPr>
          <w:lang w:val="pt-PT"/>
        </w:rPr>
        <w:lastRenderedPageBreak/>
        <w:t>menos que essa divulgação possa pôr seriamente em causa a estabilidade financeira ou causar danos desproporcionados às partes envolvidas. Esta divulgação não pode incluir dados pessoais.</w:t>
      </w:r>
    </w:p>
    <w:p w14:paraId="14CF1331" w14:textId="77777777" w:rsidR="00465964" w:rsidRPr="00465964" w:rsidRDefault="00465964" w:rsidP="00465964">
      <w:pPr>
        <w:rPr>
          <w:lang w:val="pt-PT"/>
        </w:rPr>
      </w:pPr>
      <w:r w:rsidRPr="00465964">
        <w:rPr>
          <w:lang w:val="pt-PT"/>
        </w:rPr>
        <w:t xml:space="preserve">7.   A divulgação ao público a que se refere o </w:t>
      </w:r>
      <w:proofErr w:type="spellStart"/>
      <w:r w:rsidRPr="00465964">
        <w:rPr>
          <w:lang w:val="pt-PT"/>
        </w:rPr>
        <w:t>n.</w:t>
      </w:r>
      <w:r w:rsidRPr="00465964">
        <w:rPr>
          <w:vertAlign w:val="superscript"/>
          <w:lang w:val="pt-PT"/>
        </w:rPr>
        <w:t>o</w:t>
      </w:r>
      <w:proofErr w:type="spellEnd"/>
      <w:r w:rsidRPr="00465964">
        <w:rPr>
          <w:lang w:val="pt-PT"/>
        </w:rPr>
        <w:t> 6 inclui as seguintes declarações:</w:t>
      </w:r>
    </w:p>
    <w:tbl>
      <w:tblPr>
        <w:tblW w:w="5000" w:type="pct"/>
        <w:tblCellMar>
          <w:left w:w="0" w:type="dxa"/>
          <w:right w:w="0" w:type="dxa"/>
        </w:tblCellMar>
        <w:tblLook w:val="04A0" w:firstRow="1" w:lastRow="0" w:firstColumn="1" w:lastColumn="0" w:noHBand="0" w:noVBand="1"/>
      </w:tblPr>
      <w:tblGrid>
        <w:gridCol w:w="182"/>
        <w:gridCol w:w="8844"/>
      </w:tblGrid>
      <w:tr w:rsidR="00465964" w:rsidRPr="00465964" w14:paraId="0BA815B0" w14:textId="77777777" w:rsidTr="00465964">
        <w:tc>
          <w:tcPr>
            <w:tcW w:w="0" w:type="auto"/>
            <w:shd w:val="clear" w:color="auto" w:fill="auto"/>
            <w:hideMark/>
          </w:tcPr>
          <w:p w14:paraId="671FF4F9" w14:textId="77777777" w:rsidR="00465964" w:rsidRPr="00465964" w:rsidRDefault="00465964" w:rsidP="00465964">
            <w:r w:rsidRPr="00465964">
              <w:t>a)</w:t>
            </w:r>
          </w:p>
        </w:tc>
        <w:tc>
          <w:tcPr>
            <w:tcW w:w="0" w:type="auto"/>
            <w:shd w:val="clear" w:color="auto" w:fill="auto"/>
            <w:hideMark/>
          </w:tcPr>
          <w:p w14:paraId="5005DACF" w14:textId="77777777" w:rsidR="00465964" w:rsidRPr="00465964" w:rsidRDefault="00465964" w:rsidP="00465964">
            <w:pPr>
              <w:rPr>
                <w:lang w:val="pt-PT"/>
              </w:rPr>
            </w:pPr>
            <w:r w:rsidRPr="00465964">
              <w:rPr>
                <w:lang w:val="pt-PT"/>
              </w:rPr>
              <w:t>Uma declaração que ateste o direito de a pessoa responsável pela infração recorrer da decisão para o Tribunal de Justiça;</w:t>
            </w:r>
          </w:p>
        </w:tc>
      </w:tr>
    </w:tbl>
    <w:p w14:paraId="4A54B649"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8"/>
        <w:gridCol w:w="8838"/>
      </w:tblGrid>
      <w:tr w:rsidR="00465964" w:rsidRPr="00465964" w14:paraId="749966BD" w14:textId="77777777" w:rsidTr="00465964">
        <w:tc>
          <w:tcPr>
            <w:tcW w:w="0" w:type="auto"/>
            <w:shd w:val="clear" w:color="auto" w:fill="auto"/>
            <w:hideMark/>
          </w:tcPr>
          <w:p w14:paraId="2EE1F4F3" w14:textId="77777777" w:rsidR="00465964" w:rsidRPr="00465964" w:rsidRDefault="00465964" w:rsidP="00465964">
            <w:r w:rsidRPr="00465964">
              <w:t>b)</w:t>
            </w:r>
          </w:p>
        </w:tc>
        <w:tc>
          <w:tcPr>
            <w:tcW w:w="0" w:type="auto"/>
            <w:shd w:val="clear" w:color="auto" w:fill="auto"/>
            <w:hideMark/>
          </w:tcPr>
          <w:p w14:paraId="2D7ECD5E" w14:textId="77777777" w:rsidR="00465964" w:rsidRPr="00465964" w:rsidRDefault="00465964" w:rsidP="00465964">
            <w:pPr>
              <w:rPr>
                <w:lang w:val="pt-PT"/>
              </w:rPr>
            </w:pPr>
            <w:r w:rsidRPr="00465964">
              <w:rPr>
                <w:lang w:val="pt-PT"/>
              </w:rPr>
              <w:t>Se for caso disso, uma declaração que ateste a interposição do recurso e que especifique que tal recurso não tem efeito suspensivo;</w:t>
            </w:r>
          </w:p>
        </w:tc>
      </w:tr>
    </w:tbl>
    <w:p w14:paraId="3C074776"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0"/>
        <w:gridCol w:w="8846"/>
      </w:tblGrid>
      <w:tr w:rsidR="00465964" w:rsidRPr="00465964" w14:paraId="1A179355" w14:textId="77777777" w:rsidTr="00465964">
        <w:tc>
          <w:tcPr>
            <w:tcW w:w="0" w:type="auto"/>
            <w:shd w:val="clear" w:color="auto" w:fill="auto"/>
            <w:hideMark/>
          </w:tcPr>
          <w:p w14:paraId="7E4D5BCC" w14:textId="77777777" w:rsidR="00465964" w:rsidRPr="00465964" w:rsidRDefault="00465964" w:rsidP="00465964">
            <w:r w:rsidRPr="00465964">
              <w:t>c)</w:t>
            </w:r>
          </w:p>
        </w:tc>
        <w:tc>
          <w:tcPr>
            <w:tcW w:w="0" w:type="auto"/>
            <w:shd w:val="clear" w:color="auto" w:fill="auto"/>
            <w:hideMark/>
          </w:tcPr>
          <w:p w14:paraId="78C78A75" w14:textId="77777777" w:rsidR="00465964" w:rsidRPr="00465964" w:rsidRDefault="00465964" w:rsidP="00465964">
            <w:pPr>
              <w:rPr>
                <w:lang w:val="pt-PT"/>
              </w:rPr>
            </w:pPr>
            <w:r w:rsidRPr="00465964">
              <w:rPr>
                <w:lang w:val="pt-PT"/>
              </w:rPr>
              <w:t>Uma declaração que afirme que é possível à Câmara de Recurso da EBA suspender a aplicação da decisão objeto de recurso, em conformidade com o artigo 60.</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xml:space="preserve"> 3, do Regulamento (UE) </w:t>
            </w:r>
            <w:proofErr w:type="spellStart"/>
            <w:r w:rsidRPr="00465964">
              <w:rPr>
                <w:lang w:val="pt-PT"/>
              </w:rPr>
              <w:t>n.</w:t>
            </w:r>
            <w:r w:rsidRPr="00465964">
              <w:rPr>
                <w:vertAlign w:val="superscript"/>
                <w:lang w:val="pt-PT"/>
              </w:rPr>
              <w:t>o</w:t>
            </w:r>
            <w:proofErr w:type="spellEnd"/>
            <w:r w:rsidRPr="00465964">
              <w:rPr>
                <w:lang w:val="pt-PT"/>
              </w:rPr>
              <w:t> 1093/2010.</w:t>
            </w:r>
          </w:p>
        </w:tc>
      </w:tr>
    </w:tbl>
    <w:p w14:paraId="157BDBDA" w14:textId="77777777" w:rsidR="00465964" w:rsidRPr="00465964" w:rsidRDefault="00465964" w:rsidP="00465964">
      <w:pPr>
        <w:rPr>
          <w:i/>
          <w:iCs/>
          <w:lang w:val="pt-PT"/>
        </w:rPr>
      </w:pPr>
      <w:r w:rsidRPr="00465964">
        <w:rPr>
          <w:i/>
          <w:iCs/>
          <w:lang w:val="pt-PT"/>
        </w:rPr>
        <w:t>Artigo 131.</w:t>
      </w:r>
      <w:r w:rsidRPr="00465964">
        <w:rPr>
          <w:i/>
          <w:iCs/>
          <w:vertAlign w:val="superscript"/>
          <w:lang w:val="pt-PT"/>
        </w:rPr>
        <w:t>o</w:t>
      </w:r>
    </w:p>
    <w:p w14:paraId="4BAE07F8" w14:textId="77777777" w:rsidR="00465964" w:rsidRPr="00465964" w:rsidRDefault="00465964" w:rsidP="00465964">
      <w:pPr>
        <w:rPr>
          <w:b/>
          <w:bCs/>
          <w:lang w:val="pt-PT"/>
        </w:rPr>
      </w:pPr>
      <w:r w:rsidRPr="00465964">
        <w:rPr>
          <w:b/>
          <w:bCs/>
          <w:lang w:val="pt-PT"/>
        </w:rPr>
        <w:t>Coimas</w:t>
      </w:r>
    </w:p>
    <w:p w14:paraId="6E74A3C3" w14:textId="77777777" w:rsidR="00465964" w:rsidRPr="00465964" w:rsidRDefault="00465964" w:rsidP="00465964">
      <w:pPr>
        <w:rPr>
          <w:lang w:val="pt-PT"/>
        </w:rPr>
      </w:pPr>
      <w:r w:rsidRPr="00465964">
        <w:rPr>
          <w:lang w:val="pt-PT"/>
        </w:rPr>
        <w:t xml:space="preserve">1.   A EBA adota uma decisão que aplica uma coima em conformidade com o </w:t>
      </w:r>
      <w:proofErr w:type="spellStart"/>
      <w:r w:rsidRPr="00465964">
        <w:rPr>
          <w:lang w:val="pt-PT"/>
        </w:rPr>
        <w:t>n.</w:t>
      </w:r>
      <w:r w:rsidRPr="00465964">
        <w:rPr>
          <w:vertAlign w:val="superscript"/>
          <w:lang w:val="pt-PT"/>
        </w:rPr>
        <w:t>o</w:t>
      </w:r>
      <w:proofErr w:type="spellEnd"/>
      <w:r w:rsidRPr="00465964">
        <w:rPr>
          <w:lang w:val="pt-PT"/>
        </w:rPr>
        <w:t xml:space="preserve"> 3 ou o </w:t>
      </w:r>
      <w:proofErr w:type="spellStart"/>
      <w:r w:rsidRPr="00465964">
        <w:rPr>
          <w:lang w:val="pt-PT"/>
        </w:rPr>
        <w:t>n.</w:t>
      </w:r>
      <w:r w:rsidRPr="00465964">
        <w:rPr>
          <w:vertAlign w:val="superscript"/>
          <w:lang w:val="pt-PT"/>
        </w:rPr>
        <w:t>o</w:t>
      </w:r>
      <w:proofErr w:type="spellEnd"/>
      <w:r w:rsidRPr="00465964">
        <w:rPr>
          <w:lang w:val="pt-PT"/>
        </w:rPr>
        <w:t> 4 do presente artigo quando, nos termos do artigo 134.</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8, concluir que:</w:t>
      </w:r>
    </w:p>
    <w:tbl>
      <w:tblPr>
        <w:tblW w:w="5000" w:type="pct"/>
        <w:tblCellMar>
          <w:left w:w="0" w:type="dxa"/>
          <w:right w:w="0" w:type="dxa"/>
        </w:tblCellMar>
        <w:tblLook w:val="04A0" w:firstRow="1" w:lastRow="0" w:firstColumn="1" w:lastColumn="0" w:noHBand="0" w:noVBand="1"/>
      </w:tblPr>
      <w:tblGrid>
        <w:gridCol w:w="182"/>
        <w:gridCol w:w="8844"/>
      </w:tblGrid>
      <w:tr w:rsidR="00465964" w:rsidRPr="00465964" w14:paraId="25FAD6A4" w14:textId="77777777" w:rsidTr="00465964">
        <w:tc>
          <w:tcPr>
            <w:tcW w:w="0" w:type="auto"/>
            <w:shd w:val="clear" w:color="auto" w:fill="auto"/>
            <w:hideMark/>
          </w:tcPr>
          <w:p w14:paraId="0BBB548C" w14:textId="77777777" w:rsidR="00465964" w:rsidRPr="00465964" w:rsidRDefault="00465964" w:rsidP="00465964">
            <w:r w:rsidRPr="00465964">
              <w:t>a)</w:t>
            </w:r>
          </w:p>
        </w:tc>
        <w:tc>
          <w:tcPr>
            <w:tcW w:w="0" w:type="auto"/>
            <w:shd w:val="clear" w:color="auto" w:fill="auto"/>
            <w:hideMark/>
          </w:tcPr>
          <w:p w14:paraId="2CA73722" w14:textId="77777777" w:rsidR="00465964" w:rsidRPr="00465964" w:rsidRDefault="00465964" w:rsidP="00465964">
            <w:pPr>
              <w:rPr>
                <w:lang w:val="pt-PT"/>
              </w:rPr>
            </w:pPr>
            <w:r w:rsidRPr="00465964">
              <w:rPr>
                <w:lang w:val="pt-PT"/>
              </w:rPr>
              <w:t xml:space="preserve">Um emitente de uma </w:t>
            </w:r>
            <w:proofErr w:type="spellStart"/>
            <w:r w:rsidRPr="00465964">
              <w:rPr>
                <w:lang w:val="pt-PT"/>
              </w:rPr>
              <w:t>criptoficha</w:t>
            </w:r>
            <w:proofErr w:type="spellEnd"/>
            <w:r w:rsidRPr="00465964">
              <w:rPr>
                <w:lang w:val="pt-PT"/>
              </w:rPr>
              <w:t xml:space="preserve"> referenciada a ativos significativa ou um membro do seu órgão de administração cometeu, com dolo ou por negligência, uma infração enumerada no anexo V;</w:t>
            </w:r>
          </w:p>
        </w:tc>
      </w:tr>
    </w:tbl>
    <w:p w14:paraId="23090967"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8"/>
        <w:gridCol w:w="8838"/>
      </w:tblGrid>
      <w:tr w:rsidR="00465964" w:rsidRPr="00465964" w14:paraId="232170A3" w14:textId="77777777" w:rsidTr="00465964">
        <w:tc>
          <w:tcPr>
            <w:tcW w:w="0" w:type="auto"/>
            <w:shd w:val="clear" w:color="auto" w:fill="auto"/>
            <w:hideMark/>
          </w:tcPr>
          <w:p w14:paraId="2CBA7442" w14:textId="77777777" w:rsidR="00465964" w:rsidRPr="00465964" w:rsidRDefault="00465964" w:rsidP="00465964">
            <w:r w:rsidRPr="00465964">
              <w:t>b)</w:t>
            </w:r>
          </w:p>
        </w:tc>
        <w:tc>
          <w:tcPr>
            <w:tcW w:w="0" w:type="auto"/>
            <w:shd w:val="clear" w:color="auto" w:fill="auto"/>
            <w:hideMark/>
          </w:tcPr>
          <w:p w14:paraId="080AD887" w14:textId="77777777" w:rsidR="00465964" w:rsidRPr="00465964" w:rsidRDefault="00465964" w:rsidP="00465964">
            <w:pPr>
              <w:rPr>
                <w:lang w:val="pt-PT"/>
              </w:rPr>
            </w:pPr>
            <w:r w:rsidRPr="00465964">
              <w:rPr>
                <w:lang w:val="pt-PT"/>
              </w:rPr>
              <w:t xml:space="preserve">Um emitente de uma </w:t>
            </w:r>
            <w:proofErr w:type="spellStart"/>
            <w:r w:rsidRPr="00465964">
              <w:rPr>
                <w:lang w:val="pt-PT"/>
              </w:rPr>
              <w:t>criptoficha</w:t>
            </w:r>
            <w:proofErr w:type="spellEnd"/>
            <w:r w:rsidRPr="00465964">
              <w:rPr>
                <w:lang w:val="pt-PT"/>
              </w:rPr>
              <w:t xml:space="preserve"> de moeda eletrónica significativa ou um membro do seu órgão de administração cometeu, com dolo ou por negligência, uma infração enumerada no anexo VI;</w:t>
            </w:r>
          </w:p>
        </w:tc>
      </w:tr>
    </w:tbl>
    <w:p w14:paraId="54EADC87" w14:textId="77777777" w:rsidR="00465964" w:rsidRPr="00465964" w:rsidRDefault="00465964" w:rsidP="00465964">
      <w:pPr>
        <w:rPr>
          <w:lang w:val="pt-PT"/>
        </w:rPr>
      </w:pPr>
      <w:r w:rsidRPr="00465964">
        <w:rPr>
          <w:lang w:val="pt-PT"/>
        </w:rPr>
        <w:t>Entende-se que uma infração foi cometida com dolo se a EBA identificar fatores objetivos que demonstrem que o referido emitente ou um membro do seu órgão de administração agiu deliberadamente para cometer essa infração.</w:t>
      </w:r>
    </w:p>
    <w:p w14:paraId="511B138A" w14:textId="77777777" w:rsidR="00465964" w:rsidRPr="00465964" w:rsidRDefault="00465964" w:rsidP="00465964">
      <w:pPr>
        <w:rPr>
          <w:lang w:val="pt-PT"/>
        </w:rPr>
      </w:pPr>
      <w:r w:rsidRPr="00465964">
        <w:rPr>
          <w:lang w:val="pt-PT"/>
        </w:rPr>
        <w:t xml:space="preserve">2.   Ao adotar uma decisão a que se refere o </w:t>
      </w:r>
      <w:proofErr w:type="spellStart"/>
      <w:r w:rsidRPr="00465964">
        <w:rPr>
          <w:lang w:val="pt-PT"/>
        </w:rPr>
        <w:t>n.</w:t>
      </w:r>
      <w:r w:rsidRPr="00465964">
        <w:rPr>
          <w:vertAlign w:val="superscript"/>
          <w:lang w:val="pt-PT"/>
        </w:rPr>
        <w:t>o</w:t>
      </w:r>
      <w:proofErr w:type="spellEnd"/>
      <w:r w:rsidRPr="00465964">
        <w:rPr>
          <w:lang w:val="pt-PT"/>
        </w:rPr>
        <w:t> 1, a EBA tem em conta a natureza e a gravidade da infração, considerando:</w:t>
      </w:r>
    </w:p>
    <w:tbl>
      <w:tblPr>
        <w:tblW w:w="5000" w:type="pct"/>
        <w:tblCellMar>
          <w:left w:w="0" w:type="dxa"/>
          <w:right w:w="0" w:type="dxa"/>
        </w:tblCellMar>
        <w:tblLook w:val="04A0" w:firstRow="1" w:lastRow="0" w:firstColumn="1" w:lastColumn="0" w:noHBand="0" w:noVBand="1"/>
      </w:tblPr>
      <w:tblGrid>
        <w:gridCol w:w="465"/>
        <w:gridCol w:w="8561"/>
      </w:tblGrid>
      <w:tr w:rsidR="00465964" w:rsidRPr="00465964" w14:paraId="0BE4D282" w14:textId="77777777" w:rsidTr="00465964">
        <w:tc>
          <w:tcPr>
            <w:tcW w:w="0" w:type="auto"/>
            <w:shd w:val="clear" w:color="auto" w:fill="auto"/>
            <w:hideMark/>
          </w:tcPr>
          <w:p w14:paraId="16C96F93" w14:textId="77777777" w:rsidR="00465964" w:rsidRPr="00465964" w:rsidRDefault="00465964" w:rsidP="00465964">
            <w:r w:rsidRPr="00465964">
              <w:t>a)</w:t>
            </w:r>
          </w:p>
        </w:tc>
        <w:tc>
          <w:tcPr>
            <w:tcW w:w="0" w:type="auto"/>
            <w:shd w:val="clear" w:color="auto" w:fill="auto"/>
            <w:hideMark/>
          </w:tcPr>
          <w:p w14:paraId="48CA1718" w14:textId="77777777" w:rsidR="00465964" w:rsidRPr="00465964" w:rsidRDefault="00465964" w:rsidP="00465964">
            <w:pPr>
              <w:rPr>
                <w:lang w:val="pt-PT"/>
              </w:rPr>
            </w:pPr>
            <w:r w:rsidRPr="00465964">
              <w:rPr>
                <w:lang w:val="pt-PT"/>
              </w:rPr>
              <w:t>A duração e frequência da infração;</w:t>
            </w:r>
          </w:p>
        </w:tc>
      </w:tr>
    </w:tbl>
    <w:p w14:paraId="646C7015"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8"/>
        <w:gridCol w:w="8838"/>
      </w:tblGrid>
      <w:tr w:rsidR="00465964" w:rsidRPr="00465964" w14:paraId="7BAC2FCB" w14:textId="77777777" w:rsidTr="00465964">
        <w:tc>
          <w:tcPr>
            <w:tcW w:w="0" w:type="auto"/>
            <w:shd w:val="clear" w:color="auto" w:fill="auto"/>
            <w:hideMark/>
          </w:tcPr>
          <w:p w14:paraId="2F14D1F0" w14:textId="77777777" w:rsidR="00465964" w:rsidRPr="00465964" w:rsidRDefault="00465964" w:rsidP="00465964">
            <w:r w:rsidRPr="00465964">
              <w:t>b)</w:t>
            </w:r>
          </w:p>
        </w:tc>
        <w:tc>
          <w:tcPr>
            <w:tcW w:w="0" w:type="auto"/>
            <w:shd w:val="clear" w:color="auto" w:fill="auto"/>
            <w:hideMark/>
          </w:tcPr>
          <w:p w14:paraId="4CC6A4C6" w14:textId="77777777" w:rsidR="00465964" w:rsidRPr="00465964" w:rsidRDefault="00465964" w:rsidP="00465964">
            <w:pPr>
              <w:rPr>
                <w:lang w:val="pt-PT"/>
              </w:rPr>
            </w:pPr>
            <w:r w:rsidRPr="00465964">
              <w:rPr>
                <w:lang w:val="pt-PT"/>
              </w:rPr>
              <w:t>O facto de a infração ter ocasionado, facilitado ou estado de alguma forma na origem de atos de criminalidade financeira;</w:t>
            </w:r>
          </w:p>
        </w:tc>
      </w:tr>
    </w:tbl>
    <w:p w14:paraId="17B28638"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0"/>
        <w:gridCol w:w="8846"/>
      </w:tblGrid>
      <w:tr w:rsidR="00465964" w:rsidRPr="00465964" w14:paraId="060AF205" w14:textId="77777777" w:rsidTr="00465964">
        <w:tc>
          <w:tcPr>
            <w:tcW w:w="0" w:type="auto"/>
            <w:shd w:val="clear" w:color="auto" w:fill="auto"/>
            <w:hideMark/>
          </w:tcPr>
          <w:p w14:paraId="36D3D568" w14:textId="77777777" w:rsidR="00465964" w:rsidRPr="00465964" w:rsidRDefault="00465964" w:rsidP="00465964">
            <w:r w:rsidRPr="00465964">
              <w:t>c)</w:t>
            </w:r>
          </w:p>
        </w:tc>
        <w:tc>
          <w:tcPr>
            <w:tcW w:w="0" w:type="auto"/>
            <w:shd w:val="clear" w:color="auto" w:fill="auto"/>
            <w:hideMark/>
          </w:tcPr>
          <w:p w14:paraId="77AEC00F" w14:textId="77777777" w:rsidR="00465964" w:rsidRPr="00465964" w:rsidRDefault="00465964" w:rsidP="00465964">
            <w:pPr>
              <w:rPr>
                <w:lang w:val="pt-PT"/>
              </w:rPr>
            </w:pPr>
            <w:r w:rsidRPr="00465964">
              <w:rPr>
                <w:lang w:val="pt-PT"/>
              </w:rPr>
              <w:t xml:space="preserve">O facto de a infração ter revelado deficiências graves ou sistémicas nos procedimentos, políticas e medidas de gestão do risco do emitente da </w:t>
            </w:r>
            <w:proofErr w:type="spellStart"/>
            <w:r w:rsidRPr="00465964">
              <w:rPr>
                <w:lang w:val="pt-PT"/>
              </w:rPr>
              <w:t>criptoficha</w:t>
            </w:r>
            <w:proofErr w:type="spellEnd"/>
            <w:r w:rsidRPr="00465964">
              <w:rPr>
                <w:lang w:val="pt-PT"/>
              </w:rPr>
              <w:t xml:space="preserve"> referenciada a ativos significativa ou do emitente da </w:t>
            </w:r>
            <w:proofErr w:type="spellStart"/>
            <w:r w:rsidRPr="00465964">
              <w:rPr>
                <w:lang w:val="pt-PT"/>
              </w:rPr>
              <w:t>criptoficha</w:t>
            </w:r>
            <w:proofErr w:type="spellEnd"/>
            <w:r w:rsidRPr="00465964">
              <w:rPr>
                <w:lang w:val="pt-PT"/>
              </w:rPr>
              <w:t xml:space="preserve"> de moeda eletrónica significativa;</w:t>
            </w:r>
          </w:p>
        </w:tc>
      </w:tr>
    </w:tbl>
    <w:p w14:paraId="6CF352F3"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256"/>
        <w:gridCol w:w="8770"/>
      </w:tblGrid>
      <w:tr w:rsidR="00465964" w:rsidRPr="00465964" w14:paraId="397E6A15" w14:textId="77777777" w:rsidTr="00465964">
        <w:tc>
          <w:tcPr>
            <w:tcW w:w="0" w:type="auto"/>
            <w:shd w:val="clear" w:color="auto" w:fill="auto"/>
            <w:hideMark/>
          </w:tcPr>
          <w:p w14:paraId="4DC229C4" w14:textId="77777777" w:rsidR="00465964" w:rsidRPr="00465964" w:rsidRDefault="00465964" w:rsidP="00465964">
            <w:r w:rsidRPr="00465964">
              <w:t>d)</w:t>
            </w:r>
          </w:p>
        </w:tc>
        <w:tc>
          <w:tcPr>
            <w:tcW w:w="0" w:type="auto"/>
            <w:shd w:val="clear" w:color="auto" w:fill="auto"/>
            <w:hideMark/>
          </w:tcPr>
          <w:p w14:paraId="2CC916DA" w14:textId="77777777" w:rsidR="00465964" w:rsidRPr="00465964" w:rsidRDefault="00465964" w:rsidP="00465964">
            <w:pPr>
              <w:rPr>
                <w:lang w:val="pt-PT"/>
              </w:rPr>
            </w:pPr>
            <w:r w:rsidRPr="00465964">
              <w:rPr>
                <w:lang w:val="pt-PT"/>
              </w:rPr>
              <w:t>O facto de a infração ter sido cometida com dolo ou por negligência;</w:t>
            </w:r>
          </w:p>
        </w:tc>
      </w:tr>
    </w:tbl>
    <w:p w14:paraId="41B88D02"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1"/>
        <w:gridCol w:w="8845"/>
      </w:tblGrid>
      <w:tr w:rsidR="00465964" w:rsidRPr="00465964" w14:paraId="15BDC22C" w14:textId="77777777" w:rsidTr="00465964">
        <w:tc>
          <w:tcPr>
            <w:tcW w:w="0" w:type="auto"/>
            <w:shd w:val="clear" w:color="auto" w:fill="auto"/>
            <w:hideMark/>
          </w:tcPr>
          <w:p w14:paraId="60065659" w14:textId="77777777" w:rsidR="00465964" w:rsidRPr="00465964" w:rsidRDefault="00465964" w:rsidP="00465964">
            <w:r w:rsidRPr="00465964">
              <w:t>e)</w:t>
            </w:r>
          </w:p>
        </w:tc>
        <w:tc>
          <w:tcPr>
            <w:tcW w:w="0" w:type="auto"/>
            <w:shd w:val="clear" w:color="auto" w:fill="auto"/>
            <w:hideMark/>
          </w:tcPr>
          <w:p w14:paraId="6E2B7F41" w14:textId="77777777" w:rsidR="00465964" w:rsidRPr="00465964" w:rsidRDefault="00465964" w:rsidP="00465964">
            <w:pPr>
              <w:rPr>
                <w:lang w:val="pt-PT"/>
              </w:rPr>
            </w:pPr>
            <w:r w:rsidRPr="00465964">
              <w:rPr>
                <w:lang w:val="pt-PT"/>
              </w:rPr>
              <w:t xml:space="preserve">O grau de responsabilidade do emitente da </w:t>
            </w:r>
            <w:proofErr w:type="spellStart"/>
            <w:r w:rsidRPr="00465964">
              <w:rPr>
                <w:lang w:val="pt-PT"/>
              </w:rPr>
              <w:t>criptoficha</w:t>
            </w:r>
            <w:proofErr w:type="spellEnd"/>
            <w:r w:rsidRPr="00465964">
              <w:rPr>
                <w:lang w:val="pt-PT"/>
              </w:rPr>
              <w:t xml:space="preserve"> referenciada a ativos significativa ou do emitente da </w:t>
            </w:r>
            <w:proofErr w:type="spellStart"/>
            <w:r w:rsidRPr="00465964">
              <w:rPr>
                <w:lang w:val="pt-PT"/>
              </w:rPr>
              <w:t>criptoficha</w:t>
            </w:r>
            <w:proofErr w:type="spellEnd"/>
            <w:r w:rsidRPr="00465964">
              <w:rPr>
                <w:lang w:val="pt-PT"/>
              </w:rPr>
              <w:t xml:space="preserve"> de moeda eletrónica significativa pela infração;</w:t>
            </w:r>
          </w:p>
        </w:tc>
      </w:tr>
    </w:tbl>
    <w:p w14:paraId="2BCED8A5"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36"/>
        <w:gridCol w:w="8890"/>
      </w:tblGrid>
      <w:tr w:rsidR="00465964" w:rsidRPr="00465964" w14:paraId="500D7AD0" w14:textId="77777777" w:rsidTr="00465964">
        <w:tc>
          <w:tcPr>
            <w:tcW w:w="0" w:type="auto"/>
            <w:shd w:val="clear" w:color="auto" w:fill="auto"/>
            <w:hideMark/>
          </w:tcPr>
          <w:p w14:paraId="3959F06F" w14:textId="77777777" w:rsidR="00465964" w:rsidRPr="00465964" w:rsidRDefault="00465964" w:rsidP="00465964">
            <w:r w:rsidRPr="00465964">
              <w:t>f)</w:t>
            </w:r>
          </w:p>
        </w:tc>
        <w:tc>
          <w:tcPr>
            <w:tcW w:w="0" w:type="auto"/>
            <w:shd w:val="clear" w:color="auto" w:fill="auto"/>
            <w:hideMark/>
          </w:tcPr>
          <w:p w14:paraId="4A699888" w14:textId="77777777" w:rsidR="00465964" w:rsidRPr="00465964" w:rsidRDefault="00465964" w:rsidP="00465964">
            <w:pPr>
              <w:rPr>
                <w:lang w:val="pt-PT"/>
              </w:rPr>
            </w:pPr>
            <w:r w:rsidRPr="00465964">
              <w:rPr>
                <w:lang w:val="pt-PT"/>
              </w:rPr>
              <w:t xml:space="preserve">A capacidade financeira do emitente da </w:t>
            </w:r>
            <w:proofErr w:type="spellStart"/>
            <w:r w:rsidRPr="00465964">
              <w:rPr>
                <w:lang w:val="pt-PT"/>
              </w:rPr>
              <w:t>criptoficha</w:t>
            </w:r>
            <w:proofErr w:type="spellEnd"/>
            <w:r w:rsidRPr="00465964">
              <w:rPr>
                <w:lang w:val="pt-PT"/>
              </w:rPr>
              <w:t xml:space="preserve"> referenciada a ativos significativa ou do emitente da </w:t>
            </w:r>
            <w:proofErr w:type="spellStart"/>
            <w:r w:rsidRPr="00465964">
              <w:rPr>
                <w:lang w:val="pt-PT"/>
              </w:rPr>
              <w:t>criptoficha</w:t>
            </w:r>
            <w:proofErr w:type="spellEnd"/>
            <w:r w:rsidRPr="00465964">
              <w:rPr>
                <w:lang w:val="pt-PT"/>
              </w:rPr>
              <w:t xml:space="preserve"> de moeda eletrónica significativa responsável pela infração, indicada </w:t>
            </w:r>
            <w:r w:rsidRPr="00465964">
              <w:rPr>
                <w:lang w:val="pt-PT"/>
              </w:rPr>
              <w:lastRenderedPageBreak/>
              <w:t>pelo volume de negócios total da pessoa coletiva responsável ou pelo rendimento anual e pelos ativos líquidos da pessoa singular responsável;</w:t>
            </w:r>
          </w:p>
        </w:tc>
      </w:tr>
    </w:tbl>
    <w:p w14:paraId="302D5C7F"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74"/>
        <w:gridCol w:w="8852"/>
      </w:tblGrid>
      <w:tr w:rsidR="00465964" w:rsidRPr="00465964" w14:paraId="7182B666" w14:textId="77777777" w:rsidTr="00465964">
        <w:tc>
          <w:tcPr>
            <w:tcW w:w="0" w:type="auto"/>
            <w:shd w:val="clear" w:color="auto" w:fill="auto"/>
            <w:hideMark/>
          </w:tcPr>
          <w:p w14:paraId="5742534B" w14:textId="77777777" w:rsidR="00465964" w:rsidRPr="00465964" w:rsidRDefault="00465964" w:rsidP="00465964">
            <w:r w:rsidRPr="00465964">
              <w:t>g)</w:t>
            </w:r>
          </w:p>
        </w:tc>
        <w:tc>
          <w:tcPr>
            <w:tcW w:w="0" w:type="auto"/>
            <w:shd w:val="clear" w:color="auto" w:fill="auto"/>
            <w:hideMark/>
          </w:tcPr>
          <w:p w14:paraId="26825850" w14:textId="1DB88208" w:rsidR="00465964" w:rsidRPr="00465964" w:rsidRDefault="00465964" w:rsidP="00465964">
            <w:pPr>
              <w:rPr>
                <w:lang w:val="pt-PT"/>
              </w:rPr>
            </w:pPr>
            <w:r w:rsidRPr="00465964">
              <w:rPr>
                <w:lang w:val="pt-PT"/>
              </w:rPr>
              <w:t xml:space="preserve">O impacto da infração nos interesses dos detentores de </w:t>
            </w:r>
            <w:r>
              <w:rPr>
                <w:lang w:val="pt-PT"/>
              </w:rPr>
              <w:t>criptomoedas</w:t>
            </w:r>
            <w:r w:rsidRPr="00465964">
              <w:rPr>
                <w:lang w:val="pt-PT"/>
              </w:rPr>
              <w:t xml:space="preserve"> referenciadas a ativos significativas ou de </w:t>
            </w:r>
            <w:r>
              <w:rPr>
                <w:lang w:val="pt-PT"/>
              </w:rPr>
              <w:t>criptomoedas</w:t>
            </w:r>
            <w:r w:rsidRPr="00465964">
              <w:rPr>
                <w:lang w:val="pt-PT"/>
              </w:rPr>
              <w:t xml:space="preserve"> de moeda eletrónica significativas;</w:t>
            </w:r>
          </w:p>
        </w:tc>
      </w:tr>
    </w:tbl>
    <w:p w14:paraId="3E9C4FE1"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6"/>
        <w:gridCol w:w="8840"/>
      </w:tblGrid>
      <w:tr w:rsidR="00465964" w:rsidRPr="00465964" w14:paraId="5C917A84" w14:textId="77777777" w:rsidTr="00465964">
        <w:tc>
          <w:tcPr>
            <w:tcW w:w="0" w:type="auto"/>
            <w:shd w:val="clear" w:color="auto" w:fill="auto"/>
            <w:hideMark/>
          </w:tcPr>
          <w:p w14:paraId="0DB14914" w14:textId="77777777" w:rsidR="00465964" w:rsidRPr="00465964" w:rsidRDefault="00465964" w:rsidP="00465964">
            <w:r w:rsidRPr="00465964">
              <w:t>h)</w:t>
            </w:r>
          </w:p>
        </w:tc>
        <w:tc>
          <w:tcPr>
            <w:tcW w:w="0" w:type="auto"/>
            <w:shd w:val="clear" w:color="auto" w:fill="auto"/>
            <w:hideMark/>
          </w:tcPr>
          <w:p w14:paraId="654D2BAD" w14:textId="77777777" w:rsidR="00465964" w:rsidRPr="00465964" w:rsidRDefault="00465964" w:rsidP="00465964">
            <w:pPr>
              <w:rPr>
                <w:lang w:val="pt-PT"/>
              </w:rPr>
            </w:pPr>
            <w:r w:rsidRPr="00465964">
              <w:rPr>
                <w:lang w:val="pt-PT"/>
              </w:rPr>
              <w:t xml:space="preserve">A importância dos lucros obtidos ou das perdas evitadas pelo emitente da </w:t>
            </w:r>
            <w:proofErr w:type="spellStart"/>
            <w:r w:rsidRPr="00465964">
              <w:rPr>
                <w:lang w:val="pt-PT"/>
              </w:rPr>
              <w:t>criptoficha</w:t>
            </w:r>
            <w:proofErr w:type="spellEnd"/>
            <w:r w:rsidRPr="00465964">
              <w:rPr>
                <w:lang w:val="pt-PT"/>
              </w:rPr>
              <w:t xml:space="preserve"> referenciada a ativos significativa ou da </w:t>
            </w:r>
            <w:proofErr w:type="spellStart"/>
            <w:r w:rsidRPr="00465964">
              <w:rPr>
                <w:lang w:val="pt-PT"/>
              </w:rPr>
              <w:t>criptoficha</w:t>
            </w:r>
            <w:proofErr w:type="spellEnd"/>
            <w:r w:rsidRPr="00465964">
              <w:rPr>
                <w:lang w:val="pt-PT"/>
              </w:rPr>
              <w:t xml:space="preserve"> de moeda eletrónica significativa responsável pela infração, ou das perdas ocasionadas a terceiros em consequência da infração, na medida em que sejam determináveis;</w:t>
            </w:r>
          </w:p>
        </w:tc>
      </w:tr>
    </w:tbl>
    <w:p w14:paraId="5415FEA8"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17"/>
        <w:gridCol w:w="8909"/>
      </w:tblGrid>
      <w:tr w:rsidR="00465964" w:rsidRPr="00465964" w14:paraId="739C041D" w14:textId="77777777" w:rsidTr="00465964">
        <w:tc>
          <w:tcPr>
            <w:tcW w:w="0" w:type="auto"/>
            <w:shd w:val="clear" w:color="auto" w:fill="auto"/>
            <w:hideMark/>
          </w:tcPr>
          <w:p w14:paraId="6AD751AA" w14:textId="77777777" w:rsidR="00465964" w:rsidRPr="00465964" w:rsidRDefault="00465964" w:rsidP="00465964">
            <w:proofErr w:type="spellStart"/>
            <w:r w:rsidRPr="00465964">
              <w:t>i</w:t>
            </w:r>
            <w:proofErr w:type="spellEnd"/>
            <w:r w:rsidRPr="00465964">
              <w:t>)</w:t>
            </w:r>
          </w:p>
        </w:tc>
        <w:tc>
          <w:tcPr>
            <w:tcW w:w="0" w:type="auto"/>
            <w:shd w:val="clear" w:color="auto" w:fill="auto"/>
            <w:hideMark/>
          </w:tcPr>
          <w:p w14:paraId="6164D068" w14:textId="77777777" w:rsidR="00465964" w:rsidRPr="00465964" w:rsidRDefault="00465964" w:rsidP="00465964">
            <w:pPr>
              <w:rPr>
                <w:lang w:val="pt-PT"/>
              </w:rPr>
            </w:pPr>
            <w:r w:rsidRPr="00465964">
              <w:rPr>
                <w:lang w:val="pt-PT"/>
              </w:rPr>
              <w:t xml:space="preserve">O nível de cooperação com a EBA do emitente da </w:t>
            </w:r>
            <w:proofErr w:type="spellStart"/>
            <w:r w:rsidRPr="00465964">
              <w:rPr>
                <w:lang w:val="pt-PT"/>
              </w:rPr>
              <w:t>criptoficha</w:t>
            </w:r>
            <w:proofErr w:type="spellEnd"/>
            <w:r w:rsidRPr="00465964">
              <w:rPr>
                <w:lang w:val="pt-PT"/>
              </w:rPr>
              <w:t xml:space="preserve"> referenciada a ativos significativa ou do emitente de </w:t>
            </w:r>
            <w:proofErr w:type="spellStart"/>
            <w:r w:rsidRPr="00465964">
              <w:rPr>
                <w:lang w:val="pt-PT"/>
              </w:rPr>
              <w:t>criptoficha</w:t>
            </w:r>
            <w:proofErr w:type="spellEnd"/>
            <w:r w:rsidRPr="00465964">
              <w:rPr>
                <w:lang w:val="pt-PT"/>
              </w:rPr>
              <w:t xml:space="preserve"> de moeda eletrónica significativa responsável pela infração, sem prejuízo da necessidade de assegurar a restituição dos lucros obtidos ou das perdas evitadas por esse emitente;</w:t>
            </w:r>
          </w:p>
        </w:tc>
      </w:tr>
    </w:tbl>
    <w:p w14:paraId="4356C0AD"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17"/>
        <w:gridCol w:w="8909"/>
      </w:tblGrid>
      <w:tr w:rsidR="00465964" w:rsidRPr="00465964" w14:paraId="5C284693" w14:textId="77777777" w:rsidTr="00465964">
        <w:tc>
          <w:tcPr>
            <w:tcW w:w="0" w:type="auto"/>
            <w:shd w:val="clear" w:color="auto" w:fill="auto"/>
            <w:hideMark/>
          </w:tcPr>
          <w:p w14:paraId="722A754D" w14:textId="77777777" w:rsidR="00465964" w:rsidRPr="00465964" w:rsidRDefault="00465964" w:rsidP="00465964">
            <w:r w:rsidRPr="00465964">
              <w:t>j)</w:t>
            </w:r>
          </w:p>
        </w:tc>
        <w:tc>
          <w:tcPr>
            <w:tcW w:w="0" w:type="auto"/>
            <w:shd w:val="clear" w:color="auto" w:fill="auto"/>
            <w:hideMark/>
          </w:tcPr>
          <w:p w14:paraId="61E2FD9C" w14:textId="77777777" w:rsidR="00465964" w:rsidRPr="00465964" w:rsidRDefault="00465964" w:rsidP="00465964">
            <w:pPr>
              <w:rPr>
                <w:lang w:val="pt-PT"/>
              </w:rPr>
            </w:pPr>
            <w:r w:rsidRPr="00465964">
              <w:rPr>
                <w:lang w:val="pt-PT"/>
              </w:rPr>
              <w:t xml:space="preserve">Infrações anteriores cometidas pelo emitente da </w:t>
            </w:r>
            <w:proofErr w:type="spellStart"/>
            <w:r w:rsidRPr="00465964">
              <w:rPr>
                <w:lang w:val="pt-PT"/>
              </w:rPr>
              <w:t>criptoficha</w:t>
            </w:r>
            <w:proofErr w:type="spellEnd"/>
            <w:r w:rsidRPr="00465964">
              <w:rPr>
                <w:lang w:val="pt-PT"/>
              </w:rPr>
              <w:t xml:space="preserve"> referenciada a ativos significativa ou pelo emitente da </w:t>
            </w:r>
            <w:proofErr w:type="spellStart"/>
            <w:r w:rsidRPr="00465964">
              <w:rPr>
                <w:lang w:val="pt-PT"/>
              </w:rPr>
              <w:t>criptoficha</w:t>
            </w:r>
            <w:proofErr w:type="spellEnd"/>
            <w:r w:rsidRPr="00465964">
              <w:rPr>
                <w:lang w:val="pt-PT"/>
              </w:rPr>
              <w:t xml:space="preserve"> de moeda eletrónica significativa responsável pela infração;</w:t>
            </w:r>
          </w:p>
        </w:tc>
      </w:tr>
    </w:tbl>
    <w:p w14:paraId="10286DBE"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72"/>
        <w:gridCol w:w="8854"/>
      </w:tblGrid>
      <w:tr w:rsidR="00465964" w:rsidRPr="00465964" w14:paraId="1B4CBA57" w14:textId="77777777" w:rsidTr="00465964">
        <w:tc>
          <w:tcPr>
            <w:tcW w:w="0" w:type="auto"/>
            <w:shd w:val="clear" w:color="auto" w:fill="auto"/>
            <w:hideMark/>
          </w:tcPr>
          <w:p w14:paraId="7A06BA8E" w14:textId="77777777" w:rsidR="00465964" w:rsidRPr="00465964" w:rsidRDefault="00465964" w:rsidP="00465964">
            <w:r w:rsidRPr="00465964">
              <w:t>k)</w:t>
            </w:r>
          </w:p>
        </w:tc>
        <w:tc>
          <w:tcPr>
            <w:tcW w:w="0" w:type="auto"/>
            <w:shd w:val="clear" w:color="auto" w:fill="auto"/>
            <w:hideMark/>
          </w:tcPr>
          <w:p w14:paraId="6F2FE40D" w14:textId="77777777" w:rsidR="00465964" w:rsidRPr="00465964" w:rsidRDefault="00465964" w:rsidP="00465964">
            <w:pPr>
              <w:rPr>
                <w:lang w:val="pt-PT"/>
              </w:rPr>
            </w:pPr>
            <w:r w:rsidRPr="00465964">
              <w:rPr>
                <w:lang w:val="pt-PT"/>
              </w:rPr>
              <w:t xml:space="preserve">Medidas adotadas pelo emitente da </w:t>
            </w:r>
            <w:proofErr w:type="spellStart"/>
            <w:r w:rsidRPr="00465964">
              <w:rPr>
                <w:lang w:val="pt-PT"/>
              </w:rPr>
              <w:t>criptoficha</w:t>
            </w:r>
            <w:proofErr w:type="spellEnd"/>
            <w:r w:rsidRPr="00465964">
              <w:rPr>
                <w:lang w:val="pt-PT"/>
              </w:rPr>
              <w:t xml:space="preserve"> referenciada a ativos significativa ou pelo emitente da </w:t>
            </w:r>
            <w:proofErr w:type="spellStart"/>
            <w:r w:rsidRPr="00465964">
              <w:rPr>
                <w:lang w:val="pt-PT"/>
              </w:rPr>
              <w:t>criptoficha</w:t>
            </w:r>
            <w:proofErr w:type="spellEnd"/>
            <w:r w:rsidRPr="00465964">
              <w:rPr>
                <w:lang w:val="pt-PT"/>
              </w:rPr>
              <w:t xml:space="preserve"> de moeda eletrónica significativa após a infração para evitar a repetição da referida infração.</w:t>
            </w:r>
          </w:p>
        </w:tc>
      </w:tr>
    </w:tbl>
    <w:p w14:paraId="69955992" w14:textId="0CED2CB7" w:rsidR="00465964" w:rsidRPr="00465964" w:rsidRDefault="00465964" w:rsidP="00465964">
      <w:pPr>
        <w:rPr>
          <w:lang w:val="pt-PT"/>
        </w:rPr>
      </w:pPr>
      <w:r w:rsidRPr="00465964">
        <w:rPr>
          <w:lang w:val="pt-PT"/>
        </w:rPr>
        <w:t xml:space="preserve">3.   Relativamente aos emitentes de </w:t>
      </w:r>
      <w:r>
        <w:rPr>
          <w:lang w:val="pt-PT"/>
        </w:rPr>
        <w:t>criptomoedas</w:t>
      </w:r>
      <w:r w:rsidRPr="00465964">
        <w:rPr>
          <w:lang w:val="pt-PT"/>
        </w:rPr>
        <w:t xml:space="preserve"> referenciadas a ativos significativas, o montante máximo da coima a que se refere o </w:t>
      </w:r>
      <w:proofErr w:type="spellStart"/>
      <w:r w:rsidRPr="00465964">
        <w:rPr>
          <w:lang w:val="pt-PT"/>
        </w:rPr>
        <w:t>n.</w:t>
      </w:r>
      <w:r w:rsidRPr="00465964">
        <w:rPr>
          <w:vertAlign w:val="superscript"/>
          <w:lang w:val="pt-PT"/>
        </w:rPr>
        <w:t>o</w:t>
      </w:r>
      <w:proofErr w:type="spellEnd"/>
      <w:r w:rsidRPr="00465964">
        <w:rPr>
          <w:lang w:val="pt-PT"/>
        </w:rPr>
        <w:t> 1 pode ascender a 12,5 % do seu volume de negócios anual registado no exercício anterior, ou ao dobro do montante dos lucros obtidos ou das perdas evitadas em resultado da infração, caso possam ser determinados.</w:t>
      </w:r>
    </w:p>
    <w:p w14:paraId="219A1833" w14:textId="008B3DC2" w:rsidR="00465964" w:rsidRPr="00465964" w:rsidRDefault="00465964" w:rsidP="00465964">
      <w:pPr>
        <w:rPr>
          <w:lang w:val="pt-PT"/>
        </w:rPr>
      </w:pPr>
      <w:r w:rsidRPr="00465964">
        <w:rPr>
          <w:lang w:val="pt-PT"/>
        </w:rPr>
        <w:t xml:space="preserve">4.   Relativamente aos emitentes de </w:t>
      </w:r>
      <w:r>
        <w:rPr>
          <w:lang w:val="pt-PT"/>
        </w:rPr>
        <w:t>criptomoedas</w:t>
      </w:r>
      <w:r w:rsidRPr="00465964">
        <w:rPr>
          <w:lang w:val="pt-PT"/>
        </w:rPr>
        <w:t xml:space="preserve"> de moeda eletrónica significativas, o montante máximo da coima a que se refere o </w:t>
      </w:r>
      <w:proofErr w:type="spellStart"/>
      <w:r w:rsidRPr="00465964">
        <w:rPr>
          <w:lang w:val="pt-PT"/>
        </w:rPr>
        <w:t>n.</w:t>
      </w:r>
      <w:r w:rsidRPr="00465964">
        <w:rPr>
          <w:vertAlign w:val="superscript"/>
          <w:lang w:val="pt-PT"/>
        </w:rPr>
        <w:t>o</w:t>
      </w:r>
      <w:proofErr w:type="spellEnd"/>
      <w:r w:rsidRPr="00465964">
        <w:rPr>
          <w:lang w:val="pt-PT"/>
        </w:rPr>
        <w:t> 1 pode ascender a 10 % do volume de negócios anual registado no exercício anterior, ou ao dobro do montante dos lucros obtidos ou das perdas evitadas em resultado da infração, caso sejam determináveis.</w:t>
      </w:r>
    </w:p>
    <w:p w14:paraId="2F9F0E0E" w14:textId="77777777" w:rsidR="00465964" w:rsidRPr="00465964" w:rsidRDefault="00465964" w:rsidP="00465964">
      <w:pPr>
        <w:rPr>
          <w:i/>
          <w:iCs/>
          <w:lang w:val="pt-PT"/>
        </w:rPr>
      </w:pPr>
      <w:r w:rsidRPr="00465964">
        <w:rPr>
          <w:i/>
          <w:iCs/>
          <w:lang w:val="pt-PT"/>
        </w:rPr>
        <w:t>Artigo 132.</w:t>
      </w:r>
      <w:r w:rsidRPr="00465964">
        <w:rPr>
          <w:i/>
          <w:iCs/>
          <w:vertAlign w:val="superscript"/>
          <w:lang w:val="pt-PT"/>
        </w:rPr>
        <w:t>o</w:t>
      </w:r>
    </w:p>
    <w:p w14:paraId="03EB0B67" w14:textId="77777777" w:rsidR="00465964" w:rsidRPr="00465964" w:rsidRDefault="00465964" w:rsidP="00465964">
      <w:pPr>
        <w:rPr>
          <w:b/>
          <w:bCs/>
          <w:lang w:val="pt-PT"/>
        </w:rPr>
      </w:pPr>
      <w:r w:rsidRPr="00465964">
        <w:rPr>
          <w:b/>
          <w:bCs/>
          <w:lang w:val="pt-PT"/>
        </w:rPr>
        <w:t>Sanções pecuniárias compulsórias</w:t>
      </w:r>
    </w:p>
    <w:p w14:paraId="6B211980" w14:textId="77777777" w:rsidR="00465964" w:rsidRPr="00465964" w:rsidRDefault="00465964" w:rsidP="00465964">
      <w:pPr>
        <w:rPr>
          <w:lang w:val="pt-PT"/>
        </w:rPr>
      </w:pPr>
      <w:r w:rsidRPr="00465964">
        <w:rPr>
          <w:lang w:val="pt-PT"/>
        </w:rPr>
        <w:t>1.   A EBA adota uma decisão que impõe sanções pecuniárias compulsórias para obrigar:</w:t>
      </w:r>
    </w:p>
    <w:tbl>
      <w:tblPr>
        <w:tblW w:w="5000" w:type="pct"/>
        <w:tblCellMar>
          <w:left w:w="0" w:type="dxa"/>
          <w:right w:w="0" w:type="dxa"/>
        </w:tblCellMar>
        <w:tblLook w:val="04A0" w:firstRow="1" w:lastRow="0" w:firstColumn="1" w:lastColumn="0" w:noHBand="0" w:noVBand="1"/>
      </w:tblPr>
      <w:tblGrid>
        <w:gridCol w:w="182"/>
        <w:gridCol w:w="8844"/>
      </w:tblGrid>
      <w:tr w:rsidR="00465964" w:rsidRPr="00465964" w14:paraId="0AAF762F" w14:textId="77777777" w:rsidTr="00465964">
        <w:tc>
          <w:tcPr>
            <w:tcW w:w="0" w:type="auto"/>
            <w:shd w:val="clear" w:color="auto" w:fill="auto"/>
            <w:hideMark/>
          </w:tcPr>
          <w:p w14:paraId="6FDC2E58" w14:textId="77777777" w:rsidR="00465964" w:rsidRPr="00465964" w:rsidRDefault="00465964" w:rsidP="00465964">
            <w:r w:rsidRPr="00465964">
              <w:t>a)</w:t>
            </w:r>
          </w:p>
        </w:tc>
        <w:tc>
          <w:tcPr>
            <w:tcW w:w="0" w:type="auto"/>
            <w:shd w:val="clear" w:color="auto" w:fill="auto"/>
            <w:hideMark/>
          </w:tcPr>
          <w:p w14:paraId="6CEAE711" w14:textId="77777777" w:rsidR="00465964" w:rsidRPr="00465964" w:rsidRDefault="00465964" w:rsidP="00465964">
            <w:pPr>
              <w:rPr>
                <w:lang w:val="pt-PT"/>
              </w:rPr>
            </w:pPr>
            <w:r w:rsidRPr="00465964">
              <w:rPr>
                <w:lang w:val="pt-PT"/>
              </w:rPr>
              <w:t>Uma pessoa a pôr termo à conduta que constitui uma infração, em conformidade com uma decisão tomada nos termos do artigo 130.</w:t>
            </w:r>
            <w:r w:rsidRPr="00465964">
              <w:rPr>
                <w:vertAlign w:val="superscript"/>
                <w:lang w:val="pt-PT"/>
              </w:rPr>
              <w:t>o</w:t>
            </w:r>
            <w:r w:rsidRPr="00465964">
              <w:rPr>
                <w:lang w:val="pt-PT"/>
              </w:rPr>
              <w:t>;</w:t>
            </w:r>
          </w:p>
        </w:tc>
      </w:tr>
    </w:tbl>
    <w:p w14:paraId="0855980F"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8"/>
        <w:gridCol w:w="8838"/>
      </w:tblGrid>
      <w:tr w:rsidR="00465964" w:rsidRPr="00465964" w14:paraId="1517D859" w14:textId="77777777" w:rsidTr="00465964">
        <w:tc>
          <w:tcPr>
            <w:tcW w:w="0" w:type="auto"/>
            <w:shd w:val="clear" w:color="auto" w:fill="auto"/>
            <w:hideMark/>
          </w:tcPr>
          <w:p w14:paraId="56B726A7" w14:textId="77777777" w:rsidR="00465964" w:rsidRPr="00465964" w:rsidRDefault="00465964" w:rsidP="00465964">
            <w:r w:rsidRPr="00465964">
              <w:t>b)</w:t>
            </w:r>
          </w:p>
        </w:tc>
        <w:tc>
          <w:tcPr>
            <w:tcW w:w="0" w:type="auto"/>
            <w:shd w:val="clear" w:color="auto" w:fill="auto"/>
            <w:hideMark/>
          </w:tcPr>
          <w:p w14:paraId="4B52BF24" w14:textId="77777777" w:rsidR="00465964" w:rsidRPr="00465964" w:rsidRDefault="00465964" w:rsidP="00465964">
            <w:pPr>
              <w:rPr>
                <w:lang w:val="pt-PT"/>
              </w:rPr>
            </w:pPr>
            <w:r w:rsidRPr="00465964">
              <w:rPr>
                <w:lang w:val="pt-PT"/>
              </w:rPr>
              <w:t>Uma pessoa referida no artigo 122.</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1:</w:t>
            </w:r>
          </w:p>
          <w:tbl>
            <w:tblPr>
              <w:tblW w:w="5000" w:type="pct"/>
              <w:tblCellMar>
                <w:left w:w="0" w:type="dxa"/>
                <w:right w:w="0" w:type="dxa"/>
              </w:tblCellMar>
              <w:tblLook w:val="04A0" w:firstRow="1" w:lastRow="0" w:firstColumn="1" w:lastColumn="0" w:noHBand="0" w:noVBand="1"/>
            </w:tblPr>
            <w:tblGrid>
              <w:gridCol w:w="117"/>
              <w:gridCol w:w="8721"/>
            </w:tblGrid>
            <w:tr w:rsidR="00465964" w:rsidRPr="00465964" w14:paraId="3073C128" w14:textId="77777777">
              <w:tc>
                <w:tcPr>
                  <w:tcW w:w="0" w:type="auto"/>
                  <w:shd w:val="clear" w:color="auto" w:fill="auto"/>
                  <w:hideMark/>
                </w:tcPr>
                <w:p w14:paraId="407BA630" w14:textId="77777777" w:rsidR="00465964" w:rsidRPr="00465964" w:rsidRDefault="00465964" w:rsidP="00465964">
                  <w:proofErr w:type="spellStart"/>
                  <w:r w:rsidRPr="00465964">
                    <w:t>i</w:t>
                  </w:r>
                  <w:proofErr w:type="spellEnd"/>
                  <w:r w:rsidRPr="00465964">
                    <w:t>)</w:t>
                  </w:r>
                </w:p>
              </w:tc>
              <w:tc>
                <w:tcPr>
                  <w:tcW w:w="0" w:type="auto"/>
                  <w:shd w:val="clear" w:color="auto" w:fill="auto"/>
                  <w:hideMark/>
                </w:tcPr>
                <w:p w14:paraId="62A35EAB" w14:textId="77777777" w:rsidR="00465964" w:rsidRPr="00465964" w:rsidRDefault="00465964" w:rsidP="00465964">
                  <w:pPr>
                    <w:rPr>
                      <w:lang w:val="pt-PT"/>
                    </w:rPr>
                  </w:pPr>
                  <w:r w:rsidRPr="00465964">
                    <w:rPr>
                      <w:lang w:val="pt-PT"/>
                    </w:rPr>
                    <w:t>a prestar a informação completa que tenha sido solicitada por decisão tomada nos termos do artigo 122.</w:t>
                  </w:r>
                  <w:r w:rsidRPr="00465964">
                    <w:rPr>
                      <w:vertAlign w:val="superscript"/>
                      <w:lang w:val="pt-PT"/>
                    </w:rPr>
                    <w:t>o</w:t>
                  </w:r>
                  <w:r w:rsidRPr="00465964">
                    <w:rPr>
                      <w:lang w:val="pt-PT"/>
                    </w:rPr>
                    <w:t>,</w:t>
                  </w:r>
                </w:p>
              </w:tc>
            </w:tr>
          </w:tbl>
          <w:p w14:paraId="63C5D8BF"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70"/>
              <w:gridCol w:w="8668"/>
            </w:tblGrid>
            <w:tr w:rsidR="00465964" w:rsidRPr="00465964" w14:paraId="362A9100" w14:textId="77777777">
              <w:tc>
                <w:tcPr>
                  <w:tcW w:w="0" w:type="auto"/>
                  <w:shd w:val="clear" w:color="auto" w:fill="auto"/>
                  <w:hideMark/>
                </w:tcPr>
                <w:p w14:paraId="38190096" w14:textId="77777777" w:rsidR="00465964" w:rsidRPr="00465964" w:rsidRDefault="00465964" w:rsidP="00465964">
                  <w:r w:rsidRPr="00465964">
                    <w:t>ii)</w:t>
                  </w:r>
                </w:p>
              </w:tc>
              <w:tc>
                <w:tcPr>
                  <w:tcW w:w="0" w:type="auto"/>
                  <w:shd w:val="clear" w:color="auto" w:fill="auto"/>
                  <w:hideMark/>
                </w:tcPr>
                <w:p w14:paraId="3238553B" w14:textId="77777777" w:rsidR="00465964" w:rsidRPr="00465964" w:rsidRDefault="00465964" w:rsidP="00465964">
                  <w:pPr>
                    <w:rPr>
                      <w:lang w:val="pt-PT"/>
                    </w:rPr>
                  </w:pPr>
                  <w:r w:rsidRPr="00465964">
                    <w:rPr>
                      <w:lang w:val="pt-PT"/>
                    </w:rPr>
                    <w:t xml:space="preserve">a submeter-se a uma investigação e, em particular, a apresentar na íntegra os registos, dados, procedimentos ou qualquer outro </w:t>
                  </w:r>
                  <w:proofErr w:type="gramStart"/>
                  <w:r w:rsidRPr="00465964">
                    <w:rPr>
                      <w:lang w:val="pt-PT"/>
                    </w:rPr>
                    <w:t>material exigidos</w:t>
                  </w:r>
                  <w:proofErr w:type="gramEnd"/>
                  <w:r w:rsidRPr="00465964">
                    <w:rPr>
                      <w:lang w:val="pt-PT"/>
                    </w:rPr>
                    <w:t xml:space="preserve"> e a completar e corrigir outras informações prestadas no âmbito de uma investigação lançada por decisão tomada nos termos do artigo 123.</w:t>
                  </w:r>
                  <w:r w:rsidRPr="00465964">
                    <w:rPr>
                      <w:vertAlign w:val="superscript"/>
                      <w:lang w:val="pt-PT"/>
                    </w:rPr>
                    <w:t>o</w:t>
                  </w:r>
                  <w:r w:rsidRPr="00465964">
                    <w:rPr>
                      <w:lang w:val="pt-PT"/>
                    </w:rPr>
                    <w:t>,</w:t>
                  </w:r>
                </w:p>
              </w:tc>
            </w:tr>
          </w:tbl>
          <w:p w14:paraId="1A097B4D"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223"/>
              <w:gridCol w:w="8615"/>
            </w:tblGrid>
            <w:tr w:rsidR="00465964" w:rsidRPr="00465964" w14:paraId="050196A7" w14:textId="77777777">
              <w:tc>
                <w:tcPr>
                  <w:tcW w:w="0" w:type="auto"/>
                  <w:shd w:val="clear" w:color="auto" w:fill="auto"/>
                  <w:hideMark/>
                </w:tcPr>
                <w:p w14:paraId="78CC0BB1" w14:textId="77777777" w:rsidR="00465964" w:rsidRPr="00465964" w:rsidRDefault="00465964" w:rsidP="00465964">
                  <w:r w:rsidRPr="00465964">
                    <w:t>iii)</w:t>
                  </w:r>
                </w:p>
              </w:tc>
              <w:tc>
                <w:tcPr>
                  <w:tcW w:w="0" w:type="auto"/>
                  <w:shd w:val="clear" w:color="auto" w:fill="auto"/>
                  <w:hideMark/>
                </w:tcPr>
                <w:p w14:paraId="46E97385" w14:textId="77777777" w:rsidR="00465964" w:rsidRPr="00465964" w:rsidRDefault="00465964" w:rsidP="00465964">
                  <w:pPr>
                    <w:rPr>
                      <w:lang w:val="pt-PT"/>
                    </w:rPr>
                  </w:pPr>
                  <w:r w:rsidRPr="00465964">
                    <w:rPr>
                      <w:lang w:val="pt-PT"/>
                    </w:rPr>
                    <w:t xml:space="preserve">a submeter-se a uma inspeção no local ordenada por decisão tomada nos termos do artigo </w:t>
                  </w:r>
                  <w:proofErr w:type="gramStart"/>
                  <w:r w:rsidRPr="00465964">
                    <w:rPr>
                      <w:lang w:val="pt-PT"/>
                    </w:rPr>
                    <w:t>124.</w:t>
                  </w:r>
                  <w:r w:rsidRPr="00465964">
                    <w:rPr>
                      <w:vertAlign w:val="superscript"/>
                      <w:lang w:val="pt-PT"/>
                    </w:rPr>
                    <w:t>o</w:t>
                  </w:r>
                  <w:r w:rsidRPr="00465964">
                    <w:rPr>
                      <w:lang w:val="pt-PT"/>
                    </w:rPr>
                    <w:t>.</w:t>
                  </w:r>
                  <w:proofErr w:type="gramEnd"/>
                </w:p>
              </w:tc>
            </w:tr>
          </w:tbl>
          <w:p w14:paraId="28FD3646" w14:textId="77777777" w:rsidR="00465964" w:rsidRPr="00465964" w:rsidRDefault="00465964" w:rsidP="00465964">
            <w:pPr>
              <w:rPr>
                <w:lang w:val="pt-PT"/>
              </w:rPr>
            </w:pPr>
          </w:p>
        </w:tc>
      </w:tr>
    </w:tbl>
    <w:p w14:paraId="4ED39BA8" w14:textId="77777777" w:rsidR="00465964" w:rsidRPr="00465964" w:rsidRDefault="00465964" w:rsidP="00465964">
      <w:pPr>
        <w:rPr>
          <w:lang w:val="pt-PT"/>
        </w:rPr>
      </w:pPr>
      <w:r w:rsidRPr="00465964">
        <w:rPr>
          <w:lang w:val="pt-PT"/>
        </w:rPr>
        <w:lastRenderedPageBreak/>
        <w:t>2.   Uma sanção pecuniária compulsória deve ser eficaz e proporcionada. As sanções pecuniárias compulsórias são aplicadas por cada dia de mora.</w:t>
      </w:r>
    </w:p>
    <w:p w14:paraId="27076741" w14:textId="77777777" w:rsidR="00465964" w:rsidRPr="00465964" w:rsidRDefault="00465964" w:rsidP="00465964">
      <w:pPr>
        <w:rPr>
          <w:lang w:val="pt-PT"/>
        </w:rPr>
      </w:pPr>
      <w:r w:rsidRPr="00465964">
        <w:rPr>
          <w:lang w:val="pt-PT"/>
        </w:rPr>
        <w:t xml:space="preserve">3.   Não obstante o disposto no </w:t>
      </w:r>
      <w:proofErr w:type="spellStart"/>
      <w:r w:rsidRPr="00465964">
        <w:rPr>
          <w:lang w:val="pt-PT"/>
        </w:rPr>
        <w:t>n.</w:t>
      </w:r>
      <w:r w:rsidRPr="00465964">
        <w:rPr>
          <w:vertAlign w:val="superscript"/>
          <w:lang w:val="pt-PT"/>
        </w:rPr>
        <w:t>o</w:t>
      </w:r>
      <w:proofErr w:type="spellEnd"/>
      <w:r w:rsidRPr="00465964">
        <w:rPr>
          <w:lang w:val="pt-PT"/>
        </w:rPr>
        <w:t> 2, o montante das sanções pecuniárias compulsórias é igual a 3 % do volume de negócios diário médio registado no exercício anterior, ou, no caso das pessoas singulares, igual a 2 % do rendimento diário médio obtido no ano civil anterior. O referido montante é calculado a partir da data estabelecida na decisão da EBA que impõe a sanção pecuniária compulsória.</w:t>
      </w:r>
    </w:p>
    <w:p w14:paraId="6210FFAE" w14:textId="77777777" w:rsidR="00465964" w:rsidRPr="00465964" w:rsidRDefault="00465964" w:rsidP="00465964">
      <w:pPr>
        <w:rPr>
          <w:lang w:val="pt-PT"/>
        </w:rPr>
      </w:pPr>
      <w:r w:rsidRPr="00465964">
        <w:rPr>
          <w:lang w:val="pt-PT"/>
        </w:rPr>
        <w:t>4.   As sanções pecuniárias compulsórias são aplicadas por um período máximo de seis meses a contar da data de notificação da decisão da EBA. No final deste período, a EBA procede à reapreciação da medida.</w:t>
      </w:r>
    </w:p>
    <w:p w14:paraId="412D9299" w14:textId="77777777" w:rsidR="00465964" w:rsidRPr="00465964" w:rsidRDefault="00465964" w:rsidP="00465964">
      <w:pPr>
        <w:rPr>
          <w:i/>
          <w:iCs/>
          <w:lang w:val="pt-PT"/>
        </w:rPr>
      </w:pPr>
      <w:r w:rsidRPr="00465964">
        <w:rPr>
          <w:i/>
          <w:iCs/>
          <w:lang w:val="pt-PT"/>
        </w:rPr>
        <w:t>Artigo 133.</w:t>
      </w:r>
      <w:r w:rsidRPr="00465964">
        <w:rPr>
          <w:i/>
          <w:iCs/>
          <w:vertAlign w:val="superscript"/>
          <w:lang w:val="pt-PT"/>
        </w:rPr>
        <w:t>o</w:t>
      </w:r>
    </w:p>
    <w:p w14:paraId="0C5DD000" w14:textId="77777777" w:rsidR="00465964" w:rsidRPr="00465964" w:rsidRDefault="00465964" w:rsidP="00465964">
      <w:pPr>
        <w:rPr>
          <w:b/>
          <w:bCs/>
          <w:lang w:val="pt-PT"/>
        </w:rPr>
      </w:pPr>
      <w:r w:rsidRPr="00465964">
        <w:rPr>
          <w:b/>
          <w:bCs/>
          <w:lang w:val="pt-PT"/>
        </w:rPr>
        <w:t>Divulgação, natureza, execução e afetação das coimas e sanções pecuniárias compulsórias</w:t>
      </w:r>
    </w:p>
    <w:p w14:paraId="0601505E" w14:textId="77777777" w:rsidR="00465964" w:rsidRPr="00465964" w:rsidRDefault="00465964" w:rsidP="00465964">
      <w:pPr>
        <w:rPr>
          <w:lang w:val="pt-PT"/>
        </w:rPr>
      </w:pPr>
      <w:r w:rsidRPr="00465964">
        <w:rPr>
          <w:lang w:val="pt-PT"/>
        </w:rPr>
        <w:t>1.   A EBA divulga ao público todas as coimas e sanções pecuniárias compulsórias que tenha aplicado ao abrigo dos artigos 131.</w:t>
      </w:r>
      <w:r w:rsidRPr="00465964">
        <w:rPr>
          <w:vertAlign w:val="superscript"/>
          <w:lang w:val="pt-PT"/>
        </w:rPr>
        <w:t>o</w:t>
      </w:r>
      <w:r w:rsidRPr="00465964">
        <w:rPr>
          <w:lang w:val="pt-PT"/>
        </w:rPr>
        <w:t> e 132.</w:t>
      </w:r>
      <w:r w:rsidRPr="00465964">
        <w:rPr>
          <w:vertAlign w:val="superscript"/>
          <w:lang w:val="pt-PT"/>
        </w:rPr>
        <w:t>o</w:t>
      </w:r>
      <w:r w:rsidRPr="00465964">
        <w:rPr>
          <w:lang w:val="pt-PT"/>
        </w:rPr>
        <w:t>, salvo se tal divulgação puder comprometer gravemente a estabilidade financeira ou causar danos desproporcionados às partes envolvidas. A informação divulgada não pode conter dados pessoais.</w:t>
      </w:r>
    </w:p>
    <w:p w14:paraId="7B74DABF" w14:textId="77777777" w:rsidR="00465964" w:rsidRPr="00465964" w:rsidRDefault="00465964" w:rsidP="00465964">
      <w:pPr>
        <w:rPr>
          <w:lang w:val="pt-PT"/>
        </w:rPr>
      </w:pPr>
      <w:r w:rsidRPr="00465964">
        <w:rPr>
          <w:lang w:val="pt-PT"/>
        </w:rPr>
        <w:t>2.   As coimas e as sanções pecuniárias compulsórias aplicadas por força dos artigos 131.</w:t>
      </w:r>
      <w:r w:rsidRPr="00465964">
        <w:rPr>
          <w:vertAlign w:val="superscript"/>
          <w:lang w:val="pt-PT"/>
        </w:rPr>
        <w:t>o</w:t>
      </w:r>
      <w:r w:rsidRPr="00465964">
        <w:rPr>
          <w:lang w:val="pt-PT"/>
        </w:rPr>
        <w:t> e 132.</w:t>
      </w:r>
      <w:r w:rsidRPr="00465964">
        <w:rPr>
          <w:vertAlign w:val="superscript"/>
          <w:lang w:val="pt-PT"/>
        </w:rPr>
        <w:t>o</w:t>
      </w:r>
      <w:r w:rsidRPr="00465964">
        <w:rPr>
          <w:lang w:val="pt-PT"/>
        </w:rPr>
        <w:t> têm caráter administrativo.</w:t>
      </w:r>
    </w:p>
    <w:p w14:paraId="4CF8BEDB" w14:textId="77777777" w:rsidR="00465964" w:rsidRPr="00465964" w:rsidRDefault="00465964" w:rsidP="00465964">
      <w:pPr>
        <w:rPr>
          <w:lang w:val="pt-PT"/>
        </w:rPr>
      </w:pPr>
      <w:r w:rsidRPr="00465964">
        <w:rPr>
          <w:lang w:val="pt-PT"/>
        </w:rPr>
        <w:t>3.   As decisões de aplicar coimas e sanções pecuniárias compulsórias ao abrigo dos artigos 131.</w:t>
      </w:r>
      <w:r w:rsidRPr="00465964">
        <w:rPr>
          <w:vertAlign w:val="superscript"/>
          <w:lang w:val="pt-PT"/>
        </w:rPr>
        <w:t>o</w:t>
      </w:r>
      <w:r w:rsidRPr="00465964">
        <w:rPr>
          <w:lang w:val="pt-PT"/>
        </w:rPr>
        <w:t> e 132.</w:t>
      </w:r>
      <w:r w:rsidRPr="00465964">
        <w:rPr>
          <w:vertAlign w:val="superscript"/>
          <w:lang w:val="pt-PT"/>
        </w:rPr>
        <w:t>o</w:t>
      </w:r>
      <w:r w:rsidRPr="00465964">
        <w:rPr>
          <w:lang w:val="pt-PT"/>
        </w:rPr>
        <w:t> têm força executiva em conformidade com as normas de processo civil em vigor no Estado em cujo território a execução da coima ou da sanção pecuniária compulsória tem lugar.</w:t>
      </w:r>
    </w:p>
    <w:p w14:paraId="7DBEBFEE" w14:textId="77777777" w:rsidR="00465964" w:rsidRPr="00465964" w:rsidRDefault="00465964" w:rsidP="00465964">
      <w:pPr>
        <w:rPr>
          <w:lang w:val="pt-PT"/>
        </w:rPr>
      </w:pPr>
      <w:r w:rsidRPr="00465964">
        <w:rPr>
          <w:lang w:val="pt-PT"/>
        </w:rPr>
        <w:t>4.   O montante das coimas e sanções pecuniárias compulsórias é afetado ao orçamento geral da União.</w:t>
      </w:r>
    </w:p>
    <w:p w14:paraId="19D60EA4" w14:textId="77777777" w:rsidR="00465964" w:rsidRPr="00465964" w:rsidRDefault="00465964" w:rsidP="00465964">
      <w:pPr>
        <w:rPr>
          <w:lang w:val="pt-PT"/>
        </w:rPr>
      </w:pPr>
      <w:r w:rsidRPr="00465964">
        <w:rPr>
          <w:lang w:val="pt-PT"/>
        </w:rPr>
        <w:t>5.   Caso a EBA, não obstante o disposto nos artigos 131.</w:t>
      </w:r>
      <w:r w:rsidRPr="00465964">
        <w:rPr>
          <w:vertAlign w:val="superscript"/>
          <w:lang w:val="pt-PT"/>
        </w:rPr>
        <w:t>o</w:t>
      </w:r>
      <w:r w:rsidRPr="00465964">
        <w:rPr>
          <w:lang w:val="pt-PT"/>
        </w:rPr>
        <w:t> e 132.</w:t>
      </w:r>
      <w:r w:rsidRPr="00465964">
        <w:rPr>
          <w:vertAlign w:val="superscript"/>
          <w:lang w:val="pt-PT"/>
        </w:rPr>
        <w:t>o</w:t>
      </w:r>
      <w:r w:rsidRPr="00465964">
        <w:rPr>
          <w:lang w:val="pt-PT"/>
        </w:rPr>
        <w:t>, decida não aplicar coimas ou sanções pecuniárias, informa o Parlamento Europeu, o Conselho, a Comissão e as autoridades competentes do Estado-Membro em causa, indicando os fundamentos da sua decisão.</w:t>
      </w:r>
    </w:p>
    <w:p w14:paraId="43FC62C0" w14:textId="77777777" w:rsidR="00465964" w:rsidRPr="00465964" w:rsidRDefault="00465964" w:rsidP="00465964">
      <w:pPr>
        <w:rPr>
          <w:i/>
          <w:iCs/>
          <w:lang w:val="pt-PT"/>
        </w:rPr>
      </w:pPr>
      <w:r w:rsidRPr="00465964">
        <w:rPr>
          <w:i/>
          <w:iCs/>
          <w:lang w:val="pt-PT"/>
        </w:rPr>
        <w:t>Artigo 134.</w:t>
      </w:r>
      <w:r w:rsidRPr="00465964">
        <w:rPr>
          <w:i/>
          <w:iCs/>
          <w:vertAlign w:val="superscript"/>
          <w:lang w:val="pt-PT"/>
        </w:rPr>
        <w:t>o</w:t>
      </w:r>
    </w:p>
    <w:p w14:paraId="446529EE" w14:textId="77777777" w:rsidR="00465964" w:rsidRPr="00465964" w:rsidRDefault="00465964" w:rsidP="00465964">
      <w:pPr>
        <w:rPr>
          <w:b/>
          <w:bCs/>
          <w:lang w:val="pt-PT"/>
        </w:rPr>
      </w:pPr>
      <w:r w:rsidRPr="00465964">
        <w:rPr>
          <w:b/>
          <w:bCs/>
          <w:lang w:val="pt-PT"/>
        </w:rPr>
        <w:t>Regras processuais para a adoção de medidas de supervisão e a aplicação de coimas</w:t>
      </w:r>
    </w:p>
    <w:p w14:paraId="7806628E" w14:textId="247999B8" w:rsidR="00465964" w:rsidRPr="00465964" w:rsidRDefault="00465964" w:rsidP="00465964">
      <w:pPr>
        <w:rPr>
          <w:lang w:val="pt-PT"/>
        </w:rPr>
      </w:pPr>
      <w:r w:rsidRPr="00465964">
        <w:rPr>
          <w:lang w:val="pt-PT"/>
        </w:rPr>
        <w:t>1.   Se, no desempenho das responsabilidades de supervisão que lhe são atribuídas pelo artigo 117.</w:t>
      </w:r>
      <w:r w:rsidRPr="00465964">
        <w:rPr>
          <w:vertAlign w:val="superscript"/>
          <w:lang w:val="pt-PT"/>
        </w:rPr>
        <w:t>o</w:t>
      </w:r>
      <w:r w:rsidRPr="00465964">
        <w:rPr>
          <w:lang w:val="pt-PT"/>
        </w:rPr>
        <w:t xml:space="preserve">, houver motivos claros e demonstráveis para suspeitar que foi ou que será cometida uma infração enumerada no anexo V ou no anexo VI, a EBA nomeia no seu seio um inquiridor independente para investigar o assunto. O inquiridor não pode estar envolvido, nem ter estado direta ou indiretamente envolvido, na supervisão dos emitentes de </w:t>
      </w:r>
      <w:r>
        <w:rPr>
          <w:lang w:val="pt-PT"/>
        </w:rPr>
        <w:t>criptomoedas</w:t>
      </w:r>
      <w:r w:rsidRPr="00465964">
        <w:rPr>
          <w:lang w:val="pt-PT"/>
        </w:rPr>
        <w:t xml:space="preserve"> referenciadas a ativos significativas ou dos emitentes de </w:t>
      </w:r>
      <w:r>
        <w:rPr>
          <w:lang w:val="pt-PT"/>
        </w:rPr>
        <w:t>criptomoedas</w:t>
      </w:r>
      <w:r w:rsidRPr="00465964">
        <w:rPr>
          <w:lang w:val="pt-PT"/>
        </w:rPr>
        <w:t xml:space="preserve"> de moeda eletrónica significativas em causa, e exerce as suas funções de forma independente da EBA.</w:t>
      </w:r>
    </w:p>
    <w:p w14:paraId="27FFCC49" w14:textId="77777777" w:rsidR="00465964" w:rsidRPr="00465964" w:rsidRDefault="00465964" w:rsidP="00465964">
      <w:pPr>
        <w:rPr>
          <w:lang w:val="pt-PT"/>
        </w:rPr>
      </w:pPr>
      <w:r w:rsidRPr="00465964">
        <w:rPr>
          <w:lang w:val="pt-PT"/>
        </w:rPr>
        <w:t>2.   O inquiridor deve investigar as alegadas infrações, tendo em conta todas as observações formuladas pelas pessoas sujeitas a investigação, devendo apresentar à EBA um processo completo com as suas conclusões.</w:t>
      </w:r>
    </w:p>
    <w:p w14:paraId="1B4CD92C" w14:textId="77777777" w:rsidR="00465964" w:rsidRPr="00465964" w:rsidRDefault="00465964" w:rsidP="00465964">
      <w:pPr>
        <w:rPr>
          <w:lang w:val="pt-PT"/>
        </w:rPr>
      </w:pPr>
      <w:r w:rsidRPr="00465964">
        <w:rPr>
          <w:lang w:val="pt-PT"/>
        </w:rPr>
        <w:lastRenderedPageBreak/>
        <w:t>3.   Para levar a cabo as suas atribuições, o inquiridor pode exercer o poder de solicitar informações nos termos do artigo 122.</w:t>
      </w:r>
      <w:r w:rsidRPr="00465964">
        <w:rPr>
          <w:vertAlign w:val="superscript"/>
          <w:lang w:val="pt-PT"/>
        </w:rPr>
        <w:t>o</w:t>
      </w:r>
      <w:r w:rsidRPr="00465964">
        <w:rPr>
          <w:lang w:val="pt-PT"/>
        </w:rPr>
        <w:t> e o poder de realizar investigações e inspeções no local nos termos dos artigos 123.</w:t>
      </w:r>
      <w:r w:rsidRPr="00465964">
        <w:rPr>
          <w:vertAlign w:val="superscript"/>
          <w:lang w:val="pt-PT"/>
        </w:rPr>
        <w:t>o</w:t>
      </w:r>
      <w:r w:rsidRPr="00465964">
        <w:rPr>
          <w:lang w:val="pt-PT"/>
        </w:rPr>
        <w:t> e 124.</w:t>
      </w:r>
      <w:r w:rsidRPr="00465964">
        <w:rPr>
          <w:vertAlign w:val="superscript"/>
          <w:lang w:val="pt-PT"/>
        </w:rPr>
        <w:t>o</w:t>
      </w:r>
      <w:r w:rsidRPr="00465964">
        <w:rPr>
          <w:lang w:val="pt-PT"/>
        </w:rPr>
        <w:t>. Ao fazer uso desses poderes, o inquiridor cumpre o disposto no artigo 121.</w:t>
      </w:r>
      <w:r w:rsidRPr="00465964">
        <w:rPr>
          <w:vertAlign w:val="superscript"/>
          <w:lang w:val="pt-PT"/>
        </w:rPr>
        <w:t>o</w:t>
      </w:r>
      <w:r w:rsidRPr="00465964">
        <w:rPr>
          <w:lang w:val="pt-PT"/>
        </w:rPr>
        <w:t>.</w:t>
      </w:r>
    </w:p>
    <w:p w14:paraId="6E343FDA" w14:textId="77777777" w:rsidR="00465964" w:rsidRPr="00465964" w:rsidRDefault="00465964" w:rsidP="00465964">
      <w:pPr>
        <w:rPr>
          <w:lang w:val="pt-PT"/>
        </w:rPr>
      </w:pPr>
      <w:r w:rsidRPr="00465964">
        <w:rPr>
          <w:lang w:val="pt-PT"/>
        </w:rPr>
        <w:t>4.   Na prossecução das suas atribuições, o inquiridor tem acesso a todos os documentos e informações recolhidas pela EBA no âmbito das suas atividades de supervisão.</w:t>
      </w:r>
    </w:p>
    <w:p w14:paraId="65828A59" w14:textId="77777777" w:rsidR="00465964" w:rsidRPr="00465964" w:rsidRDefault="00465964" w:rsidP="00465964">
      <w:pPr>
        <w:rPr>
          <w:lang w:val="pt-PT"/>
        </w:rPr>
      </w:pPr>
      <w:r w:rsidRPr="00465964">
        <w:rPr>
          <w:lang w:val="pt-PT"/>
        </w:rPr>
        <w:t>5.   Tendo concluído a sua investigação e antes de apresentar à EBA o dossiê com as suas conclusões, o inquiridor dá às pessoas sujeitas à investigação a oportunidade de se pronunciarem sobre as matérias objeto da mesma. O inquiridor baseia as suas conclusões exclusivamente em factos sobre os quais as partes interessadas tenham tido a oportunidade de se pronunciar.</w:t>
      </w:r>
    </w:p>
    <w:p w14:paraId="5C0277C9" w14:textId="77777777" w:rsidR="00465964" w:rsidRPr="00465964" w:rsidRDefault="00465964" w:rsidP="00465964">
      <w:pPr>
        <w:rPr>
          <w:lang w:val="pt-PT"/>
        </w:rPr>
      </w:pPr>
      <w:r w:rsidRPr="00465964">
        <w:rPr>
          <w:lang w:val="pt-PT"/>
        </w:rPr>
        <w:t>6.   Os direitos de defesa dos interessados devem ser plenamente acautelados no desenrolar das investigações efetuadas nos termos do presente artigo.</w:t>
      </w:r>
    </w:p>
    <w:p w14:paraId="65BA32BC" w14:textId="77777777" w:rsidR="00465964" w:rsidRPr="00465964" w:rsidRDefault="00465964" w:rsidP="00465964">
      <w:pPr>
        <w:rPr>
          <w:lang w:val="pt-PT"/>
        </w:rPr>
      </w:pPr>
      <w:r w:rsidRPr="00465964">
        <w:rPr>
          <w:lang w:val="pt-PT"/>
        </w:rPr>
        <w:t>7.   Quando apresentar à EBA o dossiê com as suas conclusões, o inquiridor notifica deste facto as pessoas sujeitas à investigação. As pessoas sujeitas à investigação têm o direito de consultar o processo, sem prejuízo dos legítimos interesses de terceiros na proteção dos seus segredos comerciais. O direito de consulta do processo não é extensível a informações confidenciais que afetem terceiros nem aos documentos preparatórios internos da EBA.</w:t>
      </w:r>
    </w:p>
    <w:p w14:paraId="33393289" w14:textId="77777777" w:rsidR="00465964" w:rsidRPr="00465964" w:rsidRDefault="00465964" w:rsidP="00465964">
      <w:pPr>
        <w:rPr>
          <w:lang w:val="pt-PT"/>
        </w:rPr>
      </w:pPr>
      <w:r w:rsidRPr="00465964">
        <w:rPr>
          <w:lang w:val="pt-PT"/>
        </w:rPr>
        <w:t>8.   Com base no processo que contém as conclusões do inquiridor e, se tal for requerido pelas pessoas sujeitas à investigação, ouvidas as referidas pessoas nos termos do artigo 135.</w:t>
      </w:r>
      <w:r w:rsidRPr="00465964">
        <w:rPr>
          <w:vertAlign w:val="superscript"/>
          <w:lang w:val="pt-PT"/>
        </w:rPr>
        <w:t>o</w:t>
      </w:r>
      <w:r w:rsidRPr="00465964">
        <w:rPr>
          <w:lang w:val="pt-PT"/>
        </w:rPr>
        <w:t xml:space="preserve">, a EBA decide se o emitente da </w:t>
      </w:r>
      <w:proofErr w:type="spellStart"/>
      <w:r w:rsidRPr="00465964">
        <w:rPr>
          <w:lang w:val="pt-PT"/>
        </w:rPr>
        <w:t>criptoficha</w:t>
      </w:r>
      <w:proofErr w:type="spellEnd"/>
      <w:r w:rsidRPr="00465964">
        <w:rPr>
          <w:lang w:val="pt-PT"/>
        </w:rPr>
        <w:t xml:space="preserve"> referenciada a ativos significativa ou o emitente da </w:t>
      </w:r>
      <w:proofErr w:type="spellStart"/>
      <w:r w:rsidRPr="00465964">
        <w:rPr>
          <w:lang w:val="pt-PT"/>
        </w:rPr>
        <w:t>criptoficha</w:t>
      </w:r>
      <w:proofErr w:type="spellEnd"/>
      <w:r w:rsidRPr="00465964">
        <w:rPr>
          <w:lang w:val="pt-PT"/>
        </w:rPr>
        <w:t xml:space="preserve"> de moeda eletrónica significativa sujeito à investigação cometeu uma infração enumerada no anexo V ou no anexo VI, tomando, se for esse o caso, uma medida de supervisão em conformidade com o artigo 130.</w:t>
      </w:r>
      <w:r w:rsidRPr="00465964">
        <w:rPr>
          <w:vertAlign w:val="superscript"/>
          <w:lang w:val="pt-PT"/>
        </w:rPr>
        <w:t>o</w:t>
      </w:r>
      <w:r w:rsidRPr="00465964">
        <w:rPr>
          <w:lang w:val="pt-PT"/>
        </w:rPr>
        <w:t> ou aplicando uma coima em conformidade com o artigo 131.</w:t>
      </w:r>
      <w:r w:rsidRPr="00465964">
        <w:rPr>
          <w:vertAlign w:val="superscript"/>
          <w:lang w:val="pt-PT"/>
        </w:rPr>
        <w:t>o</w:t>
      </w:r>
      <w:r w:rsidRPr="00465964">
        <w:rPr>
          <w:lang w:val="pt-PT"/>
        </w:rPr>
        <w:t>.</w:t>
      </w:r>
    </w:p>
    <w:p w14:paraId="34547C40" w14:textId="77777777" w:rsidR="00465964" w:rsidRPr="00465964" w:rsidRDefault="00465964" w:rsidP="00465964">
      <w:pPr>
        <w:rPr>
          <w:lang w:val="pt-PT"/>
        </w:rPr>
      </w:pPr>
      <w:r w:rsidRPr="00465964">
        <w:rPr>
          <w:lang w:val="pt-PT"/>
        </w:rPr>
        <w:t>9.   O inquiridor não participa nas deliberações da EBA nem intervém de qualquer outra forma no processo decisório da EBA.</w:t>
      </w:r>
    </w:p>
    <w:p w14:paraId="282F6BDB" w14:textId="77777777" w:rsidR="00465964" w:rsidRPr="00465964" w:rsidRDefault="00465964" w:rsidP="00465964">
      <w:pPr>
        <w:rPr>
          <w:lang w:val="pt-PT"/>
        </w:rPr>
      </w:pPr>
      <w:r w:rsidRPr="00465964">
        <w:rPr>
          <w:lang w:val="pt-PT"/>
        </w:rPr>
        <w:t>10.   A Comissão adota atos delegados nos termos do artigo 139.</w:t>
      </w:r>
      <w:r w:rsidRPr="00465964">
        <w:rPr>
          <w:vertAlign w:val="superscript"/>
          <w:lang w:val="pt-PT"/>
        </w:rPr>
        <w:t>o</w:t>
      </w:r>
      <w:r w:rsidRPr="00465964">
        <w:rPr>
          <w:lang w:val="pt-PT"/>
        </w:rPr>
        <w:t> até 30 de junho de 2024, a fim de completar o presente regulamento com a especificação mais pormenorizada das regras processuais relativas ao exercício dos poderes de aplicação de coimas ou sanções pecuniárias compulsórias, incluindo disposições relativas aos direitos de defesa, disposições temporárias cobrança das coimas ou das sanções pecuniárias compulsórias e aos prazos de prescrição para a aplicação e execução de coimas e sanções pecuniárias compulsórias.</w:t>
      </w:r>
    </w:p>
    <w:p w14:paraId="3E498AC6" w14:textId="77777777" w:rsidR="00465964" w:rsidRPr="00465964" w:rsidRDefault="00465964" w:rsidP="00465964">
      <w:pPr>
        <w:rPr>
          <w:lang w:val="pt-PT"/>
        </w:rPr>
      </w:pPr>
      <w:r w:rsidRPr="00465964">
        <w:rPr>
          <w:lang w:val="pt-PT"/>
        </w:rPr>
        <w:t>11.   Se, no exercício das funções que lhes são atribuídas pelo presente regulamento, a EBA concluir que há sérios indícios da existência de factos suscetíveis de constituírem infrações penais, suscita a questão junto das autoridades nacionais competentes para efeitos de investigação e, se for caso disso, instauração de procedimento penal. Além disso, a EBA abstém-se de aplicar coimas ou sanções pecuniárias compulsórias caso tenha conhecimento de que uma anterior absolvição ou condenação por facto idêntico ou factos em substância semelhantes já transitou em julgado em consequência de um processo penal nos termos do direito nacional.</w:t>
      </w:r>
    </w:p>
    <w:p w14:paraId="265D9C15" w14:textId="77777777" w:rsidR="00465964" w:rsidRPr="00465964" w:rsidRDefault="00465964" w:rsidP="00465964">
      <w:pPr>
        <w:rPr>
          <w:i/>
          <w:iCs/>
          <w:lang w:val="pt-PT"/>
        </w:rPr>
      </w:pPr>
      <w:r w:rsidRPr="00465964">
        <w:rPr>
          <w:i/>
          <w:iCs/>
          <w:lang w:val="pt-PT"/>
        </w:rPr>
        <w:t>Artigo 135.</w:t>
      </w:r>
      <w:r w:rsidRPr="00465964">
        <w:rPr>
          <w:i/>
          <w:iCs/>
          <w:vertAlign w:val="superscript"/>
          <w:lang w:val="pt-PT"/>
        </w:rPr>
        <w:t>o</w:t>
      </w:r>
    </w:p>
    <w:p w14:paraId="70399669" w14:textId="77777777" w:rsidR="00465964" w:rsidRPr="00465964" w:rsidRDefault="00465964" w:rsidP="00465964">
      <w:pPr>
        <w:rPr>
          <w:b/>
          <w:bCs/>
          <w:lang w:val="pt-PT"/>
        </w:rPr>
      </w:pPr>
      <w:r w:rsidRPr="00465964">
        <w:rPr>
          <w:b/>
          <w:bCs/>
          <w:lang w:val="pt-PT"/>
        </w:rPr>
        <w:lastRenderedPageBreak/>
        <w:t>Audição das pessoas em causa</w:t>
      </w:r>
    </w:p>
    <w:p w14:paraId="6C4C309B" w14:textId="77777777" w:rsidR="00465964" w:rsidRPr="00465964" w:rsidRDefault="00465964" w:rsidP="00465964">
      <w:pPr>
        <w:rPr>
          <w:lang w:val="pt-PT"/>
        </w:rPr>
      </w:pPr>
      <w:r w:rsidRPr="00465964">
        <w:rPr>
          <w:lang w:val="pt-PT"/>
        </w:rPr>
        <w:t>1.   Antes de tomar qualquer decisão nos termos do artigo 130.</w:t>
      </w:r>
      <w:r w:rsidRPr="00465964">
        <w:rPr>
          <w:vertAlign w:val="superscript"/>
          <w:lang w:val="pt-PT"/>
        </w:rPr>
        <w:t>o</w:t>
      </w:r>
      <w:r w:rsidRPr="00465964">
        <w:rPr>
          <w:lang w:val="pt-PT"/>
        </w:rPr>
        <w:t>, 131.</w:t>
      </w:r>
      <w:r w:rsidRPr="00465964">
        <w:rPr>
          <w:vertAlign w:val="superscript"/>
          <w:lang w:val="pt-PT"/>
        </w:rPr>
        <w:t>o</w:t>
      </w:r>
      <w:r w:rsidRPr="00465964">
        <w:rPr>
          <w:lang w:val="pt-PT"/>
        </w:rPr>
        <w:t> ou 132.</w:t>
      </w:r>
      <w:r w:rsidRPr="00465964">
        <w:rPr>
          <w:vertAlign w:val="superscript"/>
          <w:lang w:val="pt-PT"/>
        </w:rPr>
        <w:t>o</w:t>
      </w:r>
      <w:r w:rsidRPr="00465964">
        <w:rPr>
          <w:lang w:val="pt-PT"/>
        </w:rPr>
        <w:t>, a EBA dá às pessoas sujeitas a uma investigação a oportunidade de se pronunciarem sobre as suas conclusões. A EBA baseia as suas decisões apenas nas conclusões sobre as quais as pessoas sujeitas a tal investigação tiveram oportunidade de se pronunciar.</w:t>
      </w:r>
    </w:p>
    <w:p w14:paraId="41F18AE4" w14:textId="77777777" w:rsidR="00465964" w:rsidRPr="00465964" w:rsidRDefault="00465964" w:rsidP="00465964">
      <w:pPr>
        <w:rPr>
          <w:lang w:val="pt-PT"/>
        </w:rPr>
      </w:pPr>
      <w:r w:rsidRPr="00465964">
        <w:rPr>
          <w:lang w:val="pt-PT"/>
        </w:rPr>
        <w:t xml:space="preserve">2.   O </w:t>
      </w:r>
      <w:proofErr w:type="spellStart"/>
      <w:r w:rsidRPr="00465964">
        <w:rPr>
          <w:lang w:val="pt-PT"/>
        </w:rPr>
        <w:t>n.</w:t>
      </w:r>
      <w:r w:rsidRPr="00465964">
        <w:rPr>
          <w:vertAlign w:val="superscript"/>
          <w:lang w:val="pt-PT"/>
        </w:rPr>
        <w:t>o</w:t>
      </w:r>
      <w:proofErr w:type="spellEnd"/>
      <w:r w:rsidRPr="00465964">
        <w:rPr>
          <w:lang w:val="pt-PT"/>
        </w:rPr>
        <w:t> 1 não se aplica se forem necessárias medidas urgentes para evitar prejuízos graves e iminentes para a estabilidade financeira ou para os detentores de criptoativos, em particular os detentores não profissionais. Nesse caso, a EBA pode tomar uma decisão provisória e dar aos interessados a possibilidade de serem ouvidos com a maior brevidade possível após a tomada da sua decisão.</w:t>
      </w:r>
    </w:p>
    <w:p w14:paraId="6A6A2BE9" w14:textId="77777777" w:rsidR="00465964" w:rsidRPr="00465964" w:rsidRDefault="00465964" w:rsidP="00465964">
      <w:pPr>
        <w:rPr>
          <w:lang w:val="pt-PT"/>
        </w:rPr>
      </w:pPr>
      <w:r w:rsidRPr="00465964">
        <w:rPr>
          <w:lang w:val="pt-PT"/>
        </w:rPr>
        <w:t>3.   Os direitos de defesa das pessoas sujeitas a uma investigação devem ser plenamente respeitados. Essas pessoas têm o direito a consultar o processo da EBA, sem prejuízo do interesse legítimo de terceiros na proteção dos seus segredos comerciais. O direito de acesso ao processo da EBA não é extensível a informações confidenciais nem aos documentos preparatórios internos da EBA.</w:t>
      </w:r>
    </w:p>
    <w:p w14:paraId="062376BE" w14:textId="77777777" w:rsidR="00465964" w:rsidRPr="00465964" w:rsidRDefault="00465964" w:rsidP="00465964">
      <w:pPr>
        <w:rPr>
          <w:i/>
          <w:iCs/>
          <w:lang w:val="pt-PT"/>
        </w:rPr>
      </w:pPr>
      <w:r w:rsidRPr="00465964">
        <w:rPr>
          <w:i/>
          <w:iCs/>
          <w:lang w:val="pt-PT"/>
        </w:rPr>
        <w:t>Artigo 136.</w:t>
      </w:r>
      <w:r w:rsidRPr="00465964">
        <w:rPr>
          <w:i/>
          <w:iCs/>
          <w:vertAlign w:val="superscript"/>
          <w:lang w:val="pt-PT"/>
        </w:rPr>
        <w:t>o</w:t>
      </w:r>
    </w:p>
    <w:p w14:paraId="198F1C7C" w14:textId="77777777" w:rsidR="00465964" w:rsidRPr="00465964" w:rsidRDefault="00465964" w:rsidP="00465964">
      <w:pPr>
        <w:rPr>
          <w:b/>
          <w:bCs/>
          <w:lang w:val="pt-PT"/>
        </w:rPr>
      </w:pPr>
      <w:r w:rsidRPr="00465964">
        <w:rPr>
          <w:b/>
          <w:bCs/>
          <w:lang w:val="pt-PT"/>
        </w:rPr>
        <w:t>Controlo jurisdicional pelo Tribunal de Justiça</w:t>
      </w:r>
    </w:p>
    <w:p w14:paraId="22448323" w14:textId="77777777" w:rsidR="00465964" w:rsidRPr="00465964" w:rsidRDefault="00465964" w:rsidP="00465964">
      <w:pPr>
        <w:rPr>
          <w:lang w:val="pt-PT"/>
        </w:rPr>
      </w:pPr>
      <w:r w:rsidRPr="00465964">
        <w:rPr>
          <w:lang w:val="pt-PT"/>
        </w:rPr>
        <w:t>O Tribunal de Justiça tem competência ilimitada para proceder ao controlo jurisdicional das decisões através das quais a EBA tenha aplicado uma coima, uma sanção pecuniária compulsória ou qualquer sanção administrativa ou outra medida administrativa nos termos do presente regulamento. O Tribunal de Justiça pode anular, reduzir ou aumentar a coima ou a sanção pecuniária compulsória aplicada.</w:t>
      </w:r>
    </w:p>
    <w:p w14:paraId="39679122" w14:textId="77777777" w:rsidR="00465964" w:rsidRPr="00465964" w:rsidRDefault="00465964" w:rsidP="00465964">
      <w:pPr>
        <w:rPr>
          <w:i/>
          <w:iCs/>
          <w:lang w:val="pt-PT"/>
        </w:rPr>
      </w:pPr>
      <w:r w:rsidRPr="00465964">
        <w:rPr>
          <w:i/>
          <w:iCs/>
          <w:lang w:val="pt-PT"/>
        </w:rPr>
        <w:t>Artigo 137.</w:t>
      </w:r>
      <w:r w:rsidRPr="00465964">
        <w:rPr>
          <w:i/>
          <w:iCs/>
          <w:vertAlign w:val="superscript"/>
          <w:lang w:val="pt-PT"/>
        </w:rPr>
        <w:t>o</w:t>
      </w:r>
    </w:p>
    <w:p w14:paraId="5537A0C3" w14:textId="77777777" w:rsidR="00465964" w:rsidRPr="00465964" w:rsidRDefault="00465964" w:rsidP="00465964">
      <w:pPr>
        <w:rPr>
          <w:b/>
          <w:bCs/>
          <w:lang w:val="pt-PT"/>
        </w:rPr>
      </w:pPr>
      <w:r w:rsidRPr="00465964">
        <w:rPr>
          <w:b/>
          <w:bCs/>
          <w:lang w:val="pt-PT"/>
        </w:rPr>
        <w:t>Taxas de supervisão</w:t>
      </w:r>
    </w:p>
    <w:p w14:paraId="521F49C2" w14:textId="54EBAA2E" w:rsidR="00465964" w:rsidRPr="00465964" w:rsidRDefault="00465964" w:rsidP="00465964">
      <w:pPr>
        <w:rPr>
          <w:lang w:val="pt-PT"/>
        </w:rPr>
      </w:pPr>
      <w:r w:rsidRPr="00465964">
        <w:rPr>
          <w:lang w:val="pt-PT"/>
        </w:rPr>
        <w:t xml:space="preserve">1.   A EBA cobra taxas aos emitentes de </w:t>
      </w:r>
      <w:r>
        <w:rPr>
          <w:lang w:val="pt-PT"/>
        </w:rPr>
        <w:t>criptomoedas</w:t>
      </w:r>
      <w:r w:rsidRPr="00465964">
        <w:rPr>
          <w:lang w:val="pt-PT"/>
        </w:rPr>
        <w:t xml:space="preserve"> referenciadas a ativos significativas e aos emitentes de </w:t>
      </w:r>
      <w:r>
        <w:rPr>
          <w:lang w:val="pt-PT"/>
        </w:rPr>
        <w:t>criptomoedas</w:t>
      </w:r>
      <w:r w:rsidRPr="00465964">
        <w:rPr>
          <w:lang w:val="pt-PT"/>
        </w:rPr>
        <w:t xml:space="preserve"> de moeda eletrónica significativas. Essas taxas cobrem as despesas suportadas pela EBA na execução das suas atribuições de supervisão relacionadas com os emitentes de </w:t>
      </w:r>
      <w:r>
        <w:rPr>
          <w:lang w:val="pt-PT"/>
        </w:rPr>
        <w:t>criptomoedas</w:t>
      </w:r>
      <w:r w:rsidRPr="00465964">
        <w:rPr>
          <w:lang w:val="pt-PT"/>
        </w:rPr>
        <w:t xml:space="preserve"> referenciadas a ativos significativas e de emitentes de </w:t>
      </w:r>
      <w:r>
        <w:rPr>
          <w:lang w:val="pt-PT"/>
        </w:rPr>
        <w:t>criptomoedas</w:t>
      </w:r>
      <w:r w:rsidRPr="00465964">
        <w:rPr>
          <w:lang w:val="pt-PT"/>
        </w:rPr>
        <w:t xml:space="preserve"> de moeda eletrónica significativas em conformidade com os artigos 117.</w:t>
      </w:r>
      <w:r w:rsidRPr="00465964">
        <w:rPr>
          <w:vertAlign w:val="superscript"/>
          <w:lang w:val="pt-PT"/>
        </w:rPr>
        <w:t>o</w:t>
      </w:r>
      <w:r w:rsidRPr="00465964">
        <w:rPr>
          <w:lang w:val="pt-PT"/>
        </w:rPr>
        <w:t> e 119.</w:t>
      </w:r>
      <w:r w:rsidRPr="00465964">
        <w:rPr>
          <w:vertAlign w:val="superscript"/>
          <w:lang w:val="pt-PT"/>
        </w:rPr>
        <w:t>o</w:t>
      </w:r>
      <w:r w:rsidRPr="00465964">
        <w:rPr>
          <w:lang w:val="pt-PT"/>
        </w:rPr>
        <w:t>, e o reembolso dos custos em que as autoridades competentes possam incorrer no exercício de atividades prosseguidas nos termos do presente regulamento, nomeadamente em resultado de uma delegação de atribuições em conformidade com o artigo 138.</w:t>
      </w:r>
      <w:r w:rsidRPr="00465964">
        <w:rPr>
          <w:vertAlign w:val="superscript"/>
          <w:lang w:val="pt-PT"/>
        </w:rPr>
        <w:t>o</w:t>
      </w:r>
      <w:r w:rsidRPr="00465964">
        <w:rPr>
          <w:lang w:val="pt-PT"/>
        </w:rPr>
        <w:t>.</w:t>
      </w:r>
    </w:p>
    <w:p w14:paraId="155D670E" w14:textId="77777777" w:rsidR="00465964" w:rsidRPr="00465964" w:rsidRDefault="00465964" w:rsidP="00465964">
      <w:pPr>
        <w:rPr>
          <w:lang w:val="pt-PT"/>
        </w:rPr>
      </w:pPr>
      <w:r w:rsidRPr="00465964">
        <w:rPr>
          <w:lang w:val="pt-PT"/>
        </w:rPr>
        <w:t xml:space="preserve">2.   O montante da taxa cobrada a um emitente individual da </w:t>
      </w:r>
      <w:proofErr w:type="spellStart"/>
      <w:r w:rsidRPr="00465964">
        <w:rPr>
          <w:lang w:val="pt-PT"/>
        </w:rPr>
        <w:t>criptoficha</w:t>
      </w:r>
      <w:proofErr w:type="spellEnd"/>
      <w:r w:rsidRPr="00465964">
        <w:rPr>
          <w:lang w:val="pt-PT"/>
        </w:rPr>
        <w:t xml:space="preserve"> referenciada a ativos significativa deve ser proporcional ao volume dos seus ativos de reserva e cobrir todos os custos suportados pela EBA na execução das suas atribuições de supervisão previstas no presente regulamento.</w:t>
      </w:r>
    </w:p>
    <w:p w14:paraId="3B4733D1" w14:textId="62176FD8" w:rsidR="00465964" w:rsidRPr="00465964" w:rsidRDefault="00465964" w:rsidP="00465964">
      <w:pPr>
        <w:rPr>
          <w:lang w:val="pt-PT"/>
        </w:rPr>
      </w:pPr>
      <w:r w:rsidRPr="00465964">
        <w:rPr>
          <w:lang w:val="pt-PT"/>
        </w:rPr>
        <w:t xml:space="preserve">O montante da taxa cobrada a um emitente individual de uma </w:t>
      </w:r>
      <w:proofErr w:type="spellStart"/>
      <w:r w:rsidRPr="00465964">
        <w:rPr>
          <w:lang w:val="pt-PT"/>
        </w:rPr>
        <w:t>criptoficha</w:t>
      </w:r>
      <w:proofErr w:type="spellEnd"/>
      <w:r w:rsidRPr="00465964">
        <w:rPr>
          <w:lang w:val="pt-PT"/>
        </w:rPr>
        <w:t xml:space="preserve"> de moeda eletrónica significativa deve ser proporcional ao volume de emissão da </w:t>
      </w:r>
      <w:r>
        <w:rPr>
          <w:lang w:val="pt-PT"/>
        </w:rPr>
        <w:t>criptomoedas</w:t>
      </w:r>
      <w:r w:rsidRPr="00465964">
        <w:rPr>
          <w:lang w:val="pt-PT"/>
        </w:rPr>
        <w:t xml:space="preserve"> de moeda eletrónica em troca de fundos e cobrir todos os custos decorrentes da execução das atribuições de supervisão da EBA ao abrigo do presente regulamento, nomeadamente o reembolso de quaisquer custos suportados em resultado da execução dessas atribuições.</w:t>
      </w:r>
    </w:p>
    <w:p w14:paraId="359BA774" w14:textId="77777777" w:rsidR="00465964" w:rsidRPr="00465964" w:rsidRDefault="00465964" w:rsidP="00465964">
      <w:pPr>
        <w:rPr>
          <w:lang w:val="pt-PT"/>
        </w:rPr>
      </w:pPr>
      <w:r w:rsidRPr="00465964">
        <w:rPr>
          <w:lang w:val="pt-PT"/>
        </w:rPr>
        <w:lastRenderedPageBreak/>
        <w:t>3.   A Comissão adota um ato delegado nos termos do artigo 139.</w:t>
      </w:r>
      <w:r w:rsidRPr="00465964">
        <w:rPr>
          <w:vertAlign w:val="superscript"/>
          <w:lang w:val="pt-PT"/>
        </w:rPr>
        <w:t>o</w:t>
      </w:r>
      <w:r w:rsidRPr="00465964">
        <w:rPr>
          <w:lang w:val="pt-PT"/>
        </w:rPr>
        <w:t xml:space="preserve"> até 30 de junho de 2024, a fim de completar presente regulamento especificando mais pormenorizadamente o tipo de taxas, os atos sujeitos a taxas, o montante das taxas e a forma como estas devem ser pagas, bem como a metodologia para o cálculo do montante máximo por entidade a que se refere o </w:t>
      </w:r>
      <w:proofErr w:type="spellStart"/>
      <w:r w:rsidRPr="00465964">
        <w:rPr>
          <w:lang w:val="pt-PT"/>
        </w:rPr>
        <w:t>n.</w:t>
      </w:r>
      <w:r w:rsidRPr="00465964">
        <w:rPr>
          <w:vertAlign w:val="superscript"/>
          <w:lang w:val="pt-PT"/>
        </w:rPr>
        <w:t>o</w:t>
      </w:r>
      <w:proofErr w:type="spellEnd"/>
      <w:r w:rsidRPr="00465964">
        <w:rPr>
          <w:lang w:val="pt-PT"/>
        </w:rPr>
        <w:t> 2 do presente artigo que a EBA pode cobrar.</w:t>
      </w:r>
    </w:p>
    <w:p w14:paraId="2F73CE68" w14:textId="77777777" w:rsidR="00465964" w:rsidRPr="00465964" w:rsidRDefault="00465964" w:rsidP="00465964">
      <w:pPr>
        <w:rPr>
          <w:i/>
          <w:iCs/>
          <w:lang w:val="pt-PT"/>
        </w:rPr>
      </w:pPr>
      <w:r w:rsidRPr="00465964">
        <w:rPr>
          <w:i/>
          <w:iCs/>
          <w:lang w:val="pt-PT"/>
        </w:rPr>
        <w:t>Artigo 138.</w:t>
      </w:r>
      <w:r w:rsidRPr="00465964">
        <w:rPr>
          <w:i/>
          <w:iCs/>
          <w:vertAlign w:val="superscript"/>
          <w:lang w:val="pt-PT"/>
        </w:rPr>
        <w:t>o</w:t>
      </w:r>
    </w:p>
    <w:p w14:paraId="08C22747" w14:textId="77777777" w:rsidR="00465964" w:rsidRPr="00465964" w:rsidRDefault="00465964" w:rsidP="00465964">
      <w:pPr>
        <w:rPr>
          <w:b/>
          <w:bCs/>
          <w:lang w:val="pt-PT"/>
        </w:rPr>
      </w:pPr>
      <w:r w:rsidRPr="00465964">
        <w:rPr>
          <w:b/>
          <w:bCs/>
          <w:lang w:val="pt-PT"/>
        </w:rPr>
        <w:t>Delegação de atribuições da EBA nas autoridades competentes</w:t>
      </w:r>
    </w:p>
    <w:p w14:paraId="1B698AD0" w14:textId="7E19A762" w:rsidR="00465964" w:rsidRPr="00465964" w:rsidRDefault="00465964" w:rsidP="00465964">
      <w:pPr>
        <w:rPr>
          <w:lang w:val="pt-PT"/>
        </w:rPr>
      </w:pPr>
      <w:r w:rsidRPr="00465964">
        <w:rPr>
          <w:lang w:val="pt-PT"/>
        </w:rPr>
        <w:t xml:space="preserve">1.   Quando necessário para a boa execução de uma missão de supervisão no que toca a emitentes de </w:t>
      </w:r>
      <w:r>
        <w:rPr>
          <w:lang w:val="pt-PT"/>
        </w:rPr>
        <w:t>criptomoedas</w:t>
      </w:r>
      <w:r w:rsidRPr="00465964">
        <w:rPr>
          <w:lang w:val="pt-PT"/>
        </w:rPr>
        <w:t xml:space="preserve"> referenciadas a ativos significativas ou a emitentes de </w:t>
      </w:r>
      <w:r>
        <w:rPr>
          <w:lang w:val="pt-PT"/>
        </w:rPr>
        <w:t>criptomoedas</w:t>
      </w:r>
      <w:r w:rsidRPr="00465964">
        <w:rPr>
          <w:lang w:val="pt-PT"/>
        </w:rPr>
        <w:t xml:space="preserve"> de moeda eletrónica significativas, a EBA pode delegar atribuições de supervisão específicas numa autoridade competente. As referidas atribuições de supervisão específicas podem incluir o poder de formular pedidos de informação nos termos do artigo 122.</w:t>
      </w:r>
      <w:r w:rsidRPr="00465964">
        <w:rPr>
          <w:vertAlign w:val="superscript"/>
          <w:lang w:val="pt-PT"/>
        </w:rPr>
        <w:t>o</w:t>
      </w:r>
      <w:r w:rsidRPr="00465964">
        <w:rPr>
          <w:lang w:val="pt-PT"/>
        </w:rPr>
        <w:t> e de proceder a investigações e inspeções no local nos termos do artigo 123.</w:t>
      </w:r>
      <w:r w:rsidRPr="00465964">
        <w:rPr>
          <w:vertAlign w:val="superscript"/>
          <w:lang w:val="pt-PT"/>
        </w:rPr>
        <w:t>o</w:t>
      </w:r>
      <w:r w:rsidRPr="00465964">
        <w:rPr>
          <w:lang w:val="pt-PT"/>
        </w:rPr>
        <w:t> ou 124.</w:t>
      </w:r>
      <w:r w:rsidRPr="00465964">
        <w:rPr>
          <w:vertAlign w:val="superscript"/>
          <w:lang w:val="pt-PT"/>
        </w:rPr>
        <w:t>o</w:t>
      </w:r>
      <w:r w:rsidRPr="00465964">
        <w:rPr>
          <w:lang w:val="pt-PT"/>
        </w:rPr>
        <w:t>.</w:t>
      </w:r>
    </w:p>
    <w:p w14:paraId="3AFF13FF" w14:textId="77777777" w:rsidR="00465964" w:rsidRPr="00465964" w:rsidRDefault="00465964" w:rsidP="00465964">
      <w:pPr>
        <w:rPr>
          <w:lang w:val="pt-PT"/>
        </w:rPr>
      </w:pPr>
      <w:r w:rsidRPr="00465964">
        <w:rPr>
          <w:lang w:val="pt-PT"/>
        </w:rPr>
        <w:t xml:space="preserve">2.   Antes da delegação de uma atribuição a que se refere o </w:t>
      </w:r>
      <w:proofErr w:type="spellStart"/>
      <w:r w:rsidRPr="00465964">
        <w:rPr>
          <w:lang w:val="pt-PT"/>
        </w:rPr>
        <w:t>n.</w:t>
      </w:r>
      <w:r w:rsidRPr="00465964">
        <w:rPr>
          <w:vertAlign w:val="superscript"/>
          <w:lang w:val="pt-PT"/>
        </w:rPr>
        <w:t>o</w:t>
      </w:r>
      <w:proofErr w:type="spellEnd"/>
      <w:r w:rsidRPr="00465964">
        <w:rPr>
          <w:lang w:val="pt-PT"/>
        </w:rPr>
        <w:t> 1, a EBA consulta a autoridade competente relevante sobre:</w:t>
      </w:r>
    </w:p>
    <w:tbl>
      <w:tblPr>
        <w:tblW w:w="5000" w:type="pct"/>
        <w:tblCellMar>
          <w:left w:w="0" w:type="dxa"/>
          <w:right w:w="0" w:type="dxa"/>
        </w:tblCellMar>
        <w:tblLook w:val="04A0" w:firstRow="1" w:lastRow="0" w:firstColumn="1" w:lastColumn="0" w:noHBand="0" w:noVBand="1"/>
      </w:tblPr>
      <w:tblGrid>
        <w:gridCol w:w="494"/>
        <w:gridCol w:w="8532"/>
      </w:tblGrid>
      <w:tr w:rsidR="00465964" w:rsidRPr="00465964" w14:paraId="4BA15418" w14:textId="77777777" w:rsidTr="00465964">
        <w:tc>
          <w:tcPr>
            <w:tcW w:w="0" w:type="auto"/>
            <w:shd w:val="clear" w:color="auto" w:fill="auto"/>
            <w:hideMark/>
          </w:tcPr>
          <w:p w14:paraId="66AEED95" w14:textId="77777777" w:rsidR="00465964" w:rsidRPr="00465964" w:rsidRDefault="00465964" w:rsidP="00465964">
            <w:r w:rsidRPr="00465964">
              <w:t>a)</w:t>
            </w:r>
          </w:p>
        </w:tc>
        <w:tc>
          <w:tcPr>
            <w:tcW w:w="0" w:type="auto"/>
            <w:shd w:val="clear" w:color="auto" w:fill="auto"/>
            <w:hideMark/>
          </w:tcPr>
          <w:p w14:paraId="5FDD6610" w14:textId="77777777" w:rsidR="00465964" w:rsidRPr="00465964" w:rsidRDefault="00465964" w:rsidP="00465964">
            <w:pPr>
              <w:rPr>
                <w:lang w:val="pt-PT"/>
              </w:rPr>
            </w:pPr>
            <w:r w:rsidRPr="00465964">
              <w:rPr>
                <w:lang w:val="pt-PT"/>
              </w:rPr>
              <w:t>O âmbito da atribuição a delegar;</w:t>
            </w:r>
          </w:p>
        </w:tc>
      </w:tr>
    </w:tbl>
    <w:p w14:paraId="07240639"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321"/>
        <w:gridCol w:w="8705"/>
      </w:tblGrid>
      <w:tr w:rsidR="00465964" w:rsidRPr="00465964" w14:paraId="2FAB3EC6" w14:textId="77777777" w:rsidTr="00465964">
        <w:tc>
          <w:tcPr>
            <w:tcW w:w="0" w:type="auto"/>
            <w:shd w:val="clear" w:color="auto" w:fill="auto"/>
            <w:hideMark/>
          </w:tcPr>
          <w:p w14:paraId="0C0F6298" w14:textId="77777777" w:rsidR="00465964" w:rsidRPr="00465964" w:rsidRDefault="00465964" w:rsidP="00465964">
            <w:r w:rsidRPr="00465964">
              <w:t>b)</w:t>
            </w:r>
          </w:p>
        </w:tc>
        <w:tc>
          <w:tcPr>
            <w:tcW w:w="0" w:type="auto"/>
            <w:shd w:val="clear" w:color="auto" w:fill="auto"/>
            <w:hideMark/>
          </w:tcPr>
          <w:p w14:paraId="4546294D" w14:textId="77777777" w:rsidR="00465964" w:rsidRPr="00465964" w:rsidRDefault="00465964" w:rsidP="00465964">
            <w:pPr>
              <w:rPr>
                <w:lang w:val="pt-PT"/>
              </w:rPr>
            </w:pPr>
            <w:r w:rsidRPr="00465964">
              <w:rPr>
                <w:lang w:val="pt-PT"/>
              </w:rPr>
              <w:t>O calendário para a execução da referida atribuição; e</w:t>
            </w:r>
          </w:p>
        </w:tc>
      </w:tr>
    </w:tbl>
    <w:p w14:paraId="5793F690"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269"/>
        <w:gridCol w:w="8757"/>
      </w:tblGrid>
      <w:tr w:rsidR="00465964" w:rsidRPr="00465964" w14:paraId="7F45B510" w14:textId="77777777" w:rsidTr="00465964">
        <w:tc>
          <w:tcPr>
            <w:tcW w:w="0" w:type="auto"/>
            <w:shd w:val="clear" w:color="auto" w:fill="auto"/>
            <w:hideMark/>
          </w:tcPr>
          <w:p w14:paraId="6266DAD6" w14:textId="77777777" w:rsidR="00465964" w:rsidRPr="00465964" w:rsidRDefault="00465964" w:rsidP="00465964">
            <w:r w:rsidRPr="00465964">
              <w:t>c)</w:t>
            </w:r>
          </w:p>
        </w:tc>
        <w:tc>
          <w:tcPr>
            <w:tcW w:w="0" w:type="auto"/>
            <w:shd w:val="clear" w:color="auto" w:fill="auto"/>
            <w:hideMark/>
          </w:tcPr>
          <w:p w14:paraId="1EE62C7F" w14:textId="77777777" w:rsidR="00465964" w:rsidRPr="00465964" w:rsidRDefault="00465964" w:rsidP="00465964">
            <w:pPr>
              <w:rPr>
                <w:lang w:val="pt-PT"/>
              </w:rPr>
            </w:pPr>
            <w:r w:rsidRPr="00465964">
              <w:rPr>
                <w:lang w:val="pt-PT"/>
              </w:rPr>
              <w:t>A transmissão das informações necessárias pela EBA e à EBA.</w:t>
            </w:r>
          </w:p>
        </w:tc>
      </w:tr>
    </w:tbl>
    <w:p w14:paraId="3040181B" w14:textId="77777777" w:rsidR="00465964" w:rsidRPr="00465964" w:rsidRDefault="00465964" w:rsidP="00465964">
      <w:pPr>
        <w:rPr>
          <w:lang w:val="pt-PT"/>
        </w:rPr>
      </w:pPr>
      <w:r w:rsidRPr="00465964">
        <w:rPr>
          <w:lang w:val="pt-PT"/>
        </w:rPr>
        <w:t>3.   Nos termos do ato delegado sobre taxas adotado pela Comissão nos termos do artigo 137.</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3, e do artigo 139.</w:t>
      </w:r>
      <w:r w:rsidRPr="00465964">
        <w:rPr>
          <w:vertAlign w:val="superscript"/>
          <w:lang w:val="pt-PT"/>
        </w:rPr>
        <w:t>o</w:t>
      </w:r>
      <w:r w:rsidRPr="00465964">
        <w:rPr>
          <w:lang w:val="pt-PT"/>
        </w:rPr>
        <w:t>, a EBA reembolsa as despesas em que as autoridades competentes incorram em resultado da execução das atribuições nelas delegadas.</w:t>
      </w:r>
    </w:p>
    <w:p w14:paraId="25E98FDD" w14:textId="77777777" w:rsidR="00465964" w:rsidRPr="00465964" w:rsidRDefault="00465964" w:rsidP="00465964">
      <w:pPr>
        <w:rPr>
          <w:lang w:val="pt-PT"/>
        </w:rPr>
      </w:pPr>
      <w:r w:rsidRPr="00465964">
        <w:rPr>
          <w:lang w:val="pt-PT"/>
        </w:rPr>
        <w:t>4.   A EBA procede à revisão da delegação de atribuições com a periodicidade adequada. Tal delegação pode ser revogada em qualquer momento.</w:t>
      </w:r>
    </w:p>
    <w:p w14:paraId="0C40D2C7" w14:textId="77777777" w:rsidR="00465964" w:rsidRPr="00465964" w:rsidRDefault="00465964" w:rsidP="00465964">
      <w:pPr>
        <w:rPr>
          <w:b/>
          <w:bCs/>
          <w:lang w:val="pt-PT"/>
        </w:rPr>
      </w:pPr>
      <w:r w:rsidRPr="00465964">
        <w:rPr>
          <w:b/>
          <w:bCs/>
          <w:lang w:val="pt-PT"/>
        </w:rPr>
        <w:t>TÍTULO VIII</w:t>
      </w:r>
    </w:p>
    <w:p w14:paraId="2DE2C654" w14:textId="77777777" w:rsidR="00465964" w:rsidRPr="00465964" w:rsidRDefault="00465964" w:rsidP="00465964">
      <w:pPr>
        <w:rPr>
          <w:b/>
          <w:bCs/>
          <w:lang w:val="pt-PT"/>
        </w:rPr>
      </w:pPr>
      <w:r w:rsidRPr="00465964">
        <w:rPr>
          <w:b/>
          <w:bCs/>
          <w:lang w:val="pt-PT"/>
        </w:rPr>
        <w:t>ATOS DELEGADOS</w:t>
      </w:r>
    </w:p>
    <w:p w14:paraId="6FDF5A88" w14:textId="77777777" w:rsidR="00465964" w:rsidRPr="00465964" w:rsidRDefault="00465964" w:rsidP="00465964">
      <w:pPr>
        <w:rPr>
          <w:i/>
          <w:iCs/>
          <w:lang w:val="pt-PT"/>
        </w:rPr>
      </w:pPr>
      <w:r w:rsidRPr="00465964">
        <w:rPr>
          <w:i/>
          <w:iCs/>
          <w:lang w:val="pt-PT"/>
        </w:rPr>
        <w:t>Artigo 139.</w:t>
      </w:r>
      <w:r w:rsidRPr="00465964">
        <w:rPr>
          <w:i/>
          <w:iCs/>
          <w:vertAlign w:val="superscript"/>
          <w:lang w:val="pt-PT"/>
        </w:rPr>
        <w:t>o</w:t>
      </w:r>
    </w:p>
    <w:p w14:paraId="66A10153" w14:textId="77777777" w:rsidR="00465964" w:rsidRPr="00465964" w:rsidRDefault="00465964" w:rsidP="00465964">
      <w:pPr>
        <w:rPr>
          <w:b/>
          <w:bCs/>
          <w:lang w:val="pt-PT"/>
        </w:rPr>
      </w:pPr>
      <w:r w:rsidRPr="00465964">
        <w:rPr>
          <w:b/>
          <w:bCs/>
          <w:lang w:val="pt-PT"/>
        </w:rPr>
        <w:t>Exercício da delegação</w:t>
      </w:r>
    </w:p>
    <w:p w14:paraId="49BCB8F9" w14:textId="77777777" w:rsidR="00465964" w:rsidRPr="00465964" w:rsidRDefault="00465964" w:rsidP="00465964">
      <w:pPr>
        <w:rPr>
          <w:lang w:val="pt-PT"/>
        </w:rPr>
      </w:pPr>
      <w:r w:rsidRPr="00465964">
        <w:rPr>
          <w:lang w:val="pt-PT"/>
        </w:rPr>
        <w:t>1.   O poder de adotar atos delegados é conferido à Comissão nas condições estabelecidas no presente artigo.</w:t>
      </w:r>
    </w:p>
    <w:p w14:paraId="681110E8" w14:textId="77777777" w:rsidR="00465964" w:rsidRPr="00465964" w:rsidRDefault="00465964" w:rsidP="00465964">
      <w:pPr>
        <w:rPr>
          <w:lang w:val="pt-PT"/>
        </w:rPr>
      </w:pPr>
      <w:r w:rsidRPr="00465964">
        <w:rPr>
          <w:lang w:val="pt-PT"/>
        </w:rPr>
        <w:t>2.   O poder de adotar atos delegados referido no artigo 3.</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2, no artigo 43.</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xml:space="preserve"> 11, no artigo 103, </w:t>
      </w:r>
      <w:proofErr w:type="spellStart"/>
      <w:r w:rsidRPr="00465964">
        <w:rPr>
          <w:lang w:val="pt-PT"/>
        </w:rPr>
        <w:t>n.</w:t>
      </w:r>
      <w:r w:rsidRPr="00465964">
        <w:rPr>
          <w:vertAlign w:val="superscript"/>
          <w:lang w:val="pt-PT"/>
        </w:rPr>
        <w:t>o</w:t>
      </w:r>
      <w:proofErr w:type="spellEnd"/>
      <w:r w:rsidRPr="00465964">
        <w:rPr>
          <w:lang w:val="pt-PT"/>
        </w:rPr>
        <w:t> 8, no artigo 104.</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8, no artigo 105.</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7, no artigo 134.</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10, e no artigo 137.</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3, é conferido à Comissão por um prazo de 36 meses a contar de 29 de junho de 2023. A Comissão elabora um relatório relativo à delegação de poderes pelo menos nove meses antes do final do prazo de 36 meses. A delegação de poderes é tacitamente prorrogada por períodos de igual duração, salvo se o Parlamento Europeu ou o Conselho a tal se opuserem pelo menos três meses antes do final de cada prazo.</w:t>
      </w:r>
    </w:p>
    <w:p w14:paraId="71C2760F" w14:textId="77777777" w:rsidR="00465964" w:rsidRPr="00465964" w:rsidRDefault="00465964" w:rsidP="00465964">
      <w:pPr>
        <w:rPr>
          <w:lang w:val="pt-PT"/>
        </w:rPr>
      </w:pPr>
      <w:r w:rsidRPr="00465964">
        <w:rPr>
          <w:lang w:val="pt-PT"/>
        </w:rPr>
        <w:t>3.   A delegação de poderes referida no artigo 3.</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2, no artigo 43.</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11, no artigo 103.</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8, no artigo 104.</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8, no artigo 105.</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7, no artigo 134.</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10, e no artigo 137.</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xml:space="preserve"> 3, pode ser revogada em qualquer momento pelo Parlamento Europeu ou pelo Conselho. A </w:t>
      </w:r>
      <w:r w:rsidRPr="00465964">
        <w:rPr>
          <w:lang w:val="pt-PT"/>
        </w:rPr>
        <w:lastRenderedPageBreak/>
        <w:t>decisão de revogação põe termo à delegação dos poderes nela especificados. A decisão de revogação produz efeitos a partir do dia seguinte ao da sua publicação no </w:t>
      </w:r>
      <w:r w:rsidRPr="00465964">
        <w:rPr>
          <w:i/>
          <w:iCs/>
          <w:lang w:val="pt-PT"/>
        </w:rPr>
        <w:t>Jornal Oficial da União Europeia</w:t>
      </w:r>
      <w:r w:rsidRPr="00465964">
        <w:rPr>
          <w:lang w:val="pt-PT"/>
        </w:rPr>
        <w:t> ou de uma data posterior nela especificada. A decisão de revogação não afeta os atos delegados já em vigor.</w:t>
      </w:r>
    </w:p>
    <w:p w14:paraId="4C381F39" w14:textId="77777777" w:rsidR="00465964" w:rsidRPr="00465964" w:rsidRDefault="00465964" w:rsidP="00465964">
      <w:pPr>
        <w:rPr>
          <w:lang w:val="pt-PT"/>
        </w:rPr>
      </w:pPr>
      <w:r w:rsidRPr="00465964">
        <w:rPr>
          <w:lang w:val="pt-PT"/>
        </w:rPr>
        <w:t>4.   Antes de adotar um ato delegado, a Comissão consulta os peritos designados por cada Estado-Membro de acordo com os princípios estabelecidos no Acordo Interinstitucional, de 13 de abril de 2016, sobre legislar melhor.</w:t>
      </w:r>
    </w:p>
    <w:p w14:paraId="2012BEA0" w14:textId="77777777" w:rsidR="00465964" w:rsidRPr="00465964" w:rsidRDefault="00465964" w:rsidP="00465964">
      <w:pPr>
        <w:rPr>
          <w:lang w:val="pt-PT"/>
        </w:rPr>
      </w:pPr>
      <w:r w:rsidRPr="00465964">
        <w:rPr>
          <w:lang w:val="pt-PT"/>
        </w:rPr>
        <w:t>5.   Assim que adotar um ato delegado, a Comissão notifica-o simultaneamente ao Parlamento Europeu e ao Conselho.</w:t>
      </w:r>
    </w:p>
    <w:p w14:paraId="0A27CFB4" w14:textId="77777777" w:rsidR="00465964" w:rsidRPr="00465964" w:rsidRDefault="00465964" w:rsidP="00465964">
      <w:pPr>
        <w:rPr>
          <w:lang w:val="pt-PT"/>
        </w:rPr>
      </w:pPr>
      <w:r w:rsidRPr="00465964">
        <w:rPr>
          <w:lang w:val="pt-PT"/>
        </w:rPr>
        <w:t>6.   Os atos delegados adotados nos termos do artigo 3.</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2, do artigo 43.</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11, do artigo 103.</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8, do artigo 104.</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8, do artigo 105.</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7, do artigo 134.</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10, ou do artigo 137.</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3, só entram em vigor se não tiverem sido formuladas objeções pelo Parlamento Europeu ou pelo Conselho no prazo de três meses a contar da notificação do ato ao Parlamento Europeu e ao Conselho, ou se, antes do termo desse prazo, o Parlamento Europeu e o Conselho tiverem informado a Comissão de que não têm objeções a formular. O referido prazo é prorrogável por três meses por iniciativa do Parlamento Europeu ou do Conselho.</w:t>
      </w:r>
    </w:p>
    <w:p w14:paraId="3457DC1F" w14:textId="77777777" w:rsidR="00465964" w:rsidRPr="00465964" w:rsidRDefault="00465964" w:rsidP="00465964">
      <w:pPr>
        <w:rPr>
          <w:b/>
          <w:bCs/>
          <w:lang w:val="pt-PT"/>
        </w:rPr>
      </w:pPr>
      <w:r w:rsidRPr="00465964">
        <w:rPr>
          <w:b/>
          <w:bCs/>
          <w:lang w:val="pt-PT"/>
        </w:rPr>
        <w:t>TÍTULO IX</w:t>
      </w:r>
    </w:p>
    <w:p w14:paraId="29A45FCA" w14:textId="77777777" w:rsidR="00465964" w:rsidRPr="00465964" w:rsidRDefault="00465964" w:rsidP="00465964">
      <w:pPr>
        <w:rPr>
          <w:b/>
          <w:bCs/>
          <w:lang w:val="pt-PT"/>
        </w:rPr>
      </w:pPr>
      <w:r w:rsidRPr="00465964">
        <w:rPr>
          <w:b/>
          <w:bCs/>
          <w:lang w:val="pt-PT"/>
        </w:rPr>
        <w:t>DISPOSIÇÕES TRANSITÓRIAS E FINAIS</w:t>
      </w:r>
    </w:p>
    <w:p w14:paraId="21FB89A6" w14:textId="77777777" w:rsidR="00465964" w:rsidRPr="00465964" w:rsidRDefault="00465964" w:rsidP="00465964">
      <w:pPr>
        <w:rPr>
          <w:i/>
          <w:iCs/>
          <w:lang w:val="pt-PT"/>
        </w:rPr>
      </w:pPr>
      <w:r w:rsidRPr="00465964">
        <w:rPr>
          <w:i/>
          <w:iCs/>
          <w:lang w:val="pt-PT"/>
        </w:rPr>
        <w:t>Artigo 140.</w:t>
      </w:r>
      <w:r w:rsidRPr="00465964">
        <w:rPr>
          <w:i/>
          <w:iCs/>
          <w:vertAlign w:val="superscript"/>
          <w:lang w:val="pt-PT"/>
        </w:rPr>
        <w:t>o</w:t>
      </w:r>
    </w:p>
    <w:p w14:paraId="49DC60CC" w14:textId="77777777" w:rsidR="00465964" w:rsidRPr="00465964" w:rsidRDefault="00465964" w:rsidP="00465964">
      <w:pPr>
        <w:rPr>
          <w:b/>
          <w:bCs/>
          <w:lang w:val="pt-PT"/>
        </w:rPr>
      </w:pPr>
      <w:r w:rsidRPr="00465964">
        <w:rPr>
          <w:b/>
          <w:bCs/>
          <w:lang w:val="pt-PT"/>
        </w:rPr>
        <w:t>Relatórios sobre a aplicação do presente regulamento</w:t>
      </w:r>
    </w:p>
    <w:p w14:paraId="267A547E" w14:textId="77777777" w:rsidR="00465964" w:rsidRPr="00465964" w:rsidRDefault="00465964" w:rsidP="00465964">
      <w:pPr>
        <w:rPr>
          <w:lang w:val="pt-PT"/>
        </w:rPr>
      </w:pPr>
      <w:r w:rsidRPr="00465964">
        <w:rPr>
          <w:lang w:val="pt-PT"/>
        </w:rPr>
        <w:t>1.   Até 30 de junho de 2027, a Comissão, tendo consultado a EBA e a ESMA, apresenta um relatório ao Parlamento Europeu e ao Conselho sobre a aplicação do presente regulamento, acompanhado, se adequado, de uma proposta legislativa. É apresentado um relatório intercalar até 30 de junho de 2025, acompanhado, se for caso disso, de uma proposta legislativa.</w:t>
      </w:r>
    </w:p>
    <w:p w14:paraId="3E082C35" w14:textId="77777777" w:rsidR="00465964" w:rsidRPr="00465964" w:rsidRDefault="00465964" w:rsidP="00465964">
      <w:pPr>
        <w:rPr>
          <w:lang w:val="pt-PT"/>
        </w:rPr>
      </w:pPr>
      <w:r w:rsidRPr="00465964">
        <w:rPr>
          <w:lang w:val="pt-PT"/>
        </w:rPr>
        <w:t xml:space="preserve">2.   Os relatórios referidos no </w:t>
      </w:r>
      <w:proofErr w:type="spellStart"/>
      <w:r w:rsidRPr="00465964">
        <w:rPr>
          <w:lang w:val="pt-PT"/>
        </w:rPr>
        <w:t>n.</w:t>
      </w:r>
      <w:r w:rsidRPr="00465964">
        <w:rPr>
          <w:vertAlign w:val="superscript"/>
          <w:lang w:val="pt-PT"/>
        </w:rPr>
        <w:t>o</w:t>
      </w:r>
      <w:proofErr w:type="spellEnd"/>
      <w:r w:rsidRPr="00465964">
        <w:rPr>
          <w:lang w:val="pt-PT"/>
        </w:rPr>
        <w:t> 1 devem incluir os seguintes elementos:</w:t>
      </w:r>
    </w:p>
    <w:tbl>
      <w:tblPr>
        <w:tblW w:w="5000" w:type="pct"/>
        <w:tblCellMar>
          <w:left w:w="0" w:type="dxa"/>
          <w:right w:w="0" w:type="dxa"/>
        </w:tblCellMar>
        <w:tblLook w:val="04A0" w:firstRow="1" w:lastRow="0" w:firstColumn="1" w:lastColumn="0" w:noHBand="0" w:noVBand="1"/>
      </w:tblPr>
      <w:tblGrid>
        <w:gridCol w:w="182"/>
        <w:gridCol w:w="8844"/>
      </w:tblGrid>
      <w:tr w:rsidR="00465964" w:rsidRPr="00465964" w14:paraId="723AFD26" w14:textId="77777777" w:rsidTr="00465964">
        <w:tc>
          <w:tcPr>
            <w:tcW w:w="0" w:type="auto"/>
            <w:shd w:val="clear" w:color="auto" w:fill="auto"/>
            <w:hideMark/>
          </w:tcPr>
          <w:p w14:paraId="5A94BD33" w14:textId="77777777" w:rsidR="00465964" w:rsidRPr="00465964" w:rsidRDefault="00465964" w:rsidP="00465964">
            <w:r w:rsidRPr="00465964">
              <w:t>a)</w:t>
            </w:r>
          </w:p>
        </w:tc>
        <w:tc>
          <w:tcPr>
            <w:tcW w:w="0" w:type="auto"/>
            <w:shd w:val="clear" w:color="auto" w:fill="auto"/>
            <w:hideMark/>
          </w:tcPr>
          <w:p w14:paraId="172B4677" w14:textId="77777777" w:rsidR="00465964" w:rsidRPr="00465964" w:rsidRDefault="00465964" w:rsidP="00465964">
            <w:pPr>
              <w:rPr>
                <w:lang w:val="pt-PT"/>
              </w:rPr>
            </w:pPr>
            <w:r w:rsidRPr="00465964">
              <w:rPr>
                <w:lang w:val="pt-PT"/>
              </w:rPr>
              <w:t>O número de emissões de criptoativos na União, o número de livretes do criptoativo apresentados ou notificados às autoridades competentes, o tipo de criptoativos emitidos e a sua capitalização de mercado, bem como o número de criptoativos admitidos à negociação;</w:t>
            </w:r>
          </w:p>
        </w:tc>
      </w:tr>
    </w:tbl>
    <w:p w14:paraId="5C0E844D"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8"/>
        <w:gridCol w:w="8838"/>
      </w:tblGrid>
      <w:tr w:rsidR="00465964" w:rsidRPr="00465964" w14:paraId="7EE2E533" w14:textId="77777777" w:rsidTr="00465964">
        <w:tc>
          <w:tcPr>
            <w:tcW w:w="0" w:type="auto"/>
            <w:shd w:val="clear" w:color="auto" w:fill="auto"/>
            <w:hideMark/>
          </w:tcPr>
          <w:p w14:paraId="33F67496" w14:textId="77777777" w:rsidR="00465964" w:rsidRPr="00465964" w:rsidRDefault="00465964" w:rsidP="00465964">
            <w:r w:rsidRPr="00465964">
              <w:t>b)</w:t>
            </w:r>
          </w:p>
        </w:tc>
        <w:tc>
          <w:tcPr>
            <w:tcW w:w="0" w:type="auto"/>
            <w:shd w:val="clear" w:color="auto" w:fill="auto"/>
            <w:hideMark/>
          </w:tcPr>
          <w:p w14:paraId="10E36694" w14:textId="77777777" w:rsidR="00465964" w:rsidRPr="00465964" w:rsidRDefault="00465964" w:rsidP="00465964">
            <w:pPr>
              <w:rPr>
                <w:lang w:val="pt-PT"/>
              </w:rPr>
            </w:pPr>
            <w:r w:rsidRPr="00465964">
              <w:rPr>
                <w:lang w:val="pt-PT"/>
              </w:rPr>
              <w:t>Uma descrição da experiência com a classificação de criptoativos, incluindo eventuais divergências de abordagens por parte das autoridades competentes;</w:t>
            </w:r>
          </w:p>
        </w:tc>
      </w:tr>
    </w:tbl>
    <w:p w14:paraId="617FC086"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0"/>
        <w:gridCol w:w="8846"/>
      </w:tblGrid>
      <w:tr w:rsidR="00465964" w:rsidRPr="00465964" w14:paraId="646AD704" w14:textId="77777777" w:rsidTr="00465964">
        <w:tc>
          <w:tcPr>
            <w:tcW w:w="0" w:type="auto"/>
            <w:shd w:val="clear" w:color="auto" w:fill="auto"/>
            <w:hideMark/>
          </w:tcPr>
          <w:p w14:paraId="7D09BD34" w14:textId="77777777" w:rsidR="00465964" w:rsidRPr="00465964" w:rsidRDefault="00465964" w:rsidP="00465964">
            <w:r w:rsidRPr="00465964">
              <w:t>c)</w:t>
            </w:r>
          </w:p>
        </w:tc>
        <w:tc>
          <w:tcPr>
            <w:tcW w:w="0" w:type="auto"/>
            <w:shd w:val="clear" w:color="auto" w:fill="auto"/>
            <w:hideMark/>
          </w:tcPr>
          <w:p w14:paraId="79AC5CA3" w14:textId="44BF5D2C" w:rsidR="00465964" w:rsidRPr="00465964" w:rsidRDefault="00465964" w:rsidP="00465964">
            <w:pPr>
              <w:rPr>
                <w:lang w:val="pt-PT"/>
              </w:rPr>
            </w:pPr>
            <w:r w:rsidRPr="00465964">
              <w:rPr>
                <w:lang w:val="pt-PT"/>
              </w:rPr>
              <w:t xml:space="preserve">Uma avaliação da necessidade de introduzir um mecanismo de aprovação para os livretes do criptoativo relativo a criptoativos que não sejam </w:t>
            </w:r>
            <w:r>
              <w:rPr>
                <w:lang w:val="pt-PT"/>
              </w:rPr>
              <w:t>criptomoedas</w:t>
            </w:r>
            <w:r w:rsidRPr="00465964">
              <w:rPr>
                <w:lang w:val="pt-PT"/>
              </w:rPr>
              <w:t xml:space="preserve"> referenciadas a ativos nem </w:t>
            </w:r>
            <w:r>
              <w:rPr>
                <w:lang w:val="pt-PT"/>
              </w:rPr>
              <w:t>criptomoedas</w:t>
            </w:r>
            <w:r w:rsidRPr="00465964">
              <w:rPr>
                <w:lang w:val="pt-PT"/>
              </w:rPr>
              <w:t xml:space="preserve"> de moeda eletrónica;</w:t>
            </w:r>
          </w:p>
        </w:tc>
      </w:tr>
    </w:tbl>
    <w:p w14:paraId="71C7B3C1"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8"/>
        <w:gridCol w:w="8838"/>
      </w:tblGrid>
      <w:tr w:rsidR="00465964" w:rsidRPr="00465964" w14:paraId="33210031" w14:textId="77777777" w:rsidTr="00465964">
        <w:tc>
          <w:tcPr>
            <w:tcW w:w="0" w:type="auto"/>
            <w:shd w:val="clear" w:color="auto" w:fill="auto"/>
            <w:hideMark/>
          </w:tcPr>
          <w:p w14:paraId="1547E442" w14:textId="77777777" w:rsidR="00465964" w:rsidRPr="00465964" w:rsidRDefault="00465964" w:rsidP="00465964">
            <w:r w:rsidRPr="00465964">
              <w:t>d)</w:t>
            </w:r>
          </w:p>
        </w:tc>
        <w:tc>
          <w:tcPr>
            <w:tcW w:w="0" w:type="auto"/>
            <w:shd w:val="clear" w:color="auto" w:fill="auto"/>
            <w:hideMark/>
          </w:tcPr>
          <w:p w14:paraId="020C763F" w14:textId="77777777" w:rsidR="00465964" w:rsidRPr="00465964" w:rsidRDefault="00465964" w:rsidP="00465964">
            <w:pPr>
              <w:rPr>
                <w:lang w:val="pt-PT"/>
              </w:rPr>
            </w:pPr>
            <w:r w:rsidRPr="00465964">
              <w:rPr>
                <w:lang w:val="pt-PT"/>
              </w:rPr>
              <w:t>Uma estimativa do número de residentes na União que utilizam ou investem em criptoativos emitidos na União;</w:t>
            </w:r>
          </w:p>
        </w:tc>
      </w:tr>
    </w:tbl>
    <w:p w14:paraId="14111F36"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1"/>
        <w:gridCol w:w="8845"/>
      </w:tblGrid>
      <w:tr w:rsidR="00465964" w:rsidRPr="00465964" w14:paraId="56933E81" w14:textId="77777777" w:rsidTr="00465964">
        <w:tc>
          <w:tcPr>
            <w:tcW w:w="0" w:type="auto"/>
            <w:shd w:val="clear" w:color="auto" w:fill="auto"/>
            <w:hideMark/>
          </w:tcPr>
          <w:p w14:paraId="6FE72911" w14:textId="77777777" w:rsidR="00465964" w:rsidRPr="00465964" w:rsidRDefault="00465964" w:rsidP="00465964">
            <w:r w:rsidRPr="00465964">
              <w:t>e)</w:t>
            </w:r>
          </w:p>
        </w:tc>
        <w:tc>
          <w:tcPr>
            <w:tcW w:w="0" w:type="auto"/>
            <w:shd w:val="clear" w:color="auto" w:fill="auto"/>
            <w:hideMark/>
          </w:tcPr>
          <w:p w14:paraId="121F51D6" w14:textId="77777777" w:rsidR="00465964" w:rsidRPr="00465964" w:rsidRDefault="00465964" w:rsidP="00465964">
            <w:pPr>
              <w:rPr>
                <w:lang w:val="pt-PT"/>
              </w:rPr>
            </w:pPr>
            <w:r w:rsidRPr="00465964">
              <w:rPr>
                <w:lang w:val="pt-PT"/>
              </w:rPr>
              <w:t>Se possível, uma estimativa do número de residentes na União que utilizam ou investem em criptoativos emitidos fora da União e uma explicação sobre a disponibilidade de dados a este respeito;</w:t>
            </w:r>
          </w:p>
        </w:tc>
      </w:tr>
    </w:tbl>
    <w:p w14:paraId="69D1CACE"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36"/>
        <w:gridCol w:w="8890"/>
      </w:tblGrid>
      <w:tr w:rsidR="00465964" w:rsidRPr="00465964" w14:paraId="69BECEEE" w14:textId="77777777" w:rsidTr="00465964">
        <w:tc>
          <w:tcPr>
            <w:tcW w:w="0" w:type="auto"/>
            <w:shd w:val="clear" w:color="auto" w:fill="auto"/>
            <w:hideMark/>
          </w:tcPr>
          <w:p w14:paraId="305E28EA" w14:textId="77777777" w:rsidR="00465964" w:rsidRPr="00465964" w:rsidRDefault="00465964" w:rsidP="00465964">
            <w:r w:rsidRPr="00465964">
              <w:lastRenderedPageBreak/>
              <w:t>f)</w:t>
            </w:r>
          </w:p>
        </w:tc>
        <w:tc>
          <w:tcPr>
            <w:tcW w:w="0" w:type="auto"/>
            <w:shd w:val="clear" w:color="auto" w:fill="auto"/>
            <w:hideMark/>
          </w:tcPr>
          <w:p w14:paraId="275457F3" w14:textId="7B3E878D" w:rsidR="00465964" w:rsidRPr="00465964" w:rsidRDefault="00465964" w:rsidP="00465964">
            <w:pPr>
              <w:rPr>
                <w:lang w:val="pt-PT"/>
              </w:rPr>
            </w:pPr>
            <w:r w:rsidRPr="00465964">
              <w:rPr>
                <w:lang w:val="pt-PT"/>
              </w:rPr>
              <w:t xml:space="preserve">O número e o valor das fraudes, burlas, atos de pirataria, utilização de criptoativos para pagamentos relacionados com ataques com software de sequestro, ciberataques, furtos e perdas de criptoativos comunicados na União, os tipos de comportamento fraudulento, o número de reclamações recebidas por prestadores de serviços de criptoativos e por emitentes de </w:t>
            </w:r>
            <w:r>
              <w:rPr>
                <w:lang w:val="pt-PT"/>
              </w:rPr>
              <w:t>criptomoedas</w:t>
            </w:r>
            <w:r w:rsidRPr="00465964">
              <w:rPr>
                <w:lang w:val="pt-PT"/>
              </w:rPr>
              <w:t xml:space="preserve"> referenciadas a ativos, o número de reclamações recebidas pelas autoridades competentes e o objeto das reclamações recebidas;</w:t>
            </w:r>
          </w:p>
        </w:tc>
      </w:tr>
    </w:tbl>
    <w:p w14:paraId="58156F81"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74"/>
        <w:gridCol w:w="8852"/>
      </w:tblGrid>
      <w:tr w:rsidR="00465964" w:rsidRPr="00465964" w14:paraId="6BF7D07C" w14:textId="77777777" w:rsidTr="00465964">
        <w:tc>
          <w:tcPr>
            <w:tcW w:w="0" w:type="auto"/>
            <w:shd w:val="clear" w:color="auto" w:fill="auto"/>
            <w:hideMark/>
          </w:tcPr>
          <w:p w14:paraId="4963890C" w14:textId="77777777" w:rsidR="00465964" w:rsidRPr="00465964" w:rsidRDefault="00465964" w:rsidP="00465964">
            <w:r w:rsidRPr="00465964">
              <w:t>g)</w:t>
            </w:r>
          </w:p>
        </w:tc>
        <w:tc>
          <w:tcPr>
            <w:tcW w:w="0" w:type="auto"/>
            <w:shd w:val="clear" w:color="auto" w:fill="auto"/>
            <w:hideMark/>
          </w:tcPr>
          <w:p w14:paraId="0A8D5B64" w14:textId="25E03213" w:rsidR="00465964" w:rsidRPr="00465964" w:rsidRDefault="00465964" w:rsidP="00465964">
            <w:pPr>
              <w:rPr>
                <w:lang w:val="pt-PT"/>
              </w:rPr>
            </w:pPr>
            <w:r w:rsidRPr="00465964">
              <w:rPr>
                <w:lang w:val="pt-PT"/>
              </w:rPr>
              <w:t xml:space="preserve">O número de emitentes de </w:t>
            </w:r>
            <w:r>
              <w:rPr>
                <w:lang w:val="pt-PT"/>
              </w:rPr>
              <w:t>criptomoedas</w:t>
            </w:r>
            <w:r w:rsidRPr="00465964">
              <w:rPr>
                <w:lang w:val="pt-PT"/>
              </w:rPr>
              <w:t xml:space="preserve"> referenciadas a ativos e uma análise das categorias de ativos de reserva, da dimensão das reservas de ativos e do volume de pagamentos efetuados em </w:t>
            </w:r>
            <w:r>
              <w:rPr>
                <w:lang w:val="pt-PT"/>
              </w:rPr>
              <w:t>criptomoedas</w:t>
            </w:r>
            <w:r w:rsidRPr="00465964">
              <w:rPr>
                <w:lang w:val="pt-PT"/>
              </w:rPr>
              <w:t xml:space="preserve"> referenciadas a ativos;</w:t>
            </w:r>
          </w:p>
        </w:tc>
      </w:tr>
    </w:tbl>
    <w:p w14:paraId="1D0617FD"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6"/>
        <w:gridCol w:w="8840"/>
      </w:tblGrid>
      <w:tr w:rsidR="00465964" w:rsidRPr="00465964" w14:paraId="7CEF55BD" w14:textId="77777777" w:rsidTr="00465964">
        <w:tc>
          <w:tcPr>
            <w:tcW w:w="0" w:type="auto"/>
            <w:shd w:val="clear" w:color="auto" w:fill="auto"/>
            <w:hideMark/>
          </w:tcPr>
          <w:p w14:paraId="0DD310F7" w14:textId="77777777" w:rsidR="00465964" w:rsidRPr="00465964" w:rsidRDefault="00465964" w:rsidP="00465964">
            <w:r w:rsidRPr="00465964">
              <w:t>h)</w:t>
            </w:r>
          </w:p>
        </w:tc>
        <w:tc>
          <w:tcPr>
            <w:tcW w:w="0" w:type="auto"/>
            <w:shd w:val="clear" w:color="auto" w:fill="auto"/>
            <w:hideMark/>
          </w:tcPr>
          <w:p w14:paraId="753E9537" w14:textId="04261932" w:rsidR="00465964" w:rsidRPr="00465964" w:rsidRDefault="00465964" w:rsidP="00465964">
            <w:pPr>
              <w:rPr>
                <w:lang w:val="pt-PT"/>
              </w:rPr>
            </w:pPr>
            <w:r w:rsidRPr="00465964">
              <w:rPr>
                <w:lang w:val="pt-PT"/>
              </w:rPr>
              <w:t xml:space="preserve">O número de emitentes de </w:t>
            </w:r>
            <w:r>
              <w:rPr>
                <w:lang w:val="pt-PT"/>
              </w:rPr>
              <w:t>criptomoedas</w:t>
            </w:r>
            <w:r w:rsidRPr="00465964">
              <w:rPr>
                <w:lang w:val="pt-PT"/>
              </w:rPr>
              <w:t xml:space="preserve"> referenciadas a ativos significativas e uma análise das categorias de ativos incluídos nas categorias de ativos de reserva, da dimensão das reservas de ativos e do volume de pagamentos efetuados em </w:t>
            </w:r>
            <w:r>
              <w:rPr>
                <w:lang w:val="pt-PT"/>
              </w:rPr>
              <w:t>criptomoedas</w:t>
            </w:r>
            <w:r w:rsidRPr="00465964">
              <w:rPr>
                <w:lang w:val="pt-PT"/>
              </w:rPr>
              <w:t xml:space="preserve"> referenciadas a ativos significativas;</w:t>
            </w:r>
          </w:p>
        </w:tc>
      </w:tr>
    </w:tbl>
    <w:p w14:paraId="04B9301F"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17"/>
        <w:gridCol w:w="8909"/>
      </w:tblGrid>
      <w:tr w:rsidR="00465964" w:rsidRPr="00465964" w14:paraId="02D5A6AC" w14:textId="77777777" w:rsidTr="00465964">
        <w:tc>
          <w:tcPr>
            <w:tcW w:w="0" w:type="auto"/>
            <w:shd w:val="clear" w:color="auto" w:fill="auto"/>
            <w:hideMark/>
          </w:tcPr>
          <w:p w14:paraId="4F77BD7F" w14:textId="77777777" w:rsidR="00465964" w:rsidRPr="00465964" w:rsidRDefault="00465964" w:rsidP="00465964">
            <w:proofErr w:type="spellStart"/>
            <w:r w:rsidRPr="00465964">
              <w:t>i</w:t>
            </w:r>
            <w:proofErr w:type="spellEnd"/>
            <w:r w:rsidRPr="00465964">
              <w:t>)</w:t>
            </w:r>
          </w:p>
        </w:tc>
        <w:tc>
          <w:tcPr>
            <w:tcW w:w="0" w:type="auto"/>
            <w:shd w:val="clear" w:color="auto" w:fill="auto"/>
            <w:hideMark/>
          </w:tcPr>
          <w:p w14:paraId="3FAD9FBB" w14:textId="0F4370E9" w:rsidR="00465964" w:rsidRPr="00465964" w:rsidRDefault="00465964" w:rsidP="00465964">
            <w:pPr>
              <w:rPr>
                <w:lang w:val="pt-PT"/>
              </w:rPr>
            </w:pPr>
            <w:r w:rsidRPr="00465964">
              <w:rPr>
                <w:lang w:val="pt-PT"/>
              </w:rPr>
              <w:t xml:space="preserve">O número de emitentes de </w:t>
            </w:r>
            <w:r>
              <w:rPr>
                <w:lang w:val="pt-PT"/>
              </w:rPr>
              <w:t>criptomoedas</w:t>
            </w:r>
            <w:r w:rsidRPr="00465964">
              <w:rPr>
                <w:lang w:val="pt-PT"/>
              </w:rPr>
              <w:t xml:space="preserve"> de moeda eletrónica e uma análise das moedas oficiais referenciadas pelas </w:t>
            </w:r>
            <w:r>
              <w:rPr>
                <w:lang w:val="pt-PT"/>
              </w:rPr>
              <w:t>criptomoedas</w:t>
            </w:r>
            <w:r w:rsidRPr="00465964">
              <w:rPr>
                <w:lang w:val="pt-PT"/>
              </w:rPr>
              <w:t xml:space="preserve"> de moeda eletrónica, a composição e a dimensão dos fundos depositados ou investidos de acordo como artigo 54.</w:t>
            </w:r>
            <w:r w:rsidRPr="00465964">
              <w:rPr>
                <w:vertAlign w:val="superscript"/>
                <w:lang w:val="pt-PT"/>
              </w:rPr>
              <w:t>o</w:t>
            </w:r>
            <w:r w:rsidRPr="00465964">
              <w:rPr>
                <w:lang w:val="pt-PT"/>
              </w:rPr>
              <w:t xml:space="preserve"> e o volume de pagamentos efetuados em </w:t>
            </w:r>
            <w:r>
              <w:rPr>
                <w:lang w:val="pt-PT"/>
              </w:rPr>
              <w:t>criptomoedas</w:t>
            </w:r>
            <w:r w:rsidRPr="00465964">
              <w:rPr>
                <w:lang w:val="pt-PT"/>
              </w:rPr>
              <w:t xml:space="preserve"> de moeda eletrónica;</w:t>
            </w:r>
          </w:p>
        </w:tc>
      </w:tr>
    </w:tbl>
    <w:p w14:paraId="5967D0E0"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17"/>
        <w:gridCol w:w="8909"/>
      </w:tblGrid>
      <w:tr w:rsidR="00465964" w:rsidRPr="00465964" w14:paraId="0D1A13E9" w14:textId="77777777" w:rsidTr="00465964">
        <w:tc>
          <w:tcPr>
            <w:tcW w:w="0" w:type="auto"/>
            <w:shd w:val="clear" w:color="auto" w:fill="auto"/>
            <w:hideMark/>
          </w:tcPr>
          <w:p w14:paraId="7EC50AA6" w14:textId="77777777" w:rsidR="00465964" w:rsidRPr="00465964" w:rsidRDefault="00465964" w:rsidP="00465964">
            <w:r w:rsidRPr="00465964">
              <w:t>j)</w:t>
            </w:r>
          </w:p>
        </w:tc>
        <w:tc>
          <w:tcPr>
            <w:tcW w:w="0" w:type="auto"/>
            <w:shd w:val="clear" w:color="auto" w:fill="auto"/>
            <w:hideMark/>
          </w:tcPr>
          <w:p w14:paraId="68367B03" w14:textId="6215B635" w:rsidR="00465964" w:rsidRPr="00465964" w:rsidRDefault="00465964" w:rsidP="00465964">
            <w:pPr>
              <w:rPr>
                <w:lang w:val="pt-PT"/>
              </w:rPr>
            </w:pPr>
            <w:r w:rsidRPr="00465964">
              <w:rPr>
                <w:lang w:val="pt-PT"/>
              </w:rPr>
              <w:t xml:space="preserve">O número de emitentes de </w:t>
            </w:r>
            <w:r>
              <w:rPr>
                <w:lang w:val="pt-PT"/>
              </w:rPr>
              <w:t>criptomoedas</w:t>
            </w:r>
            <w:r w:rsidRPr="00465964">
              <w:rPr>
                <w:lang w:val="pt-PT"/>
              </w:rPr>
              <w:t xml:space="preserve"> de moeda eletrónica significativas e uma análise das moedas oficiais referenciadas pelas </w:t>
            </w:r>
            <w:r>
              <w:rPr>
                <w:lang w:val="pt-PT"/>
              </w:rPr>
              <w:t>criptomoedas</w:t>
            </w:r>
            <w:r w:rsidRPr="00465964">
              <w:rPr>
                <w:lang w:val="pt-PT"/>
              </w:rPr>
              <w:t xml:space="preserve"> de moeda eletrónica significativas e, relativamente a instituições de moeda eletrónica que emitam </w:t>
            </w:r>
            <w:r>
              <w:rPr>
                <w:lang w:val="pt-PT"/>
              </w:rPr>
              <w:t>criptomoedas</w:t>
            </w:r>
            <w:r w:rsidRPr="00465964">
              <w:rPr>
                <w:lang w:val="pt-PT"/>
              </w:rPr>
              <w:t xml:space="preserve"> de moeda eletrónica significativas, a da dimensão das reservas de ativos e o volume de pagamentos efetuados em </w:t>
            </w:r>
            <w:r>
              <w:rPr>
                <w:lang w:val="pt-PT"/>
              </w:rPr>
              <w:t>criptomoedas</w:t>
            </w:r>
            <w:r w:rsidRPr="00465964">
              <w:rPr>
                <w:lang w:val="pt-PT"/>
              </w:rPr>
              <w:t xml:space="preserve"> de moeda eletrónica significativas;</w:t>
            </w:r>
          </w:p>
        </w:tc>
      </w:tr>
    </w:tbl>
    <w:p w14:paraId="3C7A81C0"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239"/>
        <w:gridCol w:w="8787"/>
      </w:tblGrid>
      <w:tr w:rsidR="00465964" w:rsidRPr="00465964" w14:paraId="54B4F415" w14:textId="77777777" w:rsidTr="00465964">
        <w:tc>
          <w:tcPr>
            <w:tcW w:w="0" w:type="auto"/>
            <w:shd w:val="clear" w:color="auto" w:fill="auto"/>
            <w:hideMark/>
          </w:tcPr>
          <w:p w14:paraId="42D06DC1" w14:textId="77777777" w:rsidR="00465964" w:rsidRPr="00465964" w:rsidRDefault="00465964" w:rsidP="00465964">
            <w:r w:rsidRPr="00465964">
              <w:t>k)</w:t>
            </w:r>
          </w:p>
        </w:tc>
        <w:tc>
          <w:tcPr>
            <w:tcW w:w="0" w:type="auto"/>
            <w:shd w:val="clear" w:color="auto" w:fill="auto"/>
            <w:hideMark/>
          </w:tcPr>
          <w:p w14:paraId="510F5822" w14:textId="77777777" w:rsidR="00465964" w:rsidRPr="00465964" w:rsidRDefault="00465964" w:rsidP="00465964">
            <w:pPr>
              <w:rPr>
                <w:lang w:val="pt-PT"/>
              </w:rPr>
            </w:pPr>
            <w:r w:rsidRPr="00465964">
              <w:rPr>
                <w:lang w:val="pt-PT"/>
              </w:rPr>
              <w:t>O número de prestadores significativos de serviços de criptoativos;</w:t>
            </w:r>
          </w:p>
        </w:tc>
      </w:tr>
    </w:tbl>
    <w:p w14:paraId="3D049A67"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22"/>
        <w:gridCol w:w="8904"/>
      </w:tblGrid>
      <w:tr w:rsidR="00465964" w:rsidRPr="00465964" w14:paraId="73D04468" w14:textId="77777777" w:rsidTr="00465964">
        <w:tc>
          <w:tcPr>
            <w:tcW w:w="0" w:type="auto"/>
            <w:shd w:val="clear" w:color="auto" w:fill="auto"/>
            <w:hideMark/>
          </w:tcPr>
          <w:p w14:paraId="74A433E9" w14:textId="77777777" w:rsidR="00465964" w:rsidRPr="00465964" w:rsidRDefault="00465964" w:rsidP="00465964">
            <w:r w:rsidRPr="00465964">
              <w:t>l)</w:t>
            </w:r>
          </w:p>
        </w:tc>
        <w:tc>
          <w:tcPr>
            <w:tcW w:w="0" w:type="auto"/>
            <w:shd w:val="clear" w:color="auto" w:fill="auto"/>
            <w:hideMark/>
          </w:tcPr>
          <w:p w14:paraId="5A687152" w14:textId="77777777" w:rsidR="00465964" w:rsidRPr="00465964" w:rsidRDefault="00465964" w:rsidP="00465964">
            <w:pPr>
              <w:rPr>
                <w:lang w:val="pt-PT"/>
              </w:rPr>
            </w:pPr>
            <w:r w:rsidRPr="00465964">
              <w:rPr>
                <w:lang w:val="pt-PT"/>
              </w:rPr>
              <w:t>Uma avaliação do funcionamento dos mercados de criptoativos na União, incluindo a evolução e as tendências do mercado, tendo em conta a experiência das autoridades de supervisão, o número de prestadores de serviços de criptoativos autorizados e as respetivas quotas médias de mercado;</w:t>
            </w:r>
          </w:p>
        </w:tc>
      </w:tr>
    </w:tbl>
    <w:p w14:paraId="17DD4005"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253"/>
        <w:gridCol w:w="8773"/>
      </w:tblGrid>
      <w:tr w:rsidR="00465964" w:rsidRPr="00465964" w14:paraId="1FE7B656" w14:textId="77777777" w:rsidTr="00465964">
        <w:tc>
          <w:tcPr>
            <w:tcW w:w="0" w:type="auto"/>
            <w:shd w:val="clear" w:color="auto" w:fill="auto"/>
            <w:hideMark/>
          </w:tcPr>
          <w:p w14:paraId="1DEDCB92" w14:textId="77777777" w:rsidR="00465964" w:rsidRPr="00465964" w:rsidRDefault="00465964" w:rsidP="00465964">
            <w:r w:rsidRPr="00465964">
              <w:t>m)</w:t>
            </w:r>
          </w:p>
        </w:tc>
        <w:tc>
          <w:tcPr>
            <w:tcW w:w="0" w:type="auto"/>
            <w:shd w:val="clear" w:color="auto" w:fill="auto"/>
            <w:hideMark/>
          </w:tcPr>
          <w:p w14:paraId="46A76C04" w14:textId="77777777" w:rsidR="00465964" w:rsidRPr="00465964" w:rsidRDefault="00465964" w:rsidP="00465964">
            <w:pPr>
              <w:rPr>
                <w:lang w:val="pt-PT"/>
              </w:rPr>
            </w:pPr>
            <w:r w:rsidRPr="00465964">
              <w:rPr>
                <w:lang w:val="pt-PT"/>
              </w:rPr>
              <w:t>Uma avaliação do nível de proteção dos detentores de criptoativos e dos clientes dos prestadores de serviços de criptoativos, em especial dos detentores não profissionais;</w:t>
            </w:r>
          </w:p>
        </w:tc>
      </w:tr>
    </w:tbl>
    <w:p w14:paraId="174AD5C4"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6"/>
        <w:gridCol w:w="8840"/>
      </w:tblGrid>
      <w:tr w:rsidR="00465964" w:rsidRPr="00465964" w14:paraId="69F0AC9D" w14:textId="77777777" w:rsidTr="00465964">
        <w:tc>
          <w:tcPr>
            <w:tcW w:w="0" w:type="auto"/>
            <w:shd w:val="clear" w:color="auto" w:fill="auto"/>
            <w:hideMark/>
          </w:tcPr>
          <w:p w14:paraId="2CF76F7C" w14:textId="77777777" w:rsidR="00465964" w:rsidRPr="00465964" w:rsidRDefault="00465964" w:rsidP="00465964">
            <w:r w:rsidRPr="00465964">
              <w:t>n)</w:t>
            </w:r>
          </w:p>
        </w:tc>
        <w:tc>
          <w:tcPr>
            <w:tcW w:w="0" w:type="auto"/>
            <w:shd w:val="clear" w:color="auto" w:fill="auto"/>
            <w:hideMark/>
          </w:tcPr>
          <w:p w14:paraId="2B7CB320" w14:textId="77777777" w:rsidR="00465964" w:rsidRPr="00465964" w:rsidRDefault="00465964" w:rsidP="00465964">
            <w:pPr>
              <w:rPr>
                <w:lang w:val="pt-PT"/>
              </w:rPr>
            </w:pPr>
            <w:r w:rsidRPr="00465964">
              <w:rPr>
                <w:lang w:val="pt-PT"/>
              </w:rPr>
              <w:t>Uma avaliação das comunicações comerciais fraudulentas e das burlas que envolvem criptoativos e que ocorrem através das redes sociais;</w:t>
            </w:r>
          </w:p>
        </w:tc>
      </w:tr>
    </w:tbl>
    <w:p w14:paraId="511AE2A5"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6"/>
        <w:gridCol w:w="8840"/>
      </w:tblGrid>
      <w:tr w:rsidR="00465964" w:rsidRPr="00465964" w14:paraId="72D6AB96" w14:textId="77777777" w:rsidTr="00465964">
        <w:tc>
          <w:tcPr>
            <w:tcW w:w="0" w:type="auto"/>
            <w:shd w:val="clear" w:color="auto" w:fill="auto"/>
            <w:hideMark/>
          </w:tcPr>
          <w:p w14:paraId="0F75A518" w14:textId="77777777" w:rsidR="00465964" w:rsidRPr="00465964" w:rsidRDefault="00465964" w:rsidP="00465964">
            <w:r w:rsidRPr="00465964">
              <w:t>o)</w:t>
            </w:r>
          </w:p>
        </w:tc>
        <w:tc>
          <w:tcPr>
            <w:tcW w:w="0" w:type="auto"/>
            <w:shd w:val="clear" w:color="auto" w:fill="auto"/>
            <w:hideMark/>
          </w:tcPr>
          <w:p w14:paraId="2F4B3255" w14:textId="77777777" w:rsidR="00465964" w:rsidRPr="00465964" w:rsidRDefault="00465964" w:rsidP="00465964">
            <w:pPr>
              <w:rPr>
                <w:lang w:val="pt-PT"/>
              </w:rPr>
            </w:pPr>
            <w:r w:rsidRPr="00465964">
              <w:rPr>
                <w:lang w:val="pt-PT"/>
              </w:rPr>
              <w:t>Uma avaliação dos requisitos aplicáveis aos emitentes de criptoativos e aos prestadores de serviços de criptoativos, bem como do seu impacto na resiliência operacional, na integridade do mercado, na estabilidade financeira e na proteção dos clientes e dos detentores de criptoativos;</w:t>
            </w:r>
          </w:p>
        </w:tc>
      </w:tr>
    </w:tbl>
    <w:p w14:paraId="308188FD"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8"/>
        <w:gridCol w:w="8838"/>
      </w:tblGrid>
      <w:tr w:rsidR="00465964" w:rsidRPr="00465964" w14:paraId="2F046F03" w14:textId="77777777" w:rsidTr="00465964">
        <w:tc>
          <w:tcPr>
            <w:tcW w:w="0" w:type="auto"/>
            <w:shd w:val="clear" w:color="auto" w:fill="auto"/>
            <w:hideMark/>
          </w:tcPr>
          <w:p w14:paraId="7471102C" w14:textId="77777777" w:rsidR="00465964" w:rsidRPr="00465964" w:rsidRDefault="00465964" w:rsidP="00465964">
            <w:r w:rsidRPr="00465964">
              <w:t>p)</w:t>
            </w:r>
          </w:p>
        </w:tc>
        <w:tc>
          <w:tcPr>
            <w:tcW w:w="0" w:type="auto"/>
            <w:shd w:val="clear" w:color="auto" w:fill="auto"/>
            <w:hideMark/>
          </w:tcPr>
          <w:p w14:paraId="30866604" w14:textId="77777777" w:rsidR="00465964" w:rsidRPr="00465964" w:rsidRDefault="00465964" w:rsidP="00465964">
            <w:pPr>
              <w:rPr>
                <w:lang w:val="pt-PT"/>
              </w:rPr>
            </w:pPr>
            <w:r w:rsidRPr="00465964">
              <w:rPr>
                <w:lang w:val="pt-PT"/>
              </w:rPr>
              <w:t>Uma avaliação da aplicação do artigo 81.</w:t>
            </w:r>
            <w:r w:rsidRPr="00465964">
              <w:rPr>
                <w:vertAlign w:val="superscript"/>
                <w:lang w:val="pt-PT"/>
              </w:rPr>
              <w:t>o</w:t>
            </w:r>
            <w:r w:rsidRPr="00465964">
              <w:rPr>
                <w:lang w:val="pt-PT"/>
              </w:rPr>
              <w:t> e da possibilidade de introduzir testes de adequação nos artigos 78.</w:t>
            </w:r>
            <w:r w:rsidRPr="00465964">
              <w:rPr>
                <w:vertAlign w:val="superscript"/>
                <w:lang w:val="pt-PT"/>
              </w:rPr>
              <w:t>o</w:t>
            </w:r>
            <w:r w:rsidRPr="00465964">
              <w:rPr>
                <w:lang w:val="pt-PT"/>
              </w:rPr>
              <w:t>, 79.</w:t>
            </w:r>
            <w:r w:rsidRPr="00465964">
              <w:rPr>
                <w:vertAlign w:val="superscript"/>
                <w:lang w:val="pt-PT"/>
              </w:rPr>
              <w:t>o</w:t>
            </w:r>
            <w:r w:rsidRPr="00465964">
              <w:rPr>
                <w:lang w:val="pt-PT"/>
              </w:rPr>
              <w:t> e 80.</w:t>
            </w:r>
            <w:r w:rsidRPr="00465964">
              <w:rPr>
                <w:vertAlign w:val="superscript"/>
                <w:lang w:val="pt-PT"/>
              </w:rPr>
              <w:t>o</w:t>
            </w:r>
            <w:r w:rsidRPr="00465964">
              <w:rPr>
                <w:lang w:val="pt-PT"/>
              </w:rPr>
              <w:t>, a fim de melhor proteger os clientes dos prestadores de serviços de criptoativos, em especial os detentores não profissionais;</w:t>
            </w:r>
          </w:p>
        </w:tc>
      </w:tr>
    </w:tbl>
    <w:p w14:paraId="58238B79"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8"/>
        <w:gridCol w:w="8838"/>
      </w:tblGrid>
      <w:tr w:rsidR="00465964" w:rsidRPr="00465964" w14:paraId="5899C3E4" w14:textId="77777777" w:rsidTr="00465964">
        <w:tc>
          <w:tcPr>
            <w:tcW w:w="0" w:type="auto"/>
            <w:shd w:val="clear" w:color="auto" w:fill="auto"/>
            <w:hideMark/>
          </w:tcPr>
          <w:p w14:paraId="66AA8270" w14:textId="77777777" w:rsidR="00465964" w:rsidRPr="00465964" w:rsidRDefault="00465964" w:rsidP="00465964">
            <w:r w:rsidRPr="00465964">
              <w:t>q)</w:t>
            </w:r>
          </w:p>
        </w:tc>
        <w:tc>
          <w:tcPr>
            <w:tcW w:w="0" w:type="auto"/>
            <w:shd w:val="clear" w:color="auto" w:fill="auto"/>
            <w:hideMark/>
          </w:tcPr>
          <w:p w14:paraId="365AE897" w14:textId="77777777" w:rsidR="00465964" w:rsidRPr="00465964" w:rsidRDefault="00465964" w:rsidP="00465964">
            <w:pPr>
              <w:rPr>
                <w:lang w:val="pt-PT"/>
              </w:rPr>
            </w:pPr>
            <w:r w:rsidRPr="00465964">
              <w:rPr>
                <w:lang w:val="pt-PT"/>
              </w:rPr>
              <w:t xml:space="preserve">Uma avaliação da adequação do âmbito dos serviços de criptoativos abrangidos pelo presente regulamento e da necessidade de qualquer ajustamento das definições </w:t>
            </w:r>
            <w:r w:rsidRPr="00465964">
              <w:rPr>
                <w:lang w:val="pt-PT"/>
              </w:rPr>
              <w:lastRenderedPageBreak/>
              <w:t>estabelecidas no presente regulamento, bem como da necessidade de incluir no âmbito de aplicação do presente regulamento eventuais formas inovadoras adicionais de criptoativos;</w:t>
            </w:r>
          </w:p>
        </w:tc>
      </w:tr>
    </w:tbl>
    <w:p w14:paraId="1DFCF645"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39"/>
        <w:gridCol w:w="8887"/>
      </w:tblGrid>
      <w:tr w:rsidR="00465964" w:rsidRPr="00465964" w14:paraId="1C7F55ED" w14:textId="77777777" w:rsidTr="00465964">
        <w:tc>
          <w:tcPr>
            <w:tcW w:w="0" w:type="auto"/>
            <w:shd w:val="clear" w:color="auto" w:fill="auto"/>
            <w:hideMark/>
          </w:tcPr>
          <w:p w14:paraId="0C8072E3" w14:textId="77777777" w:rsidR="00465964" w:rsidRPr="00465964" w:rsidRDefault="00465964" w:rsidP="00465964">
            <w:r w:rsidRPr="00465964">
              <w:t>r)</w:t>
            </w:r>
          </w:p>
        </w:tc>
        <w:tc>
          <w:tcPr>
            <w:tcW w:w="0" w:type="auto"/>
            <w:shd w:val="clear" w:color="auto" w:fill="auto"/>
            <w:hideMark/>
          </w:tcPr>
          <w:p w14:paraId="36C41C52" w14:textId="77777777" w:rsidR="00465964" w:rsidRPr="00465964" w:rsidRDefault="00465964" w:rsidP="00465964">
            <w:pPr>
              <w:rPr>
                <w:lang w:val="pt-PT"/>
              </w:rPr>
            </w:pPr>
            <w:r w:rsidRPr="00465964">
              <w:rPr>
                <w:lang w:val="pt-PT"/>
              </w:rPr>
              <w:t>Uma avaliação da adequação dos requisitos prudenciais aplicáveis aos prestadores de serviços de criptoativos e da pertinência de os alinhar com os requisitos de capital inicial e de fundos próprios aplicáveis às empresas de investimento nos termos do Regulamento (UE) 2019/2033 do Parlamento Europeu e do Conselho </w:t>
            </w:r>
            <w:hyperlink r:id="rId53" w:anchor="ntr46-L_2023150PT.01004001-E0046" w:history="1">
              <w:r w:rsidRPr="00465964">
                <w:rPr>
                  <w:rStyle w:val="Hyperlink"/>
                  <w:lang w:val="pt-PT"/>
                </w:rPr>
                <w:t>(</w:t>
              </w:r>
              <w:r w:rsidRPr="00465964">
                <w:rPr>
                  <w:rStyle w:val="Hyperlink"/>
                  <w:vertAlign w:val="superscript"/>
                  <w:lang w:val="pt-PT"/>
                </w:rPr>
                <w:t>46</w:t>
              </w:r>
              <w:r w:rsidRPr="00465964">
                <w:rPr>
                  <w:rStyle w:val="Hyperlink"/>
                  <w:lang w:val="pt-PT"/>
                </w:rPr>
                <w:t>)</w:t>
              </w:r>
            </w:hyperlink>
            <w:r w:rsidRPr="00465964">
              <w:rPr>
                <w:lang w:val="pt-PT"/>
              </w:rPr>
              <w:t> e da Diretiva (UE) 2019/2034 do Parlamento Europeu e do Conselho </w:t>
            </w:r>
            <w:hyperlink r:id="rId54" w:anchor="ntr47-L_2023150PT.01004001-E0047" w:history="1">
              <w:r w:rsidRPr="00465964">
                <w:rPr>
                  <w:rStyle w:val="Hyperlink"/>
                  <w:lang w:val="pt-PT"/>
                </w:rPr>
                <w:t>(</w:t>
              </w:r>
              <w:r w:rsidRPr="00465964">
                <w:rPr>
                  <w:rStyle w:val="Hyperlink"/>
                  <w:vertAlign w:val="superscript"/>
                  <w:lang w:val="pt-PT"/>
                </w:rPr>
                <w:t>47</w:t>
              </w:r>
              <w:r w:rsidRPr="00465964">
                <w:rPr>
                  <w:rStyle w:val="Hyperlink"/>
                  <w:lang w:val="pt-PT"/>
                </w:rPr>
                <w:t>)</w:t>
              </w:r>
            </w:hyperlink>
            <w:r w:rsidRPr="00465964">
              <w:rPr>
                <w:lang w:val="pt-PT"/>
              </w:rPr>
              <w:t>;</w:t>
            </w:r>
          </w:p>
        </w:tc>
      </w:tr>
    </w:tbl>
    <w:p w14:paraId="5C101A4C"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72"/>
        <w:gridCol w:w="8854"/>
      </w:tblGrid>
      <w:tr w:rsidR="00465964" w:rsidRPr="00465964" w14:paraId="26B4C323" w14:textId="77777777" w:rsidTr="00465964">
        <w:tc>
          <w:tcPr>
            <w:tcW w:w="0" w:type="auto"/>
            <w:shd w:val="clear" w:color="auto" w:fill="auto"/>
            <w:hideMark/>
          </w:tcPr>
          <w:p w14:paraId="70CDAE19" w14:textId="77777777" w:rsidR="00465964" w:rsidRPr="00465964" w:rsidRDefault="00465964" w:rsidP="00465964">
            <w:r w:rsidRPr="00465964">
              <w:t>s)</w:t>
            </w:r>
          </w:p>
        </w:tc>
        <w:tc>
          <w:tcPr>
            <w:tcW w:w="0" w:type="auto"/>
            <w:shd w:val="clear" w:color="auto" w:fill="auto"/>
            <w:hideMark/>
          </w:tcPr>
          <w:p w14:paraId="1D9CE2C8" w14:textId="6C02BB64" w:rsidR="00465964" w:rsidRPr="00465964" w:rsidRDefault="00465964" w:rsidP="00465964">
            <w:pPr>
              <w:rPr>
                <w:lang w:val="pt-PT"/>
              </w:rPr>
            </w:pPr>
            <w:r w:rsidRPr="00465964">
              <w:rPr>
                <w:lang w:val="pt-PT"/>
              </w:rPr>
              <w:t xml:space="preserve">Uma avaliação da adequação dos limiares para classificar </w:t>
            </w:r>
            <w:r>
              <w:rPr>
                <w:lang w:val="pt-PT"/>
              </w:rPr>
              <w:t>criptomoedas</w:t>
            </w:r>
            <w:r w:rsidRPr="00465964">
              <w:rPr>
                <w:lang w:val="pt-PT"/>
              </w:rPr>
              <w:t xml:space="preserve"> referenciadas a ativos e </w:t>
            </w:r>
            <w:r>
              <w:rPr>
                <w:lang w:val="pt-PT"/>
              </w:rPr>
              <w:t>criptomoedas</w:t>
            </w:r>
            <w:r w:rsidRPr="00465964">
              <w:rPr>
                <w:lang w:val="pt-PT"/>
              </w:rPr>
              <w:t xml:space="preserve"> de moeda eletrónica como significativas estabelecidos no artigo 43.</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1, alíneas a), b) e c), e uma avaliação da pertinência de apreciar periodicamente os limiares;</w:t>
            </w:r>
          </w:p>
        </w:tc>
      </w:tr>
    </w:tbl>
    <w:p w14:paraId="7FAEDD31"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36"/>
        <w:gridCol w:w="8890"/>
      </w:tblGrid>
      <w:tr w:rsidR="00465964" w:rsidRPr="00465964" w14:paraId="71C2F7A4" w14:textId="77777777" w:rsidTr="00465964">
        <w:tc>
          <w:tcPr>
            <w:tcW w:w="0" w:type="auto"/>
            <w:shd w:val="clear" w:color="auto" w:fill="auto"/>
            <w:hideMark/>
          </w:tcPr>
          <w:p w14:paraId="7268ABF1" w14:textId="77777777" w:rsidR="00465964" w:rsidRPr="00465964" w:rsidRDefault="00465964" w:rsidP="00465964">
            <w:r w:rsidRPr="00465964">
              <w:t>t)</w:t>
            </w:r>
          </w:p>
        </w:tc>
        <w:tc>
          <w:tcPr>
            <w:tcW w:w="0" w:type="auto"/>
            <w:shd w:val="clear" w:color="auto" w:fill="auto"/>
            <w:hideMark/>
          </w:tcPr>
          <w:p w14:paraId="3499223B" w14:textId="77777777" w:rsidR="00465964" w:rsidRPr="00465964" w:rsidRDefault="00465964" w:rsidP="00465964">
            <w:pPr>
              <w:rPr>
                <w:lang w:val="pt-PT"/>
              </w:rPr>
            </w:pPr>
            <w:r w:rsidRPr="00465964">
              <w:rPr>
                <w:lang w:val="pt-PT"/>
              </w:rPr>
              <w:t>Uma avaliação do desenvolvimento de finanças descentralizadas em mercados de criptoativos e do tratamento regulamentar adequado dos sistemas descentralizados de criptoativos;</w:t>
            </w:r>
          </w:p>
        </w:tc>
      </w:tr>
    </w:tbl>
    <w:p w14:paraId="5FA32FFC"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8"/>
        <w:gridCol w:w="8838"/>
      </w:tblGrid>
      <w:tr w:rsidR="00465964" w:rsidRPr="00465964" w14:paraId="4D3D422B" w14:textId="77777777" w:rsidTr="00465964">
        <w:tc>
          <w:tcPr>
            <w:tcW w:w="0" w:type="auto"/>
            <w:shd w:val="clear" w:color="auto" w:fill="auto"/>
            <w:hideMark/>
          </w:tcPr>
          <w:p w14:paraId="1274B57C" w14:textId="77777777" w:rsidR="00465964" w:rsidRPr="00465964" w:rsidRDefault="00465964" w:rsidP="00465964">
            <w:r w:rsidRPr="00465964">
              <w:t>u)</w:t>
            </w:r>
          </w:p>
        </w:tc>
        <w:tc>
          <w:tcPr>
            <w:tcW w:w="0" w:type="auto"/>
            <w:shd w:val="clear" w:color="auto" w:fill="auto"/>
            <w:hideMark/>
          </w:tcPr>
          <w:p w14:paraId="22630ED8" w14:textId="77777777" w:rsidR="00465964" w:rsidRPr="00465964" w:rsidRDefault="00465964" w:rsidP="00465964">
            <w:pPr>
              <w:rPr>
                <w:lang w:val="pt-PT"/>
              </w:rPr>
            </w:pPr>
            <w:r w:rsidRPr="00465964">
              <w:rPr>
                <w:lang w:val="pt-PT"/>
              </w:rPr>
              <w:t>Uma avaliação da adequação dos limiares para considerar prestadores de serviços de criptoativos como significativos nos termos do artigo 85.</w:t>
            </w:r>
            <w:r w:rsidRPr="00465964">
              <w:rPr>
                <w:vertAlign w:val="superscript"/>
                <w:lang w:val="pt-PT"/>
              </w:rPr>
              <w:t>o</w:t>
            </w:r>
            <w:r w:rsidRPr="00465964">
              <w:rPr>
                <w:lang w:val="pt-PT"/>
              </w:rPr>
              <w:t> e uma avaliação da pertinência de apreciar periodicamente os limiares;</w:t>
            </w:r>
          </w:p>
        </w:tc>
      </w:tr>
    </w:tbl>
    <w:p w14:paraId="42205352"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64"/>
        <w:gridCol w:w="8862"/>
      </w:tblGrid>
      <w:tr w:rsidR="00465964" w:rsidRPr="00465964" w14:paraId="017ABC92" w14:textId="77777777" w:rsidTr="00465964">
        <w:tc>
          <w:tcPr>
            <w:tcW w:w="0" w:type="auto"/>
            <w:shd w:val="clear" w:color="auto" w:fill="auto"/>
            <w:hideMark/>
          </w:tcPr>
          <w:p w14:paraId="6D29599C" w14:textId="77777777" w:rsidR="00465964" w:rsidRPr="00465964" w:rsidRDefault="00465964" w:rsidP="00465964">
            <w:r w:rsidRPr="00465964">
              <w:t>v)</w:t>
            </w:r>
          </w:p>
        </w:tc>
        <w:tc>
          <w:tcPr>
            <w:tcW w:w="0" w:type="auto"/>
            <w:shd w:val="clear" w:color="auto" w:fill="auto"/>
            <w:hideMark/>
          </w:tcPr>
          <w:p w14:paraId="665FBA4B" w14:textId="21AB5D0C" w:rsidR="00465964" w:rsidRPr="00465964" w:rsidRDefault="00465964" w:rsidP="00465964">
            <w:pPr>
              <w:rPr>
                <w:lang w:val="pt-PT"/>
              </w:rPr>
            </w:pPr>
            <w:r w:rsidRPr="00465964">
              <w:rPr>
                <w:lang w:val="pt-PT"/>
              </w:rPr>
              <w:t xml:space="preserve">Uma avaliação da necessidade de estabelecer um regime de equivalência no âmbito do presente regulamento para as entidades que prestam serviços de criptoativos, os emitentes de </w:t>
            </w:r>
            <w:r>
              <w:rPr>
                <w:lang w:val="pt-PT"/>
              </w:rPr>
              <w:t>criptomoedas</w:t>
            </w:r>
            <w:r w:rsidRPr="00465964">
              <w:rPr>
                <w:lang w:val="pt-PT"/>
              </w:rPr>
              <w:t xml:space="preserve"> referenciadas a ativos ou os emitentes de </w:t>
            </w:r>
            <w:r>
              <w:rPr>
                <w:lang w:val="pt-PT"/>
              </w:rPr>
              <w:t>criptomoedas</w:t>
            </w:r>
            <w:r w:rsidRPr="00465964">
              <w:rPr>
                <w:lang w:val="pt-PT"/>
              </w:rPr>
              <w:t xml:space="preserve"> de moeda eletrónica de países terceiros;</w:t>
            </w:r>
          </w:p>
        </w:tc>
      </w:tr>
    </w:tbl>
    <w:p w14:paraId="5CA0E10A"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279"/>
        <w:gridCol w:w="8747"/>
      </w:tblGrid>
      <w:tr w:rsidR="00465964" w:rsidRPr="00465964" w14:paraId="2A52BBD0" w14:textId="77777777" w:rsidTr="00465964">
        <w:tc>
          <w:tcPr>
            <w:tcW w:w="0" w:type="auto"/>
            <w:shd w:val="clear" w:color="auto" w:fill="auto"/>
            <w:hideMark/>
          </w:tcPr>
          <w:p w14:paraId="22E618B9" w14:textId="77777777" w:rsidR="00465964" w:rsidRPr="00465964" w:rsidRDefault="00465964" w:rsidP="00465964">
            <w:r w:rsidRPr="00465964">
              <w:t>w)</w:t>
            </w:r>
          </w:p>
        </w:tc>
        <w:tc>
          <w:tcPr>
            <w:tcW w:w="0" w:type="auto"/>
            <w:shd w:val="clear" w:color="auto" w:fill="auto"/>
            <w:hideMark/>
          </w:tcPr>
          <w:p w14:paraId="704F3936" w14:textId="77777777" w:rsidR="00465964" w:rsidRPr="00465964" w:rsidRDefault="00465964" w:rsidP="00465964">
            <w:pPr>
              <w:rPr>
                <w:lang w:val="pt-PT"/>
              </w:rPr>
            </w:pPr>
            <w:r w:rsidRPr="00465964">
              <w:rPr>
                <w:lang w:val="pt-PT"/>
              </w:rPr>
              <w:t>Uma avaliação da adequação das isenções previstas nos artigos 4.</w:t>
            </w:r>
            <w:r w:rsidRPr="00465964">
              <w:rPr>
                <w:vertAlign w:val="superscript"/>
                <w:lang w:val="pt-PT"/>
              </w:rPr>
              <w:t>o</w:t>
            </w:r>
            <w:r w:rsidRPr="00465964">
              <w:rPr>
                <w:lang w:val="pt-PT"/>
              </w:rPr>
              <w:t> e 16.</w:t>
            </w:r>
            <w:r w:rsidRPr="00465964">
              <w:rPr>
                <w:vertAlign w:val="superscript"/>
                <w:lang w:val="pt-PT"/>
              </w:rPr>
              <w:t>o</w:t>
            </w:r>
            <w:r w:rsidRPr="00465964">
              <w:rPr>
                <w:lang w:val="pt-PT"/>
              </w:rPr>
              <w:t>;</w:t>
            </w:r>
          </w:p>
        </w:tc>
      </w:tr>
    </w:tbl>
    <w:p w14:paraId="42FBE351"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62"/>
        <w:gridCol w:w="8864"/>
      </w:tblGrid>
      <w:tr w:rsidR="00465964" w:rsidRPr="00465964" w14:paraId="50F70B61" w14:textId="77777777" w:rsidTr="00465964">
        <w:tc>
          <w:tcPr>
            <w:tcW w:w="0" w:type="auto"/>
            <w:shd w:val="clear" w:color="auto" w:fill="auto"/>
            <w:hideMark/>
          </w:tcPr>
          <w:p w14:paraId="544C8293" w14:textId="77777777" w:rsidR="00465964" w:rsidRPr="00465964" w:rsidRDefault="00465964" w:rsidP="00465964">
            <w:r w:rsidRPr="00465964">
              <w:t>x)</w:t>
            </w:r>
          </w:p>
        </w:tc>
        <w:tc>
          <w:tcPr>
            <w:tcW w:w="0" w:type="auto"/>
            <w:shd w:val="clear" w:color="auto" w:fill="auto"/>
            <w:hideMark/>
          </w:tcPr>
          <w:p w14:paraId="163A2DAD" w14:textId="77777777" w:rsidR="00465964" w:rsidRPr="00465964" w:rsidRDefault="00465964" w:rsidP="00465964">
            <w:pPr>
              <w:rPr>
                <w:lang w:val="pt-PT"/>
              </w:rPr>
            </w:pPr>
            <w:r w:rsidRPr="00465964">
              <w:rPr>
                <w:lang w:val="pt-PT"/>
              </w:rPr>
              <w:t>Uma avaliação do impacto do presente regulamento no bom funcionamento do mercado interno no que se refere aos criptoativos, incluindo qualquer impacto no acesso das PME a financiamento e na criação de novos meios de pagamento, incluindo instrumentos de pagamento;</w:t>
            </w:r>
          </w:p>
        </w:tc>
      </w:tr>
    </w:tbl>
    <w:p w14:paraId="307C77A8"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64"/>
        <w:gridCol w:w="8862"/>
      </w:tblGrid>
      <w:tr w:rsidR="00465964" w:rsidRPr="00465964" w14:paraId="71910063" w14:textId="77777777" w:rsidTr="00465964">
        <w:tc>
          <w:tcPr>
            <w:tcW w:w="0" w:type="auto"/>
            <w:shd w:val="clear" w:color="auto" w:fill="auto"/>
            <w:hideMark/>
          </w:tcPr>
          <w:p w14:paraId="320745B1" w14:textId="77777777" w:rsidR="00465964" w:rsidRPr="00465964" w:rsidRDefault="00465964" w:rsidP="00465964">
            <w:r w:rsidRPr="00465964">
              <w:t>y)</w:t>
            </w:r>
          </w:p>
        </w:tc>
        <w:tc>
          <w:tcPr>
            <w:tcW w:w="0" w:type="auto"/>
            <w:shd w:val="clear" w:color="auto" w:fill="auto"/>
            <w:hideMark/>
          </w:tcPr>
          <w:p w14:paraId="5C097316" w14:textId="77777777" w:rsidR="00465964" w:rsidRPr="00465964" w:rsidRDefault="00465964" w:rsidP="00465964">
            <w:pPr>
              <w:rPr>
                <w:lang w:val="pt-PT"/>
              </w:rPr>
            </w:pPr>
            <w:r w:rsidRPr="00465964">
              <w:rPr>
                <w:lang w:val="pt-PT"/>
              </w:rPr>
              <w:t>Uma descrição da evolução dos modelos de negócios e das tecnologias em mercados de criptoativos, dando especial atenção ao impacto ambiental e climático das novas tecnologias, bem como uma avaliação das opções políticas e, se necessário, de quaisquer medidas adicionais que possam ser justificadas para atenuar os impactos negativos no clima e outros impactos negativos relacionados com o ambiente das tecnologias utilizadas em mercados de criptoativos e, em especial, dos mecanismos de consenso utilizados para validar as transações de criptoativos;</w:t>
            </w:r>
          </w:p>
        </w:tc>
      </w:tr>
    </w:tbl>
    <w:p w14:paraId="62C8B74B"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61"/>
        <w:gridCol w:w="8865"/>
      </w:tblGrid>
      <w:tr w:rsidR="00465964" w:rsidRPr="00465964" w14:paraId="545158CA" w14:textId="77777777" w:rsidTr="00465964">
        <w:tc>
          <w:tcPr>
            <w:tcW w:w="0" w:type="auto"/>
            <w:shd w:val="clear" w:color="auto" w:fill="auto"/>
            <w:hideMark/>
          </w:tcPr>
          <w:p w14:paraId="492CB6A6" w14:textId="77777777" w:rsidR="00465964" w:rsidRPr="00465964" w:rsidRDefault="00465964" w:rsidP="00465964">
            <w:r w:rsidRPr="00465964">
              <w:t>z)</w:t>
            </w:r>
          </w:p>
        </w:tc>
        <w:tc>
          <w:tcPr>
            <w:tcW w:w="0" w:type="auto"/>
            <w:shd w:val="clear" w:color="auto" w:fill="auto"/>
            <w:hideMark/>
          </w:tcPr>
          <w:p w14:paraId="5367E88D" w14:textId="77777777" w:rsidR="00465964" w:rsidRPr="00465964" w:rsidRDefault="00465964" w:rsidP="00465964">
            <w:pPr>
              <w:rPr>
                <w:lang w:val="pt-PT"/>
              </w:rPr>
            </w:pPr>
            <w:r w:rsidRPr="00465964">
              <w:rPr>
                <w:lang w:val="pt-PT"/>
              </w:rPr>
              <w:t>Uma avaliação da necessidade de introduzir alterações às medidas estabelecidas no presente regulamento para assegurar a proteção dos clientes e dos detentores de criptoativos, a integridade do mercado e a estabilidade financeira;</w:t>
            </w:r>
          </w:p>
        </w:tc>
      </w:tr>
    </w:tbl>
    <w:p w14:paraId="4FC828FB"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368"/>
        <w:gridCol w:w="8658"/>
      </w:tblGrid>
      <w:tr w:rsidR="00465964" w:rsidRPr="00465964" w14:paraId="14DB77C6" w14:textId="77777777" w:rsidTr="00465964">
        <w:tc>
          <w:tcPr>
            <w:tcW w:w="0" w:type="auto"/>
            <w:shd w:val="clear" w:color="auto" w:fill="auto"/>
            <w:hideMark/>
          </w:tcPr>
          <w:p w14:paraId="4CD8F8BA" w14:textId="77777777" w:rsidR="00465964" w:rsidRPr="00465964" w:rsidRDefault="00465964" w:rsidP="00465964">
            <w:r w:rsidRPr="00465964">
              <w:t>aa)</w:t>
            </w:r>
          </w:p>
        </w:tc>
        <w:tc>
          <w:tcPr>
            <w:tcW w:w="0" w:type="auto"/>
            <w:shd w:val="clear" w:color="auto" w:fill="auto"/>
            <w:hideMark/>
          </w:tcPr>
          <w:p w14:paraId="3ACAE5B7" w14:textId="77777777" w:rsidR="00465964" w:rsidRPr="00465964" w:rsidRDefault="00465964" w:rsidP="00465964">
            <w:pPr>
              <w:rPr>
                <w:lang w:val="pt-PT"/>
              </w:rPr>
            </w:pPr>
            <w:r w:rsidRPr="00465964">
              <w:rPr>
                <w:lang w:val="pt-PT"/>
              </w:rPr>
              <w:t>A aplicação de sanções administrativas e outras medidas administrativas;</w:t>
            </w:r>
          </w:p>
        </w:tc>
      </w:tr>
    </w:tbl>
    <w:p w14:paraId="428E95AF"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305"/>
        <w:gridCol w:w="8721"/>
      </w:tblGrid>
      <w:tr w:rsidR="00465964" w:rsidRPr="00465964" w14:paraId="5F87C301" w14:textId="77777777" w:rsidTr="00465964">
        <w:tc>
          <w:tcPr>
            <w:tcW w:w="0" w:type="auto"/>
            <w:shd w:val="clear" w:color="auto" w:fill="auto"/>
            <w:hideMark/>
          </w:tcPr>
          <w:p w14:paraId="73114199" w14:textId="77777777" w:rsidR="00465964" w:rsidRPr="00465964" w:rsidRDefault="00465964" w:rsidP="00465964">
            <w:r w:rsidRPr="00465964">
              <w:t>ab)</w:t>
            </w:r>
          </w:p>
        </w:tc>
        <w:tc>
          <w:tcPr>
            <w:tcW w:w="0" w:type="auto"/>
            <w:shd w:val="clear" w:color="auto" w:fill="auto"/>
            <w:hideMark/>
          </w:tcPr>
          <w:p w14:paraId="780E816A" w14:textId="77777777" w:rsidR="00465964" w:rsidRPr="00465964" w:rsidRDefault="00465964" w:rsidP="00465964">
            <w:pPr>
              <w:rPr>
                <w:lang w:val="pt-PT"/>
              </w:rPr>
            </w:pPr>
            <w:r w:rsidRPr="00465964">
              <w:rPr>
                <w:lang w:val="pt-PT"/>
              </w:rPr>
              <w:t xml:space="preserve">Uma avaliação da cooperação entre as autoridades competentes, a EBA, a ESMA, os bancos centrais, bem como outras autoridades pertinentes, nomeadamente no que se refere à interação entre as suas responsabilidades ou atribuições, e uma avaliação das vantagens e desvantagens da atribuição da responsabilidade pela supervisão, </w:t>
            </w:r>
            <w:r w:rsidRPr="00465964">
              <w:rPr>
                <w:lang w:val="pt-PT"/>
              </w:rPr>
              <w:lastRenderedPageBreak/>
              <w:t>respetivamente, às autoridades competentes dos Estados-Membros e à EBA ao abrigo do presente regulamento;</w:t>
            </w:r>
          </w:p>
        </w:tc>
      </w:tr>
    </w:tbl>
    <w:p w14:paraId="7650F52C"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297"/>
        <w:gridCol w:w="8729"/>
      </w:tblGrid>
      <w:tr w:rsidR="00465964" w:rsidRPr="00465964" w14:paraId="45012077" w14:textId="77777777" w:rsidTr="00465964">
        <w:tc>
          <w:tcPr>
            <w:tcW w:w="0" w:type="auto"/>
            <w:shd w:val="clear" w:color="auto" w:fill="auto"/>
            <w:hideMark/>
          </w:tcPr>
          <w:p w14:paraId="1ADA83D6" w14:textId="77777777" w:rsidR="00465964" w:rsidRPr="00465964" w:rsidRDefault="00465964" w:rsidP="00465964">
            <w:r w:rsidRPr="00465964">
              <w:t>ac)</w:t>
            </w:r>
          </w:p>
        </w:tc>
        <w:tc>
          <w:tcPr>
            <w:tcW w:w="0" w:type="auto"/>
            <w:shd w:val="clear" w:color="auto" w:fill="auto"/>
            <w:hideMark/>
          </w:tcPr>
          <w:p w14:paraId="4C005D1E" w14:textId="77777777" w:rsidR="00465964" w:rsidRPr="00465964" w:rsidRDefault="00465964" w:rsidP="00465964">
            <w:pPr>
              <w:rPr>
                <w:lang w:val="pt-PT"/>
              </w:rPr>
            </w:pPr>
            <w:r w:rsidRPr="00465964">
              <w:rPr>
                <w:lang w:val="pt-PT"/>
              </w:rPr>
              <w:t>Uma avaliação da cooperação entre as autoridades competentes e a ESMA no que respeita à supervisão de prestadores significativos de serviços de criptoativos e uma avaliação das vantagens e desvantagens da atribuição da responsabilidade pela supervisão dos prestadores significativos de serviços de criptoativos, respetivamente, às autoridades competentes dos Estados-Membros e à ESMA ao abrigo do presente regulamento;</w:t>
            </w:r>
          </w:p>
        </w:tc>
      </w:tr>
    </w:tbl>
    <w:p w14:paraId="57474388"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305"/>
        <w:gridCol w:w="8721"/>
      </w:tblGrid>
      <w:tr w:rsidR="00465964" w:rsidRPr="00465964" w14:paraId="484597BA" w14:textId="77777777" w:rsidTr="00465964">
        <w:tc>
          <w:tcPr>
            <w:tcW w:w="0" w:type="auto"/>
            <w:shd w:val="clear" w:color="auto" w:fill="auto"/>
            <w:hideMark/>
          </w:tcPr>
          <w:p w14:paraId="63F68B20" w14:textId="77777777" w:rsidR="00465964" w:rsidRPr="00465964" w:rsidRDefault="00465964" w:rsidP="00465964">
            <w:r w:rsidRPr="00465964">
              <w:t>ad)</w:t>
            </w:r>
          </w:p>
        </w:tc>
        <w:tc>
          <w:tcPr>
            <w:tcW w:w="0" w:type="auto"/>
            <w:shd w:val="clear" w:color="auto" w:fill="auto"/>
            <w:hideMark/>
          </w:tcPr>
          <w:p w14:paraId="044438D9" w14:textId="65C802C8" w:rsidR="00465964" w:rsidRPr="00465964" w:rsidRDefault="00465964" w:rsidP="00465964">
            <w:pPr>
              <w:rPr>
                <w:lang w:val="pt-PT"/>
              </w:rPr>
            </w:pPr>
            <w:r w:rsidRPr="00465964">
              <w:rPr>
                <w:lang w:val="pt-PT"/>
              </w:rPr>
              <w:t xml:space="preserve">Os custos relacionados com o cumprimento do presente regulamento para os emitentes de criptoativos que não sejam </w:t>
            </w:r>
            <w:r>
              <w:rPr>
                <w:lang w:val="pt-PT"/>
              </w:rPr>
              <w:t>criptomoedas</w:t>
            </w:r>
            <w:r w:rsidRPr="00465964">
              <w:rPr>
                <w:lang w:val="pt-PT"/>
              </w:rPr>
              <w:t xml:space="preserve"> referenciadas a ativos nem </w:t>
            </w:r>
            <w:r>
              <w:rPr>
                <w:lang w:val="pt-PT"/>
              </w:rPr>
              <w:t>criptomoedas</w:t>
            </w:r>
            <w:r w:rsidRPr="00465964">
              <w:rPr>
                <w:lang w:val="pt-PT"/>
              </w:rPr>
              <w:t xml:space="preserve"> de moeda eletrónica, expressos em percentagem do montante mobilizado com a emissão de criptoativos;</w:t>
            </w:r>
          </w:p>
        </w:tc>
      </w:tr>
    </w:tbl>
    <w:p w14:paraId="30DA8B92"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298"/>
        <w:gridCol w:w="8728"/>
      </w:tblGrid>
      <w:tr w:rsidR="00465964" w:rsidRPr="00465964" w14:paraId="47C231B9" w14:textId="77777777" w:rsidTr="00465964">
        <w:tc>
          <w:tcPr>
            <w:tcW w:w="0" w:type="auto"/>
            <w:shd w:val="clear" w:color="auto" w:fill="auto"/>
            <w:hideMark/>
          </w:tcPr>
          <w:p w14:paraId="4B292114" w14:textId="77777777" w:rsidR="00465964" w:rsidRPr="00465964" w:rsidRDefault="00465964" w:rsidP="00465964">
            <w:r w:rsidRPr="00465964">
              <w:t>ae)</w:t>
            </w:r>
          </w:p>
        </w:tc>
        <w:tc>
          <w:tcPr>
            <w:tcW w:w="0" w:type="auto"/>
            <w:shd w:val="clear" w:color="auto" w:fill="auto"/>
            <w:hideMark/>
          </w:tcPr>
          <w:p w14:paraId="03E6C939" w14:textId="27A2C196" w:rsidR="00465964" w:rsidRPr="00465964" w:rsidRDefault="00465964" w:rsidP="00465964">
            <w:pPr>
              <w:rPr>
                <w:lang w:val="pt-PT"/>
              </w:rPr>
            </w:pPr>
            <w:r w:rsidRPr="00465964">
              <w:rPr>
                <w:lang w:val="pt-PT"/>
              </w:rPr>
              <w:t xml:space="preserve">Os custos relacionados com o cumprimento do presente regulamento para os emitentes de </w:t>
            </w:r>
            <w:r>
              <w:rPr>
                <w:lang w:val="pt-PT"/>
              </w:rPr>
              <w:t>criptomoedas</w:t>
            </w:r>
            <w:r w:rsidRPr="00465964">
              <w:rPr>
                <w:lang w:val="pt-PT"/>
              </w:rPr>
              <w:t xml:space="preserve"> referenciadas a ativos e emitentes de </w:t>
            </w:r>
            <w:r>
              <w:rPr>
                <w:lang w:val="pt-PT"/>
              </w:rPr>
              <w:t>criptomoedas</w:t>
            </w:r>
            <w:r w:rsidRPr="00465964">
              <w:rPr>
                <w:lang w:val="pt-PT"/>
              </w:rPr>
              <w:t xml:space="preserve"> de moeda eletrónica, expressos em percentagem dos seus custos operacionais;</w:t>
            </w:r>
          </w:p>
        </w:tc>
      </w:tr>
    </w:tbl>
    <w:p w14:paraId="7FFA71E0"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253"/>
        <w:gridCol w:w="8773"/>
      </w:tblGrid>
      <w:tr w:rsidR="00465964" w:rsidRPr="00465964" w14:paraId="3BF10C18" w14:textId="77777777" w:rsidTr="00465964">
        <w:tc>
          <w:tcPr>
            <w:tcW w:w="0" w:type="auto"/>
            <w:shd w:val="clear" w:color="auto" w:fill="auto"/>
            <w:hideMark/>
          </w:tcPr>
          <w:p w14:paraId="45EF9F40" w14:textId="77777777" w:rsidR="00465964" w:rsidRPr="00465964" w:rsidRDefault="00465964" w:rsidP="00465964">
            <w:proofErr w:type="spellStart"/>
            <w:r w:rsidRPr="00465964">
              <w:t>af</w:t>
            </w:r>
            <w:proofErr w:type="spellEnd"/>
            <w:r w:rsidRPr="00465964">
              <w:t>)</w:t>
            </w:r>
          </w:p>
        </w:tc>
        <w:tc>
          <w:tcPr>
            <w:tcW w:w="0" w:type="auto"/>
            <w:shd w:val="clear" w:color="auto" w:fill="auto"/>
            <w:hideMark/>
          </w:tcPr>
          <w:p w14:paraId="14BD4447" w14:textId="77777777" w:rsidR="00465964" w:rsidRPr="00465964" w:rsidRDefault="00465964" w:rsidP="00465964">
            <w:pPr>
              <w:rPr>
                <w:lang w:val="pt-PT"/>
              </w:rPr>
            </w:pPr>
            <w:r w:rsidRPr="00465964">
              <w:rPr>
                <w:lang w:val="pt-PT"/>
              </w:rPr>
              <w:t>Os custos relacionados com o cumprimento do presente regulamento para os prestadores de serviços de criptoativos, expressos em percentagem dos seus custos operacionais;</w:t>
            </w:r>
          </w:p>
        </w:tc>
      </w:tr>
    </w:tbl>
    <w:p w14:paraId="2969C651"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291"/>
        <w:gridCol w:w="8735"/>
      </w:tblGrid>
      <w:tr w:rsidR="00465964" w:rsidRPr="00465964" w14:paraId="57B08616" w14:textId="77777777" w:rsidTr="00465964">
        <w:tc>
          <w:tcPr>
            <w:tcW w:w="0" w:type="auto"/>
            <w:shd w:val="clear" w:color="auto" w:fill="auto"/>
            <w:hideMark/>
          </w:tcPr>
          <w:p w14:paraId="59E9E3D8" w14:textId="77777777" w:rsidR="00465964" w:rsidRPr="00465964" w:rsidRDefault="00465964" w:rsidP="00465964">
            <w:r w:rsidRPr="00465964">
              <w:t>ag)</w:t>
            </w:r>
          </w:p>
        </w:tc>
        <w:tc>
          <w:tcPr>
            <w:tcW w:w="0" w:type="auto"/>
            <w:shd w:val="clear" w:color="auto" w:fill="auto"/>
            <w:hideMark/>
          </w:tcPr>
          <w:p w14:paraId="7CD6CE2D" w14:textId="77777777" w:rsidR="00465964" w:rsidRPr="00465964" w:rsidRDefault="00465964" w:rsidP="00465964">
            <w:pPr>
              <w:rPr>
                <w:lang w:val="pt-PT"/>
              </w:rPr>
            </w:pPr>
            <w:r w:rsidRPr="00465964">
              <w:rPr>
                <w:lang w:val="pt-PT"/>
              </w:rPr>
              <w:t>O número e o montante das coimas e sanções penais aplicadas pelas autoridades competentes e pela EBA por infrações ao presente regulamento.</w:t>
            </w:r>
          </w:p>
        </w:tc>
      </w:tr>
    </w:tbl>
    <w:p w14:paraId="2A14F002" w14:textId="77777777" w:rsidR="00465964" w:rsidRPr="00465964" w:rsidRDefault="00465964" w:rsidP="00465964">
      <w:pPr>
        <w:rPr>
          <w:lang w:val="pt-PT"/>
        </w:rPr>
      </w:pPr>
      <w:r w:rsidRPr="00465964">
        <w:rPr>
          <w:lang w:val="pt-PT"/>
        </w:rPr>
        <w:t xml:space="preserve">3.   Se for o caso, os relatórios a que se refere o </w:t>
      </w:r>
      <w:proofErr w:type="spellStart"/>
      <w:r w:rsidRPr="00465964">
        <w:rPr>
          <w:lang w:val="pt-PT"/>
        </w:rPr>
        <w:t>n.</w:t>
      </w:r>
      <w:proofErr w:type="gramStart"/>
      <w:r w:rsidRPr="00465964">
        <w:rPr>
          <w:vertAlign w:val="superscript"/>
          <w:lang w:val="pt-PT"/>
        </w:rPr>
        <w:t>o</w:t>
      </w:r>
      <w:proofErr w:type="spellEnd"/>
      <w:r w:rsidRPr="00465964">
        <w:rPr>
          <w:lang w:val="pt-PT"/>
        </w:rPr>
        <w:t> 1 do presente artigo devem</w:t>
      </w:r>
      <w:proofErr w:type="gramEnd"/>
      <w:r w:rsidRPr="00465964">
        <w:rPr>
          <w:lang w:val="pt-PT"/>
        </w:rPr>
        <w:t xml:space="preserve"> também dar seguimento aos temas abordados nos relatórios a que se referem os artigos 141.</w:t>
      </w:r>
      <w:r w:rsidRPr="00465964">
        <w:rPr>
          <w:vertAlign w:val="superscript"/>
          <w:lang w:val="pt-PT"/>
        </w:rPr>
        <w:t>o</w:t>
      </w:r>
      <w:r w:rsidRPr="00465964">
        <w:rPr>
          <w:lang w:val="pt-PT"/>
        </w:rPr>
        <w:t> e 142.</w:t>
      </w:r>
      <w:r w:rsidRPr="00465964">
        <w:rPr>
          <w:vertAlign w:val="superscript"/>
          <w:lang w:val="pt-PT"/>
        </w:rPr>
        <w:t>o</w:t>
      </w:r>
      <w:r w:rsidRPr="00465964">
        <w:rPr>
          <w:lang w:val="pt-PT"/>
        </w:rPr>
        <w:t>.</w:t>
      </w:r>
    </w:p>
    <w:p w14:paraId="0048336E" w14:textId="77777777" w:rsidR="00465964" w:rsidRPr="00465964" w:rsidRDefault="00465964" w:rsidP="00465964">
      <w:pPr>
        <w:rPr>
          <w:i/>
          <w:iCs/>
          <w:lang w:val="pt-PT"/>
        </w:rPr>
      </w:pPr>
      <w:r w:rsidRPr="00465964">
        <w:rPr>
          <w:i/>
          <w:iCs/>
          <w:lang w:val="pt-PT"/>
        </w:rPr>
        <w:t>Artigo 141.</w:t>
      </w:r>
      <w:r w:rsidRPr="00465964">
        <w:rPr>
          <w:i/>
          <w:iCs/>
          <w:vertAlign w:val="superscript"/>
          <w:lang w:val="pt-PT"/>
        </w:rPr>
        <w:t>o</w:t>
      </w:r>
    </w:p>
    <w:p w14:paraId="6CE9A700" w14:textId="77777777" w:rsidR="00465964" w:rsidRPr="00465964" w:rsidRDefault="00465964" w:rsidP="00465964">
      <w:pPr>
        <w:rPr>
          <w:b/>
          <w:bCs/>
          <w:lang w:val="pt-PT"/>
        </w:rPr>
      </w:pPr>
      <w:r w:rsidRPr="00465964">
        <w:rPr>
          <w:b/>
          <w:bCs/>
          <w:lang w:val="pt-PT"/>
        </w:rPr>
        <w:t>Relatório anual da ESMA sobre a evolução dos mercados</w:t>
      </w:r>
    </w:p>
    <w:p w14:paraId="5AB89300" w14:textId="77777777" w:rsidR="00465964" w:rsidRPr="00465964" w:rsidRDefault="00465964" w:rsidP="00465964">
      <w:pPr>
        <w:rPr>
          <w:lang w:val="pt-PT"/>
        </w:rPr>
      </w:pPr>
      <w:r w:rsidRPr="00465964">
        <w:rPr>
          <w:lang w:val="pt-PT"/>
        </w:rPr>
        <w:t>Até 31 de dezembro de 2025 e, posteriormente, todos os anos, a ESMA, em estreita cooperação com a EBA, apresenta ao Parlamento Europeu e ao Conselho um relatório sobre a aplicação do presente regulamento e a evolução dos mercados de criptoativos. O relatório é tornado público.</w:t>
      </w:r>
    </w:p>
    <w:p w14:paraId="75EC53B8" w14:textId="77777777" w:rsidR="00465964" w:rsidRPr="00465964" w:rsidRDefault="00465964" w:rsidP="00465964">
      <w:pPr>
        <w:rPr>
          <w:lang w:val="pt-PT"/>
        </w:rPr>
      </w:pPr>
      <w:r w:rsidRPr="00465964">
        <w:rPr>
          <w:lang w:val="pt-PT"/>
        </w:rPr>
        <w:t>O relatório deve conter os elementos seguintes:</w:t>
      </w:r>
    </w:p>
    <w:tbl>
      <w:tblPr>
        <w:tblW w:w="5000" w:type="pct"/>
        <w:tblCellMar>
          <w:left w:w="0" w:type="dxa"/>
          <w:right w:w="0" w:type="dxa"/>
        </w:tblCellMar>
        <w:tblLook w:val="04A0" w:firstRow="1" w:lastRow="0" w:firstColumn="1" w:lastColumn="0" w:noHBand="0" w:noVBand="1"/>
      </w:tblPr>
      <w:tblGrid>
        <w:gridCol w:w="182"/>
        <w:gridCol w:w="8844"/>
      </w:tblGrid>
      <w:tr w:rsidR="00465964" w:rsidRPr="00465964" w14:paraId="7ACC2AA2" w14:textId="77777777" w:rsidTr="00465964">
        <w:tc>
          <w:tcPr>
            <w:tcW w:w="0" w:type="auto"/>
            <w:shd w:val="clear" w:color="auto" w:fill="auto"/>
            <w:hideMark/>
          </w:tcPr>
          <w:p w14:paraId="0654A931" w14:textId="77777777" w:rsidR="00465964" w:rsidRPr="00465964" w:rsidRDefault="00465964" w:rsidP="00465964">
            <w:r w:rsidRPr="00465964">
              <w:t>a)</w:t>
            </w:r>
          </w:p>
        </w:tc>
        <w:tc>
          <w:tcPr>
            <w:tcW w:w="0" w:type="auto"/>
            <w:shd w:val="clear" w:color="auto" w:fill="auto"/>
            <w:hideMark/>
          </w:tcPr>
          <w:p w14:paraId="78EB6D47" w14:textId="77777777" w:rsidR="00465964" w:rsidRPr="00465964" w:rsidRDefault="00465964" w:rsidP="00465964">
            <w:pPr>
              <w:rPr>
                <w:lang w:val="pt-PT"/>
              </w:rPr>
            </w:pPr>
            <w:r w:rsidRPr="00465964">
              <w:rPr>
                <w:lang w:val="pt-PT"/>
              </w:rPr>
              <w:t>O número de emissões de criptoativos na União, o número de livretes do criptoativo apresentados ou notificados às autoridades competentes, o tipo de criptoativos emitidos e a sua capitalização de mercado, bem como o número de criptoativos admitidos à negociação;</w:t>
            </w:r>
          </w:p>
        </w:tc>
      </w:tr>
    </w:tbl>
    <w:p w14:paraId="058C9426"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8"/>
        <w:gridCol w:w="8838"/>
      </w:tblGrid>
      <w:tr w:rsidR="00465964" w:rsidRPr="00465964" w14:paraId="31EDA0ED" w14:textId="77777777" w:rsidTr="00465964">
        <w:tc>
          <w:tcPr>
            <w:tcW w:w="0" w:type="auto"/>
            <w:shd w:val="clear" w:color="auto" w:fill="auto"/>
            <w:hideMark/>
          </w:tcPr>
          <w:p w14:paraId="7D1C1CB0" w14:textId="77777777" w:rsidR="00465964" w:rsidRPr="00465964" w:rsidRDefault="00465964" w:rsidP="00465964">
            <w:r w:rsidRPr="00465964">
              <w:t>b)</w:t>
            </w:r>
          </w:p>
        </w:tc>
        <w:tc>
          <w:tcPr>
            <w:tcW w:w="0" w:type="auto"/>
            <w:shd w:val="clear" w:color="auto" w:fill="auto"/>
            <w:hideMark/>
          </w:tcPr>
          <w:p w14:paraId="3A85968E" w14:textId="72390B9A" w:rsidR="00465964" w:rsidRPr="00465964" w:rsidRDefault="00465964" w:rsidP="00465964">
            <w:pPr>
              <w:rPr>
                <w:lang w:val="pt-PT"/>
              </w:rPr>
            </w:pPr>
            <w:r w:rsidRPr="00465964">
              <w:rPr>
                <w:lang w:val="pt-PT"/>
              </w:rPr>
              <w:t xml:space="preserve">O número de emitentes de </w:t>
            </w:r>
            <w:r>
              <w:rPr>
                <w:lang w:val="pt-PT"/>
              </w:rPr>
              <w:t>criptomoedas</w:t>
            </w:r>
            <w:r w:rsidRPr="00465964">
              <w:rPr>
                <w:lang w:val="pt-PT"/>
              </w:rPr>
              <w:t xml:space="preserve"> referenciadas a ativos e uma análise das categorias de ativos de reserva, da dimensão das reservas de ativos e do volume de transações de </w:t>
            </w:r>
            <w:r>
              <w:rPr>
                <w:lang w:val="pt-PT"/>
              </w:rPr>
              <w:t>criptomoedas</w:t>
            </w:r>
            <w:r w:rsidRPr="00465964">
              <w:rPr>
                <w:lang w:val="pt-PT"/>
              </w:rPr>
              <w:t xml:space="preserve"> referenciadas a ativos;</w:t>
            </w:r>
          </w:p>
        </w:tc>
      </w:tr>
    </w:tbl>
    <w:p w14:paraId="044367B0"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0"/>
        <w:gridCol w:w="8846"/>
      </w:tblGrid>
      <w:tr w:rsidR="00465964" w:rsidRPr="00465964" w14:paraId="5F292510" w14:textId="77777777" w:rsidTr="00465964">
        <w:tc>
          <w:tcPr>
            <w:tcW w:w="0" w:type="auto"/>
            <w:shd w:val="clear" w:color="auto" w:fill="auto"/>
            <w:hideMark/>
          </w:tcPr>
          <w:p w14:paraId="28ED7845" w14:textId="77777777" w:rsidR="00465964" w:rsidRPr="00465964" w:rsidRDefault="00465964" w:rsidP="00465964">
            <w:r w:rsidRPr="00465964">
              <w:t>c)</w:t>
            </w:r>
          </w:p>
        </w:tc>
        <w:tc>
          <w:tcPr>
            <w:tcW w:w="0" w:type="auto"/>
            <w:shd w:val="clear" w:color="auto" w:fill="auto"/>
            <w:hideMark/>
          </w:tcPr>
          <w:p w14:paraId="392BC4C9" w14:textId="5E30CEEB" w:rsidR="00465964" w:rsidRPr="00465964" w:rsidRDefault="00465964" w:rsidP="00465964">
            <w:pPr>
              <w:rPr>
                <w:lang w:val="pt-PT"/>
              </w:rPr>
            </w:pPr>
            <w:r w:rsidRPr="00465964">
              <w:rPr>
                <w:lang w:val="pt-PT"/>
              </w:rPr>
              <w:t xml:space="preserve">O número de emitentes de </w:t>
            </w:r>
            <w:r>
              <w:rPr>
                <w:lang w:val="pt-PT"/>
              </w:rPr>
              <w:t>criptomoedas</w:t>
            </w:r>
            <w:r w:rsidRPr="00465964">
              <w:rPr>
                <w:lang w:val="pt-PT"/>
              </w:rPr>
              <w:t xml:space="preserve"> referenciadas a ativos significativas e uma análise das categorias de ativos de reserva, da dimensão das reservas de ativos e do volume de transações de </w:t>
            </w:r>
            <w:r>
              <w:rPr>
                <w:lang w:val="pt-PT"/>
              </w:rPr>
              <w:t>criptomoedas</w:t>
            </w:r>
            <w:r w:rsidRPr="00465964">
              <w:rPr>
                <w:lang w:val="pt-PT"/>
              </w:rPr>
              <w:t xml:space="preserve"> referenciadas a ativos significativas;</w:t>
            </w:r>
          </w:p>
        </w:tc>
      </w:tr>
    </w:tbl>
    <w:p w14:paraId="487FD30B"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8"/>
        <w:gridCol w:w="8838"/>
      </w:tblGrid>
      <w:tr w:rsidR="00465964" w:rsidRPr="00465964" w14:paraId="5A26F3EE" w14:textId="77777777" w:rsidTr="00465964">
        <w:tc>
          <w:tcPr>
            <w:tcW w:w="0" w:type="auto"/>
            <w:shd w:val="clear" w:color="auto" w:fill="auto"/>
            <w:hideMark/>
          </w:tcPr>
          <w:p w14:paraId="6AD02CFA" w14:textId="77777777" w:rsidR="00465964" w:rsidRPr="00465964" w:rsidRDefault="00465964" w:rsidP="00465964">
            <w:r w:rsidRPr="00465964">
              <w:t>d)</w:t>
            </w:r>
          </w:p>
        </w:tc>
        <w:tc>
          <w:tcPr>
            <w:tcW w:w="0" w:type="auto"/>
            <w:shd w:val="clear" w:color="auto" w:fill="auto"/>
            <w:hideMark/>
          </w:tcPr>
          <w:p w14:paraId="4F5A66CF" w14:textId="26EF8042" w:rsidR="00465964" w:rsidRPr="00465964" w:rsidRDefault="00465964" w:rsidP="00465964">
            <w:pPr>
              <w:rPr>
                <w:lang w:val="pt-PT"/>
              </w:rPr>
            </w:pPr>
            <w:r w:rsidRPr="00465964">
              <w:rPr>
                <w:lang w:val="pt-PT"/>
              </w:rPr>
              <w:t xml:space="preserve">O número de emitentes de </w:t>
            </w:r>
            <w:r>
              <w:rPr>
                <w:lang w:val="pt-PT"/>
              </w:rPr>
              <w:t>criptomoedas</w:t>
            </w:r>
            <w:r w:rsidRPr="00465964">
              <w:rPr>
                <w:lang w:val="pt-PT"/>
              </w:rPr>
              <w:t xml:space="preserve"> de moeda eletrónica e uma análise das moedas oficiais referenciadas pelas </w:t>
            </w:r>
            <w:r>
              <w:rPr>
                <w:lang w:val="pt-PT"/>
              </w:rPr>
              <w:t>criptomoedas</w:t>
            </w:r>
            <w:r w:rsidRPr="00465964">
              <w:rPr>
                <w:lang w:val="pt-PT"/>
              </w:rPr>
              <w:t xml:space="preserve"> de moeda eletrónica, da composição e da </w:t>
            </w:r>
            <w:r w:rsidRPr="00465964">
              <w:rPr>
                <w:lang w:val="pt-PT"/>
              </w:rPr>
              <w:lastRenderedPageBreak/>
              <w:t>dimensão dos fundos depositados ou investidos de acordo com o artigo 54.</w:t>
            </w:r>
            <w:r w:rsidRPr="00465964">
              <w:rPr>
                <w:vertAlign w:val="superscript"/>
                <w:lang w:val="pt-PT"/>
              </w:rPr>
              <w:t>o</w:t>
            </w:r>
            <w:r w:rsidRPr="00465964">
              <w:rPr>
                <w:lang w:val="pt-PT"/>
              </w:rPr>
              <w:t xml:space="preserve"> e do volume de pagamentos efetuados em </w:t>
            </w:r>
            <w:r>
              <w:rPr>
                <w:lang w:val="pt-PT"/>
              </w:rPr>
              <w:t>criptomoedas</w:t>
            </w:r>
            <w:r w:rsidRPr="00465964">
              <w:rPr>
                <w:lang w:val="pt-PT"/>
              </w:rPr>
              <w:t xml:space="preserve"> de moeda eletrónica;</w:t>
            </w:r>
          </w:p>
        </w:tc>
      </w:tr>
    </w:tbl>
    <w:p w14:paraId="2368DE69"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1"/>
        <w:gridCol w:w="8845"/>
      </w:tblGrid>
      <w:tr w:rsidR="00465964" w:rsidRPr="00465964" w14:paraId="5B883FCF" w14:textId="77777777" w:rsidTr="00465964">
        <w:tc>
          <w:tcPr>
            <w:tcW w:w="0" w:type="auto"/>
            <w:shd w:val="clear" w:color="auto" w:fill="auto"/>
            <w:hideMark/>
          </w:tcPr>
          <w:p w14:paraId="092919AC" w14:textId="77777777" w:rsidR="00465964" w:rsidRPr="00465964" w:rsidRDefault="00465964" w:rsidP="00465964">
            <w:r w:rsidRPr="00465964">
              <w:t>e)</w:t>
            </w:r>
          </w:p>
        </w:tc>
        <w:tc>
          <w:tcPr>
            <w:tcW w:w="0" w:type="auto"/>
            <w:shd w:val="clear" w:color="auto" w:fill="auto"/>
            <w:hideMark/>
          </w:tcPr>
          <w:p w14:paraId="08CA7F74" w14:textId="56A26AE6" w:rsidR="00465964" w:rsidRPr="00465964" w:rsidRDefault="00465964" w:rsidP="00465964">
            <w:pPr>
              <w:rPr>
                <w:lang w:val="pt-PT"/>
              </w:rPr>
            </w:pPr>
            <w:r w:rsidRPr="00465964">
              <w:rPr>
                <w:lang w:val="pt-PT"/>
              </w:rPr>
              <w:t xml:space="preserve">O número de emitentes de </w:t>
            </w:r>
            <w:r>
              <w:rPr>
                <w:lang w:val="pt-PT"/>
              </w:rPr>
              <w:t>criptomoedas</w:t>
            </w:r>
            <w:r w:rsidRPr="00465964">
              <w:rPr>
                <w:lang w:val="pt-PT"/>
              </w:rPr>
              <w:t xml:space="preserve"> de moeda eletrónica significativas e uma análise das moedas oficiais referenciadas pelas </w:t>
            </w:r>
            <w:r>
              <w:rPr>
                <w:lang w:val="pt-PT"/>
              </w:rPr>
              <w:t>criptomoedas</w:t>
            </w:r>
            <w:r w:rsidRPr="00465964">
              <w:rPr>
                <w:lang w:val="pt-PT"/>
              </w:rPr>
              <w:t xml:space="preserve"> de moeda eletrónica significativas e, relativamente às instituições de moeda eletrónica que emitam </w:t>
            </w:r>
            <w:r>
              <w:rPr>
                <w:lang w:val="pt-PT"/>
              </w:rPr>
              <w:t>criptomoedas</w:t>
            </w:r>
            <w:r w:rsidRPr="00465964">
              <w:rPr>
                <w:lang w:val="pt-PT"/>
              </w:rPr>
              <w:t xml:space="preserve"> de moeda eletrónica significativas, da dimensão das reservas de ativos e do volume de pagamentos efetuados em </w:t>
            </w:r>
            <w:r>
              <w:rPr>
                <w:lang w:val="pt-PT"/>
              </w:rPr>
              <w:t>criptomoedas</w:t>
            </w:r>
            <w:r w:rsidRPr="00465964">
              <w:rPr>
                <w:lang w:val="pt-PT"/>
              </w:rPr>
              <w:t xml:space="preserve"> de moeda eletrónica significativas;</w:t>
            </w:r>
          </w:p>
        </w:tc>
      </w:tr>
    </w:tbl>
    <w:p w14:paraId="1504CAA8"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36"/>
        <w:gridCol w:w="8890"/>
      </w:tblGrid>
      <w:tr w:rsidR="00465964" w:rsidRPr="00465964" w14:paraId="5862DD1D" w14:textId="77777777" w:rsidTr="00465964">
        <w:tc>
          <w:tcPr>
            <w:tcW w:w="0" w:type="auto"/>
            <w:shd w:val="clear" w:color="auto" w:fill="auto"/>
            <w:hideMark/>
          </w:tcPr>
          <w:p w14:paraId="73DF5C6E" w14:textId="77777777" w:rsidR="00465964" w:rsidRPr="00465964" w:rsidRDefault="00465964" w:rsidP="00465964">
            <w:r w:rsidRPr="00465964">
              <w:t>f)</w:t>
            </w:r>
          </w:p>
        </w:tc>
        <w:tc>
          <w:tcPr>
            <w:tcW w:w="0" w:type="auto"/>
            <w:shd w:val="clear" w:color="auto" w:fill="auto"/>
            <w:hideMark/>
          </w:tcPr>
          <w:p w14:paraId="5AE9DA26" w14:textId="77777777" w:rsidR="00465964" w:rsidRPr="00465964" w:rsidRDefault="00465964" w:rsidP="00465964">
            <w:pPr>
              <w:rPr>
                <w:lang w:val="pt-PT"/>
              </w:rPr>
            </w:pPr>
            <w:r w:rsidRPr="00465964">
              <w:rPr>
                <w:lang w:val="pt-PT"/>
              </w:rPr>
              <w:t>O número de prestadores de serviços de criptoativos e o número de prestadores significativos de serviços de criptoativos;</w:t>
            </w:r>
          </w:p>
        </w:tc>
      </w:tr>
    </w:tbl>
    <w:p w14:paraId="63C97E4B"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74"/>
        <w:gridCol w:w="8852"/>
      </w:tblGrid>
      <w:tr w:rsidR="00465964" w:rsidRPr="00465964" w14:paraId="623FDC62" w14:textId="77777777" w:rsidTr="00465964">
        <w:tc>
          <w:tcPr>
            <w:tcW w:w="0" w:type="auto"/>
            <w:shd w:val="clear" w:color="auto" w:fill="auto"/>
            <w:hideMark/>
          </w:tcPr>
          <w:p w14:paraId="43FEFE81" w14:textId="77777777" w:rsidR="00465964" w:rsidRPr="00465964" w:rsidRDefault="00465964" w:rsidP="00465964">
            <w:r w:rsidRPr="00465964">
              <w:t>g)</w:t>
            </w:r>
          </w:p>
        </w:tc>
        <w:tc>
          <w:tcPr>
            <w:tcW w:w="0" w:type="auto"/>
            <w:shd w:val="clear" w:color="auto" w:fill="auto"/>
            <w:hideMark/>
          </w:tcPr>
          <w:p w14:paraId="28766CFD" w14:textId="77777777" w:rsidR="00465964" w:rsidRPr="00465964" w:rsidRDefault="00465964" w:rsidP="00465964">
            <w:pPr>
              <w:rPr>
                <w:lang w:val="pt-PT"/>
              </w:rPr>
            </w:pPr>
            <w:r w:rsidRPr="00465964">
              <w:rPr>
                <w:lang w:val="pt-PT"/>
              </w:rPr>
              <w:t>Uma estimativa do número de residentes na União que utilizam ou investem em criptoativos emitidos na União;</w:t>
            </w:r>
          </w:p>
        </w:tc>
      </w:tr>
    </w:tbl>
    <w:p w14:paraId="46F67777"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6"/>
        <w:gridCol w:w="8840"/>
      </w:tblGrid>
      <w:tr w:rsidR="00465964" w:rsidRPr="00465964" w14:paraId="35ED4448" w14:textId="77777777" w:rsidTr="00465964">
        <w:tc>
          <w:tcPr>
            <w:tcW w:w="0" w:type="auto"/>
            <w:shd w:val="clear" w:color="auto" w:fill="auto"/>
            <w:hideMark/>
          </w:tcPr>
          <w:p w14:paraId="7851DE3A" w14:textId="77777777" w:rsidR="00465964" w:rsidRPr="00465964" w:rsidRDefault="00465964" w:rsidP="00465964">
            <w:r w:rsidRPr="00465964">
              <w:t>h)</w:t>
            </w:r>
          </w:p>
        </w:tc>
        <w:tc>
          <w:tcPr>
            <w:tcW w:w="0" w:type="auto"/>
            <w:shd w:val="clear" w:color="auto" w:fill="auto"/>
            <w:hideMark/>
          </w:tcPr>
          <w:p w14:paraId="77C75AA4" w14:textId="77777777" w:rsidR="00465964" w:rsidRPr="00465964" w:rsidRDefault="00465964" w:rsidP="00465964">
            <w:pPr>
              <w:rPr>
                <w:lang w:val="pt-PT"/>
              </w:rPr>
            </w:pPr>
            <w:r w:rsidRPr="00465964">
              <w:rPr>
                <w:lang w:val="pt-PT"/>
              </w:rPr>
              <w:t>Se possível, uma estimativa do número de residentes na União que utilizam ou investem em criptoativos emitidos fora da União e uma explicação sobre a disponibilidade de dados a este respeito;</w:t>
            </w:r>
          </w:p>
        </w:tc>
      </w:tr>
    </w:tbl>
    <w:p w14:paraId="6A615DFD"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17"/>
        <w:gridCol w:w="8909"/>
      </w:tblGrid>
      <w:tr w:rsidR="00465964" w:rsidRPr="00465964" w14:paraId="79D93BCC" w14:textId="77777777" w:rsidTr="00465964">
        <w:tc>
          <w:tcPr>
            <w:tcW w:w="0" w:type="auto"/>
            <w:shd w:val="clear" w:color="auto" w:fill="auto"/>
            <w:hideMark/>
          </w:tcPr>
          <w:p w14:paraId="345F98F7" w14:textId="77777777" w:rsidR="00465964" w:rsidRPr="00465964" w:rsidRDefault="00465964" w:rsidP="00465964">
            <w:proofErr w:type="spellStart"/>
            <w:r w:rsidRPr="00465964">
              <w:t>i</w:t>
            </w:r>
            <w:proofErr w:type="spellEnd"/>
            <w:r w:rsidRPr="00465964">
              <w:t>)</w:t>
            </w:r>
          </w:p>
        </w:tc>
        <w:tc>
          <w:tcPr>
            <w:tcW w:w="0" w:type="auto"/>
            <w:shd w:val="clear" w:color="auto" w:fill="auto"/>
            <w:hideMark/>
          </w:tcPr>
          <w:p w14:paraId="527BFE57" w14:textId="77777777" w:rsidR="00465964" w:rsidRPr="00465964" w:rsidRDefault="00465964" w:rsidP="00465964">
            <w:pPr>
              <w:rPr>
                <w:lang w:val="pt-PT"/>
              </w:rPr>
            </w:pPr>
            <w:r w:rsidRPr="00465964">
              <w:rPr>
                <w:lang w:val="pt-PT"/>
              </w:rPr>
              <w:t>Um levantamento da localização geográfica e do nível dos procedimentos de conhecimento do cliente e de diligência quanto à clientela das bolsas não autorizadas que prestam serviços de criptoativos a residentes na União, nomeadamente o número de bolsas sem uma domiciliação clara e o número de bolsas localizadas em jurisdições incluídas na lista de países terceiros de risco elevado para efeitos das regras da União em matéria de luta contra o branqueamento de capitais e o financiamento do terrorismo ou na lista de jurisdições não cooperantes para efeitos fiscais, classificadas pelo nível de conformidade com os procedimentos adequados de conhecimento do cliente;</w:t>
            </w:r>
          </w:p>
        </w:tc>
      </w:tr>
    </w:tbl>
    <w:p w14:paraId="1DD80C67"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17"/>
        <w:gridCol w:w="8909"/>
      </w:tblGrid>
      <w:tr w:rsidR="00465964" w:rsidRPr="00465964" w14:paraId="57C08A10" w14:textId="77777777" w:rsidTr="00465964">
        <w:tc>
          <w:tcPr>
            <w:tcW w:w="0" w:type="auto"/>
            <w:shd w:val="clear" w:color="auto" w:fill="auto"/>
            <w:hideMark/>
          </w:tcPr>
          <w:p w14:paraId="046098AC" w14:textId="77777777" w:rsidR="00465964" w:rsidRPr="00465964" w:rsidRDefault="00465964" w:rsidP="00465964">
            <w:r w:rsidRPr="00465964">
              <w:t>j)</w:t>
            </w:r>
          </w:p>
        </w:tc>
        <w:tc>
          <w:tcPr>
            <w:tcW w:w="0" w:type="auto"/>
            <w:shd w:val="clear" w:color="auto" w:fill="auto"/>
            <w:hideMark/>
          </w:tcPr>
          <w:p w14:paraId="08CDBC61" w14:textId="77777777" w:rsidR="00465964" w:rsidRPr="00465964" w:rsidRDefault="00465964" w:rsidP="00465964">
            <w:pPr>
              <w:rPr>
                <w:lang w:val="pt-PT"/>
              </w:rPr>
            </w:pPr>
            <w:r w:rsidRPr="00465964">
              <w:rPr>
                <w:lang w:val="pt-PT"/>
              </w:rPr>
              <w:t>A proporção de transações de criptoativos que ocorrem através de um prestador de serviços de criptoativos, um prestador de serviços não autorizado ou entre pares, e o seu volume de transações;</w:t>
            </w:r>
          </w:p>
        </w:tc>
      </w:tr>
    </w:tbl>
    <w:p w14:paraId="107D63D4"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72"/>
        <w:gridCol w:w="8854"/>
      </w:tblGrid>
      <w:tr w:rsidR="00465964" w:rsidRPr="00465964" w14:paraId="4D34B1BE" w14:textId="77777777" w:rsidTr="00465964">
        <w:tc>
          <w:tcPr>
            <w:tcW w:w="0" w:type="auto"/>
            <w:shd w:val="clear" w:color="auto" w:fill="auto"/>
            <w:hideMark/>
          </w:tcPr>
          <w:p w14:paraId="356B7197" w14:textId="77777777" w:rsidR="00465964" w:rsidRPr="00465964" w:rsidRDefault="00465964" w:rsidP="00465964">
            <w:r w:rsidRPr="00465964">
              <w:t>k)</w:t>
            </w:r>
          </w:p>
        </w:tc>
        <w:tc>
          <w:tcPr>
            <w:tcW w:w="0" w:type="auto"/>
            <w:shd w:val="clear" w:color="auto" w:fill="auto"/>
            <w:hideMark/>
          </w:tcPr>
          <w:p w14:paraId="75F182D2" w14:textId="07E55B2A" w:rsidR="00465964" w:rsidRPr="00465964" w:rsidRDefault="00465964" w:rsidP="00465964">
            <w:pPr>
              <w:rPr>
                <w:lang w:val="pt-PT"/>
              </w:rPr>
            </w:pPr>
            <w:r w:rsidRPr="00465964">
              <w:rPr>
                <w:lang w:val="pt-PT"/>
              </w:rPr>
              <w:t xml:space="preserve">O número e o valor das fraudes, burlas, atos de pirataria, utilização de criptoativos para pagamentos relacionados com ataques com software de sequestro, ciberataques, furtos ou perdas de criptoativos comunicados na União, os tipos de comportamento fraudulento, o número de reclamações recebidas por prestadores de serviços de criptoativos e por emitentes de </w:t>
            </w:r>
            <w:r>
              <w:rPr>
                <w:lang w:val="pt-PT"/>
              </w:rPr>
              <w:t>criptomoedas</w:t>
            </w:r>
            <w:r w:rsidRPr="00465964">
              <w:rPr>
                <w:lang w:val="pt-PT"/>
              </w:rPr>
              <w:t xml:space="preserve"> referenciadas a ativos, o número de reclamações recebidas pelas autoridades competentes e o objeto das reclamações recebidas;</w:t>
            </w:r>
          </w:p>
        </w:tc>
      </w:tr>
    </w:tbl>
    <w:p w14:paraId="79939ECF"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22"/>
        <w:gridCol w:w="8904"/>
      </w:tblGrid>
      <w:tr w:rsidR="00465964" w:rsidRPr="00465964" w14:paraId="7BEEA013" w14:textId="77777777" w:rsidTr="00465964">
        <w:tc>
          <w:tcPr>
            <w:tcW w:w="0" w:type="auto"/>
            <w:shd w:val="clear" w:color="auto" w:fill="auto"/>
            <w:hideMark/>
          </w:tcPr>
          <w:p w14:paraId="2F4074C5" w14:textId="77777777" w:rsidR="00465964" w:rsidRPr="00465964" w:rsidRDefault="00465964" w:rsidP="00465964">
            <w:r w:rsidRPr="00465964">
              <w:t>l)</w:t>
            </w:r>
          </w:p>
        </w:tc>
        <w:tc>
          <w:tcPr>
            <w:tcW w:w="0" w:type="auto"/>
            <w:shd w:val="clear" w:color="auto" w:fill="auto"/>
            <w:hideMark/>
          </w:tcPr>
          <w:p w14:paraId="56CC6FEC" w14:textId="77777777" w:rsidR="00465964" w:rsidRPr="00465964" w:rsidRDefault="00465964" w:rsidP="00465964">
            <w:pPr>
              <w:rPr>
                <w:lang w:val="pt-PT"/>
              </w:rPr>
            </w:pPr>
            <w:r w:rsidRPr="00465964">
              <w:rPr>
                <w:lang w:val="pt-PT"/>
              </w:rPr>
              <w:t>O número de reclamações recebidas por prestadores de serviços de criptoativos, emitentes e autoridades competentes em relação a informações falsas e enganosas incluídas nos livretes do criptoativo ou em comunicações comerciais, nomeadamente através de plataformas de redes sociais;</w:t>
            </w:r>
          </w:p>
        </w:tc>
      </w:tr>
    </w:tbl>
    <w:p w14:paraId="0C7FF5F6"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253"/>
        <w:gridCol w:w="8773"/>
      </w:tblGrid>
      <w:tr w:rsidR="00465964" w:rsidRPr="00465964" w14:paraId="084C7281" w14:textId="77777777" w:rsidTr="00465964">
        <w:tc>
          <w:tcPr>
            <w:tcW w:w="0" w:type="auto"/>
            <w:shd w:val="clear" w:color="auto" w:fill="auto"/>
            <w:hideMark/>
          </w:tcPr>
          <w:p w14:paraId="240B97FD" w14:textId="77777777" w:rsidR="00465964" w:rsidRPr="00465964" w:rsidRDefault="00465964" w:rsidP="00465964">
            <w:r w:rsidRPr="00465964">
              <w:t>m)</w:t>
            </w:r>
          </w:p>
        </w:tc>
        <w:tc>
          <w:tcPr>
            <w:tcW w:w="0" w:type="auto"/>
            <w:shd w:val="clear" w:color="auto" w:fill="auto"/>
            <w:hideMark/>
          </w:tcPr>
          <w:p w14:paraId="6BD29289" w14:textId="77777777" w:rsidR="00465964" w:rsidRPr="00465964" w:rsidRDefault="00465964" w:rsidP="00465964">
            <w:pPr>
              <w:rPr>
                <w:lang w:val="pt-PT"/>
              </w:rPr>
            </w:pPr>
            <w:r w:rsidRPr="00465964">
              <w:rPr>
                <w:lang w:val="pt-PT"/>
              </w:rPr>
              <w:t>Abordagens e opções possíveis, com base em boas práticas e relatórios de organizações internacionais pertinentes, para reduzir o risco de evasão ao presente regulamento, nomeadamente quanto à prestação de serviços de criptoativos na União por intervenientes de países terceiros sem autorização.</w:t>
            </w:r>
          </w:p>
        </w:tc>
      </w:tr>
    </w:tbl>
    <w:p w14:paraId="77D18585" w14:textId="77777777" w:rsidR="00465964" w:rsidRPr="00465964" w:rsidRDefault="00465964" w:rsidP="00465964">
      <w:pPr>
        <w:rPr>
          <w:lang w:val="pt-PT"/>
        </w:rPr>
      </w:pPr>
      <w:r w:rsidRPr="00465964">
        <w:rPr>
          <w:lang w:val="pt-PT"/>
        </w:rPr>
        <w:t>As autoridades competentes transmitem à ESMA todas as informações necessárias para a elaboração do relatório. Para efeitos do relatório, a ESMA pode solicitar informações aos serviços responsáveis pela aplicação da lei.</w:t>
      </w:r>
    </w:p>
    <w:p w14:paraId="3BFC242C" w14:textId="77777777" w:rsidR="00465964" w:rsidRPr="00465964" w:rsidRDefault="00465964" w:rsidP="00465964">
      <w:pPr>
        <w:rPr>
          <w:i/>
          <w:iCs/>
          <w:lang w:val="pt-PT"/>
        </w:rPr>
      </w:pPr>
      <w:r w:rsidRPr="00465964">
        <w:rPr>
          <w:i/>
          <w:iCs/>
          <w:lang w:val="pt-PT"/>
        </w:rPr>
        <w:lastRenderedPageBreak/>
        <w:t>Artigo 142.</w:t>
      </w:r>
      <w:r w:rsidRPr="00465964">
        <w:rPr>
          <w:i/>
          <w:iCs/>
          <w:vertAlign w:val="superscript"/>
          <w:lang w:val="pt-PT"/>
        </w:rPr>
        <w:t>o</w:t>
      </w:r>
    </w:p>
    <w:p w14:paraId="53047257" w14:textId="77777777" w:rsidR="00465964" w:rsidRPr="00465964" w:rsidRDefault="00465964" w:rsidP="00465964">
      <w:pPr>
        <w:rPr>
          <w:b/>
          <w:bCs/>
          <w:lang w:val="pt-PT"/>
        </w:rPr>
      </w:pPr>
      <w:r w:rsidRPr="00465964">
        <w:rPr>
          <w:b/>
          <w:bCs/>
          <w:lang w:val="pt-PT"/>
        </w:rPr>
        <w:t>Relatório sobre os desenvolvimentos mais recentes em matéria de criptoativos</w:t>
      </w:r>
    </w:p>
    <w:p w14:paraId="6CA362F2" w14:textId="77777777" w:rsidR="00465964" w:rsidRPr="00465964" w:rsidRDefault="00465964" w:rsidP="00465964">
      <w:pPr>
        <w:rPr>
          <w:lang w:val="pt-PT"/>
        </w:rPr>
      </w:pPr>
      <w:r w:rsidRPr="00465964">
        <w:rPr>
          <w:lang w:val="pt-PT"/>
        </w:rPr>
        <w:t>1.   Até 30 de dezembro de 2024, a Comissão, após consulta à EBA e à ESMA, apresenta ao Parlamento Europeu e ao Conselho um relatório sobre os desenvolvimentos mais recentes em matéria de criptoativos, em particular sobre questões não abordadas no presente regulamento, acompanhado, se adequado, de uma proposta legislativa.</w:t>
      </w:r>
    </w:p>
    <w:p w14:paraId="5317DAF8" w14:textId="77777777" w:rsidR="00465964" w:rsidRPr="00465964" w:rsidRDefault="00465964" w:rsidP="00465964">
      <w:pPr>
        <w:rPr>
          <w:lang w:val="pt-PT"/>
        </w:rPr>
      </w:pPr>
      <w:r w:rsidRPr="00465964">
        <w:rPr>
          <w:lang w:val="pt-PT"/>
        </w:rPr>
        <w:t xml:space="preserve">2.   O relatório a que se refere o </w:t>
      </w:r>
      <w:proofErr w:type="spellStart"/>
      <w:r w:rsidRPr="00465964">
        <w:rPr>
          <w:lang w:val="pt-PT"/>
        </w:rPr>
        <w:t>n.</w:t>
      </w:r>
      <w:r w:rsidRPr="00465964">
        <w:rPr>
          <w:vertAlign w:val="superscript"/>
          <w:lang w:val="pt-PT"/>
        </w:rPr>
        <w:t>o</w:t>
      </w:r>
      <w:proofErr w:type="spellEnd"/>
      <w:r w:rsidRPr="00465964">
        <w:rPr>
          <w:lang w:val="pt-PT"/>
        </w:rPr>
        <w:t> 1 inclui, pelo menos, os seguintes elementos:</w:t>
      </w:r>
    </w:p>
    <w:tbl>
      <w:tblPr>
        <w:tblW w:w="5000" w:type="pct"/>
        <w:tblCellMar>
          <w:left w:w="0" w:type="dxa"/>
          <w:right w:w="0" w:type="dxa"/>
        </w:tblCellMar>
        <w:tblLook w:val="04A0" w:firstRow="1" w:lastRow="0" w:firstColumn="1" w:lastColumn="0" w:noHBand="0" w:noVBand="1"/>
      </w:tblPr>
      <w:tblGrid>
        <w:gridCol w:w="182"/>
        <w:gridCol w:w="8844"/>
      </w:tblGrid>
      <w:tr w:rsidR="00465964" w:rsidRPr="00465964" w14:paraId="79A7438F" w14:textId="77777777" w:rsidTr="00465964">
        <w:tc>
          <w:tcPr>
            <w:tcW w:w="0" w:type="auto"/>
            <w:shd w:val="clear" w:color="auto" w:fill="auto"/>
            <w:hideMark/>
          </w:tcPr>
          <w:p w14:paraId="55383C13" w14:textId="77777777" w:rsidR="00465964" w:rsidRPr="00465964" w:rsidRDefault="00465964" w:rsidP="00465964">
            <w:r w:rsidRPr="00465964">
              <w:t>a)</w:t>
            </w:r>
          </w:p>
        </w:tc>
        <w:tc>
          <w:tcPr>
            <w:tcW w:w="0" w:type="auto"/>
            <w:shd w:val="clear" w:color="auto" w:fill="auto"/>
            <w:hideMark/>
          </w:tcPr>
          <w:p w14:paraId="696598E4" w14:textId="77777777" w:rsidR="00465964" w:rsidRPr="00465964" w:rsidRDefault="00465964" w:rsidP="00465964">
            <w:pPr>
              <w:rPr>
                <w:lang w:val="pt-PT"/>
              </w:rPr>
            </w:pPr>
            <w:r w:rsidRPr="00465964">
              <w:rPr>
                <w:lang w:val="pt-PT"/>
              </w:rPr>
              <w:t>Uma avaliação do desenvolvimento de finanças descentralizadas nos mercados de criptoativos e do tratamento regulamentar adequado dos sistemas descentralizados de criptoativos sem um emitente ou um prestador de serviços de criptoativos, nomeadamente uma avaliação da necessidade e viabilidade de regulamentar as finanças descentralizadas;</w:t>
            </w:r>
          </w:p>
        </w:tc>
      </w:tr>
    </w:tbl>
    <w:p w14:paraId="20D7B1E6"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8"/>
        <w:gridCol w:w="8838"/>
      </w:tblGrid>
      <w:tr w:rsidR="00465964" w:rsidRPr="00465964" w14:paraId="6C7FDD08" w14:textId="77777777" w:rsidTr="00465964">
        <w:tc>
          <w:tcPr>
            <w:tcW w:w="0" w:type="auto"/>
            <w:shd w:val="clear" w:color="auto" w:fill="auto"/>
            <w:hideMark/>
          </w:tcPr>
          <w:p w14:paraId="0DD07C3B" w14:textId="77777777" w:rsidR="00465964" w:rsidRPr="00465964" w:rsidRDefault="00465964" w:rsidP="00465964">
            <w:r w:rsidRPr="00465964">
              <w:t>b)</w:t>
            </w:r>
          </w:p>
        </w:tc>
        <w:tc>
          <w:tcPr>
            <w:tcW w:w="0" w:type="auto"/>
            <w:shd w:val="clear" w:color="auto" w:fill="auto"/>
            <w:hideMark/>
          </w:tcPr>
          <w:p w14:paraId="123A9557" w14:textId="77777777" w:rsidR="00465964" w:rsidRPr="00465964" w:rsidRDefault="00465964" w:rsidP="00465964">
            <w:pPr>
              <w:rPr>
                <w:lang w:val="pt-PT"/>
              </w:rPr>
            </w:pPr>
            <w:r w:rsidRPr="00465964">
              <w:rPr>
                <w:lang w:val="pt-PT"/>
              </w:rPr>
              <w:t>Uma avaliação da necessidade e da viabilidade de regulamentar a concessão e a contração de empréstimos de criptoativos;</w:t>
            </w:r>
          </w:p>
        </w:tc>
      </w:tr>
    </w:tbl>
    <w:p w14:paraId="004F5F1E"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0"/>
        <w:gridCol w:w="8846"/>
      </w:tblGrid>
      <w:tr w:rsidR="00465964" w:rsidRPr="00465964" w14:paraId="0F67580E" w14:textId="77777777" w:rsidTr="00465964">
        <w:tc>
          <w:tcPr>
            <w:tcW w:w="0" w:type="auto"/>
            <w:shd w:val="clear" w:color="auto" w:fill="auto"/>
            <w:hideMark/>
          </w:tcPr>
          <w:p w14:paraId="0000A1E6" w14:textId="77777777" w:rsidR="00465964" w:rsidRPr="00465964" w:rsidRDefault="00465964" w:rsidP="00465964">
            <w:r w:rsidRPr="00465964">
              <w:t>c)</w:t>
            </w:r>
          </w:p>
        </w:tc>
        <w:tc>
          <w:tcPr>
            <w:tcW w:w="0" w:type="auto"/>
            <w:shd w:val="clear" w:color="auto" w:fill="auto"/>
            <w:hideMark/>
          </w:tcPr>
          <w:p w14:paraId="334F972D" w14:textId="30684710" w:rsidR="00465964" w:rsidRPr="00465964" w:rsidRDefault="00465964" w:rsidP="00465964">
            <w:pPr>
              <w:rPr>
                <w:lang w:val="pt-PT"/>
              </w:rPr>
            </w:pPr>
            <w:r w:rsidRPr="00465964">
              <w:rPr>
                <w:lang w:val="pt-PT"/>
              </w:rPr>
              <w:t xml:space="preserve">Uma avaliação do tratamento de serviços associados à transferência de </w:t>
            </w:r>
            <w:r>
              <w:rPr>
                <w:lang w:val="pt-PT"/>
              </w:rPr>
              <w:t>criptomoedas</w:t>
            </w:r>
            <w:r w:rsidRPr="00465964">
              <w:rPr>
                <w:lang w:val="pt-PT"/>
              </w:rPr>
              <w:t xml:space="preserve"> de moeda eletrónica, caso não tenham sido abordados no contexto da revisão da Diretiva (UE) 2015/2366;</w:t>
            </w:r>
          </w:p>
        </w:tc>
      </w:tr>
    </w:tbl>
    <w:p w14:paraId="0AA9BF9F"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8"/>
        <w:gridCol w:w="8838"/>
      </w:tblGrid>
      <w:tr w:rsidR="00465964" w:rsidRPr="00465964" w14:paraId="1611E508" w14:textId="77777777" w:rsidTr="00465964">
        <w:tc>
          <w:tcPr>
            <w:tcW w:w="0" w:type="auto"/>
            <w:shd w:val="clear" w:color="auto" w:fill="auto"/>
            <w:hideMark/>
          </w:tcPr>
          <w:p w14:paraId="2D28E285" w14:textId="77777777" w:rsidR="00465964" w:rsidRPr="00465964" w:rsidRDefault="00465964" w:rsidP="00465964">
            <w:r w:rsidRPr="00465964">
              <w:t>d)</w:t>
            </w:r>
          </w:p>
        </w:tc>
        <w:tc>
          <w:tcPr>
            <w:tcW w:w="0" w:type="auto"/>
            <w:shd w:val="clear" w:color="auto" w:fill="auto"/>
            <w:hideMark/>
          </w:tcPr>
          <w:p w14:paraId="1486E528" w14:textId="77777777" w:rsidR="00465964" w:rsidRPr="00465964" w:rsidRDefault="00465964" w:rsidP="00465964">
            <w:pPr>
              <w:rPr>
                <w:lang w:val="pt-PT"/>
              </w:rPr>
            </w:pPr>
            <w:r w:rsidRPr="00465964">
              <w:rPr>
                <w:lang w:val="pt-PT"/>
              </w:rPr>
              <w:t>Uma avaliação do desenvolvimento de mercados de criptoativos únicos e não fungíveis e do tratamento regulamentar adequado de tais criptoativos, nomeadamente uma avaliação da necessidade e viabilidade de regulamentar os oferentes de criptoativos únicos e não fungíveis, bem como os prestadores de serviços relacionados com tais criptoativos.</w:t>
            </w:r>
          </w:p>
        </w:tc>
      </w:tr>
    </w:tbl>
    <w:p w14:paraId="478C31E8" w14:textId="77777777" w:rsidR="00465964" w:rsidRPr="00465964" w:rsidRDefault="00465964" w:rsidP="00465964">
      <w:pPr>
        <w:rPr>
          <w:i/>
          <w:iCs/>
          <w:lang w:val="pt-PT"/>
        </w:rPr>
      </w:pPr>
      <w:r w:rsidRPr="00465964">
        <w:rPr>
          <w:i/>
          <w:iCs/>
          <w:lang w:val="pt-PT"/>
        </w:rPr>
        <w:t>Artigo 143.</w:t>
      </w:r>
      <w:r w:rsidRPr="00465964">
        <w:rPr>
          <w:i/>
          <w:iCs/>
          <w:vertAlign w:val="superscript"/>
          <w:lang w:val="pt-PT"/>
        </w:rPr>
        <w:t>o</w:t>
      </w:r>
    </w:p>
    <w:p w14:paraId="68636E7D" w14:textId="77777777" w:rsidR="00465964" w:rsidRPr="00465964" w:rsidRDefault="00465964" w:rsidP="00465964">
      <w:pPr>
        <w:rPr>
          <w:b/>
          <w:bCs/>
          <w:lang w:val="pt-PT"/>
        </w:rPr>
      </w:pPr>
      <w:r w:rsidRPr="00465964">
        <w:rPr>
          <w:b/>
          <w:bCs/>
          <w:lang w:val="pt-PT"/>
        </w:rPr>
        <w:t>Medidas transitórias</w:t>
      </w:r>
    </w:p>
    <w:p w14:paraId="4992B01D" w14:textId="77777777" w:rsidR="00465964" w:rsidRPr="00465964" w:rsidRDefault="00465964" w:rsidP="00465964">
      <w:pPr>
        <w:rPr>
          <w:lang w:val="pt-PT"/>
        </w:rPr>
      </w:pPr>
      <w:r w:rsidRPr="00465964">
        <w:rPr>
          <w:lang w:val="pt-PT"/>
        </w:rPr>
        <w:t>1.   Os artigos 4.</w:t>
      </w:r>
      <w:r w:rsidRPr="00465964">
        <w:rPr>
          <w:vertAlign w:val="superscript"/>
          <w:lang w:val="pt-PT"/>
        </w:rPr>
        <w:t>o</w:t>
      </w:r>
      <w:r w:rsidRPr="00465964">
        <w:rPr>
          <w:lang w:val="pt-PT"/>
        </w:rPr>
        <w:t> a 15.</w:t>
      </w:r>
      <w:r w:rsidRPr="00465964">
        <w:rPr>
          <w:vertAlign w:val="superscript"/>
          <w:lang w:val="pt-PT"/>
        </w:rPr>
        <w:t>o</w:t>
      </w:r>
      <w:r w:rsidRPr="00465964">
        <w:rPr>
          <w:lang w:val="pt-PT"/>
        </w:rPr>
        <w:t> não se aplicam às ofertas públicas de criptoativos que tenham terminado antes de 30 de dezembro de 2024.</w:t>
      </w:r>
    </w:p>
    <w:p w14:paraId="1B7B284C" w14:textId="7043E18B" w:rsidR="00465964" w:rsidRPr="00465964" w:rsidRDefault="00465964" w:rsidP="00465964">
      <w:pPr>
        <w:rPr>
          <w:lang w:val="pt-PT"/>
        </w:rPr>
      </w:pPr>
      <w:r w:rsidRPr="00465964">
        <w:rPr>
          <w:lang w:val="pt-PT"/>
        </w:rPr>
        <w:t xml:space="preserve">2.   Em derrogação do disposto no título II, apenas os requisitos a seguir indicados são aplicáveis a criptoativos, desde que não sejam </w:t>
      </w:r>
      <w:r>
        <w:rPr>
          <w:lang w:val="pt-PT"/>
        </w:rPr>
        <w:t>criptomoedas</w:t>
      </w:r>
      <w:r w:rsidRPr="00465964">
        <w:rPr>
          <w:lang w:val="pt-PT"/>
        </w:rPr>
        <w:t xml:space="preserve"> referenciadas a ativos nem </w:t>
      </w:r>
      <w:r>
        <w:rPr>
          <w:lang w:val="pt-PT"/>
        </w:rPr>
        <w:t>criptomoedas</w:t>
      </w:r>
      <w:r w:rsidRPr="00465964">
        <w:rPr>
          <w:lang w:val="pt-PT"/>
        </w:rPr>
        <w:t xml:space="preserve"> de moeda eletrónica, que tenham sido admitidos à negociação antes de 30 de dezembro de 2024:</w:t>
      </w:r>
    </w:p>
    <w:tbl>
      <w:tblPr>
        <w:tblW w:w="5000" w:type="pct"/>
        <w:tblCellMar>
          <w:left w:w="0" w:type="dxa"/>
          <w:right w:w="0" w:type="dxa"/>
        </w:tblCellMar>
        <w:tblLook w:val="04A0" w:firstRow="1" w:lastRow="0" w:firstColumn="1" w:lastColumn="0" w:noHBand="0" w:noVBand="1"/>
      </w:tblPr>
      <w:tblGrid>
        <w:gridCol w:w="182"/>
        <w:gridCol w:w="8844"/>
      </w:tblGrid>
      <w:tr w:rsidR="00465964" w:rsidRPr="00465964" w14:paraId="6C1CA77E" w14:textId="77777777" w:rsidTr="00465964">
        <w:tc>
          <w:tcPr>
            <w:tcW w:w="0" w:type="auto"/>
            <w:shd w:val="clear" w:color="auto" w:fill="auto"/>
            <w:hideMark/>
          </w:tcPr>
          <w:p w14:paraId="5EC5A454" w14:textId="77777777" w:rsidR="00465964" w:rsidRPr="00465964" w:rsidRDefault="00465964" w:rsidP="00465964">
            <w:r w:rsidRPr="00465964">
              <w:t>a)</w:t>
            </w:r>
          </w:p>
        </w:tc>
        <w:tc>
          <w:tcPr>
            <w:tcW w:w="0" w:type="auto"/>
            <w:shd w:val="clear" w:color="auto" w:fill="auto"/>
            <w:hideMark/>
          </w:tcPr>
          <w:p w14:paraId="5F3E179C" w14:textId="77777777" w:rsidR="00465964" w:rsidRPr="00465964" w:rsidRDefault="00465964" w:rsidP="00465964">
            <w:pPr>
              <w:rPr>
                <w:lang w:val="pt-PT"/>
              </w:rPr>
            </w:pPr>
            <w:r w:rsidRPr="00465964">
              <w:rPr>
                <w:lang w:val="pt-PT"/>
              </w:rPr>
              <w:t>Os artigos 7.</w:t>
            </w:r>
            <w:r w:rsidRPr="00465964">
              <w:rPr>
                <w:vertAlign w:val="superscript"/>
                <w:lang w:val="pt-PT"/>
              </w:rPr>
              <w:t>o</w:t>
            </w:r>
            <w:r w:rsidRPr="00465964">
              <w:rPr>
                <w:lang w:val="pt-PT"/>
              </w:rPr>
              <w:t> e 9.</w:t>
            </w:r>
            <w:r w:rsidRPr="00465964">
              <w:rPr>
                <w:vertAlign w:val="superscript"/>
                <w:lang w:val="pt-PT"/>
              </w:rPr>
              <w:t>o</w:t>
            </w:r>
            <w:r w:rsidRPr="00465964">
              <w:rPr>
                <w:lang w:val="pt-PT"/>
              </w:rPr>
              <w:t> são aplicáveis às comunicações comerciais publicadas após 30 de dezembro de 2024;</w:t>
            </w:r>
          </w:p>
        </w:tc>
      </w:tr>
    </w:tbl>
    <w:p w14:paraId="2252753A"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8"/>
        <w:gridCol w:w="8838"/>
      </w:tblGrid>
      <w:tr w:rsidR="00465964" w:rsidRPr="00465964" w14:paraId="3108CFFD" w14:textId="77777777" w:rsidTr="00465964">
        <w:tc>
          <w:tcPr>
            <w:tcW w:w="0" w:type="auto"/>
            <w:shd w:val="clear" w:color="auto" w:fill="auto"/>
            <w:hideMark/>
          </w:tcPr>
          <w:p w14:paraId="5067EDA3" w14:textId="77777777" w:rsidR="00465964" w:rsidRPr="00465964" w:rsidRDefault="00465964" w:rsidP="00465964">
            <w:r w:rsidRPr="00465964">
              <w:t>b)</w:t>
            </w:r>
          </w:p>
        </w:tc>
        <w:tc>
          <w:tcPr>
            <w:tcW w:w="0" w:type="auto"/>
            <w:shd w:val="clear" w:color="auto" w:fill="auto"/>
            <w:hideMark/>
          </w:tcPr>
          <w:p w14:paraId="3E146F91" w14:textId="77777777" w:rsidR="00465964" w:rsidRPr="00465964" w:rsidRDefault="00465964" w:rsidP="00465964">
            <w:pPr>
              <w:rPr>
                <w:lang w:val="pt-PT"/>
              </w:rPr>
            </w:pPr>
            <w:r w:rsidRPr="00465964">
              <w:rPr>
                <w:lang w:val="pt-PT"/>
              </w:rPr>
              <w:t>Os operadores de plataformas de negociação asseguram, até 31 de dezembro de 2027, que um livrete do criptoativo, nos casos previstos no presente regulamento, seja redigido, notificado e publicado nos termos dos artigos 6.</w:t>
            </w:r>
            <w:r w:rsidRPr="00465964">
              <w:rPr>
                <w:vertAlign w:val="superscript"/>
                <w:lang w:val="pt-PT"/>
              </w:rPr>
              <w:t>o</w:t>
            </w:r>
            <w:r w:rsidRPr="00465964">
              <w:rPr>
                <w:lang w:val="pt-PT"/>
              </w:rPr>
              <w:t>, 8.</w:t>
            </w:r>
            <w:r w:rsidRPr="00465964">
              <w:rPr>
                <w:vertAlign w:val="superscript"/>
                <w:lang w:val="pt-PT"/>
              </w:rPr>
              <w:t>o</w:t>
            </w:r>
            <w:r w:rsidRPr="00465964">
              <w:rPr>
                <w:lang w:val="pt-PT"/>
              </w:rPr>
              <w:t> e 9.</w:t>
            </w:r>
            <w:r w:rsidRPr="00465964">
              <w:rPr>
                <w:vertAlign w:val="superscript"/>
                <w:lang w:val="pt-PT"/>
              </w:rPr>
              <w:t>o</w:t>
            </w:r>
            <w:r w:rsidRPr="00465964">
              <w:rPr>
                <w:lang w:val="pt-PT"/>
              </w:rPr>
              <w:t xml:space="preserve"> e atualizado nos termos do artigo </w:t>
            </w:r>
            <w:proofErr w:type="gramStart"/>
            <w:r w:rsidRPr="00465964">
              <w:rPr>
                <w:lang w:val="pt-PT"/>
              </w:rPr>
              <w:t>12.</w:t>
            </w:r>
            <w:r w:rsidRPr="00465964">
              <w:rPr>
                <w:vertAlign w:val="superscript"/>
                <w:lang w:val="pt-PT"/>
              </w:rPr>
              <w:t>o</w:t>
            </w:r>
            <w:r w:rsidRPr="00465964">
              <w:rPr>
                <w:lang w:val="pt-PT"/>
              </w:rPr>
              <w:t>.</w:t>
            </w:r>
            <w:proofErr w:type="gramEnd"/>
          </w:p>
        </w:tc>
      </w:tr>
    </w:tbl>
    <w:p w14:paraId="3A1FED3C" w14:textId="77777777" w:rsidR="00465964" w:rsidRPr="00465964" w:rsidRDefault="00465964" w:rsidP="00465964">
      <w:pPr>
        <w:rPr>
          <w:lang w:val="pt-PT"/>
        </w:rPr>
      </w:pPr>
      <w:r w:rsidRPr="00465964">
        <w:rPr>
          <w:lang w:val="pt-PT"/>
        </w:rPr>
        <w:t>3.   Os prestadores de serviços de criptoativos que prestavam os seus serviços em conformidade com a legislação aplicável antes de 30 de dezembro de 2024 poderão continuar a fazê-lo até 1 de julho de 2026 ou até que lhes seja concedida ou recusada uma autorização nos termos do artigo 63.</w:t>
      </w:r>
      <w:r w:rsidRPr="00465964">
        <w:rPr>
          <w:vertAlign w:val="superscript"/>
          <w:lang w:val="pt-PT"/>
        </w:rPr>
        <w:t>o</w:t>
      </w:r>
      <w:r w:rsidRPr="00465964">
        <w:rPr>
          <w:lang w:val="pt-PT"/>
        </w:rPr>
        <w:t>, consoante o que ocorrer primeiro.</w:t>
      </w:r>
    </w:p>
    <w:p w14:paraId="75DCE5D8" w14:textId="77777777" w:rsidR="00465964" w:rsidRPr="00465964" w:rsidRDefault="00465964" w:rsidP="00465964">
      <w:pPr>
        <w:rPr>
          <w:lang w:val="pt-PT"/>
        </w:rPr>
      </w:pPr>
      <w:r w:rsidRPr="00465964">
        <w:rPr>
          <w:lang w:val="pt-PT"/>
        </w:rPr>
        <w:lastRenderedPageBreak/>
        <w:t>Os Estados-Membros podem decidir não aplicar o regime transitório dos prestadores de serviços de criptoativos previsto no primeiro parágrafo ou reduzir a sua duração, caso decidam que o seu quadro regulamentar nacional aplicável antes de 30 de dezembro de 2024 é menos rigoroso do que o presente regulamento.</w:t>
      </w:r>
    </w:p>
    <w:p w14:paraId="366A8183" w14:textId="77777777" w:rsidR="00465964" w:rsidRPr="00465964" w:rsidRDefault="00465964" w:rsidP="00465964">
      <w:pPr>
        <w:rPr>
          <w:lang w:val="pt-PT"/>
        </w:rPr>
      </w:pPr>
      <w:r w:rsidRPr="00465964">
        <w:rPr>
          <w:lang w:val="pt-PT"/>
        </w:rPr>
        <w:t>Até 30 de junho de 2024, os Estados-Membros notificam à Comissão e à ESMA se exerceram a opção prevista no segundo parágrafo e a duração do regime transitório.</w:t>
      </w:r>
    </w:p>
    <w:p w14:paraId="2EF743C0" w14:textId="2F5C81EA" w:rsidR="00465964" w:rsidRPr="00465964" w:rsidRDefault="00465964" w:rsidP="00465964">
      <w:pPr>
        <w:rPr>
          <w:lang w:val="pt-PT"/>
        </w:rPr>
      </w:pPr>
      <w:r w:rsidRPr="00465964">
        <w:rPr>
          <w:lang w:val="pt-PT"/>
        </w:rPr>
        <w:t xml:space="preserve">4.   Os emitentes de </w:t>
      </w:r>
      <w:r>
        <w:rPr>
          <w:lang w:val="pt-PT"/>
        </w:rPr>
        <w:t>criptomoedas</w:t>
      </w:r>
      <w:r w:rsidRPr="00465964">
        <w:rPr>
          <w:lang w:val="pt-PT"/>
        </w:rPr>
        <w:t xml:space="preserve"> referenciadas a ativos que não sejam instituições de crédito que tenham emitido </w:t>
      </w:r>
      <w:r>
        <w:rPr>
          <w:lang w:val="pt-PT"/>
        </w:rPr>
        <w:t>criptomoedas</w:t>
      </w:r>
      <w:r w:rsidRPr="00465964">
        <w:rPr>
          <w:lang w:val="pt-PT"/>
        </w:rPr>
        <w:t xml:space="preserve"> referenciadas a ativos em conformidade com a legislação aplicável antes de 30 de junho de 2024 podem continuar a fazê-lo até lhes ser concedida ou recusada uma autorização nos termos do artigo 21.</w:t>
      </w:r>
      <w:r w:rsidRPr="00465964">
        <w:rPr>
          <w:vertAlign w:val="superscript"/>
          <w:lang w:val="pt-PT"/>
        </w:rPr>
        <w:t>o</w:t>
      </w:r>
      <w:r w:rsidRPr="00465964">
        <w:rPr>
          <w:lang w:val="pt-PT"/>
        </w:rPr>
        <w:t>, desde que solicitem uma autorização antes de 30 de julho de 2024.</w:t>
      </w:r>
    </w:p>
    <w:p w14:paraId="5EEEE953" w14:textId="4F894006" w:rsidR="00465964" w:rsidRPr="00465964" w:rsidRDefault="00465964" w:rsidP="00465964">
      <w:pPr>
        <w:rPr>
          <w:lang w:val="pt-PT"/>
        </w:rPr>
      </w:pPr>
      <w:r w:rsidRPr="00465964">
        <w:rPr>
          <w:lang w:val="pt-PT"/>
        </w:rPr>
        <w:t xml:space="preserve">5.   As instituições de crédito que tenham emitido </w:t>
      </w:r>
      <w:r>
        <w:rPr>
          <w:lang w:val="pt-PT"/>
        </w:rPr>
        <w:t>criptomoedas</w:t>
      </w:r>
      <w:r w:rsidRPr="00465964">
        <w:rPr>
          <w:lang w:val="pt-PT"/>
        </w:rPr>
        <w:t xml:space="preserve"> referenciadas a ativos em conformidade com a legislação aplicável antes de 30 de junho de 2024 podem continuar a fazê-lo até que o livrete do criptoativo tenha sido aprovado ou tenha sido objeto de não aprovação nos termos do artigo 17.</w:t>
      </w:r>
      <w:r w:rsidRPr="00465964">
        <w:rPr>
          <w:vertAlign w:val="superscript"/>
          <w:lang w:val="pt-PT"/>
        </w:rPr>
        <w:t>o</w:t>
      </w:r>
      <w:r w:rsidRPr="00465964">
        <w:rPr>
          <w:lang w:val="pt-PT"/>
        </w:rPr>
        <w:t xml:space="preserve">, desde que notifiquem a respetiva autoridade competente nos termos do </w:t>
      </w:r>
      <w:proofErr w:type="spellStart"/>
      <w:r w:rsidRPr="00465964">
        <w:rPr>
          <w:lang w:val="pt-PT"/>
        </w:rPr>
        <w:t>n.</w:t>
      </w:r>
      <w:r w:rsidRPr="00465964">
        <w:rPr>
          <w:vertAlign w:val="superscript"/>
          <w:lang w:val="pt-PT"/>
        </w:rPr>
        <w:t>o</w:t>
      </w:r>
      <w:proofErr w:type="spellEnd"/>
      <w:r w:rsidRPr="00465964">
        <w:rPr>
          <w:lang w:val="pt-PT"/>
        </w:rPr>
        <w:t> 1 do mesmo artigo antes de 30 de julho de 2024.</w:t>
      </w:r>
    </w:p>
    <w:p w14:paraId="0E7A076C" w14:textId="77777777" w:rsidR="00465964" w:rsidRPr="00465964" w:rsidRDefault="00465964" w:rsidP="00465964">
      <w:pPr>
        <w:rPr>
          <w:lang w:val="pt-PT"/>
        </w:rPr>
      </w:pPr>
      <w:r w:rsidRPr="00465964">
        <w:rPr>
          <w:lang w:val="pt-PT"/>
        </w:rPr>
        <w:t>6.   Em derrogação do disposto nos artigos 62.</w:t>
      </w:r>
      <w:r w:rsidRPr="00465964">
        <w:rPr>
          <w:vertAlign w:val="superscript"/>
          <w:lang w:val="pt-PT"/>
        </w:rPr>
        <w:t>o</w:t>
      </w:r>
      <w:r w:rsidRPr="00465964">
        <w:rPr>
          <w:lang w:val="pt-PT"/>
        </w:rPr>
        <w:t> e 63.</w:t>
      </w:r>
      <w:r w:rsidRPr="00465964">
        <w:rPr>
          <w:vertAlign w:val="superscript"/>
          <w:lang w:val="pt-PT"/>
        </w:rPr>
        <w:t>o</w:t>
      </w:r>
      <w:r w:rsidRPr="00465964">
        <w:rPr>
          <w:lang w:val="pt-PT"/>
        </w:rPr>
        <w:t>, os Estados-Membros podem aplicar um procedimento simplificado aos pedidos de autorização apresentados entre 30 de dezembro de 2024 e 1 de julho de 2026 por entidades que, em 30 de dezembro de 2024, estivessem autorizadas, ao abrigo do direito nacional, a prestar serviços de criptoativos. Antes de concederem a autorização nos termos desse procedimento simplificado, as autoridades competentes certificam-se do cumprimento do disposto nos capítulos 2 e 3 do título V.</w:t>
      </w:r>
    </w:p>
    <w:p w14:paraId="7A7B6DC8" w14:textId="77777777" w:rsidR="00465964" w:rsidRPr="00465964" w:rsidRDefault="00465964" w:rsidP="00465964">
      <w:pPr>
        <w:rPr>
          <w:lang w:val="pt-PT"/>
        </w:rPr>
      </w:pPr>
      <w:r w:rsidRPr="00465964">
        <w:rPr>
          <w:lang w:val="pt-PT"/>
        </w:rPr>
        <w:t>7.   A EBA exerce as suas responsabilidades de supervisão nos termos do artigo 117.</w:t>
      </w:r>
      <w:r w:rsidRPr="00465964">
        <w:rPr>
          <w:vertAlign w:val="superscript"/>
          <w:lang w:val="pt-PT"/>
        </w:rPr>
        <w:t>o</w:t>
      </w:r>
      <w:r w:rsidRPr="00465964">
        <w:rPr>
          <w:lang w:val="pt-PT"/>
        </w:rPr>
        <w:t> a partir da data de aplicação dos atos delegados a que se refere o artigo 43.</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11.</w:t>
      </w:r>
    </w:p>
    <w:p w14:paraId="6C2F90A8" w14:textId="77777777" w:rsidR="00465964" w:rsidRPr="00465964" w:rsidRDefault="00465964" w:rsidP="00465964">
      <w:pPr>
        <w:rPr>
          <w:i/>
          <w:iCs/>
          <w:lang w:val="pt-PT"/>
        </w:rPr>
      </w:pPr>
      <w:r w:rsidRPr="00465964">
        <w:rPr>
          <w:i/>
          <w:iCs/>
          <w:lang w:val="pt-PT"/>
        </w:rPr>
        <w:t>Artigo 144.</w:t>
      </w:r>
      <w:r w:rsidRPr="00465964">
        <w:rPr>
          <w:i/>
          <w:iCs/>
          <w:vertAlign w:val="superscript"/>
          <w:lang w:val="pt-PT"/>
        </w:rPr>
        <w:t>o</w:t>
      </w:r>
    </w:p>
    <w:p w14:paraId="77CD78BC" w14:textId="77777777" w:rsidR="00465964" w:rsidRPr="00465964" w:rsidRDefault="00465964" w:rsidP="00465964">
      <w:pPr>
        <w:rPr>
          <w:b/>
          <w:bCs/>
          <w:lang w:val="pt-PT"/>
        </w:rPr>
      </w:pPr>
      <w:r w:rsidRPr="00465964">
        <w:rPr>
          <w:b/>
          <w:bCs/>
          <w:lang w:val="pt-PT"/>
        </w:rPr>
        <w:t xml:space="preserve">Alteração do Regulamento (UE) </w:t>
      </w:r>
      <w:proofErr w:type="spellStart"/>
      <w:r w:rsidRPr="00465964">
        <w:rPr>
          <w:b/>
          <w:bCs/>
          <w:lang w:val="pt-PT"/>
        </w:rPr>
        <w:t>n.</w:t>
      </w:r>
      <w:r w:rsidRPr="00465964">
        <w:rPr>
          <w:b/>
          <w:bCs/>
          <w:vertAlign w:val="superscript"/>
          <w:lang w:val="pt-PT"/>
        </w:rPr>
        <w:t>o</w:t>
      </w:r>
      <w:proofErr w:type="spellEnd"/>
      <w:r w:rsidRPr="00465964">
        <w:rPr>
          <w:b/>
          <w:bCs/>
          <w:lang w:val="pt-PT"/>
        </w:rPr>
        <w:t> 1093/2010</w:t>
      </w:r>
    </w:p>
    <w:p w14:paraId="209DC04E" w14:textId="77777777" w:rsidR="00465964" w:rsidRPr="00465964" w:rsidRDefault="00465964" w:rsidP="00465964">
      <w:pPr>
        <w:rPr>
          <w:lang w:val="pt-PT"/>
        </w:rPr>
      </w:pPr>
      <w:r w:rsidRPr="00465964">
        <w:rPr>
          <w:lang w:val="pt-PT"/>
        </w:rPr>
        <w:t>No artigo 1.</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xml:space="preserve"> 2, do Regulamento (UE) </w:t>
      </w:r>
      <w:proofErr w:type="spellStart"/>
      <w:r w:rsidRPr="00465964">
        <w:rPr>
          <w:lang w:val="pt-PT"/>
        </w:rPr>
        <w:t>n.</w:t>
      </w:r>
      <w:r w:rsidRPr="00465964">
        <w:rPr>
          <w:vertAlign w:val="superscript"/>
          <w:lang w:val="pt-PT"/>
        </w:rPr>
        <w:t>o</w:t>
      </w:r>
      <w:proofErr w:type="spellEnd"/>
      <w:r w:rsidRPr="00465964">
        <w:rPr>
          <w:lang w:val="pt-PT"/>
        </w:rPr>
        <w:t> 1093/2010, o primeiro parágrafo passa a ter a seguinte redação:</w:t>
      </w:r>
    </w:p>
    <w:p w14:paraId="5EE73B7D" w14:textId="77777777" w:rsidR="00465964" w:rsidRPr="00465964" w:rsidRDefault="00465964" w:rsidP="00465964">
      <w:pPr>
        <w:rPr>
          <w:lang w:val="pt-PT"/>
        </w:rPr>
      </w:pPr>
      <w:r w:rsidRPr="00465964">
        <w:rPr>
          <w:lang w:val="pt-PT"/>
        </w:rPr>
        <w:t>«A Autoridade age no âmbito das competências conferidas pelo presente regulamento e no âmbito de aplicação da Diretiva 2002/87/CE, da Diretiva 2008/48/CE</w:t>
      </w:r>
      <w:hyperlink r:id="rId55" w:anchor="ntr*1-L_2023150PT.01004001-E0048" w:history="1">
        <w:r w:rsidRPr="00465964">
          <w:rPr>
            <w:rStyle w:val="Hyperlink"/>
            <w:lang w:val="pt-PT"/>
          </w:rPr>
          <w:t> (</w:t>
        </w:r>
        <w:r w:rsidRPr="00465964">
          <w:rPr>
            <w:rStyle w:val="Hyperlink"/>
            <w:vertAlign w:val="superscript"/>
            <w:lang w:val="pt-PT"/>
          </w:rPr>
          <w:t>*1</w:t>
        </w:r>
        <w:r w:rsidRPr="00465964">
          <w:rPr>
            <w:rStyle w:val="Hyperlink"/>
            <w:lang w:val="pt-PT"/>
          </w:rPr>
          <w:t>)</w:t>
        </w:r>
      </w:hyperlink>
      <w:r w:rsidRPr="00465964">
        <w:rPr>
          <w:lang w:val="pt-PT"/>
        </w:rPr>
        <w:t xml:space="preserve">, da Diretiva 2009/110/CE, do Regulamento (UE) </w:t>
      </w:r>
      <w:proofErr w:type="spellStart"/>
      <w:r w:rsidRPr="00465964">
        <w:rPr>
          <w:lang w:val="pt-PT"/>
        </w:rPr>
        <w:t>n.</w:t>
      </w:r>
      <w:r w:rsidRPr="00465964">
        <w:rPr>
          <w:vertAlign w:val="superscript"/>
          <w:lang w:val="pt-PT"/>
        </w:rPr>
        <w:t>o</w:t>
      </w:r>
      <w:proofErr w:type="spellEnd"/>
      <w:r w:rsidRPr="00465964">
        <w:rPr>
          <w:lang w:val="pt-PT"/>
        </w:rPr>
        <w:t> 575/2013</w:t>
      </w:r>
      <w:hyperlink r:id="rId56" w:anchor="ntr*2-L_2023150PT.01004001-E0049" w:history="1">
        <w:r w:rsidRPr="00465964">
          <w:rPr>
            <w:rStyle w:val="Hyperlink"/>
            <w:lang w:val="pt-PT"/>
          </w:rPr>
          <w:t> (</w:t>
        </w:r>
        <w:r w:rsidRPr="00465964">
          <w:rPr>
            <w:rStyle w:val="Hyperlink"/>
            <w:vertAlign w:val="superscript"/>
            <w:lang w:val="pt-PT"/>
          </w:rPr>
          <w:t>*2</w:t>
        </w:r>
        <w:r w:rsidRPr="00465964">
          <w:rPr>
            <w:rStyle w:val="Hyperlink"/>
            <w:lang w:val="pt-PT"/>
          </w:rPr>
          <w:t>)</w:t>
        </w:r>
      </w:hyperlink>
      <w:r w:rsidRPr="00465964">
        <w:rPr>
          <w:lang w:val="pt-PT"/>
        </w:rPr>
        <w:t>, da Diretiva 2013/36/UE</w:t>
      </w:r>
      <w:hyperlink r:id="rId57" w:anchor="ntr*3-L_2023150PT.01004001-E0050" w:history="1">
        <w:r w:rsidRPr="00465964">
          <w:rPr>
            <w:rStyle w:val="Hyperlink"/>
            <w:lang w:val="pt-PT"/>
          </w:rPr>
          <w:t> (</w:t>
        </w:r>
        <w:r w:rsidRPr="00465964">
          <w:rPr>
            <w:rStyle w:val="Hyperlink"/>
            <w:vertAlign w:val="superscript"/>
            <w:lang w:val="pt-PT"/>
          </w:rPr>
          <w:t>*3</w:t>
        </w:r>
        <w:r w:rsidRPr="00465964">
          <w:rPr>
            <w:rStyle w:val="Hyperlink"/>
            <w:lang w:val="pt-PT"/>
          </w:rPr>
          <w:t>)</w:t>
        </w:r>
      </w:hyperlink>
      <w:r w:rsidRPr="00465964">
        <w:rPr>
          <w:lang w:val="pt-PT"/>
        </w:rPr>
        <w:t>, da Diretiva 2014/49/UE</w:t>
      </w:r>
      <w:hyperlink r:id="rId58" w:anchor="ntr*4-L_2023150PT.01004001-E0051" w:history="1">
        <w:r w:rsidRPr="00465964">
          <w:rPr>
            <w:rStyle w:val="Hyperlink"/>
            <w:lang w:val="pt-PT"/>
          </w:rPr>
          <w:t> (</w:t>
        </w:r>
        <w:r w:rsidRPr="00465964">
          <w:rPr>
            <w:rStyle w:val="Hyperlink"/>
            <w:vertAlign w:val="superscript"/>
            <w:lang w:val="pt-PT"/>
          </w:rPr>
          <w:t>*4</w:t>
        </w:r>
        <w:r w:rsidRPr="00465964">
          <w:rPr>
            <w:rStyle w:val="Hyperlink"/>
            <w:lang w:val="pt-PT"/>
          </w:rPr>
          <w:t>)</w:t>
        </w:r>
      </w:hyperlink>
      <w:r w:rsidRPr="00465964">
        <w:rPr>
          <w:lang w:val="pt-PT"/>
        </w:rPr>
        <w:t>, da Diretiva 2014/92/UE</w:t>
      </w:r>
      <w:hyperlink r:id="rId59" w:anchor="ntr*5-L_2023150PT.01004001-E0052" w:history="1">
        <w:r w:rsidRPr="00465964">
          <w:rPr>
            <w:rStyle w:val="Hyperlink"/>
            <w:lang w:val="pt-PT"/>
          </w:rPr>
          <w:t> (</w:t>
        </w:r>
        <w:r w:rsidRPr="00465964">
          <w:rPr>
            <w:rStyle w:val="Hyperlink"/>
            <w:vertAlign w:val="superscript"/>
            <w:lang w:val="pt-PT"/>
          </w:rPr>
          <w:t>*5</w:t>
        </w:r>
        <w:r w:rsidRPr="00465964">
          <w:rPr>
            <w:rStyle w:val="Hyperlink"/>
            <w:lang w:val="pt-PT"/>
          </w:rPr>
          <w:t>)</w:t>
        </w:r>
      </w:hyperlink>
      <w:r w:rsidRPr="00465964">
        <w:rPr>
          <w:lang w:val="pt-PT"/>
        </w:rPr>
        <w:t>, da Diretiva (UE) 2015/2366</w:t>
      </w:r>
      <w:hyperlink r:id="rId60" w:anchor="ntr*6-L_2023150PT.01004001-E0053" w:history="1">
        <w:r w:rsidRPr="00465964">
          <w:rPr>
            <w:rStyle w:val="Hyperlink"/>
            <w:lang w:val="pt-PT"/>
          </w:rPr>
          <w:t> (</w:t>
        </w:r>
        <w:r w:rsidRPr="00465964">
          <w:rPr>
            <w:rStyle w:val="Hyperlink"/>
            <w:vertAlign w:val="superscript"/>
            <w:lang w:val="pt-PT"/>
          </w:rPr>
          <w:t>*6</w:t>
        </w:r>
        <w:r w:rsidRPr="00465964">
          <w:rPr>
            <w:rStyle w:val="Hyperlink"/>
            <w:lang w:val="pt-PT"/>
          </w:rPr>
          <w:t>)</w:t>
        </w:r>
      </w:hyperlink>
      <w:r w:rsidRPr="00465964">
        <w:rPr>
          <w:lang w:val="pt-PT"/>
        </w:rPr>
        <w:t>, do Regulamento (UE) 2023/1114</w:t>
      </w:r>
      <w:hyperlink r:id="rId61" w:anchor="ntr*7-L_2023150PT.01004001-E0054" w:history="1">
        <w:r w:rsidRPr="00465964">
          <w:rPr>
            <w:rStyle w:val="Hyperlink"/>
            <w:lang w:val="pt-PT"/>
          </w:rPr>
          <w:t> (</w:t>
        </w:r>
        <w:r w:rsidRPr="00465964">
          <w:rPr>
            <w:rStyle w:val="Hyperlink"/>
            <w:vertAlign w:val="superscript"/>
            <w:lang w:val="pt-PT"/>
          </w:rPr>
          <w:t>*7</w:t>
        </w:r>
        <w:r w:rsidRPr="00465964">
          <w:rPr>
            <w:rStyle w:val="Hyperlink"/>
            <w:lang w:val="pt-PT"/>
          </w:rPr>
          <w:t>)</w:t>
        </w:r>
      </w:hyperlink>
      <w:r w:rsidRPr="00465964">
        <w:rPr>
          <w:lang w:val="pt-PT"/>
        </w:rPr>
        <w:t xml:space="preserve"> do Parlamento Europeu e do Conselho e, na medida em que esses atos se apliquem às instituições de crédito e às instituições financeiras e às autoridades competentes que as supervisionam, das partes aplicáveis da Diretiva 2002/65/CE, incluindo todas as diretivas, regulamentos e decisões baseados nesses atos, bem como de qualquer outro ato juridicamente vinculativo da União que confira atribuições à Autoridade. A Autoridade age também nos termos do Regulamento (UE) </w:t>
      </w:r>
      <w:proofErr w:type="spellStart"/>
      <w:r w:rsidRPr="00465964">
        <w:rPr>
          <w:lang w:val="pt-PT"/>
        </w:rPr>
        <w:t>n.</w:t>
      </w:r>
      <w:r w:rsidRPr="00465964">
        <w:rPr>
          <w:vertAlign w:val="superscript"/>
          <w:lang w:val="pt-PT"/>
        </w:rPr>
        <w:t>o</w:t>
      </w:r>
      <w:proofErr w:type="spellEnd"/>
      <w:r w:rsidRPr="00465964">
        <w:rPr>
          <w:lang w:val="pt-PT"/>
        </w:rPr>
        <w:t> 1024/2013 do Conselho</w:t>
      </w:r>
      <w:hyperlink r:id="rId62" w:anchor="ntr*8-L_2023150PT.01004001-E0055" w:history="1">
        <w:r w:rsidRPr="00465964">
          <w:rPr>
            <w:rStyle w:val="Hyperlink"/>
            <w:lang w:val="pt-PT"/>
          </w:rPr>
          <w:t> (</w:t>
        </w:r>
        <w:r w:rsidRPr="00465964">
          <w:rPr>
            <w:rStyle w:val="Hyperlink"/>
            <w:vertAlign w:val="superscript"/>
            <w:lang w:val="pt-PT"/>
          </w:rPr>
          <w:t>*8</w:t>
        </w:r>
        <w:r w:rsidRPr="00465964">
          <w:rPr>
            <w:rStyle w:val="Hyperlink"/>
            <w:lang w:val="pt-PT"/>
          </w:rPr>
          <w:t>)</w:t>
        </w:r>
      </w:hyperlink>
      <w:r w:rsidRPr="00465964">
        <w:rPr>
          <w:lang w:val="pt-PT"/>
        </w:rPr>
        <w:t>.</w:t>
      </w:r>
    </w:p>
    <w:p w14:paraId="67E20B5E" w14:textId="77777777" w:rsidR="00465964" w:rsidRPr="00465964" w:rsidRDefault="00465964" w:rsidP="00465964">
      <w:pPr>
        <w:rPr>
          <w:i/>
          <w:iCs/>
          <w:lang w:val="pt-PT"/>
        </w:rPr>
      </w:pPr>
      <w:r w:rsidRPr="00465964">
        <w:rPr>
          <w:i/>
          <w:iCs/>
          <w:lang w:val="pt-PT"/>
        </w:rPr>
        <w:t>Artigo 145.</w:t>
      </w:r>
      <w:r w:rsidRPr="00465964">
        <w:rPr>
          <w:i/>
          <w:iCs/>
          <w:vertAlign w:val="superscript"/>
          <w:lang w:val="pt-PT"/>
        </w:rPr>
        <w:t>o</w:t>
      </w:r>
    </w:p>
    <w:p w14:paraId="65DAF0A2" w14:textId="77777777" w:rsidR="00465964" w:rsidRPr="00465964" w:rsidRDefault="00465964" w:rsidP="00465964">
      <w:pPr>
        <w:rPr>
          <w:b/>
          <w:bCs/>
          <w:lang w:val="pt-PT"/>
        </w:rPr>
      </w:pPr>
      <w:r w:rsidRPr="00465964">
        <w:rPr>
          <w:b/>
          <w:bCs/>
          <w:lang w:val="pt-PT"/>
        </w:rPr>
        <w:t xml:space="preserve">Alteração do Regulamento (UE) </w:t>
      </w:r>
      <w:proofErr w:type="spellStart"/>
      <w:r w:rsidRPr="00465964">
        <w:rPr>
          <w:b/>
          <w:bCs/>
          <w:lang w:val="pt-PT"/>
        </w:rPr>
        <w:t>n.</w:t>
      </w:r>
      <w:r w:rsidRPr="00465964">
        <w:rPr>
          <w:b/>
          <w:bCs/>
          <w:vertAlign w:val="superscript"/>
          <w:lang w:val="pt-PT"/>
        </w:rPr>
        <w:t>o</w:t>
      </w:r>
      <w:proofErr w:type="spellEnd"/>
      <w:r w:rsidRPr="00465964">
        <w:rPr>
          <w:b/>
          <w:bCs/>
          <w:lang w:val="pt-PT"/>
        </w:rPr>
        <w:t> 1095/2010</w:t>
      </w:r>
    </w:p>
    <w:p w14:paraId="1B4E6EBD" w14:textId="77777777" w:rsidR="00465964" w:rsidRPr="00465964" w:rsidRDefault="00465964" w:rsidP="00465964">
      <w:pPr>
        <w:rPr>
          <w:lang w:val="pt-PT"/>
        </w:rPr>
      </w:pPr>
      <w:r w:rsidRPr="00465964">
        <w:rPr>
          <w:lang w:val="pt-PT"/>
        </w:rPr>
        <w:lastRenderedPageBreak/>
        <w:t>No artigo 1.</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xml:space="preserve"> 2, do Regulamento (UE) </w:t>
      </w:r>
      <w:proofErr w:type="spellStart"/>
      <w:r w:rsidRPr="00465964">
        <w:rPr>
          <w:lang w:val="pt-PT"/>
        </w:rPr>
        <w:t>n.</w:t>
      </w:r>
      <w:r w:rsidRPr="00465964">
        <w:rPr>
          <w:vertAlign w:val="superscript"/>
          <w:lang w:val="pt-PT"/>
        </w:rPr>
        <w:t>o</w:t>
      </w:r>
      <w:proofErr w:type="spellEnd"/>
      <w:r w:rsidRPr="00465964">
        <w:rPr>
          <w:lang w:val="pt-PT"/>
        </w:rPr>
        <w:t> 1095/2010, o primeiro parágrafo passa a ter a seguinte redação:</w:t>
      </w:r>
    </w:p>
    <w:p w14:paraId="2AFB141D" w14:textId="77777777" w:rsidR="00465964" w:rsidRPr="00465964" w:rsidRDefault="00465964" w:rsidP="00465964">
      <w:pPr>
        <w:rPr>
          <w:lang w:val="pt-PT"/>
        </w:rPr>
      </w:pPr>
      <w:r w:rsidRPr="00465964">
        <w:rPr>
          <w:lang w:val="pt-PT"/>
        </w:rPr>
        <w:t>«A Autoridade age no âmbito das competências conferidas pelo presente regulamento e no âmbito de aplicação das Diretivas 97/9/CE, 98/26/CE, 2001/34/CE, 2002/47/CE, 2004/109/CE, 2009/65/CE, da Diretiva 2011/61/UE do Parlamento Europeu e do Conselho</w:t>
      </w:r>
      <w:hyperlink r:id="rId63" w:anchor="ntr*9-L_2023150PT.01004001-E0056" w:history="1">
        <w:r w:rsidRPr="00465964">
          <w:rPr>
            <w:rStyle w:val="Hyperlink"/>
            <w:lang w:val="pt-PT"/>
          </w:rPr>
          <w:t> (</w:t>
        </w:r>
        <w:r w:rsidRPr="00465964">
          <w:rPr>
            <w:rStyle w:val="Hyperlink"/>
            <w:vertAlign w:val="superscript"/>
            <w:lang w:val="pt-PT"/>
          </w:rPr>
          <w:t>*9</w:t>
        </w:r>
        <w:r w:rsidRPr="00465964">
          <w:rPr>
            <w:rStyle w:val="Hyperlink"/>
            <w:lang w:val="pt-PT"/>
          </w:rPr>
          <w:t>)</w:t>
        </w:r>
      </w:hyperlink>
      <w:r w:rsidRPr="00465964">
        <w:rPr>
          <w:lang w:val="pt-PT"/>
        </w:rPr>
        <w:t xml:space="preserve">, do Regulamento (CE) </w:t>
      </w:r>
      <w:proofErr w:type="spellStart"/>
      <w:r w:rsidRPr="00465964">
        <w:rPr>
          <w:lang w:val="pt-PT"/>
        </w:rPr>
        <w:t>n.</w:t>
      </w:r>
      <w:r w:rsidRPr="00465964">
        <w:rPr>
          <w:vertAlign w:val="superscript"/>
          <w:lang w:val="pt-PT"/>
        </w:rPr>
        <w:t>o</w:t>
      </w:r>
      <w:proofErr w:type="spellEnd"/>
      <w:r w:rsidRPr="00465964">
        <w:rPr>
          <w:lang w:val="pt-PT"/>
        </w:rPr>
        <w:t> 1060/2009 e da Diretiva 2014/65/UE do Parlamento e do Conselho</w:t>
      </w:r>
      <w:hyperlink r:id="rId64" w:anchor="ntr*10-L_2023150PT.01004001-E0057" w:history="1">
        <w:r w:rsidRPr="00465964">
          <w:rPr>
            <w:rStyle w:val="Hyperlink"/>
            <w:lang w:val="pt-PT"/>
          </w:rPr>
          <w:t> (</w:t>
        </w:r>
        <w:r w:rsidRPr="00465964">
          <w:rPr>
            <w:rStyle w:val="Hyperlink"/>
            <w:vertAlign w:val="superscript"/>
            <w:lang w:val="pt-PT"/>
          </w:rPr>
          <w:t>*10</w:t>
        </w:r>
        <w:r w:rsidRPr="00465964">
          <w:rPr>
            <w:rStyle w:val="Hyperlink"/>
            <w:lang w:val="pt-PT"/>
          </w:rPr>
          <w:t>)</w:t>
        </w:r>
      </w:hyperlink>
      <w:r w:rsidRPr="00465964">
        <w:rPr>
          <w:lang w:val="pt-PT"/>
        </w:rPr>
        <w:t>, do Regulamento (UE) 2017/1129 do Parlamento Europeu e do Conselho</w:t>
      </w:r>
      <w:hyperlink r:id="rId65" w:anchor="ntr*11-L_2023150PT.01004001-E0058" w:history="1">
        <w:r w:rsidRPr="00465964">
          <w:rPr>
            <w:rStyle w:val="Hyperlink"/>
            <w:lang w:val="pt-PT"/>
          </w:rPr>
          <w:t> (</w:t>
        </w:r>
        <w:r w:rsidRPr="00465964">
          <w:rPr>
            <w:rStyle w:val="Hyperlink"/>
            <w:vertAlign w:val="superscript"/>
            <w:lang w:val="pt-PT"/>
          </w:rPr>
          <w:t>*11</w:t>
        </w:r>
        <w:r w:rsidRPr="00465964">
          <w:rPr>
            <w:rStyle w:val="Hyperlink"/>
            <w:lang w:val="pt-PT"/>
          </w:rPr>
          <w:t>)</w:t>
        </w:r>
      </w:hyperlink>
      <w:r w:rsidRPr="00465964">
        <w:rPr>
          <w:lang w:val="pt-PT"/>
        </w:rPr>
        <w:t>, do Regulamento (UE) 2023/1114 do Parlamento Europeu e do Conselho</w:t>
      </w:r>
      <w:hyperlink r:id="rId66" w:anchor="ntr*12-L_2023150PT.01004001-E0059" w:history="1">
        <w:r w:rsidRPr="00465964">
          <w:rPr>
            <w:rStyle w:val="Hyperlink"/>
            <w:lang w:val="pt-PT"/>
          </w:rPr>
          <w:t> (</w:t>
        </w:r>
        <w:r w:rsidRPr="00465964">
          <w:rPr>
            <w:rStyle w:val="Hyperlink"/>
            <w:vertAlign w:val="superscript"/>
            <w:lang w:val="pt-PT"/>
          </w:rPr>
          <w:t>*12</w:t>
        </w:r>
        <w:r w:rsidRPr="00465964">
          <w:rPr>
            <w:rStyle w:val="Hyperlink"/>
            <w:lang w:val="pt-PT"/>
          </w:rPr>
          <w:t>)</w:t>
        </w:r>
      </w:hyperlink>
      <w:r w:rsidRPr="00465964">
        <w:rPr>
          <w:lang w:val="pt-PT"/>
        </w:rPr>
        <w:t> e, na medida em que esses atos se apliquem às empresas que prestam serviços de investimento ou aos organismos de investimento coletivo que comercializam as suas unidades de participação ou ações, aos emitentes ou oferentes de criptoativos, às pessoas que solicitam a admissão à negociação ou aos prestadores de serviços de criptoativos e às autoridades competentes que procedem à sua supervisão, das partes pertinentes das Diretivas 2002/87/CE e 2002/65/CE, incluindo todas as diretivas, regulamentos e decisões baseados nesses atos, bem como de qualquer outro ato juridicamente vinculativo da União que confira atribuições à Autoridade.</w:t>
      </w:r>
    </w:p>
    <w:p w14:paraId="7D3F7300" w14:textId="77777777" w:rsidR="00465964" w:rsidRPr="00465964" w:rsidRDefault="00465964" w:rsidP="00465964">
      <w:pPr>
        <w:rPr>
          <w:i/>
          <w:iCs/>
          <w:lang w:val="pt-PT"/>
        </w:rPr>
      </w:pPr>
      <w:r w:rsidRPr="00465964">
        <w:rPr>
          <w:i/>
          <w:iCs/>
          <w:lang w:val="pt-PT"/>
        </w:rPr>
        <w:t>Artigo 146.</w:t>
      </w:r>
      <w:r w:rsidRPr="00465964">
        <w:rPr>
          <w:i/>
          <w:iCs/>
          <w:vertAlign w:val="superscript"/>
          <w:lang w:val="pt-PT"/>
        </w:rPr>
        <w:t>o</w:t>
      </w:r>
    </w:p>
    <w:p w14:paraId="062BB85F" w14:textId="77777777" w:rsidR="00465964" w:rsidRPr="00465964" w:rsidRDefault="00465964" w:rsidP="00465964">
      <w:pPr>
        <w:rPr>
          <w:b/>
          <w:bCs/>
          <w:lang w:val="pt-PT"/>
        </w:rPr>
      </w:pPr>
      <w:r w:rsidRPr="00465964">
        <w:rPr>
          <w:b/>
          <w:bCs/>
          <w:lang w:val="pt-PT"/>
        </w:rPr>
        <w:t>Alteração da Diretiva 2013/36/UE</w:t>
      </w:r>
    </w:p>
    <w:p w14:paraId="564CC13E" w14:textId="77777777" w:rsidR="00465964" w:rsidRPr="00465964" w:rsidRDefault="00465964" w:rsidP="00465964">
      <w:pPr>
        <w:rPr>
          <w:lang w:val="pt-PT"/>
        </w:rPr>
      </w:pPr>
      <w:r w:rsidRPr="00465964">
        <w:rPr>
          <w:lang w:val="pt-PT"/>
        </w:rPr>
        <w:t>No anexo I da Diretiva 2013/36/UE, o ponto 15 passa a ter a seguinte redação:</w:t>
      </w:r>
    </w:p>
    <w:tbl>
      <w:tblPr>
        <w:tblW w:w="5000" w:type="pct"/>
        <w:tblCellMar>
          <w:left w:w="0" w:type="dxa"/>
          <w:right w:w="0" w:type="dxa"/>
        </w:tblCellMar>
        <w:tblLook w:val="04A0" w:firstRow="1" w:lastRow="0" w:firstColumn="1" w:lastColumn="0" w:noHBand="0" w:noVBand="1"/>
      </w:tblPr>
      <w:tblGrid>
        <w:gridCol w:w="390"/>
        <w:gridCol w:w="8636"/>
      </w:tblGrid>
      <w:tr w:rsidR="00465964" w:rsidRPr="00465964" w14:paraId="0A9D994C" w14:textId="77777777" w:rsidTr="00465964">
        <w:tc>
          <w:tcPr>
            <w:tcW w:w="0" w:type="auto"/>
            <w:shd w:val="clear" w:color="auto" w:fill="auto"/>
            <w:hideMark/>
          </w:tcPr>
          <w:p w14:paraId="599E5238" w14:textId="77777777" w:rsidR="00465964" w:rsidRPr="00465964" w:rsidRDefault="00465964" w:rsidP="00465964">
            <w:r w:rsidRPr="00465964">
              <w:t>«15.</w:t>
            </w:r>
          </w:p>
        </w:tc>
        <w:tc>
          <w:tcPr>
            <w:tcW w:w="0" w:type="auto"/>
            <w:shd w:val="clear" w:color="auto" w:fill="auto"/>
            <w:hideMark/>
          </w:tcPr>
          <w:p w14:paraId="29C5215C" w14:textId="0283BAFD" w:rsidR="00465964" w:rsidRPr="00465964" w:rsidRDefault="00465964" w:rsidP="00465964">
            <w:pPr>
              <w:rPr>
                <w:lang w:val="pt-PT"/>
              </w:rPr>
            </w:pPr>
            <w:r w:rsidRPr="00465964">
              <w:rPr>
                <w:lang w:val="pt-PT"/>
              </w:rPr>
              <w:t xml:space="preserve">“Emissão de moeda eletrónica”, incluindo </w:t>
            </w:r>
            <w:r>
              <w:rPr>
                <w:lang w:val="pt-PT"/>
              </w:rPr>
              <w:t>criptomoedas</w:t>
            </w:r>
            <w:r w:rsidRPr="00465964">
              <w:rPr>
                <w:lang w:val="pt-PT"/>
              </w:rPr>
              <w:t xml:space="preserve"> de moeda eletrónica na aceção do artigo 3.</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1, ponto 7, do Regulamento (UE) 2023/1114 do Parlamento Europeu e do Conselho</w:t>
            </w:r>
            <w:hyperlink r:id="rId67" w:anchor="ntr*13-L_2023150PT.01004001-E0060" w:history="1">
              <w:r w:rsidRPr="00465964">
                <w:rPr>
                  <w:rStyle w:val="Hyperlink"/>
                  <w:lang w:val="pt-PT"/>
                </w:rPr>
                <w:t> (</w:t>
              </w:r>
              <w:r w:rsidRPr="00465964">
                <w:rPr>
                  <w:rStyle w:val="Hyperlink"/>
                  <w:vertAlign w:val="superscript"/>
                  <w:lang w:val="pt-PT"/>
                </w:rPr>
                <w:t>*13</w:t>
              </w:r>
              <w:r w:rsidRPr="00465964">
                <w:rPr>
                  <w:rStyle w:val="Hyperlink"/>
                  <w:lang w:val="pt-PT"/>
                </w:rPr>
                <w:t>)</w:t>
              </w:r>
            </w:hyperlink>
            <w:r w:rsidRPr="00465964">
              <w:rPr>
                <w:lang w:val="pt-PT"/>
              </w:rPr>
              <w:t>.</w:t>
            </w:r>
          </w:p>
        </w:tc>
      </w:tr>
    </w:tbl>
    <w:p w14:paraId="5B0EA80A"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298"/>
        <w:gridCol w:w="8728"/>
      </w:tblGrid>
      <w:tr w:rsidR="00465964" w:rsidRPr="00465964" w14:paraId="3FF0DD15" w14:textId="77777777" w:rsidTr="00465964">
        <w:tc>
          <w:tcPr>
            <w:tcW w:w="0" w:type="auto"/>
            <w:shd w:val="clear" w:color="auto" w:fill="auto"/>
            <w:hideMark/>
          </w:tcPr>
          <w:p w14:paraId="5C5160A5" w14:textId="77777777" w:rsidR="00465964" w:rsidRPr="00465964" w:rsidRDefault="00465964" w:rsidP="00465964">
            <w:r w:rsidRPr="00465964">
              <w:t>16.</w:t>
            </w:r>
          </w:p>
        </w:tc>
        <w:tc>
          <w:tcPr>
            <w:tcW w:w="0" w:type="auto"/>
            <w:shd w:val="clear" w:color="auto" w:fill="auto"/>
            <w:hideMark/>
          </w:tcPr>
          <w:p w14:paraId="38F5920D" w14:textId="0140A6FC" w:rsidR="00465964" w:rsidRPr="00465964" w:rsidRDefault="00465964" w:rsidP="00465964">
            <w:pPr>
              <w:rPr>
                <w:lang w:val="pt-PT"/>
              </w:rPr>
            </w:pPr>
            <w:r w:rsidRPr="00465964">
              <w:rPr>
                <w:lang w:val="pt-PT"/>
              </w:rPr>
              <w:t xml:space="preserve">"Emissão de </w:t>
            </w:r>
            <w:r>
              <w:rPr>
                <w:lang w:val="pt-PT"/>
              </w:rPr>
              <w:t>criptomoedas</w:t>
            </w:r>
            <w:r w:rsidRPr="00465964">
              <w:rPr>
                <w:lang w:val="pt-PT"/>
              </w:rPr>
              <w:t xml:space="preserve"> referenciadas a ativos" na aceção do artigo 3.</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1, ponto 6, do Regulamento (UE) 2023/1114.</w:t>
            </w:r>
          </w:p>
        </w:tc>
      </w:tr>
    </w:tbl>
    <w:p w14:paraId="165E38BC"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298"/>
        <w:gridCol w:w="8728"/>
      </w:tblGrid>
      <w:tr w:rsidR="00465964" w:rsidRPr="00465964" w14:paraId="14F09B5E" w14:textId="77777777" w:rsidTr="00465964">
        <w:tc>
          <w:tcPr>
            <w:tcW w:w="0" w:type="auto"/>
            <w:shd w:val="clear" w:color="auto" w:fill="auto"/>
            <w:hideMark/>
          </w:tcPr>
          <w:p w14:paraId="37B3506D" w14:textId="77777777" w:rsidR="00465964" w:rsidRPr="00465964" w:rsidRDefault="00465964" w:rsidP="00465964">
            <w:r w:rsidRPr="00465964">
              <w:t>17.</w:t>
            </w:r>
          </w:p>
        </w:tc>
        <w:tc>
          <w:tcPr>
            <w:tcW w:w="0" w:type="auto"/>
            <w:shd w:val="clear" w:color="auto" w:fill="auto"/>
            <w:hideMark/>
          </w:tcPr>
          <w:p w14:paraId="75212E0D" w14:textId="77777777" w:rsidR="00465964" w:rsidRPr="00465964" w:rsidRDefault="00465964" w:rsidP="00465964">
            <w:pPr>
              <w:rPr>
                <w:lang w:val="pt-PT"/>
              </w:rPr>
            </w:pPr>
            <w:r w:rsidRPr="00465964">
              <w:rPr>
                <w:lang w:val="pt-PT"/>
              </w:rPr>
              <w:t>"Serviços de criptoativos" na aceção do artigo 3.</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1, ponto 16, do Regulamento (UE) 2023/1114.</w:t>
            </w:r>
          </w:p>
        </w:tc>
      </w:tr>
    </w:tbl>
    <w:p w14:paraId="6D851553" w14:textId="77777777" w:rsidR="00465964" w:rsidRPr="00465964" w:rsidRDefault="00465964" w:rsidP="00465964">
      <w:pPr>
        <w:rPr>
          <w:i/>
          <w:iCs/>
          <w:lang w:val="pt-PT"/>
        </w:rPr>
      </w:pPr>
      <w:r w:rsidRPr="00465964">
        <w:rPr>
          <w:i/>
          <w:iCs/>
          <w:lang w:val="pt-PT"/>
        </w:rPr>
        <w:t>Artigo 147.</w:t>
      </w:r>
      <w:r w:rsidRPr="00465964">
        <w:rPr>
          <w:i/>
          <w:iCs/>
          <w:vertAlign w:val="superscript"/>
          <w:lang w:val="pt-PT"/>
        </w:rPr>
        <w:t>o</w:t>
      </w:r>
    </w:p>
    <w:p w14:paraId="2590097D" w14:textId="77777777" w:rsidR="00465964" w:rsidRPr="00465964" w:rsidRDefault="00465964" w:rsidP="00465964">
      <w:pPr>
        <w:rPr>
          <w:b/>
          <w:bCs/>
          <w:lang w:val="pt-PT"/>
        </w:rPr>
      </w:pPr>
      <w:r w:rsidRPr="00465964">
        <w:rPr>
          <w:b/>
          <w:bCs/>
          <w:lang w:val="pt-PT"/>
        </w:rPr>
        <w:t>Alteração da Diretiva (UE) 2019/1937</w:t>
      </w:r>
    </w:p>
    <w:p w14:paraId="21C8CF76" w14:textId="77777777" w:rsidR="00465964" w:rsidRPr="00465964" w:rsidRDefault="00465964" w:rsidP="00465964">
      <w:pPr>
        <w:rPr>
          <w:lang w:val="pt-PT"/>
        </w:rPr>
      </w:pPr>
      <w:r w:rsidRPr="00465964">
        <w:rPr>
          <w:lang w:val="pt-PT"/>
        </w:rPr>
        <w:t>À parte I.B do anexo da Diretiva (UE) 2019/1937, é aditado o seguinte ponto:</w:t>
      </w:r>
    </w:p>
    <w:tbl>
      <w:tblPr>
        <w:tblW w:w="5000" w:type="pct"/>
        <w:tblCellMar>
          <w:left w:w="0" w:type="dxa"/>
          <w:right w:w="0" w:type="dxa"/>
        </w:tblCellMar>
        <w:tblLook w:val="04A0" w:firstRow="1" w:lastRow="0" w:firstColumn="1" w:lastColumn="0" w:noHBand="0" w:noVBand="1"/>
      </w:tblPr>
      <w:tblGrid>
        <w:gridCol w:w="458"/>
        <w:gridCol w:w="8568"/>
      </w:tblGrid>
      <w:tr w:rsidR="00465964" w:rsidRPr="00465964" w14:paraId="716E61A6" w14:textId="77777777" w:rsidTr="00465964">
        <w:tc>
          <w:tcPr>
            <w:tcW w:w="0" w:type="auto"/>
            <w:shd w:val="clear" w:color="auto" w:fill="auto"/>
            <w:hideMark/>
          </w:tcPr>
          <w:p w14:paraId="2FCBAD8C" w14:textId="77777777" w:rsidR="00465964" w:rsidRPr="00465964" w:rsidRDefault="00465964" w:rsidP="00465964">
            <w:r w:rsidRPr="00465964">
              <w:t>«xxii)</w:t>
            </w:r>
          </w:p>
        </w:tc>
        <w:tc>
          <w:tcPr>
            <w:tcW w:w="0" w:type="auto"/>
            <w:shd w:val="clear" w:color="auto" w:fill="auto"/>
            <w:hideMark/>
          </w:tcPr>
          <w:p w14:paraId="33CD98DF" w14:textId="77777777" w:rsidR="00465964" w:rsidRPr="00465964" w:rsidRDefault="00465964" w:rsidP="00465964">
            <w:pPr>
              <w:rPr>
                <w:lang w:val="pt-PT"/>
              </w:rPr>
            </w:pPr>
            <w:r w:rsidRPr="00465964">
              <w:rPr>
                <w:lang w:val="pt-PT"/>
              </w:rPr>
              <w:t xml:space="preserve">Regulamento (UE) 2023/1114 do Parlamento Europeu e do Conselho, de 31 de maio de 2023, relativo aos mercados de criptoativos e que altera os Regulamentos (UE) </w:t>
            </w:r>
            <w:proofErr w:type="spellStart"/>
            <w:r w:rsidRPr="00465964">
              <w:rPr>
                <w:lang w:val="pt-PT"/>
              </w:rPr>
              <w:t>n.</w:t>
            </w:r>
            <w:r w:rsidRPr="00465964">
              <w:rPr>
                <w:vertAlign w:val="superscript"/>
                <w:lang w:val="pt-PT"/>
              </w:rPr>
              <w:t>o</w:t>
            </w:r>
            <w:proofErr w:type="spellEnd"/>
            <w:r w:rsidRPr="00465964">
              <w:rPr>
                <w:lang w:val="pt-PT"/>
              </w:rPr>
              <w:t xml:space="preserve"> 1093/2010 e (UE) </w:t>
            </w:r>
            <w:proofErr w:type="spellStart"/>
            <w:r w:rsidRPr="00465964">
              <w:rPr>
                <w:lang w:val="pt-PT"/>
              </w:rPr>
              <w:t>n.</w:t>
            </w:r>
            <w:r w:rsidRPr="00465964">
              <w:rPr>
                <w:vertAlign w:val="superscript"/>
                <w:lang w:val="pt-PT"/>
              </w:rPr>
              <w:t>o</w:t>
            </w:r>
            <w:proofErr w:type="spellEnd"/>
            <w:r w:rsidRPr="00465964">
              <w:rPr>
                <w:lang w:val="pt-PT"/>
              </w:rPr>
              <w:t> 1095/2010 e as Diretivas 2013/36/UE e (UE) 2019/1937 (</w:t>
            </w:r>
            <w:hyperlink r:id="rId68" w:history="1">
              <w:r w:rsidRPr="00465964">
                <w:rPr>
                  <w:rStyle w:val="Hyperlink"/>
                  <w:lang w:val="pt-PT"/>
                </w:rPr>
                <w:t>JO L 150 de 9.6.2023, p. 40</w:t>
              </w:r>
            </w:hyperlink>
            <w:r w:rsidRPr="00465964">
              <w:rPr>
                <w:lang w:val="pt-PT"/>
              </w:rPr>
              <w:t>).».</w:t>
            </w:r>
          </w:p>
        </w:tc>
      </w:tr>
    </w:tbl>
    <w:p w14:paraId="32A517D0" w14:textId="77777777" w:rsidR="00465964" w:rsidRPr="00465964" w:rsidRDefault="00465964" w:rsidP="00465964">
      <w:pPr>
        <w:rPr>
          <w:i/>
          <w:iCs/>
          <w:lang w:val="pt-PT"/>
        </w:rPr>
      </w:pPr>
      <w:r w:rsidRPr="00465964">
        <w:rPr>
          <w:i/>
          <w:iCs/>
          <w:lang w:val="pt-PT"/>
        </w:rPr>
        <w:t>Artigo 148.</w:t>
      </w:r>
      <w:r w:rsidRPr="00465964">
        <w:rPr>
          <w:i/>
          <w:iCs/>
          <w:vertAlign w:val="superscript"/>
          <w:lang w:val="pt-PT"/>
        </w:rPr>
        <w:t>o</w:t>
      </w:r>
    </w:p>
    <w:p w14:paraId="028F5FCE" w14:textId="77777777" w:rsidR="00465964" w:rsidRPr="00465964" w:rsidRDefault="00465964" w:rsidP="00465964">
      <w:pPr>
        <w:rPr>
          <w:b/>
          <w:bCs/>
          <w:lang w:val="pt-PT"/>
        </w:rPr>
      </w:pPr>
      <w:r w:rsidRPr="00465964">
        <w:rPr>
          <w:b/>
          <w:bCs/>
          <w:lang w:val="pt-PT"/>
        </w:rPr>
        <w:t>Transposição das alterações das Diretivas 2013/36/UE e (UE) 2019/1937</w:t>
      </w:r>
    </w:p>
    <w:p w14:paraId="515B2220" w14:textId="77777777" w:rsidR="00465964" w:rsidRPr="00465964" w:rsidRDefault="00465964" w:rsidP="00465964">
      <w:pPr>
        <w:rPr>
          <w:lang w:val="pt-PT"/>
        </w:rPr>
      </w:pPr>
      <w:r w:rsidRPr="00465964">
        <w:rPr>
          <w:lang w:val="pt-PT"/>
        </w:rPr>
        <w:t>1.   Os Estados-Membros adotam e publicam, até 30 de dezembro de 2024, as disposições legislativas, regulamentares e administrativas necessárias para dar cumprimento aos artigos 146.</w:t>
      </w:r>
      <w:r w:rsidRPr="00465964">
        <w:rPr>
          <w:vertAlign w:val="superscript"/>
          <w:lang w:val="pt-PT"/>
        </w:rPr>
        <w:t>o</w:t>
      </w:r>
      <w:r w:rsidRPr="00465964">
        <w:rPr>
          <w:lang w:val="pt-PT"/>
        </w:rPr>
        <w:t> e 147.</w:t>
      </w:r>
      <w:r w:rsidRPr="00465964">
        <w:rPr>
          <w:vertAlign w:val="superscript"/>
          <w:lang w:val="pt-PT"/>
        </w:rPr>
        <w:t>o</w:t>
      </w:r>
      <w:r w:rsidRPr="00465964">
        <w:rPr>
          <w:lang w:val="pt-PT"/>
        </w:rPr>
        <w:t>.</w:t>
      </w:r>
    </w:p>
    <w:p w14:paraId="3038F9A0" w14:textId="77777777" w:rsidR="00465964" w:rsidRPr="00465964" w:rsidRDefault="00465964" w:rsidP="00465964">
      <w:pPr>
        <w:rPr>
          <w:lang w:val="pt-PT"/>
        </w:rPr>
      </w:pPr>
      <w:r w:rsidRPr="00465964">
        <w:rPr>
          <w:lang w:val="pt-PT"/>
        </w:rPr>
        <w:t>2.   Os Estados-Membros comunicam à Comissão, à EBA e à ESMA o texto das principais disposições de direito interno que adotarem no domínio regulado pelo artigo 116.</w:t>
      </w:r>
      <w:r w:rsidRPr="00465964">
        <w:rPr>
          <w:vertAlign w:val="superscript"/>
          <w:lang w:val="pt-PT"/>
        </w:rPr>
        <w:t>o</w:t>
      </w:r>
      <w:r w:rsidRPr="00465964">
        <w:rPr>
          <w:lang w:val="pt-PT"/>
        </w:rPr>
        <w:t>.</w:t>
      </w:r>
    </w:p>
    <w:p w14:paraId="14CD2AFF" w14:textId="77777777" w:rsidR="00465964" w:rsidRPr="00465964" w:rsidRDefault="00465964" w:rsidP="00465964">
      <w:pPr>
        <w:rPr>
          <w:i/>
          <w:iCs/>
          <w:lang w:val="pt-PT"/>
        </w:rPr>
      </w:pPr>
      <w:r w:rsidRPr="00465964">
        <w:rPr>
          <w:i/>
          <w:iCs/>
          <w:lang w:val="pt-PT"/>
        </w:rPr>
        <w:lastRenderedPageBreak/>
        <w:t>Artigo 149.</w:t>
      </w:r>
      <w:r w:rsidRPr="00465964">
        <w:rPr>
          <w:i/>
          <w:iCs/>
          <w:vertAlign w:val="superscript"/>
          <w:lang w:val="pt-PT"/>
        </w:rPr>
        <w:t>o</w:t>
      </w:r>
    </w:p>
    <w:p w14:paraId="1DF73123" w14:textId="77777777" w:rsidR="00465964" w:rsidRPr="00465964" w:rsidRDefault="00465964" w:rsidP="00465964">
      <w:pPr>
        <w:rPr>
          <w:b/>
          <w:bCs/>
          <w:lang w:val="pt-PT"/>
        </w:rPr>
      </w:pPr>
      <w:r w:rsidRPr="00465964">
        <w:rPr>
          <w:b/>
          <w:bCs/>
          <w:lang w:val="pt-PT"/>
        </w:rPr>
        <w:t>Entrada em vigor e aplicação</w:t>
      </w:r>
    </w:p>
    <w:p w14:paraId="2F24BD8B" w14:textId="77777777" w:rsidR="00465964" w:rsidRPr="00465964" w:rsidRDefault="00465964" w:rsidP="00465964">
      <w:pPr>
        <w:rPr>
          <w:lang w:val="pt-PT"/>
        </w:rPr>
      </w:pPr>
      <w:r w:rsidRPr="00465964">
        <w:rPr>
          <w:lang w:val="pt-PT"/>
        </w:rPr>
        <w:t>1.   O presente regulamento entra em vigor no vigésimo dia seguinte ao da sua publicação no </w:t>
      </w:r>
      <w:r w:rsidRPr="00465964">
        <w:rPr>
          <w:i/>
          <w:iCs/>
          <w:lang w:val="pt-PT"/>
        </w:rPr>
        <w:t>Jornal Oficial da União Europeia</w:t>
      </w:r>
      <w:r w:rsidRPr="00465964">
        <w:rPr>
          <w:lang w:val="pt-PT"/>
        </w:rPr>
        <w:t>.</w:t>
      </w:r>
    </w:p>
    <w:p w14:paraId="2F884F52" w14:textId="77777777" w:rsidR="00465964" w:rsidRPr="00465964" w:rsidRDefault="00465964" w:rsidP="00465964">
      <w:pPr>
        <w:rPr>
          <w:lang w:val="pt-PT"/>
        </w:rPr>
      </w:pPr>
      <w:r w:rsidRPr="00465964">
        <w:rPr>
          <w:lang w:val="pt-PT"/>
        </w:rPr>
        <w:t>2.   O presente regulamento é aplicável a partir de 30 de dezembro de 2024.</w:t>
      </w:r>
    </w:p>
    <w:p w14:paraId="1B57BDC1" w14:textId="77777777" w:rsidR="00465964" w:rsidRPr="00465964" w:rsidRDefault="00465964" w:rsidP="00465964">
      <w:pPr>
        <w:rPr>
          <w:lang w:val="pt-PT"/>
        </w:rPr>
      </w:pPr>
      <w:r w:rsidRPr="00465964">
        <w:rPr>
          <w:lang w:val="pt-PT"/>
        </w:rPr>
        <w:t xml:space="preserve">3.   Em derrogação do disposto no </w:t>
      </w:r>
      <w:proofErr w:type="spellStart"/>
      <w:r w:rsidRPr="00465964">
        <w:rPr>
          <w:lang w:val="pt-PT"/>
        </w:rPr>
        <w:t>n.</w:t>
      </w:r>
      <w:r w:rsidRPr="00465964">
        <w:rPr>
          <w:vertAlign w:val="superscript"/>
          <w:lang w:val="pt-PT"/>
        </w:rPr>
        <w:t>o</w:t>
      </w:r>
      <w:proofErr w:type="spellEnd"/>
      <w:r w:rsidRPr="00465964">
        <w:rPr>
          <w:lang w:val="pt-PT"/>
        </w:rPr>
        <w:t> 2, os títulos III e IV são aplicáveis a partir de 30 de junho de 2024.</w:t>
      </w:r>
    </w:p>
    <w:p w14:paraId="10175B19" w14:textId="77777777" w:rsidR="00465964" w:rsidRPr="00465964" w:rsidRDefault="00465964" w:rsidP="00465964">
      <w:pPr>
        <w:rPr>
          <w:lang w:val="pt-PT"/>
        </w:rPr>
      </w:pPr>
      <w:r w:rsidRPr="00465964">
        <w:rPr>
          <w:lang w:val="pt-PT"/>
        </w:rPr>
        <w:t xml:space="preserve">4.   Em derrogação do disposto nos </w:t>
      </w:r>
      <w:proofErr w:type="spellStart"/>
      <w:r w:rsidRPr="00465964">
        <w:rPr>
          <w:lang w:val="pt-PT"/>
        </w:rPr>
        <w:t>n.</w:t>
      </w:r>
      <w:r w:rsidRPr="00465964">
        <w:rPr>
          <w:vertAlign w:val="superscript"/>
          <w:lang w:val="pt-PT"/>
        </w:rPr>
        <w:t>os</w:t>
      </w:r>
      <w:proofErr w:type="spellEnd"/>
      <w:r w:rsidRPr="00465964">
        <w:rPr>
          <w:lang w:val="pt-PT"/>
        </w:rPr>
        <w:t> 2 e 3 do presente artigo, o artigo 2.</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5, o artigo 3.</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2, o artigo 6.</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os</w:t>
      </w:r>
      <w:proofErr w:type="spellEnd"/>
      <w:r w:rsidRPr="00465964">
        <w:rPr>
          <w:lang w:val="pt-PT"/>
        </w:rPr>
        <w:t> 11 e 12, o artigo 14.</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1, segundo parágrafo, o artigo 17.</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8, o artigo 18.</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os</w:t>
      </w:r>
      <w:proofErr w:type="spellEnd"/>
      <w:r w:rsidRPr="00465964">
        <w:rPr>
          <w:lang w:val="pt-PT"/>
        </w:rPr>
        <w:t> 6 e 7, o artigo 19.</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os</w:t>
      </w:r>
      <w:proofErr w:type="spellEnd"/>
      <w:r w:rsidRPr="00465964">
        <w:rPr>
          <w:lang w:val="pt-PT"/>
        </w:rPr>
        <w:t> 10 e 11, o artigo 21.</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3, o artigo 22.</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os</w:t>
      </w:r>
      <w:proofErr w:type="spellEnd"/>
      <w:r w:rsidRPr="00465964">
        <w:rPr>
          <w:lang w:val="pt-PT"/>
        </w:rPr>
        <w:t> 6 e 7, o artigo 31.</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5, o artigo 32.</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5, o artigo 34.</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13, o artigo 35.</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6), o artigo 36.</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4, o artigo 38.</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5, o artigo 42.</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4, o artigo 43.</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11, o artigo 45.</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os</w:t>
      </w:r>
      <w:proofErr w:type="spellEnd"/>
      <w:r w:rsidRPr="00465964">
        <w:rPr>
          <w:lang w:val="pt-PT"/>
        </w:rPr>
        <w:t> 7 e 8, o artigo 46.</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6, o artigo 47.</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5, o artigo 51.</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os</w:t>
      </w:r>
      <w:proofErr w:type="spellEnd"/>
      <w:r w:rsidRPr="00465964">
        <w:rPr>
          <w:lang w:val="pt-PT"/>
        </w:rPr>
        <w:t> 10 e 15, o artigo 60.</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os</w:t>
      </w:r>
      <w:proofErr w:type="spellEnd"/>
      <w:r w:rsidRPr="00465964">
        <w:rPr>
          <w:lang w:val="pt-PT"/>
        </w:rPr>
        <w:t> 13 e 14, o artigo 61.</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3, o artigo 62.</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os</w:t>
      </w:r>
      <w:proofErr w:type="spellEnd"/>
      <w:r w:rsidRPr="00465964">
        <w:rPr>
          <w:lang w:val="pt-PT"/>
        </w:rPr>
        <w:t> 5 e 6, o artigo 63.</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11, o artigo 66.</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6, o artigo 68.</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10, o artigo 71.</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5, o artigo 72.</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5, o artigo 76.</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16, o artigo 81.</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15, o artigo 82.</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2, o artigo 84.</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4, o artigo 88.</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4, o artigo 92.</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os</w:t>
      </w:r>
      <w:proofErr w:type="spellEnd"/>
      <w:r w:rsidRPr="00465964">
        <w:rPr>
          <w:lang w:val="pt-PT"/>
        </w:rPr>
        <w:t> 2 e 3, o artigo 95.</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os</w:t>
      </w:r>
      <w:proofErr w:type="spellEnd"/>
      <w:r w:rsidRPr="00465964">
        <w:rPr>
          <w:lang w:val="pt-PT"/>
        </w:rPr>
        <w:t> 10 e 11, o artigo 96.</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3, o artigo 97.</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1, o artigo 103.</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8, o artigo 104.</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8, o artigo 105.</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7, o artigo 107.</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os</w:t>
      </w:r>
      <w:proofErr w:type="spellEnd"/>
      <w:r w:rsidRPr="00465964">
        <w:rPr>
          <w:lang w:val="pt-PT"/>
        </w:rPr>
        <w:t> 3 e 4, o artigo 109.</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8, o artigo 119.</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8, o artigo 134.</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10, o artigo 137.</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3 e o artigo 139.</w:t>
      </w:r>
      <w:r w:rsidRPr="00465964">
        <w:rPr>
          <w:vertAlign w:val="superscript"/>
          <w:lang w:val="pt-PT"/>
        </w:rPr>
        <w:t>o</w:t>
      </w:r>
      <w:r w:rsidRPr="00465964">
        <w:rPr>
          <w:lang w:val="pt-PT"/>
        </w:rPr>
        <w:t> são aplicáveis a partir de 29 de junho de 2023.</w:t>
      </w:r>
    </w:p>
    <w:p w14:paraId="6B0E9A95" w14:textId="77777777" w:rsidR="00465964" w:rsidRPr="00465964" w:rsidRDefault="00465964" w:rsidP="00465964">
      <w:pPr>
        <w:rPr>
          <w:lang w:val="pt-PT"/>
        </w:rPr>
      </w:pPr>
      <w:r w:rsidRPr="00465964">
        <w:rPr>
          <w:lang w:val="pt-PT"/>
        </w:rPr>
        <w:t>O presente regulamento é obrigatório em todos os seus elementos e diretamente aplicável em todos os Estados-Membros.</w:t>
      </w:r>
    </w:p>
    <w:p w14:paraId="2A4D316E" w14:textId="77777777" w:rsidR="00465964" w:rsidRPr="00465964" w:rsidRDefault="00465964" w:rsidP="00465964">
      <w:pPr>
        <w:rPr>
          <w:lang w:val="pt-PT"/>
        </w:rPr>
      </w:pPr>
      <w:r w:rsidRPr="00465964">
        <w:rPr>
          <w:lang w:val="pt-PT"/>
        </w:rPr>
        <w:t>Feito em Bruxelas, em 31 de maio de 2023.</w:t>
      </w:r>
    </w:p>
    <w:p w14:paraId="6E6E00A1" w14:textId="77777777" w:rsidR="00465964" w:rsidRPr="00465964" w:rsidRDefault="00465964" w:rsidP="00465964">
      <w:pPr>
        <w:rPr>
          <w:lang w:val="pt-PT"/>
        </w:rPr>
      </w:pPr>
      <w:r w:rsidRPr="00465964">
        <w:rPr>
          <w:i/>
          <w:iCs/>
          <w:lang w:val="pt-PT"/>
        </w:rPr>
        <w:t>Pelo Parlamento Europeu</w:t>
      </w:r>
    </w:p>
    <w:p w14:paraId="0D1B1F1F" w14:textId="77777777" w:rsidR="00465964" w:rsidRPr="00465964" w:rsidRDefault="00465964" w:rsidP="00465964">
      <w:pPr>
        <w:rPr>
          <w:lang w:val="pt-PT"/>
        </w:rPr>
      </w:pPr>
      <w:r w:rsidRPr="00465964">
        <w:rPr>
          <w:i/>
          <w:iCs/>
          <w:lang w:val="pt-PT"/>
        </w:rPr>
        <w:t>A Presidente</w:t>
      </w:r>
    </w:p>
    <w:p w14:paraId="64859AD6" w14:textId="77777777" w:rsidR="00465964" w:rsidRPr="00465964" w:rsidRDefault="00465964" w:rsidP="00465964">
      <w:pPr>
        <w:rPr>
          <w:lang w:val="pt-PT"/>
        </w:rPr>
      </w:pPr>
      <w:r w:rsidRPr="00465964">
        <w:rPr>
          <w:lang w:val="pt-PT"/>
        </w:rPr>
        <w:t>R. METSOLA</w:t>
      </w:r>
    </w:p>
    <w:p w14:paraId="7491F4E2" w14:textId="77777777" w:rsidR="00465964" w:rsidRPr="00465964" w:rsidRDefault="00465964" w:rsidP="00465964">
      <w:pPr>
        <w:rPr>
          <w:lang w:val="pt-PT"/>
        </w:rPr>
      </w:pPr>
      <w:r w:rsidRPr="00465964">
        <w:rPr>
          <w:i/>
          <w:iCs/>
          <w:lang w:val="pt-PT"/>
        </w:rPr>
        <w:t>Pelo Conselho</w:t>
      </w:r>
    </w:p>
    <w:p w14:paraId="1E6C6695" w14:textId="77777777" w:rsidR="00465964" w:rsidRPr="00465964" w:rsidRDefault="00465964" w:rsidP="00465964">
      <w:pPr>
        <w:rPr>
          <w:lang w:val="pt-PT"/>
        </w:rPr>
      </w:pPr>
      <w:r w:rsidRPr="00465964">
        <w:rPr>
          <w:i/>
          <w:iCs/>
          <w:lang w:val="pt-PT"/>
        </w:rPr>
        <w:t>O Presidente</w:t>
      </w:r>
    </w:p>
    <w:p w14:paraId="3FA82BEF" w14:textId="77777777" w:rsidR="00465964" w:rsidRPr="00465964" w:rsidRDefault="00465964" w:rsidP="00465964">
      <w:pPr>
        <w:rPr>
          <w:lang w:val="pt-PT"/>
        </w:rPr>
      </w:pPr>
      <w:r w:rsidRPr="00465964">
        <w:rPr>
          <w:lang w:val="pt-PT"/>
        </w:rPr>
        <w:t>P. KULLGREN</w:t>
      </w:r>
    </w:p>
    <w:p w14:paraId="31AA4671" w14:textId="77777777" w:rsidR="00465964" w:rsidRPr="00465964" w:rsidRDefault="00465964" w:rsidP="00465964">
      <w:r w:rsidRPr="00465964">
        <w:pict w14:anchorId="5B4AC73D">
          <v:rect id="_x0000_i1067" style="width:130.9pt;height:.75pt" o:hrpct="0" o:hrstd="t" o:hrnoshade="t" o:hr="t" fillcolor="black" stroked="f"/>
        </w:pict>
      </w:r>
    </w:p>
    <w:p w14:paraId="6C5D35FD" w14:textId="77777777" w:rsidR="00465964" w:rsidRPr="00465964" w:rsidRDefault="00465964" w:rsidP="00465964">
      <w:pPr>
        <w:rPr>
          <w:lang w:val="pt-PT"/>
        </w:rPr>
      </w:pPr>
      <w:hyperlink r:id="rId69" w:anchor="ntc1-L_2023150PT.01004001-E0001" w:history="1">
        <w:r w:rsidRPr="00465964">
          <w:rPr>
            <w:rStyle w:val="Hyperlink"/>
            <w:lang w:val="pt-PT"/>
          </w:rPr>
          <w:t>(</w:t>
        </w:r>
        <w:r w:rsidRPr="00465964">
          <w:rPr>
            <w:rStyle w:val="Hyperlink"/>
            <w:vertAlign w:val="superscript"/>
            <w:lang w:val="pt-PT"/>
          </w:rPr>
          <w:t>1</w:t>
        </w:r>
        <w:r w:rsidRPr="00465964">
          <w:rPr>
            <w:rStyle w:val="Hyperlink"/>
            <w:lang w:val="pt-PT"/>
          </w:rPr>
          <w:t>)</w:t>
        </w:r>
      </w:hyperlink>
      <w:r w:rsidRPr="00465964">
        <w:rPr>
          <w:lang w:val="pt-PT"/>
        </w:rPr>
        <w:t>   </w:t>
      </w:r>
      <w:hyperlink r:id="rId70" w:history="1">
        <w:r w:rsidRPr="00465964">
          <w:rPr>
            <w:rStyle w:val="Hyperlink"/>
            <w:lang w:val="pt-PT"/>
          </w:rPr>
          <w:t>JO C 152 de 29.4.2021, p. 1</w:t>
        </w:r>
      </w:hyperlink>
      <w:r w:rsidRPr="00465964">
        <w:rPr>
          <w:lang w:val="pt-PT"/>
        </w:rPr>
        <w:t>.</w:t>
      </w:r>
    </w:p>
    <w:p w14:paraId="4EED1C0D" w14:textId="77777777" w:rsidR="00465964" w:rsidRPr="00465964" w:rsidRDefault="00465964" w:rsidP="00465964">
      <w:pPr>
        <w:rPr>
          <w:lang w:val="pt-PT"/>
        </w:rPr>
      </w:pPr>
      <w:hyperlink r:id="rId71" w:anchor="ntc2-L_2023150PT.01004001-E0002" w:history="1">
        <w:r w:rsidRPr="00465964">
          <w:rPr>
            <w:rStyle w:val="Hyperlink"/>
            <w:lang w:val="pt-PT"/>
          </w:rPr>
          <w:t>(</w:t>
        </w:r>
        <w:r w:rsidRPr="00465964">
          <w:rPr>
            <w:rStyle w:val="Hyperlink"/>
            <w:vertAlign w:val="superscript"/>
            <w:lang w:val="pt-PT"/>
          </w:rPr>
          <w:t>2</w:t>
        </w:r>
        <w:r w:rsidRPr="00465964">
          <w:rPr>
            <w:rStyle w:val="Hyperlink"/>
            <w:lang w:val="pt-PT"/>
          </w:rPr>
          <w:t>)</w:t>
        </w:r>
      </w:hyperlink>
      <w:r w:rsidRPr="00465964">
        <w:rPr>
          <w:lang w:val="pt-PT"/>
        </w:rPr>
        <w:t>   </w:t>
      </w:r>
      <w:hyperlink r:id="rId72" w:history="1">
        <w:r w:rsidRPr="00465964">
          <w:rPr>
            <w:rStyle w:val="Hyperlink"/>
            <w:lang w:val="pt-PT"/>
          </w:rPr>
          <w:t>JO C 155 de 30.4.2021, p. 31</w:t>
        </w:r>
      </w:hyperlink>
      <w:r w:rsidRPr="00465964">
        <w:rPr>
          <w:lang w:val="pt-PT"/>
        </w:rPr>
        <w:t>.</w:t>
      </w:r>
    </w:p>
    <w:p w14:paraId="795A0359" w14:textId="77777777" w:rsidR="00465964" w:rsidRPr="00465964" w:rsidRDefault="00465964" w:rsidP="00465964">
      <w:pPr>
        <w:rPr>
          <w:lang w:val="pt-PT"/>
        </w:rPr>
      </w:pPr>
      <w:hyperlink r:id="rId73" w:anchor="ntc3-L_2023150PT.01004001-E0003" w:history="1">
        <w:r w:rsidRPr="00465964">
          <w:rPr>
            <w:rStyle w:val="Hyperlink"/>
            <w:lang w:val="pt-PT"/>
          </w:rPr>
          <w:t>(</w:t>
        </w:r>
        <w:r w:rsidRPr="00465964">
          <w:rPr>
            <w:rStyle w:val="Hyperlink"/>
            <w:vertAlign w:val="superscript"/>
            <w:lang w:val="pt-PT"/>
          </w:rPr>
          <w:t>3</w:t>
        </w:r>
        <w:r w:rsidRPr="00465964">
          <w:rPr>
            <w:rStyle w:val="Hyperlink"/>
            <w:lang w:val="pt-PT"/>
          </w:rPr>
          <w:t>)</w:t>
        </w:r>
      </w:hyperlink>
      <w:r w:rsidRPr="00465964">
        <w:rPr>
          <w:lang w:val="pt-PT"/>
        </w:rPr>
        <w:t>  Posição do Parlamento Europeu de 20 de abril de 2023 (ainda não publicada no Jornal Oficial) e decisão do Conselho de 16 de maio de 2023.</w:t>
      </w:r>
    </w:p>
    <w:p w14:paraId="0D3F6B5D" w14:textId="77777777" w:rsidR="00465964" w:rsidRPr="00465964" w:rsidRDefault="00465964" w:rsidP="00465964">
      <w:pPr>
        <w:rPr>
          <w:lang w:val="pt-PT"/>
        </w:rPr>
      </w:pPr>
      <w:hyperlink r:id="rId74" w:anchor="ntc4-L_2023150PT.01004001-E0004" w:history="1">
        <w:r w:rsidRPr="00465964">
          <w:rPr>
            <w:rStyle w:val="Hyperlink"/>
            <w:lang w:val="pt-PT"/>
          </w:rPr>
          <w:t>(</w:t>
        </w:r>
        <w:r w:rsidRPr="00465964">
          <w:rPr>
            <w:rStyle w:val="Hyperlink"/>
            <w:vertAlign w:val="superscript"/>
            <w:lang w:val="pt-PT"/>
          </w:rPr>
          <w:t>4</w:t>
        </w:r>
        <w:r w:rsidRPr="00465964">
          <w:rPr>
            <w:rStyle w:val="Hyperlink"/>
            <w:lang w:val="pt-PT"/>
          </w:rPr>
          <w:t>)</w:t>
        </w:r>
      </w:hyperlink>
      <w:r w:rsidRPr="00465964">
        <w:rPr>
          <w:lang w:val="pt-PT"/>
        </w:rPr>
        <w:t>  Diretiva 2014/65/UE do Parlamento Europeu e do Conselho, de 15 de maio de 2014, relativa aos mercados de instrumentos financeiros e que altera a Diretiva 2002/92/CE e a Diretiva 2011/61/UE (</w:t>
      </w:r>
      <w:hyperlink r:id="rId75" w:history="1">
        <w:r w:rsidRPr="00465964">
          <w:rPr>
            <w:rStyle w:val="Hyperlink"/>
            <w:lang w:val="pt-PT"/>
          </w:rPr>
          <w:t>JO L 173 de 12.6.2014, p. 349</w:t>
        </w:r>
      </w:hyperlink>
      <w:r w:rsidRPr="00465964">
        <w:rPr>
          <w:lang w:val="pt-PT"/>
        </w:rPr>
        <w:t>).</w:t>
      </w:r>
    </w:p>
    <w:p w14:paraId="55069657" w14:textId="77777777" w:rsidR="00465964" w:rsidRPr="00465964" w:rsidRDefault="00465964" w:rsidP="00465964">
      <w:pPr>
        <w:rPr>
          <w:lang w:val="pt-PT"/>
        </w:rPr>
      </w:pPr>
      <w:hyperlink r:id="rId76" w:anchor="ntc5-L_2023150PT.01004001-E0005" w:history="1">
        <w:r w:rsidRPr="00465964">
          <w:rPr>
            <w:rStyle w:val="Hyperlink"/>
            <w:lang w:val="pt-PT"/>
          </w:rPr>
          <w:t>(</w:t>
        </w:r>
        <w:r w:rsidRPr="00465964">
          <w:rPr>
            <w:rStyle w:val="Hyperlink"/>
            <w:vertAlign w:val="superscript"/>
            <w:lang w:val="pt-PT"/>
          </w:rPr>
          <w:t>5</w:t>
        </w:r>
        <w:r w:rsidRPr="00465964">
          <w:rPr>
            <w:rStyle w:val="Hyperlink"/>
            <w:lang w:val="pt-PT"/>
          </w:rPr>
          <w:t>)</w:t>
        </w:r>
      </w:hyperlink>
      <w:r w:rsidRPr="00465964">
        <w:rPr>
          <w:lang w:val="pt-PT"/>
        </w:rPr>
        <w:t xml:space="preserve">  Regulamento (UE) </w:t>
      </w:r>
      <w:proofErr w:type="spellStart"/>
      <w:r w:rsidRPr="00465964">
        <w:rPr>
          <w:lang w:val="pt-PT"/>
        </w:rPr>
        <w:t>n.</w:t>
      </w:r>
      <w:r w:rsidRPr="00465964">
        <w:rPr>
          <w:vertAlign w:val="superscript"/>
          <w:lang w:val="pt-PT"/>
        </w:rPr>
        <w:t>o</w:t>
      </w:r>
      <w:proofErr w:type="spellEnd"/>
      <w:r w:rsidRPr="00465964">
        <w:rPr>
          <w:lang w:val="pt-PT"/>
        </w:rPr>
        <w:t xml:space="preserve"> 1095/2010 do Parlamento Europeu e do Conselho, de 24 de novembro de 2010, que cria uma Autoridade Europeia de Supervisão (Autoridade Europeia dos Valores Mobiliários e dos Mercados), altera a Decisão </w:t>
      </w:r>
      <w:proofErr w:type="spellStart"/>
      <w:r w:rsidRPr="00465964">
        <w:rPr>
          <w:lang w:val="pt-PT"/>
        </w:rPr>
        <w:t>n.</w:t>
      </w:r>
      <w:r w:rsidRPr="00465964">
        <w:rPr>
          <w:vertAlign w:val="superscript"/>
          <w:lang w:val="pt-PT"/>
        </w:rPr>
        <w:t>o</w:t>
      </w:r>
      <w:proofErr w:type="spellEnd"/>
      <w:r w:rsidRPr="00465964">
        <w:rPr>
          <w:lang w:val="pt-PT"/>
        </w:rPr>
        <w:t> 716/2009/CE e revoga a Decisão 2009/77/CE da Comissão (</w:t>
      </w:r>
      <w:hyperlink r:id="rId77" w:history="1">
        <w:r w:rsidRPr="00465964">
          <w:rPr>
            <w:rStyle w:val="Hyperlink"/>
            <w:lang w:val="pt-PT"/>
          </w:rPr>
          <w:t>JO L 331 de 15.12.2010, p. 84</w:t>
        </w:r>
      </w:hyperlink>
      <w:r w:rsidRPr="00465964">
        <w:rPr>
          <w:lang w:val="pt-PT"/>
        </w:rPr>
        <w:t>).</w:t>
      </w:r>
    </w:p>
    <w:p w14:paraId="78C27359" w14:textId="77777777" w:rsidR="00465964" w:rsidRPr="00465964" w:rsidRDefault="00465964" w:rsidP="00465964">
      <w:pPr>
        <w:rPr>
          <w:lang w:val="pt-PT"/>
        </w:rPr>
      </w:pPr>
      <w:hyperlink r:id="rId78" w:anchor="ntc6-L_2023150PT.01004001-E0006" w:history="1">
        <w:r w:rsidRPr="00465964">
          <w:rPr>
            <w:rStyle w:val="Hyperlink"/>
            <w:lang w:val="pt-PT"/>
          </w:rPr>
          <w:t>(</w:t>
        </w:r>
        <w:r w:rsidRPr="00465964">
          <w:rPr>
            <w:rStyle w:val="Hyperlink"/>
            <w:vertAlign w:val="superscript"/>
            <w:lang w:val="pt-PT"/>
          </w:rPr>
          <w:t>6</w:t>
        </w:r>
        <w:r w:rsidRPr="00465964">
          <w:rPr>
            <w:rStyle w:val="Hyperlink"/>
            <w:lang w:val="pt-PT"/>
          </w:rPr>
          <w:t>)</w:t>
        </w:r>
      </w:hyperlink>
      <w:r w:rsidRPr="00465964">
        <w:rPr>
          <w:lang w:val="pt-PT"/>
        </w:rPr>
        <w:t xml:space="preserve">  Regulamento (UE) </w:t>
      </w:r>
      <w:proofErr w:type="spellStart"/>
      <w:r w:rsidRPr="00465964">
        <w:rPr>
          <w:lang w:val="pt-PT"/>
        </w:rPr>
        <w:t>n.</w:t>
      </w:r>
      <w:r w:rsidRPr="00465964">
        <w:rPr>
          <w:vertAlign w:val="superscript"/>
          <w:lang w:val="pt-PT"/>
        </w:rPr>
        <w:t>o</w:t>
      </w:r>
      <w:proofErr w:type="spellEnd"/>
      <w:r w:rsidRPr="00465964">
        <w:rPr>
          <w:lang w:val="pt-PT"/>
        </w:rPr>
        <w:t xml:space="preserve"> 1093/2010 do Parlamento Europeu e do Conselho, de 24 de novembro de 2010, que cria uma Autoridade Europeia de Supervisão (Autoridade Bancária Europeia), altera a Decisão </w:t>
      </w:r>
      <w:proofErr w:type="spellStart"/>
      <w:r w:rsidRPr="00465964">
        <w:rPr>
          <w:lang w:val="pt-PT"/>
        </w:rPr>
        <w:t>n.</w:t>
      </w:r>
      <w:r w:rsidRPr="00465964">
        <w:rPr>
          <w:vertAlign w:val="superscript"/>
          <w:lang w:val="pt-PT"/>
        </w:rPr>
        <w:t>o</w:t>
      </w:r>
      <w:proofErr w:type="spellEnd"/>
      <w:r w:rsidRPr="00465964">
        <w:rPr>
          <w:lang w:val="pt-PT"/>
        </w:rPr>
        <w:t> 716/2009/CE e revoga a Decisão 2009/78/CE da Comissão (</w:t>
      </w:r>
      <w:hyperlink r:id="rId79" w:history="1">
        <w:r w:rsidRPr="00465964">
          <w:rPr>
            <w:rStyle w:val="Hyperlink"/>
            <w:lang w:val="pt-PT"/>
          </w:rPr>
          <w:t>JO L 331 de 15.12.2010, p. 12</w:t>
        </w:r>
      </w:hyperlink>
      <w:r w:rsidRPr="00465964">
        <w:rPr>
          <w:lang w:val="pt-PT"/>
        </w:rPr>
        <w:t>).</w:t>
      </w:r>
    </w:p>
    <w:p w14:paraId="56D0252D" w14:textId="77777777" w:rsidR="00465964" w:rsidRPr="00465964" w:rsidRDefault="00465964" w:rsidP="00465964">
      <w:pPr>
        <w:rPr>
          <w:lang w:val="pt-PT"/>
        </w:rPr>
      </w:pPr>
      <w:hyperlink r:id="rId80" w:anchor="ntc7-L_2023150PT.01004001-E0007" w:history="1">
        <w:r w:rsidRPr="00465964">
          <w:rPr>
            <w:rStyle w:val="Hyperlink"/>
            <w:lang w:val="pt-PT"/>
          </w:rPr>
          <w:t>(</w:t>
        </w:r>
        <w:r w:rsidRPr="00465964">
          <w:rPr>
            <w:rStyle w:val="Hyperlink"/>
            <w:vertAlign w:val="superscript"/>
            <w:lang w:val="pt-PT"/>
          </w:rPr>
          <w:t>7</w:t>
        </w:r>
        <w:r w:rsidRPr="00465964">
          <w:rPr>
            <w:rStyle w:val="Hyperlink"/>
            <w:lang w:val="pt-PT"/>
          </w:rPr>
          <w:t>)</w:t>
        </w:r>
      </w:hyperlink>
      <w:r w:rsidRPr="00465964">
        <w:rPr>
          <w:lang w:val="pt-PT"/>
        </w:rPr>
        <w:t>  Diretiva 2014/49/UE do Parlamento Europeu e do Conselho, de 16 de abril de 2014, relativa aos sistemas de garantia de depósitos (</w:t>
      </w:r>
      <w:hyperlink r:id="rId81" w:history="1">
        <w:r w:rsidRPr="00465964">
          <w:rPr>
            <w:rStyle w:val="Hyperlink"/>
            <w:lang w:val="pt-PT"/>
          </w:rPr>
          <w:t>JO L 173 de 12.6.2014, p. 149</w:t>
        </w:r>
      </w:hyperlink>
      <w:r w:rsidRPr="00465964">
        <w:rPr>
          <w:lang w:val="pt-PT"/>
        </w:rPr>
        <w:t>).</w:t>
      </w:r>
    </w:p>
    <w:p w14:paraId="0A2F1554" w14:textId="77777777" w:rsidR="00465964" w:rsidRPr="00465964" w:rsidRDefault="00465964" w:rsidP="00465964">
      <w:pPr>
        <w:rPr>
          <w:lang w:val="pt-PT"/>
        </w:rPr>
      </w:pPr>
      <w:hyperlink r:id="rId82" w:anchor="ntc8-L_2023150PT.01004001-E0008" w:history="1">
        <w:r w:rsidRPr="00465964">
          <w:rPr>
            <w:rStyle w:val="Hyperlink"/>
            <w:lang w:val="pt-PT"/>
          </w:rPr>
          <w:t>(</w:t>
        </w:r>
        <w:r w:rsidRPr="00465964">
          <w:rPr>
            <w:rStyle w:val="Hyperlink"/>
            <w:vertAlign w:val="superscript"/>
            <w:lang w:val="pt-PT"/>
          </w:rPr>
          <w:t>8</w:t>
        </w:r>
        <w:r w:rsidRPr="00465964">
          <w:rPr>
            <w:rStyle w:val="Hyperlink"/>
            <w:lang w:val="pt-PT"/>
          </w:rPr>
          <w:t>)</w:t>
        </w:r>
      </w:hyperlink>
      <w:r w:rsidRPr="00465964">
        <w:rPr>
          <w:lang w:val="pt-PT"/>
        </w:rPr>
        <w:t xml:space="preserve">  Diretiva (UE) 2015/2366 do Parlamento Europeu e do Conselho, de 25 de novembro de 2015, relativa aos serviços de pagamento no mercado interno, que altera as Diretivas 2002/65/CE, 2009/110/CE e 2013/36/UE e o Regulamento (UE) </w:t>
      </w:r>
      <w:proofErr w:type="spellStart"/>
      <w:r w:rsidRPr="00465964">
        <w:rPr>
          <w:lang w:val="pt-PT"/>
        </w:rPr>
        <w:t>n.</w:t>
      </w:r>
      <w:r w:rsidRPr="00465964">
        <w:rPr>
          <w:vertAlign w:val="superscript"/>
          <w:lang w:val="pt-PT"/>
        </w:rPr>
        <w:t>o</w:t>
      </w:r>
      <w:proofErr w:type="spellEnd"/>
      <w:r w:rsidRPr="00465964">
        <w:rPr>
          <w:lang w:val="pt-PT"/>
        </w:rPr>
        <w:t> 1093/2010, e que revoga a Diretiva 2007/64/CE (</w:t>
      </w:r>
      <w:hyperlink r:id="rId83" w:history="1">
        <w:r w:rsidRPr="00465964">
          <w:rPr>
            <w:rStyle w:val="Hyperlink"/>
            <w:lang w:val="pt-PT"/>
          </w:rPr>
          <w:t>JO L 337 de 23.12.2015, p. 35</w:t>
        </w:r>
      </w:hyperlink>
      <w:r w:rsidRPr="00465964">
        <w:rPr>
          <w:lang w:val="pt-PT"/>
        </w:rPr>
        <w:t>).</w:t>
      </w:r>
    </w:p>
    <w:p w14:paraId="4B51F328" w14:textId="77777777" w:rsidR="00465964" w:rsidRPr="00465964" w:rsidRDefault="00465964" w:rsidP="00465964">
      <w:pPr>
        <w:rPr>
          <w:lang w:val="pt-PT"/>
        </w:rPr>
      </w:pPr>
      <w:hyperlink r:id="rId84" w:anchor="ntc9-L_2023150PT.01004001-E0009" w:history="1">
        <w:r w:rsidRPr="00465964">
          <w:rPr>
            <w:rStyle w:val="Hyperlink"/>
            <w:lang w:val="pt-PT"/>
          </w:rPr>
          <w:t>(</w:t>
        </w:r>
        <w:r w:rsidRPr="00465964">
          <w:rPr>
            <w:rStyle w:val="Hyperlink"/>
            <w:vertAlign w:val="superscript"/>
            <w:lang w:val="pt-PT"/>
          </w:rPr>
          <w:t>9</w:t>
        </w:r>
        <w:r w:rsidRPr="00465964">
          <w:rPr>
            <w:rStyle w:val="Hyperlink"/>
            <w:lang w:val="pt-PT"/>
          </w:rPr>
          <w:t>)</w:t>
        </w:r>
      </w:hyperlink>
      <w:r w:rsidRPr="00465964">
        <w:rPr>
          <w:lang w:val="pt-PT"/>
        </w:rPr>
        <w:t xml:space="preserve">  Regulamento (UE) 2017/2402 do Parlamento Europeu e do Conselho, de 12 de dezembro de 2017, que estabelece um regime geral para a titularização e cria um regime específico para a titularização simples, transparente e padronizada, e que altera as Diretivas 2009/65/CE, 2009/138/CE e 2011/61/UE e os Regulamentos (CE) </w:t>
      </w:r>
      <w:proofErr w:type="spellStart"/>
      <w:r w:rsidRPr="00465964">
        <w:rPr>
          <w:lang w:val="pt-PT"/>
        </w:rPr>
        <w:t>n.</w:t>
      </w:r>
      <w:r w:rsidRPr="00465964">
        <w:rPr>
          <w:vertAlign w:val="superscript"/>
          <w:lang w:val="pt-PT"/>
        </w:rPr>
        <w:t>o</w:t>
      </w:r>
      <w:proofErr w:type="spellEnd"/>
      <w:r w:rsidRPr="00465964">
        <w:rPr>
          <w:lang w:val="pt-PT"/>
        </w:rPr>
        <w:t xml:space="preserve"> 1060/2009 e (UE) </w:t>
      </w:r>
      <w:proofErr w:type="spellStart"/>
      <w:r w:rsidRPr="00465964">
        <w:rPr>
          <w:lang w:val="pt-PT"/>
        </w:rPr>
        <w:t>n.</w:t>
      </w:r>
      <w:r w:rsidRPr="00465964">
        <w:rPr>
          <w:vertAlign w:val="superscript"/>
          <w:lang w:val="pt-PT"/>
        </w:rPr>
        <w:t>o</w:t>
      </w:r>
      <w:proofErr w:type="spellEnd"/>
      <w:r w:rsidRPr="00465964">
        <w:rPr>
          <w:lang w:val="pt-PT"/>
        </w:rPr>
        <w:t> 648/2012 (</w:t>
      </w:r>
      <w:hyperlink r:id="rId85" w:history="1">
        <w:r w:rsidRPr="00465964">
          <w:rPr>
            <w:rStyle w:val="Hyperlink"/>
            <w:lang w:val="pt-PT"/>
          </w:rPr>
          <w:t>JO L 347 de 28.12.2017, p. 35</w:t>
        </w:r>
      </w:hyperlink>
      <w:r w:rsidRPr="00465964">
        <w:rPr>
          <w:lang w:val="pt-PT"/>
        </w:rPr>
        <w:t>).</w:t>
      </w:r>
    </w:p>
    <w:p w14:paraId="21EA35DA" w14:textId="77777777" w:rsidR="00465964" w:rsidRPr="00465964" w:rsidRDefault="00465964" w:rsidP="00465964">
      <w:pPr>
        <w:rPr>
          <w:lang w:val="pt-PT"/>
        </w:rPr>
      </w:pPr>
      <w:hyperlink r:id="rId86" w:anchor="ntc10-L_2023150PT.01004001-E0010" w:history="1">
        <w:r w:rsidRPr="00465964">
          <w:rPr>
            <w:rStyle w:val="Hyperlink"/>
            <w:lang w:val="pt-PT"/>
          </w:rPr>
          <w:t>(</w:t>
        </w:r>
        <w:r w:rsidRPr="00465964">
          <w:rPr>
            <w:rStyle w:val="Hyperlink"/>
            <w:vertAlign w:val="superscript"/>
            <w:lang w:val="pt-PT"/>
          </w:rPr>
          <w:t>10</w:t>
        </w:r>
        <w:r w:rsidRPr="00465964">
          <w:rPr>
            <w:rStyle w:val="Hyperlink"/>
            <w:lang w:val="pt-PT"/>
          </w:rPr>
          <w:t>)</w:t>
        </w:r>
      </w:hyperlink>
      <w:r w:rsidRPr="00465964">
        <w:rPr>
          <w:lang w:val="pt-PT"/>
        </w:rPr>
        <w:t>  Diretiva 2009/110/CE do Parlamento Europeu e do Conselho, de 16 de setembro de 2009, relativa ao acesso à atividade das instituições de moeda eletrónica, ao seu exercício e à sua supervisão prudencial, que altera as Diretivas 2005/60/CE e 2006/48/CE e revoga a Diretiva 2000/46/CE (</w:t>
      </w:r>
      <w:hyperlink r:id="rId87" w:history="1">
        <w:r w:rsidRPr="00465964">
          <w:rPr>
            <w:rStyle w:val="Hyperlink"/>
            <w:lang w:val="pt-PT"/>
          </w:rPr>
          <w:t>JO L 267 de 10.10.2009, p. 7</w:t>
        </w:r>
      </w:hyperlink>
      <w:r w:rsidRPr="00465964">
        <w:rPr>
          <w:lang w:val="pt-PT"/>
        </w:rPr>
        <w:t>).</w:t>
      </w:r>
    </w:p>
    <w:p w14:paraId="3120AA63" w14:textId="77777777" w:rsidR="00465964" w:rsidRPr="00465964" w:rsidRDefault="00465964" w:rsidP="00465964">
      <w:pPr>
        <w:rPr>
          <w:lang w:val="pt-PT"/>
        </w:rPr>
      </w:pPr>
      <w:hyperlink r:id="rId88" w:anchor="ntc11-L_2023150PT.01004001-E0011" w:history="1">
        <w:r w:rsidRPr="00465964">
          <w:rPr>
            <w:rStyle w:val="Hyperlink"/>
            <w:lang w:val="pt-PT"/>
          </w:rPr>
          <w:t>(</w:t>
        </w:r>
        <w:r w:rsidRPr="00465964">
          <w:rPr>
            <w:rStyle w:val="Hyperlink"/>
            <w:vertAlign w:val="superscript"/>
            <w:lang w:val="pt-PT"/>
          </w:rPr>
          <w:t>11</w:t>
        </w:r>
        <w:r w:rsidRPr="00465964">
          <w:rPr>
            <w:rStyle w:val="Hyperlink"/>
            <w:lang w:val="pt-PT"/>
          </w:rPr>
          <w:t>)</w:t>
        </w:r>
      </w:hyperlink>
      <w:r w:rsidRPr="00465964">
        <w:rPr>
          <w:lang w:val="pt-PT"/>
        </w:rPr>
        <w:t xml:space="preserve">  Regulamento (UE) </w:t>
      </w:r>
      <w:proofErr w:type="spellStart"/>
      <w:r w:rsidRPr="00465964">
        <w:rPr>
          <w:lang w:val="pt-PT"/>
        </w:rPr>
        <w:t>n.</w:t>
      </w:r>
      <w:r w:rsidRPr="00465964">
        <w:rPr>
          <w:vertAlign w:val="superscript"/>
          <w:lang w:val="pt-PT"/>
        </w:rPr>
        <w:t>o</w:t>
      </w:r>
      <w:proofErr w:type="spellEnd"/>
      <w:r w:rsidRPr="00465964">
        <w:rPr>
          <w:lang w:val="pt-PT"/>
        </w:rPr>
        <w:t xml:space="preserve"> 1094/2010 do Parlamento Europeu e do Conselho, de 24 de novembro de 2010, que cria uma Autoridade Europeia de Supervisão (Autoridade Europeia dos Seguros e Pensões Complementares de Reforma), altera a Decisão </w:t>
      </w:r>
      <w:proofErr w:type="spellStart"/>
      <w:r w:rsidRPr="00465964">
        <w:rPr>
          <w:lang w:val="pt-PT"/>
        </w:rPr>
        <w:t>n.</w:t>
      </w:r>
      <w:r w:rsidRPr="00465964">
        <w:rPr>
          <w:vertAlign w:val="superscript"/>
          <w:lang w:val="pt-PT"/>
        </w:rPr>
        <w:t>o</w:t>
      </w:r>
      <w:proofErr w:type="spellEnd"/>
      <w:r w:rsidRPr="00465964">
        <w:rPr>
          <w:lang w:val="pt-PT"/>
        </w:rPr>
        <w:t> 716/2009/CE e revoga a Decisão 2009/79/CE da Comissão (</w:t>
      </w:r>
      <w:hyperlink r:id="rId89" w:history="1">
        <w:r w:rsidRPr="00465964">
          <w:rPr>
            <w:rStyle w:val="Hyperlink"/>
            <w:lang w:val="pt-PT"/>
          </w:rPr>
          <w:t>JO L 331 de 15.12.2010, p. 48</w:t>
        </w:r>
      </w:hyperlink>
      <w:r w:rsidRPr="00465964">
        <w:rPr>
          <w:lang w:val="pt-PT"/>
        </w:rPr>
        <w:t>).</w:t>
      </w:r>
    </w:p>
    <w:p w14:paraId="4D3568AA" w14:textId="77777777" w:rsidR="00465964" w:rsidRPr="00465964" w:rsidRDefault="00465964" w:rsidP="00465964">
      <w:pPr>
        <w:rPr>
          <w:lang w:val="pt-PT"/>
        </w:rPr>
      </w:pPr>
      <w:hyperlink r:id="rId90" w:anchor="ntc12-L_2023150PT.01004001-E0012" w:history="1">
        <w:r w:rsidRPr="00465964">
          <w:rPr>
            <w:rStyle w:val="Hyperlink"/>
            <w:lang w:val="pt-PT"/>
          </w:rPr>
          <w:t>(</w:t>
        </w:r>
        <w:r w:rsidRPr="00465964">
          <w:rPr>
            <w:rStyle w:val="Hyperlink"/>
            <w:vertAlign w:val="superscript"/>
            <w:lang w:val="pt-PT"/>
          </w:rPr>
          <w:t>12</w:t>
        </w:r>
        <w:r w:rsidRPr="00465964">
          <w:rPr>
            <w:rStyle w:val="Hyperlink"/>
            <w:lang w:val="pt-PT"/>
          </w:rPr>
          <w:t>)</w:t>
        </w:r>
      </w:hyperlink>
      <w:r w:rsidRPr="00465964">
        <w:rPr>
          <w:lang w:val="pt-PT"/>
        </w:rPr>
        <w:t xml:space="preserve">  Regulamento (UE) </w:t>
      </w:r>
      <w:proofErr w:type="spellStart"/>
      <w:r w:rsidRPr="00465964">
        <w:rPr>
          <w:lang w:val="pt-PT"/>
        </w:rPr>
        <w:t>n.</w:t>
      </w:r>
      <w:r w:rsidRPr="00465964">
        <w:rPr>
          <w:vertAlign w:val="superscript"/>
          <w:lang w:val="pt-PT"/>
        </w:rPr>
        <w:t>o</w:t>
      </w:r>
      <w:proofErr w:type="spellEnd"/>
      <w:r w:rsidRPr="00465964">
        <w:rPr>
          <w:lang w:val="pt-PT"/>
        </w:rPr>
        <w:t> 1024/2013 do Conselho, de 15 de outubro de 2013, que confere ao BCE atribuições específicas no que diz respeito às políticas relativas à supervisão prudencial das instituições de crédito (</w:t>
      </w:r>
      <w:hyperlink r:id="rId91" w:history="1">
        <w:r w:rsidRPr="00465964">
          <w:rPr>
            <w:rStyle w:val="Hyperlink"/>
            <w:lang w:val="pt-PT"/>
          </w:rPr>
          <w:t>JO L 287 de 29.10.2013, p. 63</w:t>
        </w:r>
      </w:hyperlink>
      <w:r w:rsidRPr="00465964">
        <w:rPr>
          <w:lang w:val="pt-PT"/>
        </w:rPr>
        <w:t>).</w:t>
      </w:r>
    </w:p>
    <w:p w14:paraId="14FD0D4A" w14:textId="77777777" w:rsidR="00465964" w:rsidRPr="00465964" w:rsidRDefault="00465964" w:rsidP="00465964">
      <w:pPr>
        <w:rPr>
          <w:lang w:val="pt-PT"/>
        </w:rPr>
      </w:pPr>
      <w:hyperlink r:id="rId92" w:anchor="ntc13-L_2023150PT.01004001-E0013" w:history="1">
        <w:r w:rsidRPr="00465964">
          <w:rPr>
            <w:rStyle w:val="Hyperlink"/>
            <w:lang w:val="pt-PT"/>
          </w:rPr>
          <w:t>(</w:t>
        </w:r>
        <w:r w:rsidRPr="00465964">
          <w:rPr>
            <w:rStyle w:val="Hyperlink"/>
            <w:vertAlign w:val="superscript"/>
            <w:lang w:val="pt-PT"/>
          </w:rPr>
          <w:t>13</w:t>
        </w:r>
        <w:r w:rsidRPr="00465964">
          <w:rPr>
            <w:rStyle w:val="Hyperlink"/>
            <w:lang w:val="pt-PT"/>
          </w:rPr>
          <w:t>)</w:t>
        </w:r>
      </w:hyperlink>
      <w:r w:rsidRPr="00465964">
        <w:rPr>
          <w:lang w:val="pt-PT"/>
        </w:rPr>
        <w:t>  Diretiva 2013/36/UE do Parlamento Europeu e do Conselho, de 26 de junho de 2013, relativa ao acesso à atividade das instituições de crédito e à supervisão prudencial das instituições de crédito, que altera a Diretiva 2002/87/CE e revoga as Diretivas 2006/48/CE e 2006/49/CE (</w:t>
      </w:r>
      <w:hyperlink r:id="rId93" w:history="1">
        <w:r w:rsidRPr="00465964">
          <w:rPr>
            <w:rStyle w:val="Hyperlink"/>
            <w:lang w:val="pt-PT"/>
          </w:rPr>
          <w:t>JO L 176 de 27.6.2013, p. 338</w:t>
        </w:r>
      </w:hyperlink>
      <w:r w:rsidRPr="00465964">
        <w:rPr>
          <w:lang w:val="pt-PT"/>
        </w:rPr>
        <w:t>).</w:t>
      </w:r>
    </w:p>
    <w:p w14:paraId="4AF386F4" w14:textId="77777777" w:rsidR="00465964" w:rsidRPr="00465964" w:rsidRDefault="00465964" w:rsidP="00465964">
      <w:pPr>
        <w:rPr>
          <w:lang w:val="pt-PT"/>
        </w:rPr>
      </w:pPr>
      <w:hyperlink r:id="rId94" w:anchor="ntc14-L_2023150PT.01004001-E0014" w:history="1">
        <w:r w:rsidRPr="00465964">
          <w:rPr>
            <w:rStyle w:val="Hyperlink"/>
            <w:lang w:val="pt-PT"/>
          </w:rPr>
          <w:t>(</w:t>
        </w:r>
        <w:r w:rsidRPr="00465964">
          <w:rPr>
            <w:rStyle w:val="Hyperlink"/>
            <w:vertAlign w:val="superscript"/>
            <w:lang w:val="pt-PT"/>
          </w:rPr>
          <w:t>14</w:t>
        </w:r>
        <w:r w:rsidRPr="00465964">
          <w:rPr>
            <w:rStyle w:val="Hyperlink"/>
            <w:lang w:val="pt-PT"/>
          </w:rPr>
          <w:t>)</w:t>
        </w:r>
      </w:hyperlink>
      <w:r w:rsidRPr="00465964">
        <w:rPr>
          <w:lang w:val="pt-PT"/>
        </w:rPr>
        <w:t xml:space="preserve">  Diretiva 2005/29/CE do Parlamento Europeu e do Conselho, de 11 de maio de 2005, relativa às práticas comerciais desleais das empresas face aos consumidores no mercado interno e que altera a Diretiva 84/450/CEE do Conselho, as Diretivas 97/7/CE, 98/27/CE e 2002/65/CE do Parlamento Europeu e do Conselho e o Regulamento (CE) </w:t>
      </w:r>
      <w:proofErr w:type="spellStart"/>
      <w:r w:rsidRPr="00465964">
        <w:rPr>
          <w:lang w:val="pt-PT"/>
        </w:rPr>
        <w:t>n.</w:t>
      </w:r>
      <w:r w:rsidRPr="00465964">
        <w:rPr>
          <w:vertAlign w:val="superscript"/>
          <w:lang w:val="pt-PT"/>
        </w:rPr>
        <w:t>o</w:t>
      </w:r>
      <w:proofErr w:type="spellEnd"/>
      <w:r w:rsidRPr="00465964">
        <w:rPr>
          <w:lang w:val="pt-PT"/>
        </w:rPr>
        <w:t> 2006/2004 do Parlamento Europeu e do Conselho («diretiva relativa às práticas comerciais desleais») (</w:t>
      </w:r>
      <w:hyperlink r:id="rId95" w:history="1">
        <w:r w:rsidRPr="00465964">
          <w:rPr>
            <w:rStyle w:val="Hyperlink"/>
            <w:lang w:val="pt-PT"/>
          </w:rPr>
          <w:t>JO L 149 de 11.6.2005, p. 22</w:t>
        </w:r>
      </w:hyperlink>
      <w:r w:rsidRPr="00465964">
        <w:rPr>
          <w:lang w:val="pt-PT"/>
        </w:rPr>
        <w:t>).</w:t>
      </w:r>
    </w:p>
    <w:p w14:paraId="7B8D2BE2" w14:textId="77777777" w:rsidR="00465964" w:rsidRPr="00465964" w:rsidRDefault="00465964" w:rsidP="00465964">
      <w:pPr>
        <w:rPr>
          <w:lang w:val="pt-PT"/>
        </w:rPr>
      </w:pPr>
      <w:hyperlink r:id="rId96" w:anchor="ntc15-L_2023150PT.01004001-E0015" w:history="1">
        <w:r w:rsidRPr="00465964">
          <w:rPr>
            <w:rStyle w:val="Hyperlink"/>
            <w:lang w:val="pt-PT"/>
          </w:rPr>
          <w:t>(</w:t>
        </w:r>
        <w:r w:rsidRPr="00465964">
          <w:rPr>
            <w:rStyle w:val="Hyperlink"/>
            <w:vertAlign w:val="superscript"/>
            <w:lang w:val="pt-PT"/>
          </w:rPr>
          <w:t>15</w:t>
        </w:r>
        <w:r w:rsidRPr="00465964">
          <w:rPr>
            <w:rStyle w:val="Hyperlink"/>
            <w:lang w:val="pt-PT"/>
          </w:rPr>
          <w:t>)</w:t>
        </w:r>
      </w:hyperlink>
      <w:r w:rsidRPr="00465964">
        <w:rPr>
          <w:lang w:val="pt-PT"/>
        </w:rPr>
        <w:t>  Diretiva 93/13/CEE do Conselho, de 5 de abril de 1993, relativa às cláusulas abusivas nos contratos celebrados com os consumidores (</w:t>
      </w:r>
      <w:hyperlink r:id="rId97" w:history="1">
        <w:r w:rsidRPr="00465964">
          <w:rPr>
            <w:rStyle w:val="Hyperlink"/>
            <w:lang w:val="pt-PT"/>
          </w:rPr>
          <w:t>JO L 95 de 21.4.1993, p. 29</w:t>
        </w:r>
      </w:hyperlink>
      <w:r w:rsidRPr="00465964">
        <w:rPr>
          <w:lang w:val="pt-PT"/>
        </w:rPr>
        <w:t>).</w:t>
      </w:r>
    </w:p>
    <w:p w14:paraId="71D976DB" w14:textId="77777777" w:rsidR="00465964" w:rsidRPr="00465964" w:rsidRDefault="00465964" w:rsidP="00465964">
      <w:pPr>
        <w:rPr>
          <w:lang w:val="pt-PT"/>
        </w:rPr>
      </w:pPr>
      <w:hyperlink r:id="rId98" w:anchor="ntc16-L_2023150PT.01004001-E0016" w:history="1">
        <w:r w:rsidRPr="00465964">
          <w:rPr>
            <w:rStyle w:val="Hyperlink"/>
            <w:lang w:val="pt-PT"/>
          </w:rPr>
          <w:t>(</w:t>
        </w:r>
        <w:r w:rsidRPr="00465964">
          <w:rPr>
            <w:rStyle w:val="Hyperlink"/>
            <w:vertAlign w:val="superscript"/>
            <w:lang w:val="pt-PT"/>
          </w:rPr>
          <w:t>16</w:t>
        </w:r>
        <w:r w:rsidRPr="00465964">
          <w:rPr>
            <w:rStyle w:val="Hyperlink"/>
            <w:lang w:val="pt-PT"/>
          </w:rPr>
          <w:t>)</w:t>
        </w:r>
      </w:hyperlink>
      <w:r w:rsidRPr="00465964">
        <w:rPr>
          <w:lang w:val="pt-PT"/>
        </w:rPr>
        <w:t>  Diretiva 2002/65/CE do Parlamento Europeu e do Conselho, de 23 de setembro de 2002, relativa à comercialização à distância de serviços financeiros prestados a consumidores e que altera as Diretivas 90/619/CEE do Conselho, 97/7/CE e 98/27/CE (</w:t>
      </w:r>
      <w:hyperlink r:id="rId99" w:history="1">
        <w:r w:rsidRPr="00465964">
          <w:rPr>
            <w:rStyle w:val="Hyperlink"/>
            <w:lang w:val="pt-PT"/>
          </w:rPr>
          <w:t>JO L 271 de 9.10.2002, p. 16</w:t>
        </w:r>
      </w:hyperlink>
      <w:r w:rsidRPr="00465964">
        <w:rPr>
          <w:lang w:val="pt-PT"/>
        </w:rPr>
        <w:t>).</w:t>
      </w:r>
    </w:p>
    <w:p w14:paraId="3EB1B635" w14:textId="77777777" w:rsidR="00465964" w:rsidRPr="00465964" w:rsidRDefault="00465964" w:rsidP="00465964">
      <w:pPr>
        <w:rPr>
          <w:lang w:val="pt-PT"/>
        </w:rPr>
      </w:pPr>
      <w:hyperlink r:id="rId100" w:anchor="ntc17-L_2023150PT.01004001-E0017" w:history="1">
        <w:r w:rsidRPr="00465964">
          <w:rPr>
            <w:rStyle w:val="Hyperlink"/>
            <w:lang w:val="pt-PT"/>
          </w:rPr>
          <w:t>(</w:t>
        </w:r>
        <w:r w:rsidRPr="00465964">
          <w:rPr>
            <w:rStyle w:val="Hyperlink"/>
            <w:vertAlign w:val="superscript"/>
            <w:lang w:val="pt-PT"/>
          </w:rPr>
          <w:t>17</w:t>
        </w:r>
        <w:r w:rsidRPr="00465964">
          <w:rPr>
            <w:rStyle w:val="Hyperlink"/>
            <w:lang w:val="pt-PT"/>
          </w:rPr>
          <w:t>)</w:t>
        </w:r>
      </w:hyperlink>
      <w:r w:rsidRPr="00465964">
        <w:rPr>
          <w:lang w:val="pt-PT"/>
        </w:rPr>
        <w:t xml:space="preserve">  Regulamento (UE) </w:t>
      </w:r>
      <w:proofErr w:type="spellStart"/>
      <w:r w:rsidRPr="00465964">
        <w:rPr>
          <w:lang w:val="pt-PT"/>
        </w:rPr>
        <w:t>n.</w:t>
      </w:r>
      <w:r w:rsidRPr="00465964">
        <w:rPr>
          <w:vertAlign w:val="superscript"/>
          <w:lang w:val="pt-PT"/>
        </w:rPr>
        <w:t>o</w:t>
      </w:r>
      <w:proofErr w:type="spellEnd"/>
      <w:r w:rsidRPr="00465964">
        <w:rPr>
          <w:lang w:val="pt-PT"/>
        </w:rPr>
        <w:t xml:space="preserve"> 575/2013 do Parlamento Europeu e do Conselho, de 26 de junho de 2013, relativo aos requisitos prudenciais para as instituições de crédito e para as empresas de investimento e que altera o Regulamento (UE) </w:t>
      </w:r>
      <w:proofErr w:type="spellStart"/>
      <w:r w:rsidRPr="00465964">
        <w:rPr>
          <w:lang w:val="pt-PT"/>
        </w:rPr>
        <w:t>n.</w:t>
      </w:r>
      <w:r w:rsidRPr="00465964">
        <w:rPr>
          <w:vertAlign w:val="superscript"/>
          <w:lang w:val="pt-PT"/>
        </w:rPr>
        <w:t>o</w:t>
      </w:r>
      <w:proofErr w:type="spellEnd"/>
      <w:r w:rsidRPr="00465964">
        <w:rPr>
          <w:lang w:val="pt-PT"/>
        </w:rPr>
        <w:t> 648/2012 (</w:t>
      </w:r>
      <w:hyperlink r:id="rId101" w:history="1">
        <w:r w:rsidRPr="00465964">
          <w:rPr>
            <w:rStyle w:val="Hyperlink"/>
            <w:lang w:val="pt-PT"/>
          </w:rPr>
          <w:t>JO L 176 de 27.6.2013, p. 1</w:t>
        </w:r>
      </w:hyperlink>
      <w:r w:rsidRPr="00465964">
        <w:rPr>
          <w:lang w:val="pt-PT"/>
        </w:rPr>
        <w:t>).</w:t>
      </w:r>
    </w:p>
    <w:p w14:paraId="42A7D277" w14:textId="77777777" w:rsidR="00465964" w:rsidRPr="00465964" w:rsidRDefault="00465964" w:rsidP="00465964">
      <w:pPr>
        <w:rPr>
          <w:lang w:val="pt-PT"/>
        </w:rPr>
      </w:pPr>
      <w:hyperlink r:id="rId102" w:anchor="ntc18-L_2023150PT.01004001-E0018" w:history="1">
        <w:r w:rsidRPr="00465964">
          <w:rPr>
            <w:rStyle w:val="Hyperlink"/>
            <w:lang w:val="pt-PT"/>
          </w:rPr>
          <w:t>(</w:t>
        </w:r>
        <w:r w:rsidRPr="00465964">
          <w:rPr>
            <w:rStyle w:val="Hyperlink"/>
            <w:vertAlign w:val="superscript"/>
            <w:lang w:val="pt-PT"/>
          </w:rPr>
          <w:t>18</w:t>
        </w:r>
        <w:r w:rsidRPr="00465964">
          <w:rPr>
            <w:rStyle w:val="Hyperlink"/>
            <w:lang w:val="pt-PT"/>
          </w:rPr>
          <w:t>)</w:t>
        </w:r>
      </w:hyperlink>
      <w:r w:rsidRPr="00465964">
        <w:rPr>
          <w:lang w:val="pt-PT"/>
        </w:rPr>
        <w:t xml:space="preserve">  Diretiva 2014/59/UE do Parlamento Europeu e do Conselho, de 15 de maio de 2014, que estabelece um enquadramento para a recuperação e a resolução de instituições de crédito e de empresas de investimento e que altera a Diretiva 82/891/CEE do Conselho, e as Diretivas 2001/24/CE, 2002/47/CE, 2004/25/CE, 2005/56/CE, 2007/36/CE, 2011/35/UE, 2012/30/UE e 2013/36/UE e os Regulamentos (UE) </w:t>
      </w:r>
      <w:proofErr w:type="spellStart"/>
      <w:r w:rsidRPr="00465964">
        <w:rPr>
          <w:lang w:val="pt-PT"/>
        </w:rPr>
        <w:t>n.</w:t>
      </w:r>
      <w:r w:rsidRPr="00465964">
        <w:rPr>
          <w:vertAlign w:val="superscript"/>
          <w:lang w:val="pt-PT"/>
        </w:rPr>
        <w:t>o</w:t>
      </w:r>
      <w:proofErr w:type="spellEnd"/>
      <w:r w:rsidRPr="00465964">
        <w:rPr>
          <w:lang w:val="pt-PT"/>
        </w:rPr>
        <w:t xml:space="preserve"> 1093/2010 e (UE) </w:t>
      </w:r>
      <w:proofErr w:type="spellStart"/>
      <w:r w:rsidRPr="00465964">
        <w:rPr>
          <w:lang w:val="pt-PT"/>
        </w:rPr>
        <w:t>n.</w:t>
      </w:r>
      <w:r w:rsidRPr="00465964">
        <w:rPr>
          <w:vertAlign w:val="superscript"/>
          <w:lang w:val="pt-PT"/>
        </w:rPr>
        <w:t>o</w:t>
      </w:r>
      <w:proofErr w:type="spellEnd"/>
      <w:r w:rsidRPr="00465964">
        <w:rPr>
          <w:lang w:val="pt-PT"/>
        </w:rPr>
        <w:t> 648/2012 do Parlamento Europeu e do Conselho (</w:t>
      </w:r>
      <w:hyperlink r:id="rId103" w:history="1">
        <w:r w:rsidRPr="00465964">
          <w:rPr>
            <w:rStyle w:val="Hyperlink"/>
            <w:lang w:val="pt-PT"/>
          </w:rPr>
          <w:t>JO L 173 de 12.6.2014, p. 190</w:t>
        </w:r>
      </w:hyperlink>
      <w:r w:rsidRPr="00465964">
        <w:rPr>
          <w:lang w:val="pt-PT"/>
        </w:rPr>
        <w:t>).</w:t>
      </w:r>
    </w:p>
    <w:p w14:paraId="3B41F673" w14:textId="77777777" w:rsidR="00465964" w:rsidRPr="00465964" w:rsidRDefault="00465964" w:rsidP="00465964">
      <w:pPr>
        <w:rPr>
          <w:lang w:val="pt-PT"/>
        </w:rPr>
      </w:pPr>
      <w:hyperlink r:id="rId104" w:anchor="ntc19-L_2023150PT.01004001-E0019" w:history="1">
        <w:r w:rsidRPr="00465964">
          <w:rPr>
            <w:rStyle w:val="Hyperlink"/>
            <w:lang w:val="pt-PT"/>
          </w:rPr>
          <w:t>(</w:t>
        </w:r>
        <w:r w:rsidRPr="00465964">
          <w:rPr>
            <w:rStyle w:val="Hyperlink"/>
            <w:vertAlign w:val="superscript"/>
            <w:lang w:val="pt-PT"/>
          </w:rPr>
          <w:t>19</w:t>
        </w:r>
        <w:r w:rsidRPr="00465964">
          <w:rPr>
            <w:rStyle w:val="Hyperlink"/>
            <w:lang w:val="pt-PT"/>
          </w:rPr>
          <w:t>)</w:t>
        </w:r>
      </w:hyperlink>
      <w:r w:rsidRPr="00465964">
        <w:rPr>
          <w:lang w:val="pt-PT"/>
        </w:rPr>
        <w:t xml:space="preserve">  Regulamento (UE) </w:t>
      </w:r>
      <w:proofErr w:type="spellStart"/>
      <w:r w:rsidRPr="00465964">
        <w:rPr>
          <w:lang w:val="pt-PT"/>
        </w:rPr>
        <w:t>n.</w:t>
      </w:r>
      <w:r w:rsidRPr="00465964">
        <w:rPr>
          <w:vertAlign w:val="superscript"/>
          <w:lang w:val="pt-PT"/>
        </w:rPr>
        <w:t>o</w:t>
      </w:r>
      <w:proofErr w:type="spellEnd"/>
      <w:r w:rsidRPr="00465964">
        <w:rPr>
          <w:lang w:val="pt-PT"/>
        </w:rPr>
        <w:t xml:space="preserve"> 806/2014 do Parlamento Europeu e do Conselho, de 15 de julho de 2014, que estabelece regras e um procedimento uniformes para a resolução de instituições de crédito e de certas empresas de investimento no quadro de um Mecanismo Único de Resolução e de um Fundo Único de Resolução bancária e que altera o Regulamento (UE) </w:t>
      </w:r>
      <w:proofErr w:type="spellStart"/>
      <w:r w:rsidRPr="00465964">
        <w:rPr>
          <w:lang w:val="pt-PT"/>
        </w:rPr>
        <w:t>n.</w:t>
      </w:r>
      <w:r w:rsidRPr="00465964">
        <w:rPr>
          <w:vertAlign w:val="superscript"/>
          <w:lang w:val="pt-PT"/>
        </w:rPr>
        <w:t>o</w:t>
      </w:r>
      <w:proofErr w:type="spellEnd"/>
      <w:r w:rsidRPr="00465964">
        <w:rPr>
          <w:lang w:val="pt-PT"/>
        </w:rPr>
        <w:t> 1093/2010 (</w:t>
      </w:r>
      <w:hyperlink r:id="rId105" w:history="1">
        <w:r w:rsidRPr="00465964">
          <w:rPr>
            <w:rStyle w:val="Hyperlink"/>
            <w:lang w:val="pt-PT"/>
          </w:rPr>
          <w:t>JO L 225 de 30.7.2014, p. 1</w:t>
        </w:r>
      </w:hyperlink>
      <w:r w:rsidRPr="00465964">
        <w:rPr>
          <w:lang w:val="pt-PT"/>
        </w:rPr>
        <w:t>).</w:t>
      </w:r>
    </w:p>
    <w:p w14:paraId="6C985DBC" w14:textId="77777777" w:rsidR="00465964" w:rsidRPr="00465964" w:rsidRDefault="00465964" w:rsidP="00465964">
      <w:pPr>
        <w:rPr>
          <w:lang w:val="pt-PT"/>
        </w:rPr>
      </w:pPr>
      <w:hyperlink r:id="rId106" w:anchor="ntc20-L_2023150PT.01004001-E0020" w:history="1">
        <w:r w:rsidRPr="00465964">
          <w:rPr>
            <w:rStyle w:val="Hyperlink"/>
            <w:lang w:val="pt-PT"/>
          </w:rPr>
          <w:t>(</w:t>
        </w:r>
        <w:r w:rsidRPr="00465964">
          <w:rPr>
            <w:rStyle w:val="Hyperlink"/>
            <w:vertAlign w:val="superscript"/>
            <w:lang w:val="pt-PT"/>
          </w:rPr>
          <w:t>20</w:t>
        </w:r>
        <w:r w:rsidRPr="00465964">
          <w:rPr>
            <w:rStyle w:val="Hyperlink"/>
            <w:lang w:val="pt-PT"/>
          </w:rPr>
          <w:t>)</w:t>
        </w:r>
      </w:hyperlink>
      <w:r w:rsidRPr="00465964">
        <w:rPr>
          <w:lang w:val="pt-PT"/>
        </w:rPr>
        <w:t xml:space="preserve">  Diretiva (UE) 2015/849 do Parlamento Europeu e do Conselho, de 20 de maio de 2015, relativa à prevenção da utilização do sistema financeiro para efeitos de branqueamento de capitais ou de financiamento do terrorismo, que altera o Regulamento (UE) </w:t>
      </w:r>
      <w:proofErr w:type="spellStart"/>
      <w:r w:rsidRPr="00465964">
        <w:rPr>
          <w:lang w:val="pt-PT"/>
        </w:rPr>
        <w:t>n.</w:t>
      </w:r>
      <w:r w:rsidRPr="00465964">
        <w:rPr>
          <w:vertAlign w:val="superscript"/>
          <w:lang w:val="pt-PT"/>
        </w:rPr>
        <w:t>o</w:t>
      </w:r>
      <w:proofErr w:type="spellEnd"/>
      <w:r w:rsidRPr="00465964">
        <w:rPr>
          <w:lang w:val="pt-PT"/>
        </w:rPr>
        <w:t> 648/2012 do Parlamento Europeu e do Conselho, e que revoga a Diretiva 2005/60/CE do Parlamento Europeu e do Conselho e a Diretiva 2006/70/CE da Comissão (</w:t>
      </w:r>
      <w:hyperlink r:id="rId107" w:history="1">
        <w:r w:rsidRPr="00465964">
          <w:rPr>
            <w:rStyle w:val="Hyperlink"/>
            <w:lang w:val="pt-PT"/>
          </w:rPr>
          <w:t>JO L 141 de 5.6.2015, p. 73</w:t>
        </w:r>
      </w:hyperlink>
      <w:r w:rsidRPr="00465964">
        <w:rPr>
          <w:lang w:val="pt-PT"/>
        </w:rPr>
        <w:t>).</w:t>
      </w:r>
    </w:p>
    <w:p w14:paraId="2C50EBD6" w14:textId="77777777" w:rsidR="00465964" w:rsidRPr="00465964" w:rsidRDefault="00465964" w:rsidP="00465964">
      <w:pPr>
        <w:rPr>
          <w:lang w:val="pt-PT"/>
        </w:rPr>
      </w:pPr>
      <w:hyperlink r:id="rId108" w:anchor="ntc21-L_2023150PT.01004001-E0021" w:history="1">
        <w:r w:rsidRPr="00465964">
          <w:rPr>
            <w:rStyle w:val="Hyperlink"/>
            <w:lang w:val="pt-PT"/>
          </w:rPr>
          <w:t>(</w:t>
        </w:r>
        <w:r w:rsidRPr="00465964">
          <w:rPr>
            <w:rStyle w:val="Hyperlink"/>
            <w:vertAlign w:val="superscript"/>
            <w:lang w:val="pt-PT"/>
          </w:rPr>
          <w:t>21</w:t>
        </w:r>
        <w:r w:rsidRPr="00465964">
          <w:rPr>
            <w:rStyle w:val="Hyperlink"/>
            <w:lang w:val="pt-PT"/>
          </w:rPr>
          <w:t>)</w:t>
        </w:r>
      </w:hyperlink>
      <w:r w:rsidRPr="00465964">
        <w:rPr>
          <w:lang w:val="pt-PT"/>
        </w:rPr>
        <w:t xml:space="preserve">  Regulamento (UE) </w:t>
      </w:r>
      <w:proofErr w:type="spellStart"/>
      <w:r w:rsidRPr="00465964">
        <w:rPr>
          <w:lang w:val="pt-PT"/>
        </w:rPr>
        <w:t>n.</w:t>
      </w:r>
      <w:r w:rsidRPr="00465964">
        <w:rPr>
          <w:vertAlign w:val="superscript"/>
          <w:lang w:val="pt-PT"/>
        </w:rPr>
        <w:t>o</w:t>
      </w:r>
      <w:proofErr w:type="spellEnd"/>
      <w:r w:rsidRPr="00465964">
        <w:rPr>
          <w:lang w:val="pt-PT"/>
        </w:rPr>
        <w:t> 596/2014 do Parlamento Europeu e do Conselho, de 16 de abril de 2014, relativo ao abuso de mercado (regulamento abuso de mercado) e que revoga a Diretiva 2003/6/CE do Parlamento Europeu e do Conselho e as Diretivas 2003/124/CE, 2003/125/CE e 2004/72/CE da Comissão (</w:t>
      </w:r>
      <w:hyperlink r:id="rId109" w:history="1">
        <w:r w:rsidRPr="00465964">
          <w:rPr>
            <w:rStyle w:val="Hyperlink"/>
            <w:lang w:val="pt-PT"/>
          </w:rPr>
          <w:t>JO L 173 de 12.6.2014, p. 1</w:t>
        </w:r>
      </w:hyperlink>
      <w:r w:rsidRPr="00465964">
        <w:rPr>
          <w:lang w:val="pt-PT"/>
        </w:rPr>
        <w:t>).</w:t>
      </w:r>
    </w:p>
    <w:p w14:paraId="37743201" w14:textId="77777777" w:rsidR="00465964" w:rsidRPr="00465964" w:rsidRDefault="00465964" w:rsidP="00465964">
      <w:pPr>
        <w:rPr>
          <w:lang w:val="pt-PT"/>
        </w:rPr>
      </w:pPr>
      <w:hyperlink r:id="rId110" w:anchor="ntc22-L_2023150PT.01004001-E0022" w:history="1">
        <w:r w:rsidRPr="00465964">
          <w:rPr>
            <w:rStyle w:val="Hyperlink"/>
            <w:lang w:val="pt-PT"/>
          </w:rPr>
          <w:t>(</w:t>
        </w:r>
        <w:r w:rsidRPr="00465964">
          <w:rPr>
            <w:rStyle w:val="Hyperlink"/>
            <w:vertAlign w:val="superscript"/>
            <w:lang w:val="pt-PT"/>
          </w:rPr>
          <w:t>22</w:t>
        </w:r>
        <w:r w:rsidRPr="00465964">
          <w:rPr>
            <w:rStyle w:val="Hyperlink"/>
            <w:lang w:val="pt-PT"/>
          </w:rPr>
          <w:t>)</w:t>
        </w:r>
      </w:hyperlink>
      <w:r w:rsidRPr="00465964">
        <w:rPr>
          <w:lang w:val="pt-PT"/>
        </w:rPr>
        <w:t>   </w:t>
      </w:r>
      <w:hyperlink r:id="rId111" w:history="1">
        <w:r w:rsidRPr="00465964">
          <w:rPr>
            <w:rStyle w:val="Hyperlink"/>
            <w:lang w:val="pt-PT"/>
          </w:rPr>
          <w:t>JO L 123 de 12.5.2016, p. 1</w:t>
        </w:r>
      </w:hyperlink>
      <w:r w:rsidRPr="00465964">
        <w:rPr>
          <w:lang w:val="pt-PT"/>
        </w:rPr>
        <w:t>.</w:t>
      </w:r>
    </w:p>
    <w:p w14:paraId="7FAF3237" w14:textId="77777777" w:rsidR="00465964" w:rsidRPr="00465964" w:rsidRDefault="00465964" w:rsidP="00465964">
      <w:pPr>
        <w:rPr>
          <w:lang w:val="pt-PT"/>
        </w:rPr>
      </w:pPr>
      <w:hyperlink r:id="rId112" w:anchor="ntc23-L_2023150PT.01004001-E0023" w:history="1">
        <w:r w:rsidRPr="00465964">
          <w:rPr>
            <w:rStyle w:val="Hyperlink"/>
            <w:lang w:val="pt-PT"/>
          </w:rPr>
          <w:t>(</w:t>
        </w:r>
        <w:r w:rsidRPr="00465964">
          <w:rPr>
            <w:rStyle w:val="Hyperlink"/>
            <w:vertAlign w:val="superscript"/>
            <w:lang w:val="pt-PT"/>
          </w:rPr>
          <w:t>23</w:t>
        </w:r>
        <w:r w:rsidRPr="00465964">
          <w:rPr>
            <w:rStyle w:val="Hyperlink"/>
            <w:lang w:val="pt-PT"/>
          </w:rPr>
          <w:t>)</w:t>
        </w:r>
      </w:hyperlink>
      <w:r w:rsidRPr="00465964">
        <w:rPr>
          <w:lang w:val="pt-PT"/>
        </w:rPr>
        <w:t>  Diretiva (UE) 2019/1937 do Parlamento Europeu e do Conselho, de 23 de outubro de 2019, relativa à proteção das pessoas que denunciam violações do direito da União (</w:t>
      </w:r>
      <w:hyperlink r:id="rId113" w:history="1">
        <w:r w:rsidRPr="00465964">
          <w:rPr>
            <w:rStyle w:val="Hyperlink"/>
            <w:lang w:val="pt-PT"/>
          </w:rPr>
          <w:t>JO L 305 de 26.11.2019, p. 17</w:t>
        </w:r>
      </w:hyperlink>
      <w:r w:rsidRPr="00465964">
        <w:rPr>
          <w:lang w:val="pt-PT"/>
        </w:rPr>
        <w:t>).</w:t>
      </w:r>
    </w:p>
    <w:p w14:paraId="7F2670B9" w14:textId="77777777" w:rsidR="00465964" w:rsidRPr="00465964" w:rsidRDefault="00465964" w:rsidP="00465964">
      <w:pPr>
        <w:rPr>
          <w:lang w:val="pt-PT"/>
        </w:rPr>
      </w:pPr>
      <w:hyperlink r:id="rId114" w:anchor="ntc24-L_2023150PT.01004001-E0024" w:history="1">
        <w:r w:rsidRPr="00465964">
          <w:rPr>
            <w:rStyle w:val="Hyperlink"/>
            <w:lang w:val="pt-PT"/>
          </w:rPr>
          <w:t>(</w:t>
        </w:r>
        <w:r w:rsidRPr="00465964">
          <w:rPr>
            <w:rStyle w:val="Hyperlink"/>
            <w:vertAlign w:val="superscript"/>
            <w:lang w:val="pt-PT"/>
          </w:rPr>
          <w:t>24</w:t>
        </w:r>
        <w:r w:rsidRPr="00465964">
          <w:rPr>
            <w:rStyle w:val="Hyperlink"/>
            <w:lang w:val="pt-PT"/>
          </w:rPr>
          <w:t>)</w:t>
        </w:r>
      </w:hyperlink>
      <w:r w:rsidRPr="00465964">
        <w:rPr>
          <w:lang w:val="pt-PT"/>
        </w:rPr>
        <w:t>  Regulamento (UE) 2016/679 do Parlamento Europeu e do Conselho, de 27 de abril de 2016, relativo à proteção das pessoas singulares no que diz respeito ao tratamento de dados pessoais e à livre circulação desses dados e que revoga a Diretiva 95/46/CE (Regulamento Geral sobre a Proteção de Dados) (</w:t>
      </w:r>
      <w:hyperlink r:id="rId115" w:history="1">
        <w:r w:rsidRPr="00465964">
          <w:rPr>
            <w:rStyle w:val="Hyperlink"/>
            <w:lang w:val="pt-PT"/>
          </w:rPr>
          <w:t>JO L 119 de 4.5.2016, p. 1</w:t>
        </w:r>
      </w:hyperlink>
      <w:r w:rsidRPr="00465964">
        <w:rPr>
          <w:lang w:val="pt-PT"/>
        </w:rPr>
        <w:t>).</w:t>
      </w:r>
    </w:p>
    <w:p w14:paraId="00BF5615" w14:textId="77777777" w:rsidR="00465964" w:rsidRPr="00465964" w:rsidRDefault="00465964" w:rsidP="00465964">
      <w:pPr>
        <w:rPr>
          <w:lang w:val="pt-PT"/>
        </w:rPr>
      </w:pPr>
      <w:hyperlink r:id="rId116" w:anchor="ntc25-L_2023150PT.01004001-E0025" w:history="1">
        <w:r w:rsidRPr="00465964">
          <w:rPr>
            <w:rStyle w:val="Hyperlink"/>
            <w:lang w:val="pt-PT"/>
          </w:rPr>
          <w:t>(</w:t>
        </w:r>
        <w:r w:rsidRPr="00465964">
          <w:rPr>
            <w:rStyle w:val="Hyperlink"/>
            <w:vertAlign w:val="superscript"/>
            <w:lang w:val="pt-PT"/>
          </w:rPr>
          <w:t>25</w:t>
        </w:r>
        <w:r w:rsidRPr="00465964">
          <w:rPr>
            <w:rStyle w:val="Hyperlink"/>
            <w:lang w:val="pt-PT"/>
          </w:rPr>
          <w:t>)</w:t>
        </w:r>
      </w:hyperlink>
      <w:r w:rsidRPr="00465964">
        <w:rPr>
          <w:lang w:val="pt-PT"/>
        </w:rPr>
        <w:t xml:space="preserve">  Regulamento (UE) 2018/1725 do Parlamento Europeu e do Conselho, de 23 de outubro de 2018, relativo à proteção das pessoas singulares no que diz respeito ao tratamento de dados pessoais pelas instituições e pelos órgãos e organismos da União e à livre circulação desses dados, e que revoga o Regulamento (CE) </w:t>
      </w:r>
      <w:proofErr w:type="spellStart"/>
      <w:r w:rsidRPr="00465964">
        <w:rPr>
          <w:lang w:val="pt-PT"/>
        </w:rPr>
        <w:t>n.</w:t>
      </w:r>
      <w:r w:rsidRPr="00465964">
        <w:rPr>
          <w:vertAlign w:val="superscript"/>
          <w:lang w:val="pt-PT"/>
        </w:rPr>
        <w:t>o</w:t>
      </w:r>
      <w:proofErr w:type="spellEnd"/>
      <w:r w:rsidRPr="00465964">
        <w:rPr>
          <w:lang w:val="pt-PT"/>
        </w:rPr>
        <w:t xml:space="preserve"> 45/2001 e a Decisão </w:t>
      </w:r>
      <w:proofErr w:type="spellStart"/>
      <w:r w:rsidRPr="00465964">
        <w:rPr>
          <w:lang w:val="pt-PT"/>
        </w:rPr>
        <w:t>n.</w:t>
      </w:r>
      <w:r w:rsidRPr="00465964">
        <w:rPr>
          <w:vertAlign w:val="superscript"/>
          <w:lang w:val="pt-PT"/>
        </w:rPr>
        <w:t>o</w:t>
      </w:r>
      <w:proofErr w:type="spellEnd"/>
      <w:r w:rsidRPr="00465964">
        <w:rPr>
          <w:lang w:val="pt-PT"/>
        </w:rPr>
        <w:t> 1247/2002/CE (</w:t>
      </w:r>
      <w:hyperlink r:id="rId117" w:history="1">
        <w:r w:rsidRPr="00465964">
          <w:rPr>
            <w:rStyle w:val="Hyperlink"/>
            <w:lang w:val="pt-PT"/>
          </w:rPr>
          <w:t>JO L 295 de 21.11.2018, p. 39</w:t>
        </w:r>
      </w:hyperlink>
      <w:r w:rsidRPr="00465964">
        <w:rPr>
          <w:lang w:val="pt-PT"/>
        </w:rPr>
        <w:t>).</w:t>
      </w:r>
    </w:p>
    <w:p w14:paraId="47561442" w14:textId="77777777" w:rsidR="00465964" w:rsidRPr="00465964" w:rsidRDefault="00465964" w:rsidP="00465964">
      <w:pPr>
        <w:rPr>
          <w:lang w:val="pt-PT"/>
        </w:rPr>
      </w:pPr>
      <w:hyperlink r:id="rId118" w:anchor="ntc26-L_2023150PT.01004001-E0026" w:history="1">
        <w:r w:rsidRPr="00465964">
          <w:rPr>
            <w:rStyle w:val="Hyperlink"/>
            <w:lang w:val="pt-PT"/>
          </w:rPr>
          <w:t>(</w:t>
        </w:r>
        <w:r w:rsidRPr="00465964">
          <w:rPr>
            <w:rStyle w:val="Hyperlink"/>
            <w:vertAlign w:val="superscript"/>
            <w:lang w:val="pt-PT"/>
          </w:rPr>
          <w:t>26</w:t>
        </w:r>
        <w:r w:rsidRPr="00465964">
          <w:rPr>
            <w:rStyle w:val="Hyperlink"/>
            <w:lang w:val="pt-PT"/>
          </w:rPr>
          <w:t>)</w:t>
        </w:r>
      </w:hyperlink>
      <w:r w:rsidRPr="00465964">
        <w:rPr>
          <w:lang w:val="pt-PT"/>
        </w:rPr>
        <w:t>   </w:t>
      </w:r>
      <w:hyperlink r:id="rId119" w:history="1">
        <w:r w:rsidRPr="00465964">
          <w:rPr>
            <w:rStyle w:val="Hyperlink"/>
            <w:lang w:val="pt-PT"/>
          </w:rPr>
          <w:t>JO C 337 de 23.8.2021, p. 4</w:t>
        </w:r>
      </w:hyperlink>
      <w:r w:rsidRPr="00465964">
        <w:rPr>
          <w:lang w:val="pt-PT"/>
        </w:rPr>
        <w:t>.</w:t>
      </w:r>
    </w:p>
    <w:p w14:paraId="4C53FD65" w14:textId="77777777" w:rsidR="00465964" w:rsidRPr="00465964" w:rsidRDefault="00465964" w:rsidP="00465964">
      <w:pPr>
        <w:rPr>
          <w:lang w:val="pt-PT"/>
        </w:rPr>
      </w:pPr>
      <w:hyperlink r:id="rId120" w:anchor="ntc27-L_2023150PT.01004001-E0027" w:history="1">
        <w:r w:rsidRPr="00465964">
          <w:rPr>
            <w:rStyle w:val="Hyperlink"/>
            <w:lang w:val="pt-PT"/>
          </w:rPr>
          <w:t>(</w:t>
        </w:r>
        <w:r w:rsidRPr="00465964">
          <w:rPr>
            <w:rStyle w:val="Hyperlink"/>
            <w:vertAlign w:val="superscript"/>
            <w:lang w:val="pt-PT"/>
          </w:rPr>
          <w:t>27</w:t>
        </w:r>
        <w:r w:rsidRPr="00465964">
          <w:rPr>
            <w:rStyle w:val="Hyperlink"/>
            <w:lang w:val="pt-PT"/>
          </w:rPr>
          <w:t>)</w:t>
        </w:r>
      </w:hyperlink>
      <w:r w:rsidRPr="00465964">
        <w:rPr>
          <w:lang w:val="pt-PT"/>
        </w:rPr>
        <w:t>  Diretiva 2009/138/CE do Parlamento Europeu e do Conselho, de 25 de novembro de 2009, relativa ao acesso à atividade de seguros e resseguros e ao seu exercício (Solvência II) (</w:t>
      </w:r>
      <w:hyperlink r:id="rId121" w:history="1">
        <w:r w:rsidRPr="00465964">
          <w:rPr>
            <w:rStyle w:val="Hyperlink"/>
            <w:lang w:val="pt-PT"/>
          </w:rPr>
          <w:t>JO L 335 de 17.12.2009, p. 1</w:t>
        </w:r>
      </w:hyperlink>
      <w:r w:rsidRPr="00465964">
        <w:rPr>
          <w:lang w:val="pt-PT"/>
        </w:rPr>
        <w:t>).</w:t>
      </w:r>
    </w:p>
    <w:p w14:paraId="4D2CF3B1" w14:textId="77777777" w:rsidR="00465964" w:rsidRPr="00465964" w:rsidRDefault="00465964" w:rsidP="00465964">
      <w:pPr>
        <w:rPr>
          <w:lang w:val="pt-PT"/>
        </w:rPr>
      </w:pPr>
      <w:hyperlink r:id="rId122" w:anchor="ntc28-L_2023150PT.01004001-E0028" w:history="1">
        <w:r w:rsidRPr="00465964">
          <w:rPr>
            <w:rStyle w:val="Hyperlink"/>
            <w:lang w:val="pt-PT"/>
          </w:rPr>
          <w:t>(</w:t>
        </w:r>
        <w:r w:rsidRPr="00465964">
          <w:rPr>
            <w:rStyle w:val="Hyperlink"/>
            <w:vertAlign w:val="superscript"/>
            <w:lang w:val="pt-PT"/>
          </w:rPr>
          <w:t>28</w:t>
        </w:r>
        <w:r w:rsidRPr="00465964">
          <w:rPr>
            <w:rStyle w:val="Hyperlink"/>
            <w:lang w:val="pt-PT"/>
          </w:rPr>
          <w:t>)</w:t>
        </w:r>
      </w:hyperlink>
      <w:r w:rsidRPr="00465964">
        <w:rPr>
          <w:lang w:val="pt-PT"/>
        </w:rPr>
        <w:t>  Diretiva (UE) 2016/2341 do Parlamento Europeu e do Conselho, de 14 de dezembro de 2016, relativa às atividades e à supervisão das instituições de realização de planos de pensões profissionais (IRPPP) (</w:t>
      </w:r>
      <w:hyperlink r:id="rId123" w:history="1">
        <w:r w:rsidRPr="00465964">
          <w:rPr>
            <w:rStyle w:val="Hyperlink"/>
            <w:lang w:val="pt-PT"/>
          </w:rPr>
          <w:t>JO L 354 de 23.12.2016, p. 37</w:t>
        </w:r>
      </w:hyperlink>
      <w:r w:rsidRPr="00465964">
        <w:rPr>
          <w:lang w:val="pt-PT"/>
        </w:rPr>
        <w:t>).</w:t>
      </w:r>
    </w:p>
    <w:p w14:paraId="508DABA3" w14:textId="77777777" w:rsidR="00465964" w:rsidRPr="00465964" w:rsidRDefault="00465964" w:rsidP="00465964">
      <w:pPr>
        <w:rPr>
          <w:lang w:val="pt-PT"/>
        </w:rPr>
      </w:pPr>
      <w:hyperlink r:id="rId124" w:anchor="ntc29-L_2023150PT.01004001-E0029" w:history="1">
        <w:r w:rsidRPr="00465964">
          <w:rPr>
            <w:rStyle w:val="Hyperlink"/>
            <w:lang w:val="pt-PT"/>
          </w:rPr>
          <w:t>(</w:t>
        </w:r>
        <w:r w:rsidRPr="00465964">
          <w:rPr>
            <w:rStyle w:val="Hyperlink"/>
            <w:vertAlign w:val="superscript"/>
            <w:lang w:val="pt-PT"/>
          </w:rPr>
          <w:t>29</w:t>
        </w:r>
        <w:r w:rsidRPr="00465964">
          <w:rPr>
            <w:rStyle w:val="Hyperlink"/>
            <w:lang w:val="pt-PT"/>
          </w:rPr>
          <w:t>)</w:t>
        </w:r>
      </w:hyperlink>
      <w:r w:rsidRPr="00465964">
        <w:rPr>
          <w:lang w:val="pt-PT"/>
        </w:rPr>
        <w:t>  Regulamento (UE) 2019/1238 do Parlamento Europeu e do Conselho, de 20 de junho de 2019, relativo a um produto pan-europeu de pensão pessoal (PEPP) (</w:t>
      </w:r>
      <w:hyperlink r:id="rId125" w:history="1">
        <w:r w:rsidRPr="00465964">
          <w:rPr>
            <w:rStyle w:val="Hyperlink"/>
            <w:lang w:val="pt-PT"/>
          </w:rPr>
          <w:t>JO L 198 de 25.7.2019, p. 1</w:t>
        </w:r>
      </w:hyperlink>
      <w:r w:rsidRPr="00465964">
        <w:rPr>
          <w:lang w:val="pt-PT"/>
        </w:rPr>
        <w:t>).</w:t>
      </w:r>
    </w:p>
    <w:p w14:paraId="65FE59FD" w14:textId="77777777" w:rsidR="00465964" w:rsidRPr="00465964" w:rsidRDefault="00465964" w:rsidP="00465964">
      <w:pPr>
        <w:rPr>
          <w:lang w:val="pt-PT"/>
        </w:rPr>
      </w:pPr>
      <w:hyperlink r:id="rId126" w:anchor="ntc30-L_2023150PT.01004001-E0030" w:history="1">
        <w:r w:rsidRPr="00465964">
          <w:rPr>
            <w:rStyle w:val="Hyperlink"/>
            <w:lang w:val="pt-PT"/>
          </w:rPr>
          <w:t>(</w:t>
        </w:r>
        <w:r w:rsidRPr="00465964">
          <w:rPr>
            <w:rStyle w:val="Hyperlink"/>
            <w:vertAlign w:val="superscript"/>
            <w:lang w:val="pt-PT"/>
          </w:rPr>
          <w:t>30</w:t>
        </w:r>
        <w:r w:rsidRPr="00465964">
          <w:rPr>
            <w:rStyle w:val="Hyperlink"/>
            <w:lang w:val="pt-PT"/>
          </w:rPr>
          <w:t>)</w:t>
        </w:r>
      </w:hyperlink>
      <w:r w:rsidRPr="00465964">
        <w:rPr>
          <w:lang w:val="pt-PT"/>
        </w:rPr>
        <w:t xml:space="preserve">  Regulamento (CE) </w:t>
      </w:r>
      <w:proofErr w:type="spellStart"/>
      <w:r w:rsidRPr="00465964">
        <w:rPr>
          <w:lang w:val="pt-PT"/>
        </w:rPr>
        <w:t>n.</w:t>
      </w:r>
      <w:r w:rsidRPr="00465964">
        <w:rPr>
          <w:vertAlign w:val="superscript"/>
          <w:lang w:val="pt-PT"/>
        </w:rPr>
        <w:t>o</w:t>
      </w:r>
      <w:proofErr w:type="spellEnd"/>
      <w:r w:rsidRPr="00465964">
        <w:rPr>
          <w:lang w:val="pt-PT"/>
        </w:rPr>
        <w:t> 883/2004 do Parlamento Europeu e do Conselho, de 29 de abril de 2004, relativo à coordenação dos sistemas de segurança social (</w:t>
      </w:r>
      <w:hyperlink r:id="rId127" w:history="1">
        <w:r w:rsidRPr="00465964">
          <w:rPr>
            <w:rStyle w:val="Hyperlink"/>
            <w:lang w:val="pt-PT"/>
          </w:rPr>
          <w:t>JO L 166 de 30.4.2004, p. 1</w:t>
        </w:r>
      </w:hyperlink>
      <w:r w:rsidRPr="00465964">
        <w:rPr>
          <w:lang w:val="pt-PT"/>
        </w:rPr>
        <w:t>).</w:t>
      </w:r>
    </w:p>
    <w:p w14:paraId="69CF2D94" w14:textId="77777777" w:rsidR="00465964" w:rsidRPr="00465964" w:rsidRDefault="00465964" w:rsidP="00465964">
      <w:pPr>
        <w:rPr>
          <w:lang w:val="pt-PT"/>
        </w:rPr>
      </w:pPr>
      <w:hyperlink r:id="rId128" w:anchor="ntc31-L_2023150PT.01004001-E0031" w:history="1">
        <w:r w:rsidRPr="00465964">
          <w:rPr>
            <w:rStyle w:val="Hyperlink"/>
            <w:lang w:val="pt-PT"/>
          </w:rPr>
          <w:t>(</w:t>
        </w:r>
        <w:r w:rsidRPr="00465964">
          <w:rPr>
            <w:rStyle w:val="Hyperlink"/>
            <w:vertAlign w:val="superscript"/>
            <w:lang w:val="pt-PT"/>
          </w:rPr>
          <w:t>31</w:t>
        </w:r>
        <w:r w:rsidRPr="00465964">
          <w:rPr>
            <w:rStyle w:val="Hyperlink"/>
            <w:lang w:val="pt-PT"/>
          </w:rPr>
          <w:t>)</w:t>
        </w:r>
      </w:hyperlink>
      <w:r w:rsidRPr="00465964">
        <w:rPr>
          <w:lang w:val="pt-PT"/>
        </w:rPr>
        <w:t xml:space="preserve">  Regulamento (CE) </w:t>
      </w:r>
      <w:proofErr w:type="spellStart"/>
      <w:r w:rsidRPr="00465964">
        <w:rPr>
          <w:lang w:val="pt-PT"/>
        </w:rPr>
        <w:t>n.</w:t>
      </w:r>
      <w:r w:rsidRPr="00465964">
        <w:rPr>
          <w:vertAlign w:val="superscript"/>
          <w:lang w:val="pt-PT"/>
        </w:rPr>
        <w:t>o</w:t>
      </w:r>
      <w:proofErr w:type="spellEnd"/>
      <w:r w:rsidRPr="00465964">
        <w:rPr>
          <w:lang w:val="pt-PT"/>
        </w:rPr>
        <w:t xml:space="preserve"> 987/2009 do Parlamento Europeu e do Conselho, de 16 de setembro de 2009, que estabelece as modalidades de aplicação do Regulamento (CE) </w:t>
      </w:r>
      <w:proofErr w:type="spellStart"/>
      <w:r w:rsidRPr="00465964">
        <w:rPr>
          <w:lang w:val="pt-PT"/>
        </w:rPr>
        <w:t>n.</w:t>
      </w:r>
      <w:r w:rsidRPr="00465964">
        <w:rPr>
          <w:vertAlign w:val="superscript"/>
          <w:lang w:val="pt-PT"/>
        </w:rPr>
        <w:t>o</w:t>
      </w:r>
      <w:proofErr w:type="spellEnd"/>
      <w:r w:rsidRPr="00465964">
        <w:rPr>
          <w:lang w:val="pt-PT"/>
        </w:rPr>
        <w:t> 883/2004 relativo à coordenação dos sistemas de segurança social (</w:t>
      </w:r>
      <w:hyperlink r:id="rId129" w:history="1">
        <w:r w:rsidRPr="00465964">
          <w:rPr>
            <w:rStyle w:val="Hyperlink"/>
            <w:lang w:val="pt-PT"/>
          </w:rPr>
          <w:t>JO L 284 de 30.10.2009, p. 1</w:t>
        </w:r>
      </w:hyperlink>
      <w:r w:rsidRPr="00465964">
        <w:rPr>
          <w:lang w:val="pt-PT"/>
        </w:rPr>
        <w:t>).</w:t>
      </w:r>
    </w:p>
    <w:p w14:paraId="4C146B78" w14:textId="77777777" w:rsidR="00465964" w:rsidRPr="00465964" w:rsidRDefault="00465964" w:rsidP="00465964">
      <w:pPr>
        <w:rPr>
          <w:lang w:val="pt-PT"/>
        </w:rPr>
      </w:pPr>
      <w:hyperlink r:id="rId130" w:anchor="ntc32-L_2023150PT.01004001-E0032" w:history="1">
        <w:r w:rsidRPr="00465964">
          <w:rPr>
            <w:rStyle w:val="Hyperlink"/>
            <w:lang w:val="pt-PT"/>
          </w:rPr>
          <w:t>(</w:t>
        </w:r>
        <w:r w:rsidRPr="00465964">
          <w:rPr>
            <w:rStyle w:val="Hyperlink"/>
            <w:vertAlign w:val="superscript"/>
            <w:lang w:val="pt-PT"/>
          </w:rPr>
          <w:t>32</w:t>
        </w:r>
        <w:r w:rsidRPr="00465964">
          <w:rPr>
            <w:rStyle w:val="Hyperlink"/>
            <w:lang w:val="pt-PT"/>
          </w:rPr>
          <w:t>)</w:t>
        </w:r>
      </w:hyperlink>
      <w:r w:rsidRPr="00465964">
        <w:rPr>
          <w:lang w:val="pt-PT"/>
        </w:rPr>
        <w:t>  Diretiva 2004/109/CE do Parlamento Europeu e do Conselho, de 15 de dezembro de 2004, relativa à harmonização dos requisitos de transparência no que se refere às informações respeitantes aos emitentes cujos valores mobiliários estão admitidos à negociação num mercado regulamentado e que altera a Diretiva 2001/34/CE (</w:t>
      </w:r>
      <w:hyperlink r:id="rId131" w:history="1">
        <w:r w:rsidRPr="00465964">
          <w:rPr>
            <w:rStyle w:val="Hyperlink"/>
            <w:lang w:val="pt-PT"/>
          </w:rPr>
          <w:t>JO L 390 de 31.12.2004, p. 38</w:t>
        </w:r>
      </w:hyperlink>
      <w:r w:rsidRPr="00465964">
        <w:rPr>
          <w:lang w:val="pt-PT"/>
        </w:rPr>
        <w:t>).</w:t>
      </w:r>
    </w:p>
    <w:p w14:paraId="466BB93A" w14:textId="77777777" w:rsidR="00465964" w:rsidRPr="00465964" w:rsidRDefault="00465964" w:rsidP="00465964">
      <w:pPr>
        <w:rPr>
          <w:lang w:val="pt-PT"/>
        </w:rPr>
      </w:pPr>
      <w:hyperlink r:id="rId132" w:anchor="ntc33-L_2023150PT.01004001-E0033" w:history="1">
        <w:r w:rsidRPr="00465964">
          <w:rPr>
            <w:rStyle w:val="Hyperlink"/>
            <w:lang w:val="pt-PT"/>
          </w:rPr>
          <w:t>(</w:t>
        </w:r>
        <w:r w:rsidRPr="00465964">
          <w:rPr>
            <w:rStyle w:val="Hyperlink"/>
            <w:vertAlign w:val="superscript"/>
            <w:lang w:val="pt-PT"/>
          </w:rPr>
          <w:t>33</w:t>
        </w:r>
        <w:r w:rsidRPr="00465964">
          <w:rPr>
            <w:rStyle w:val="Hyperlink"/>
            <w:lang w:val="pt-PT"/>
          </w:rPr>
          <w:t>)</w:t>
        </w:r>
      </w:hyperlink>
      <w:r w:rsidRPr="00465964">
        <w:rPr>
          <w:lang w:val="pt-PT"/>
        </w:rPr>
        <w:t>  Diretiva 2009/65/CE do Parlamento Europeu e do Conselho, de 13 de julho de 2009, que coordena as disposições legislativas, regulamentares e administrativas respeitantes a alguns organismos de investimento coletivo em valores mobiliários (OICVM) (</w:t>
      </w:r>
      <w:hyperlink r:id="rId133" w:history="1">
        <w:r w:rsidRPr="00465964">
          <w:rPr>
            <w:rStyle w:val="Hyperlink"/>
            <w:lang w:val="pt-PT"/>
          </w:rPr>
          <w:t>JO L 302 de 17.11.2009, p. 32</w:t>
        </w:r>
      </w:hyperlink>
      <w:r w:rsidRPr="00465964">
        <w:rPr>
          <w:lang w:val="pt-PT"/>
        </w:rPr>
        <w:t>).</w:t>
      </w:r>
    </w:p>
    <w:p w14:paraId="2DADCFB8" w14:textId="77777777" w:rsidR="00465964" w:rsidRPr="00465964" w:rsidRDefault="00465964" w:rsidP="00465964">
      <w:pPr>
        <w:rPr>
          <w:lang w:val="pt-PT"/>
        </w:rPr>
      </w:pPr>
      <w:hyperlink r:id="rId134" w:anchor="ntc34-L_2023150PT.01004001-E0034" w:history="1">
        <w:r w:rsidRPr="00465964">
          <w:rPr>
            <w:rStyle w:val="Hyperlink"/>
            <w:lang w:val="pt-PT"/>
          </w:rPr>
          <w:t>(</w:t>
        </w:r>
        <w:r w:rsidRPr="00465964">
          <w:rPr>
            <w:rStyle w:val="Hyperlink"/>
            <w:vertAlign w:val="superscript"/>
            <w:lang w:val="pt-PT"/>
          </w:rPr>
          <w:t>34</w:t>
        </w:r>
        <w:r w:rsidRPr="00465964">
          <w:rPr>
            <w:rStyle w:val="Hyperlink"/>
            <w:lang w:val="pt-PT"/>
          </w:rPr>
          <w:t>)</w:t>
        </w:r>
      </w:hyperlink>
      <w:r w:rsidRPr="00465964">
        <w:rPr>
          <w:lang w:val="pt-PT"/>
        </w:rPr>
        <w:t xml:space="preserve">  Diretiva 2011/61/UE do Parlamento Europeu e do Conselho, de 8 de junho de 2011, relativa aos gestores de fundos de investimento alternativos e que altera as Diretivas 2003/41/CE e 2009/65/CE e os Regulamentos (CE) </w:t>
      </w:r>
      <w:proofErr w:type="spellStart"/>
      <w:r w:rsidRPr="00465964">
        <w:rPr>
          <w:lang w:val="pt-PT"/>
        </w:rPr>
        <w:t>n.</w:t>
      </w:r>
      <w:r w:rsidRPr="00465964">
        <w:rPr>
          <w:vertAlign w:val="superscript"/>
          <w:lang w:val="pt-PT"/>
        </w:rPr>
        <w:t>o</w:t>
      </w:r>
      <w:proofErr w:type="spellEnd"/>
      <w:r w:rsidRPr="00465964">
        <w:rPr>
          <w:lang w:val="pt-PT"/>
        </w:rPr>
        <w:t xml:space="preserve"> 1060/2009 e (UE) </w:t>
      </w:r>
      <w:proofErr w:type="spellStart"/>
      <w:r w:rsidRPr="00465964">
        <w:rPr>
          <w:lang w:val="pt-PT"/>
        </w:rPr>
        <w:t>n.</w:t>
      </w:r>
      <w:r w:rsidRPr="00465964">
        <w:rPr>
          <w:vertAlign w:val="superscript"/>
          <w:lang w:val="pt-PT"/>
        </w:rPr>
        <w:t>o</w:t>
      </w:r>
      <w:proofErr w:type="spellEnd"/>
      <w:r w:rsidRPr="00465964">
        <w:rPr>
          <w:lang w:val="pt-PT"/>
        </w:rPr>
        <w:t> 1095/2010 (</w:t>
      </w:r>
      <w:hyperlink r:id="rId135" w:history="1">
        <w:r w:rsidRPr="00465964">
          <w:rPr>
            <w:rStyle w:val="Hyperlink"/>
            <w:lang w:val="pt-PT"/>
          </w:rPr>
          <w:t>JO L 174 de 1.7.2011, p. 1</w:t>
        </w:r>
      </w:hyperlink>
      <w:r w:rsidRPr="00465964">
        <w:rPr>
          <w:lang w:val="pt-PT"/>
        </w:rPr>
        <w:t>).</w:t>
      </w:r>
    </w:p>
    <w:p w14:paraId="0006A408" w14:textId="77777777" w:rsidR="00465964" w:rsidRPr="00465964" w:rsidRDefault="00465964" w:rsidP="00465964">
      <w:pPr>
        <w:rPr>
          <w:lang w:val="pt-PT"/>
        </w:rPr>
      </w:pPr>
      <w:hyperlink r:id="rId136" w:anchor="ntc35-L_2023150PT.01004001-E0035" w:history="1">
        <w:r w:rsidRPr="00465964">
          <w:rPr>
            <w:rStyle w:val="Hyperlink"/>
            <w:lang w:val="pt-PT"/>
          </w:rPr>
          <w:t>(</w:t>
        </w:r>
        <w:r w:rsidRPr="00465964">
          <w:rPr>
            <w:rStyle w:val="Hyperlink"/>
            <w:vertAlign w:val="superscript"/>
            <w:lang w:val="pt-PT"/>
          </w:rPr>
          <w:t>35</w:t>
        </w:r>
        <w:r w:rsidRPr="00465964">
          <w:rPr>
            <w:rStyle w:val="Hyperlink"/>
            <w:lang w:val="pt-PT"/>
          </w:rPr>
          <w:t>)</w:t>
        </w:r>
      </w:hyperlink>
      <w:r w:rsidRPr="00465964">
        <w:rPr>
          <w:lang w:val="pt-PT"/>
        </w:rPr>
        <w:t>  Diretiva 97/9/CE do Parlamento Europeu e do Conselho de 3 de março de 1997 relativa aos sistemas de indemnização dos investidores (</w:t>
      </w:r>
      <w:hyperlink r:id="rId137" w:history="1">
        <w:r w:rsidRPr="00465964">
          <w:rPr>
            <w:rStyle w:val="Hyperlink"/>
            <w:lang w:val="pt-PT"/>
          </w:rPr>
          <w:t>JO L 84 de 26.3.1997, p. 22</w:t>
        </w:r>
      </w:hyperlink>
      <w:r w:rsidRPr="00465964">
        <w:rPr>
          <w:lang w:val="pt-PT"/>
        </w:rPr>
        <w:t>).</w:t>
      </w:r>
    </w:p>
    <w:p w14:paraId="19CF86BF" w14:textId="77777777" w:rsidR="00465964" w:rsidRPr="00465964" w:rsidRDefault="00465964" w:rsidP="00465964">
      <w:pPr>
        <w:rPr>
          <w:lang w:val="pt-PT"/>
        </w:rPr>
      </w:pPr>
      <w:hyperlink r:id="rId138" w:anchor="ntc36-L_2023150PT.01004001-E0036" w:history="1">
        <w:r w:rsidRPr="00465964">
          <w:rPr>
            <w:rStyle w:val="Hyperlink"/>
            <w:lang w:val="pt-PT"/>
          </w:rPr>
          <w:t>(</w:t>
        </w:r>
        <w:r w:rsidRPr="00465964">
          <w:rPr>
            <w:rStyle w:val="Hyperlink"/>
            <w:vertAlign w:val="superscript"/>
            <w:lang w:val="pt-PT"/>
          </w:rPr>
          <w:t>36</w:t>
        </w:r>
        <w:r w:rsidRPr="00465964">
          <w:rPr>
            <w:rStyle w:val="Hyperlink"/>
            <w:lang w:val="pt-PT"/>
          </w:rPr>
          <w:t>)</w:t>
        </w:r>
      </w:hyperlink>
      <w:r w:rsidRPr="00465964">
        <w:rPr>
          <w:lang w:val="pt-PT"/>
        </w:rPr>
        <w:t>  Regulamento (UE) 2017/1129 do Parlamento Europeu e do Conselho, de 14 de junho de 2017, relativo ao prospeto a publicar em caso de oferta de valores mobiliários ao público ou da sua admissão à negociação num mercado regulamentado, e que revoga a Diretiva 2003/71/CE (</w:t>
      </w:r>
      <w:hyperlink r:id="rId139" w:history="1">
        <w:r w:rsidRPr="00465964">
          <w:rPr>
            <w:rStyle w:val="Hyperlink"/>
            <w:lang w:val="pt-PT"/>
          </w:rPr>
          <w:t>JO L 168 de 30.6.2017, p. 12</w:t>
        </w:r>
      </w:hyperlink>
      <w:r w:rsidRPr="00465964">
        <w:rPr>
          <w:lang w:val="pt-PT"/>
        </w:rPr>
        <w:t>).</w:t>
      </w:r>
    </w:p>
    <w:p w14:paraId="49711DF0" w14:textId="77777777" w:rsidR="00465964" w:rsidRPr="00465964" w:rsidRDefault="00465964" w:rsidP="00465964">
      <w:pPr>
        <w:rPr>
          <w:lang w:val="pt-PT"/>
        </w:rPr>
      </w:pPr>
      <w:hyperlink r:id="rId140" w:anchor="ntc37-L_2023150PT.01004001-E0037" w:history="1">
        <w:r w:rsidRPr="00465964">
          <w:rPr>
            <w:rStyle w:val="Hyperlink"/>
            <w:lang w:val="pt-PT"/>
          </w:rPr>
          <w:t>(</w:t>
        </w:r>
        <w:r w:rsidRPr="00465964">
          <w:rPr>
            <w:rStyle w:val="Hyperlink"/>
            <w:vertAlign w:val="superscript"/>
            <w:lang w:val="pt-PT"/>
          </w:rPr>
          <w:t>37</w:t>
        </w:r>
        <w:r w:rsidRPr="00465964">
          <w:rPr>
            <w:rStyle w:val="Hyperlink"/>
            <w:lang w:val="pt-PT"/>
          </w:rPr>
          <w:t>)</w:t>
        </w:r>
      </w:hyperlink>
      <w:r w:rsidRPr="00465964">
        <w:rPr>
          <w:lang w:val="pt-PT"/>
        </w:rPr>
        <w:t xml:space="preserve">  Regulamento (UE) 2022/2554 do Parlamento Europeu e do Conselho, de 14 de dezembro de 2022, relativo à resiliência operacional digital do setor financeiro e que altera os Regulamentos (CE) </w:t>
      </w:r>
      <w:proofErr w:type="spellStart"/>
      <w:r w:rsidRPr="00465964">
        <w:rPr>
          <w:lang w:val="pt-PT"/>
        </w:rPr>
        <w:t>n.</w:t>
      </w:r>
      <w:r w:rsidRPr="00465964">
        <w:rPr>
          <w:vertAlign w:val="superscript"/>
          <w:lang w:val="pt-PT"/>
        </w:rPr>
        <w:t>o</w:t>
      </w:r>
      <w:proofErr w:type="spellEnd"/>
      <w:r w:rsidRPr="00465964">
        <w:rPr>
          <w:lang w:val="pt-PT"/>
        </w:rPr>
        <w:t xml:space="preserve"> 1060/2009, (UE) </w:t>
      </w:r>
      <w:proofErr w:type="spellStart"/>
      <w:r w:rsidRPr="00465964">
        <w:rPr>
          <w:lang w:val="pt-PT"/>
        </w:rPr>
        <w:t>n.</w:t>
      </w:r>
      <w:r w:rsidRPr="00465964">
        <w:rPr>
          <w:vertAlign w:val="superscript"/>
          <w:lang w:val="pt-PT"/>
        </w:rPr>
        <w:t>o</w:t>
      </w:r>
      <w:proofErr w:type="spellEnd"/>
      <w:r w:rsidRPr="00465964">
        <w:rPr>
          <w:lang w:val="pt-PT"/>
        </w:rPr>
        <w:t xml:space="preserve"> 648/2012, (UE) </w:t>
      </w:r>
      <w:proofErr w:type="spellStart"/>
      <w:r w:rsidRPr="00465964">
        <w:rPr>
          <w:lang w:val="pt-PT"/>
        </w:rPr>
        <w:t>n.</w:t>
      </w:r>
      <w:r w:rsidRPr="00465964">
        <w:rPr>
          <w:vertAlign w:val="superscript"/>
          <w:lang w:val="pt-PT"/>
        </w:rPr>
        <w:t>o</w:t>
      </w:r>
      <w:proofErr w:type="spellEnd"/>
      <w:r w:rsidRPr="00465964">
        <w:rPr>
          <w:lang w:val="pt-PT"/>
        </w:rPr>
        <w:t xml:space="preserve"> 600/2014 e (UE) </w:t>
      </w:r>
      <w:proofErr w:type="spellStart"/>
      <w:r w:rsidRPr="00465964">
        <w:rPr>
          <w:lang w:val="pt-PT"/>
        </w:rPr>
        <w:t>n.</w:t>
      </w:r>
      <w:r w:rsidRPr="00465964">
        <w:rPr>
          <w:vertAlign w:val="superscript"/>
          <w:lang w:val="pt-PT"/>
        </w:rPr>
        <w:t>o</w:t>
      </w:r>
      <w:proofErr w:type="spellEnd"/>
      <w:r w:rsidRPr="00465964">
        <w:rPr>
          <w:lang w:val="pt-PT"/>
        </w:rPr>
        <w:t> 909/2014 e (UE) 2016/1011 (</w:t>
      </w:r>
      <w:hyperlink r:id="rId141" w:history="1">
        <w:r w:rsidRPr="00465964">
          <w:rPr>
            <w:rStyle w:val="Hyperlink"/>
            <w:lang w:val="pt-PT"/>
          </w:rPr>
          <w:t>JO L 333 de 27.12.2022, p. 1</w:t>
        </w:r>
      </w:hyperlink>
      <w:r w:rsidRPr="00465964">
        <w:rPr>
          <w:lang w:val="pt-PT"/>
        </w:rPr>
        <w:t>).</w:t>
      </w:r>
    </w:p>
    <w:p w14:paraId="13964B70" w14:textId="77777777" w:rsidR="00465964" w:rsidRPr="00465964" w:rsidRDefault="00465964" w:rsidP="00465964">
      <w:pPr>
        <w:rPr>
          <w:lang w:val="pt-PT"/>
        </w:rPr>
      </w:pPr>
      <w:hyperlink r:id="rId142" w:anchor="ntc38-L_2023150PT.01004001-E0038" w:history="1">
        <w:r w:rsidRPr="00465964">
          <w:rPr>
            <w:rStyle w:val="Hyperlink"/>
            <w:lang w:val="pt-PT"/>
          </w:rPr>
          <w:t>(</w:t>
        </w:r>
        <w:r w:rsidRPr="00465964">
          <w:rPr>
            <w:rStyle w:val="Hyperlink"/>
            <w:vertAlign w:val="superscript"/>
            <w:lang w:val="pt-PT"/>
          </w:rPr>
          <w:t>38</w:t>
        </w:r>
        <w:r w:rsidRPr="00465964">
          <w:rPr>
            <w:rStyle w:val="Hyperlink"/>
            <w:lang w:val="pt-PT"/>
          </w:rPr>
          <w:t>)</w:t>
        </w:r>
      </w:hyperlink>
      <w:r w:rsidRPr="00465964">
        <w:rPr>
          <w:lang w:val="pt-PT"/>
        </w:rPr>
        <w:t>  Regulamento (UE) 2017/1131 do Parlamento Europeu e do Conselho, de 14 de junho de 2017, relativo aos fundos do mercado monetário (</w:t>
      </w:r>
      <w:hyperlink r:id="rId143" w:history="1">
        <w:r w:rsidRPr="00465964">
          <w:rPr>
            <w:rStyle w:val="Hyperlink"/>
            <w:lang w:val="pt-PT"/>
          </w:rPr>
          <w:t>JO L 169 de 30.6.2017, p. 8</w:t>
        </w:r>
      </w:hyperlink>
      <w:r w:rsidRPr="00465964">
        <w:rPr>
          <w:lang w:val="pt-PT"/>
        </w:rPr>
        <w:t>).</w:t>
      </w:r>
    </w:p>
    <w:p w14:paraId="07D8C163" w14:textId="77777777" w:rsidR="00465964" w:rsidRPr="00465964" w:rsidRDefault="00465964" w:rsidP="00465964">
      <w:pPr>
        <w:rPr>
          <w:lang w:val="pt-PT"/>
        </w:rPr>
      </w:pPr>
      <w:hyperlink r:id="rId144" w:anchor="ntc39-L_2023150PT.01004001-E0039" w:history="1">
        <w:r w:rsidRPr="00465964">
          <w:rPr>
            <w:rStyle w:val="Hyperlink"/>
            <w:lang w:val="pt-PT"/>
          </w:rPr>
          <w:t>(</w:t>
        </w:r>
        <w:r w:rsidRPr="00465964">
          <w:rPr>
            <w:rStyle w:val="Hyperlink"/>
            <w:vertAlign w:val="superscript"/>
            <w:lang w:val="pt-PT"/>
          </w:rPr>
          <w:t>39</w:t>
        </w:r>
        <w:r w:rsidRPr="00465964">
          <w:rPr>
            <w:rStyle w:val="Hyperlink"/>
            <w:lang w:val="pt-PT"/>
          </w:rPr>
          <w:t>)</w:t>
        </w:r>
      </w:hyperlink>
      <w:r w:rsidRPr="00465964">
        <w:rPr>
          <w:lang w:val="pt-PT"/>
        </w:rPr>
        <w:t>  Diretiva 2002/47/CE do Parlamento Europeu e do Conselho, de 6 de junho de 2002, relativa aos acordos de garantia financeira (</w:t>
      </w:r>
      <w:hyperlink r:id="rId145" w:history="1">
        <w:r w:rsidRPr="00465964">
          <w:rPr>
            <w:rStyle w:val="Hyperlink"/>
            <w:lang w:val="pt-PT"/>
          </w:rPr>
          <w:t>JO L 168 de 27.6.2002, p. 43</w:t>
        </w:r>
      </w:hyperlink>
      <w:r w:rsidRPr="00465964">
        <w:rPr>
          <w:lang w:val="pt-PT"/>
        </w:rPr>
        <w:t>).</w:t>
      </w:r>
    </w:p>
    <w:p w14:paraId="217FA133" w14:textId="77777777" w:rsidR="00465964" w:rsidRPr="00465964" w:rsidRDefault="00465964" w:rsidP="00465964">
      <w:pPr>
        <w:rPr>
          <w:lang w:val="pt-PT"/>
        </w:rPr>
      </w:pPr>
      <w:hyperlink r:id="rId146" w:anchor="ntc40-L_2023150PT.01004001-E0040" w:history="1">
        <w:r w:rsidRPr="00465964">
          <w:rPr>
            <w:rStyle w:val="Hyperlink"/>
            <w:lang w:val="pt-PT"/>
          </w:rPr>
          <w:t>(</w:t>
        </w:r>
        <w:r w:rsidRPr="00465964">
          <w:rPr>
            <w:rStyle w:val="Hyperlink"/>
            <w:vertAlign w:val="superscript"/>
            <w:lang w:val="pt-PT"/>
          </w:rPr>
          <w:t>40</w:t>
        </w:r>
        <w:r w:rsidRPr="00465964">
          <w:rPr>
            <w:rStyle w:val="Hyperlink"/>
            <w:lang w:val="pt-PT"/>
          </w:rPr>
          <w:t>)</w:t>
        </w:r>
      </w:hyperlink>
      <w:r w:rsidRPr="00465964">
        <w:rPr>
          <w:lang w:val="pt-PT"/>
        </w:rPr>
        <w:t>  Diretiva 2006/73/CE da Comissão, de 10 de agosto de 2006, que aplica a Diretiva 2004/39/CE do Parlamento Europeu e do Conselho no que diz respeito aos requisitos em matéria de organização e às condições de exercício da atividade das empresas de investimento e aos conceitos definidos para efeitos da referida diretiva (</w:t>
      </w:r>
      <w:hyperlink r:id="rId147" w:history="1">
        <w:r w:rsidRPr="00465964">
          <w:rPr>
            <w:rStyle w:val="Hyperlink"/>
            <w:lang w:val="pt-PT"/>
          </w:rPr>
          <w:t>JO L 241 de 2.9.2006, p. 26</w:t>
        </w:r>
      </w:hyperlink>
      <w:r w:rsidRPr="00465964">
        <w:rPr>
          <w:lang w:val="pt-PT"/>
        </w:rPr>
        <w:t>).</w:t>
      </w:r>
    </w:p>
    <w:p w14:paraId="3857D7C7" w14:textId="77777777" w:rsidR="00465964" w:rsidRPr="00465964" w:rsidRDefault="00465964" w:rsidP="00465964">
      <w:pPr>
        <w:rPr>
          <w:lang w:val="pt-PT"/>
        </w:rPr>
      </w:pPr>
      <w:hyperlink r:id="rId148" w:anchor="ntc41-L_2023150PT.01004001-E0041" w:history="1">
        <w:r w:rsidRPr="00465964">
          <w:rPr>
            <w:rStyle w:val="Hyperlink"/>
            <w:lang w:val="pt-PT"/>
          </w:rPr>
          <w:t>(</w:t>
        </w:r>
        <w:r w:rsidRPr="00465964">
          <w:rPr>
            <w:rStyle w:val="Hyperlink"/>
            <w:vertAlign w:val="superscript"/>
            <w:lang w:val="pt-PT"/>
          </w:rPr>
          <w:t>41</w:t>
        </w:r>
        <w:r w:rsidRPr="00465964">
          <w:rPr>
            <w:rStyle w:val="Hyperlink"/>
            <w:lang w:val="pt-PT"/>
          </w:rPr>
          <w:t>)</w:t>
        </w:r>
      </w:hyperlink>
      <w:r w:rsidRPr="00465964">
        <w:rPr>
          <w:lang w:val="pt-PT"/>
        </w:rPr>
        <w:t xml:space="preserve">  Regulamento Delegado (UE) 2015/61 da Comissão, de 10 de outubro de 2014, que completa o Regulamento (UE) </w:t>
      </w:r>
      <w:proofErr w:type="spellStart"/>
      <w:r w:rsidRPr="00465964">
        <w:rPr>
          <w:lang w:val="pt-PT"/>
        </w:rPr>
        <w:t>n.</w:t>
      </w:r>
      <w:r w:rsidRPr="00465964">
        <w:rPr>
          <w:vertAlign w:val="superscript"/>
          <w:lang w:val="pt-PT"/>
        </w:rPr>
        <w:t>o</w:t>
      </w:r>
      <w:proofErr w:type="spellEnd"/>
      <w:r w:rsidRPr="00465964">
        <w:rPr>
          <w:lang w:val="pt-PT"/>
        </w:rPr>
        <w:t> 575/2013 do Parlamento Europeu e do Conselho, no que diz respeito ao requisito de cobertura de liquidez para as instituições de crédito (</w:t>
      </w:r>
      <w:hyperlink r:id="rId149" w:history="1">
        <w:r w:rsidRPr="00465964">
          <w:rPr>
            <w:rStyle w:val="Hyperlink"/>
            <w:lang w:val="pt-PT"/>
          </w:rPr>
          <w:t>JO L 11 de 17.1.2015, p. 1</w:t>
        </w:r>
      </w:hyperlink>
      <w:r w:rsidRPr="00465964">
        <w:rPr>
          <w:lang w:val="pt-PT"/>
        </w:rPr>
        <w:t>).</w:t>
      </w:r>
    </w:p>
    <w:p w14:paraId="1CFDB441" w14:textId="77777777" w:rsidR="00465964" w:rsidRPr="00465964" w:rsidRDefault="00465964" w:rsidP="00465964">
      <w:pPr>
        <w:rPr>
          <w:lang w:val="pt-PT"/>
        </w:rPr>
      </w:pPr>
      <w:hyperlink r:id="rId150" w:anchor="ntc42-L_2023150PT.01004001-E0042" w:history="1">
        <w:r w:rsidRPr="00465964">
          <w:rPr>
            <w:rStyle w:val="Hyperlink"/>
            <w:lang w:val="pt-PT"/>
          </w:rPr>
          <w:t>(</w:t>
        </w:r>
        <w:r w:rsidRPr="00465964">
          <w:rPr>
            <w:rStyle w:val="Hyperlink"/>
            <w:vertAlign w:val="superscript"/>
            <w:lang w:val="pt-PT"/>
          </w:rPr>
          <w:t>42</w:t>
        </w:r>
        <w:r w:rsidRPr="00465964">
          <w:rPr>
            <w:rStyle w:val="Hyperlink"/>
            <w:lang w:val="pt-PT"/>
          </w:rPr>
          <w:t>)</w:t>
        </w:r>
      </w:hyperlink>
      <w:r w:rsidRPr="00465964">
        <w:rPr>
          <w:lang w:val="pt-PT"/>
        </w:rPr>
        <w:t>  Diretiva 2013/34/UE do Parlamento Europeu e do Conselho, de 26 de junho de 2013, relativa às demonstrações financeiras anuais, às demonstrações financeiras consolidadas e aos relatórios conexos de certas formas de empresas, que altera a Diretiva 2006/43/CE do Parlamento Europeu e do Conselho e revoga as Diretivas 78/660/CEE e 83/349/CEE do Conselho (</w:t>
      </w:r>
      <w:hyperlink r:id="rId151" w:history="1">
        <w:r w:rsidRPr="00465964">
          <w:rPr>
            <w:rStyle w:val="Hyperlink"/>
            <w:lang w:val="pt-PT"/>
          </w:rPr>
          <w:t>JO L 182 de 29.6.2013, p. 19</w:t>
        </w:r>
      </w:hyperlink>
      <w:r w:rsidRPr="00465964">
        <w:rPr>
          <w:lang w:val="pt-PT"/>
        </w:rPr>
        <w:t>).</w:t>
      </w:r>
    </w:p>
    <w:p w14:paraId="4BF8D59D" w14:textId="77777777" w:rsidR="00465964" w:rsidRPr="00465964" w:rsidRDefault="00465964" w:rsidP="00465964">
      <w:pPr>
        <w:rPr>
          <w:lang w:val="pt-PT"/>
        </w:rPr>
      </w:pPr>
      <w:hyperlink r:id="rId152" w:anchor="ntc43-L_2023150PT.01004001-E0043" w:history="1">
        <w:r w:rsidRPr="00465964">
          <w:rPr>
            <w:rStyle w:val="Hyperlink"/>
            <w:lang w:val="pt-PT"/>
          </w:rPr>
          <w:t>(</w:t>
        </w:r>
        <w:r w:rsidRPr="00465964">
          <w:rPr>
            <w:rStyle w:val="Hyperlink"/>
            <w:vertAlign w:val="superscript"/>
            <w:lang w:val="pt-PT"/>
          </w:rPr>
          <w:t>43</w:t>
        </w:r>
        <w:r w:rsidRPr="00465964">
          <w:rPr>
            <w:rStyle w:val="Hyperlink"/>
            <w:lang w:val="pt-PT"/>
          </w:rPr>
          <w:t>)</w:t>
        </w:r>
      </w:hyperlink>
      <w:r w:rsidRPr="00465964">
        <w:rPr>
          <w:lang w:val="pt-PT"/>
        </w:rPr>
        <w:t xml:space="preserve">  Regulamento (UE) 2022/1925 do Parlamento Europeu e do Conselho, de 14 de setembro de 2022, relativo à </w:t>
      </w:r>
      <w:proofErr w:type="spellStart"/>
      <w:r w:rsidRPr="00465964">
        <w:rPr>
          <w:lang w:val="pt-PT"/>
        </w:rPr>
        <w:t>disputabilidade</w:t>
      </w:r>
      <w:proofErr w:type="spellEnd"/>
      <w:r w:rsidRPr="00465964">
        <w:rPr>
          <w:lang w:val="pt-PT"/>
        </w:rPr>
        <w:t xml:space="preserve"> e equidade dos mercados no setor digital e que altera as Diretivas (UE) 2019/1937 e (UE) 2020/1828 (Regulamento dos Mercados Digitais) (</w:t>
      </w:r>
      <w:hyperlink r:id="rId153" w:history="1">
        <w:r w:rsidRPr="00465964">
          <w:rPr>
            <w:rStyle w:val="Hyperlink"/>
            <w:lang w:val="pt-PT"/>
          </w:rPr>
          <w:t>JO L 265 de 12.10.2022, p. 1</w:t>
        </w:r>
      </w:hyperlink>
      <w:r w:rsidRPr="00465964">
        <w:rPr>
          <w:lang w:val="pt-PT"/>
        </w:rPr>
        <w:t>).</w:t>
      </w:r>
    </w:p>
    <w:p w14:paraId="2427C420" w14:textId="77777777" w:rsidR="00465964" w:rsidRPr="00465964" w:rsidRDefault="00465964" w:rsidP="00465964">
      <w:pPr>
        <w:rPr>
          <w:lang w:val="pt-PT"/>
        </w:rPr>
      </w:pPr>
      <w:hyperlink r:id="rId154" w:anchor="ntc44-L_2023150PT.01004001-E0044" w:history="1">
        <w:r w:rsidRPr="00465964">
          <w:rPr>
            <w:rStyle w:val="Hyperlink"/>
            <w:lang w:val="pt-PT"/>
          </w:rPr>
          <w:t>(</w:t>
        </w:r>
        <w:r w:rsidRPr="00465964">
          <w:rPr>
            <w:rStyle w:val="Hyperlink"/>
            <w:vertAlign w:val="superscript"/>
            <w:lang w:val="pt-PT"/>
          </w:rPr>
          <w:t>44</w:t>
        </w:r>
        <w:r w:rsidRPr="00465964">
          <w:rPr>
            <w:rStyle w:val="Hyperlink"/>
            <w:lang w:val="pt-PT"/>
          </w:rPr>
          <w:t>)</w:t>
        </w:r>
      </w:hyperlink>
      <w:r w:rsidRPr="00465964">
        <w:rPr>
          <w:lang w:val="pt-PT"/>
        </w:rPr>
        <w:t xml:space="preserve">  Regulamento (UE) 2021/23 do Parlamento Europeu e do Conselho, de 16 de dezembro de 2020, relativo ao regime da recuperação e resolução das contrapartes centrais e que altera os Regulamentos (UE) </w:t>
      </w:r>
      <w:proofErr w:type="spellStart"/>
      <w:r w:rsidRPr="00465964">
        <w:rPr>
          <w:lang w:val="pt-PT"/>
        </w:rPr>
        <w:t>n.</w:t>
      </w:r>
      <w:r w:rsidRPr="00465964">
        <w:rPr>
          <w:vertAlign w:val="superscript"/>
          <w:lang w:val="pt-PT"/>
        </w:rPr>
        <w:t>o</w:t>
      </w:r>
      <w:proofErr w:type="spellEnd"/>
      <w:r w:rsidRPr="00465964">
        <w:rPr>
          <w:lang w:val="pt-PT"/>
        </w:rPr>
        <w:t xml:space="preserve"> 1095/2010, (UE) </w:t>
      </w:r>
      <w:proofErr w:type="spellStart"/>
      <w:r w:rsidRPr="00465964">
        <w:rPr>
          <w:lang w:val="pt-PT"/>
        </w:rPr>
        <w:t>n.</w:t>
      </w:r>
      <w:r w:rsidRPr="00465964">
        <w:rPr>
          <w:vertAlign w:val="superscript"/>
          <w:lang w:val="pt-PT"/>
        </w:rPr>
        <w:t>o</w:t>
      </w:r>
      <w:proofErr w:type="spellEnd"/>
      <w:r w:rsidRPr="00465964">
        <w:rPr>
          <w:lang w:val="pt-PT"/>
        </w:rPr>
        <w:t xml:space="preserve"> 648/2012, (UE) </w:t>
      </w:r>
      <w:proofErr w:type="spellStart"/>
      <w:r w:rsidRPr="00465964">
        <w:rPr>
          <w:lang w:val="pt-PT"/>
        </w:rPr>
        <w:t>n.</w:t>
      </w:r>
      <w:r w:rsidRPr="00465964">
        <w:rPr>
          <w:vertAlign w:val="superscript"/>
          <w:lang w:val="pt-PT"/>
        </w:rPr>
        <w:t>o</w:t>
      </w:r>
      <w:proofErr w:type="spellEnd"/>
      <w:r w:rsidRPr="00465964">
        <w:rPr>
          <w:lang w:val="pt-PT"/>
        </w:rPr>
        <w:t xml:space="preserve"> 600/2014, (UE) </w:t>
      </w:r>
      <w:proofErr w:type="spellStart"/>
      <w:r w:rsidRPr="00465964">
        <w:rPr>
          <w:lang w:val="pt-PT"/>
        </w:rPr>
        <w:t>n.</w:t>
      </w:r>
      <w:r w:rsidRPr="00465964">
        <w:rPr>
          <w:vertAlign w:val="superscript"/>
          <w:lang w:val="pt-PT"/>
        </w:rPr>
        <w:t>o</w:t>
      </w:r>
      <w:proofErr w:type="spellEnd"/>
      <w:r w:rsidRPr="00465964">
        <w:rPr>
          <w:lang w:val="pt-PT"/>
        </w:rPr>
        <w:t> 806/2014 e (UE) 2015/2365 e as Diretivas 2002/47/CE, 2004/25/CE, 2007/36/CE, 2014/59/UE e (UE) 2017/1132 (</w:t>
      </w:r>
      <w:hyperlink r:id="rId155" w:history="1">
        <w:r w:rsidRPr="00465964">
          <w:rPr>
            <w:rStyle w:val="Hyperlink"/>
            <w:lang w:val="pt-PT"/>
          </w:rPr>
          <w:t>JO L 22 de 22.1.2021, p. 1</w:t>
        </w:r>
      </w:hyperlink>
      <w:r w:rsidRPr="00465964">
        <w:rPr>
          <w:lang w:val="pt-PT"/>
        </w:rPr>
        <w:t>).</w:t>
      </w:r>
    </w:p>
    <w:p w14:paraId="249BBC2B" w14:textId="77777777" w:rsidR="00465964" w:rsidRPr="00465964" w:rsidRDefault="00465964" w:rsidP="00465964">
      <w:pPr>
        <w:rPr>
          <w:lang w:val="pt-PT"/>
        </w:rPr>
      </w:pPr>
      <w:hyperlink r:id="rId156" w:anchor="ntc45-L_2023150PT.01004001-E0045" w:history="1">
        <w:r w:rsidRPr="00465964">
          <w:rPr>
            <w:rStyle w:val="Hyperlink"/>
            <w:lang w:val="pt-PT"/>
          </w:rPr>
          <w:t>(</w:t>
        </w:r>
        <w:r w:rsidRPr="00465964">
          <w:rPr>
            <w:rStyle w:val="Hyperlink"/>
            <w:vertAlign w:val="superscript"/>
            <w:lang w:val="pt-PT"/>
          </w:rPr>
          <w:t>45</w:t>
        </w:r>
        <w:r w:rsidRPr="00465964">
          <w:rPr>
            <w:rStyle w:val="Hyperlink"/>
            <w:lang w:val="pt-PT"/>
          </w:rPr>
          <w:t>)</w:t>
        </w:r>
      </w:hyperlink>
      <w:r w:rsidRPr="00465964">
        <w:rPr>
          <w:lang w:val="pt-PT"/>
        </w:rPr>
        <w:t xml:space="preserve">  Regulamento (UE) </w:t>
      </w:r>
      <w:proofErr w:type="spellStart"/>
      <w:r w:rsidRPr="00465964">
        <w:rPr>
          <w:lang w:val="pt-PT"/>
        </w:rPr>
        <w:t>n.</w:t>
      </w:r>
      <w:r w:rsidRPr="00465964">
        <w:rPr>
          <w:vertAlign w:val="superscript"/>
          <w:lang w:val="pt-PT"/>
        </w:rPr>
        <w:t>o</w:t>
      </w:r>
      <w:proofErr w:type="spellEnd"/>
      <w:r w:rsidRPr="00465964">
        <w:rPr>
          <w:lang w:val="pt-PT"/>
        </w:rPr>
        <w:t xml:space="preserve"> 909/2014 do Parlamento Europeu e do Conselho, de 23 de julho de 2014, relativo à melhoria da liquidação de valores mobiliários na União Europeia e às Centrais de Valores Mobiliários e que altera as Diretivas 98/26/CE e 2014/65/UE e o Regulamento (UE) </w:t>
      </w:r>
      <w:proofErr w:type="spellStart"/>
      <w:r w:rsidRPr="00465964">
        <w:rPr>
          <w:lang w:val="pt-PT"/>
        </w:rPr>
        <w:t>n.</w:t>
      </w:r>
      <w:r w:rsidRPr="00465964">
        <w:rPr>
          <w:vertAlign w:val="superscript"/>
          <w:lang w:val="pt-PT"/>
        </w:rPr>
        <w:t>o</w:t>
      </w:r>
      <w:proofErr w:type="spellEnd"/>
      <w:r w:rsidRPr="00465964">
        <w:rPr>
          <w:lang w:val="pt-PT"/>
        </w:rPr>
        <w:t> 236/2012 (</w:t>
      </w:r>
      <w:hyperlink r:id="rId157" w:history="1">
        <w:r w:rsidRPr="00465964">
          <w:rPr>
            <w:rStyle w:val="Hyperlink"/>
            <w:lang w:val="pt-PT"/>
          </w:rPr>
          <w:t>JO L 257 de 28.8.2014, p. 1</w:t>
        </w:r>
      </w:hyperlink>
      <w:r w:rsidRPr="00465964">
        <w:rPr>
          <w:lang w:val="pt-PT"/>
        </w:rPr>
        <w:t>).</w:t>
      </w:r>
    </w:p>
    <w:p w14:paraId="058E8E79" w14:textId="77777777" w:rsidR="00465964" w:rsidRPr="00465964" w:rsidRDefault="00465964" w:rsidP="00465964">
      <w:pPr>
        <w:rPr>
          <w:lang w:val="pt-PT"/>
        </w:rPr>
      </w:pPr>
      <w:hyperlink r:id="rId158" w:anchor="ntc46-L_2023150PT.01004001-E0046" w:history="1">
        <w:r w:rsidRPr="00465964">
          <w:rPr>
            <w:rStyle w:val="Hyperlink"/>
            <w:lang w:val="pt-PT"/>
          </w:rPr>
          <w:t>(</w:t>
        </w:r>
        <w:r w:rsidRPr="00465964">
          <w:rPr>
            <w:rStyle w:val="Hyperlink"/>
            <w:vertAlign w:val="superscript"/>
            <w:lang w:val="pt-PT"/>
          </w:rPr>
          <w:t>46</w:t>
        </w:r>
        <w:r w:rsidRPr="00465964">
          <w:rPr>
            <w:rStyle w:val="Hyperlink"/>
            <w:lang w:val="pt-PT"/>
          </w:rPr>
          <w:t>)</w:t>
        </w:r>
      </w:hyperlink>
      <w:r w:rsidRPr="00465964">
        <w:rPr>
          <w:lang w:val="pt-PT"/>
        </w:rPr>
        <w:t xml:space="preserve">  Regulamento (UE) 2019/2033 do Parlamento Europeu e do Conselho, de 27 de novembro de 2019, relativo aos requisitos prudenciais aplicáveis às empresas de investimento e que altera os Regulamentos (UE) </w:t>
      </w:r>
      <w:proofErr w:type="spellStart"/>
      <w:r w:rsidRPr="00465964">
        <w:rPr>
          <w:lang w:val="pt-PT"/>
        </w:rPr>
        <w:t>n.</w:t>
      </w:r>
      <w:r w:rsidRPr="00465964">
        <w:rPr>
          <w:vertAlign w:val="superscript"/>
          <w:lang w:val="pt-PT"/>
        </w:rPr>
        <w:t>o</w:t>
      </w:r>
      <w:proofErr w:type="spellEnd"/>
      <w:r w:rsidRPr="00465964">
        <w:rPr>
          <w:lang w:val="pt-PT"/>
        </w:rPr>
        <w:t xml:space="preserve"> 1093/2010, (UE) </w:t>
      </w:r>
      <w:proofErr w:type="spellStart"/>
      <w:r w:rsidRPr="00465964">
        <w:rPr>
          <w:lang w:val="pt-PT"/>
        </w:rPr>
        <w:t>n.</w:t>
      </w:r>
      <w:r w:rsidRPr="00465964">
        <w:rPr>
          <w:vertAlign w:val="superscript"/>
          <w:lang w:val="pt-PT"/>
        </w:rPr>
        <w:t>o</w:t>
      </w:r>
      <w:proofErr w:type="spellEnd"/>
      <w:r w:rsidRPr="00465964">
        <w:rPr>
          <w:lang w:val="pt-PT"/>
        </w:rPr>
        <w:t xml:space="preserve"> 575/2013, (UE) </w:t>
      </w:r>
      <w:proofErr w:type="spellStart"/>
      <w:r w:rsidRPr="00465964">
        <w:rPr>
          <w:lang w:val="pt-PT"/>
        </w:rPr>
        <w:t>n.</w:t>
      </w:r>
      <w:r w:rsidRPr="00465964">
        <w:rPr>
          <w:vertAlign w:val="superscript"/>
          <w:lang w:val="pt-PT"/>
        </w:rPr>
        <w:t>o</w:t>
      </w:r>
      <w:proofErr w:type="spellEnd"/>
      <w:r w:rsidRPr="00465964">
        <w:rPr>
          <w:lang w:val="pt-PT"/>
        </w:rPr>
        <w:t xml:space="preserve"> 600/2014 e (UE) </w:t>
      </w:r>
      <w:proofErr w:type="spellStart"/>
      <w:r w:rsidRPr="00465964">
        <w:rPr>
          <w:lang w:val="pt-PT"/>
        </w:rPr>
        <w:t>n.</w:t>
      </w:r>
      <w:r w:rsidRPr="00465964">
        <w:rPr>
          <w:vertAlign w:val="superscript"/>
          <w:lang w:val="pt-PT"/>
        </w:rPr>
        <w:t>o</w:t>
      </w:r>
      <w:proofErr w:type="spellEnd"/>
      <w:r w:rsidRPr="00465964">
        <w:rPr>
          <w:lang w:val="pt-PT"/>
        </w:rPr>
        <w:t> 806/2014 (</w:t>
      </w:r>
      <w:hyperlink r:id="rId159" w:history="1">
        <w:r w:rsidRPr="00465964">
          <w:rPr>
            <w:rStyle w:val="Hyperlink"/>
            <w:lang w:val="pt-PT"/>
          </w:rPr>
          <w:t>JO L 314 de 5.12.2019, p. 1</w:t>
        </w:r>
      </w:hyperlink>
      <w:r w:rsidRPr="00465964">
        <w:rPr>
          <w:lang w:val="pt-PT"/>
        </w:rPr>
        <w:t>).</w:t>
      </w:r>
    </w:p>
    <w:p w14:paraId="48FC6B0F" w14:textId="77777777" w:rsidR="00465964" w:rsidRPr="00465964" w:rsidRDefault="00465964" w:rsidP="00465964">
      <w:pPr>
        <w:rPr>
          <w:lang w:val="pt-PT"/>
        </w:rPr>
      </w:pPr>
      <w:hyperlink r:id="rId160" w:anchor="ntc47-L_2023150PT.01004001-E0047" w:history="1">
        <w:r w:rsidRPr="00465964">
          <w:rPr>
            <w:rStyle w:val="Hyperlink"/>
            <w:lang w:val="pt-PT"/>
          </w:rPr>
          <w:t>(</w:t>
        </w:r>
        <w:r w:rsidRPr="00465964">
          <w:rPr>
            <w:rStyle w:val="Hyperlink"/>
            <w:vertAlign w:val="superscript"/>
            <w:lang w:val="pt-PT"/>
          </w:rPr>
          <w:t>47</w:t>
        </w:r>
        <w:r w:rsidRPr="00465964">
          <w:rPr>
            <w:rStyle w:val="Hyperlink"/>
            <w:lang w:val="pt-PT"/>
          </w:rPr>
          <w:t>)</w:t>
        </w:r>
      </w:hyperlink>
      <w:r w:rsidRPr="00465964">
        <w:rPr>
          <w:lang w:val="pt-PT"/>
        </w:rPr>
        <w:t>  Diretiva (UE) 2019/2034 do Parlamento Europeu e do Conselho, de 27 de novembro de 2019, relativa à supervisão prudencial das empresas de investimento e que altera as Diretivas 2002/87/CE, 2009/65/CE, 2011/61/UE, 2013/36/UE, 2014/59/UE e 2014/65/UE (</w:t>
      </w:r>
      <w:hyperlink r:id="rId161" w:history="1">
        <w:r w:rsidRPr="00465964">
          <w:rPr>
            <w:rStyle w:val="Hyperlink"/>
            <w:lang w:val="pt-PT"/>
          </w:rPr>
          <w:t>JO L 314 de 5.12.2019, p. 64</w:t>
        </w:r>
      </w:hyperlink>
      <w:r w:rsidRPr="00465964">
        <w:rPr>
          <w:lang w:val="pt-PT"/>
        </w:rPr>
        <w:t>).</w:t>
      </w:r>
    </w:p>
    <w:p w14:paraId="16A3F3A5" w14:textId="77777777" w:rsidR="00465964" w:rsidRPr="00465964" w:rsidRDefault="00465964" w:rsidP="00465964">
      <w:r w:rsidRPr="00465964">
        <w:pict w14:anchorId="5ECA4F5E">
          <v:rect id="_x0000_i1068" style="width:65.45pt;height:.75pt" o:hrpct="0" o:hralign="center" o:hrstd="t" o:hrnoshade="t" o:hr="t" fillcolor="black" stroked="f"/>
        </w:pict>
      </w:r>
    </w:p>
    <w:p w14:paraId="2AC6C893" w14:textId="77777777" w:rsidR="00465964" w:rsidRPr="00465964" w:rsidRDefault="00465964" w:rsidP="00465964">
      <w:pPr>
        <w:rPr>
          <w:b/>
          <w:bCs/>
          <w:lang w:val="pt-PT"/>
        </w:rPr>
      </w:pPr>
      <w:r w:rsidRPr="00465964">
        <w:rPr>
          <w:b/>
          <w:bCs/>
          <w:lang w:val="pt-PT"/>
        </w:rPr>
        <w:t>ANEXO I</w:t>
      </w:r>
    </w:p>
    <w:p w14:paraId="27097BC2" w14:textId="2E08ABD6" w:rsidR="00465964" w:rsidRPr="00465964" w:rsidRDefault="00465964" w:rsidP="00465964">
      <w:pPr>
        <w:rPr>
          <w:b/>
          <w:bCs/>
          <w:lang w:val="pt-PT"/>
        </w:rPr>
      </w:pPr>
      <w:r w:rsidRPr="00465964">
        <w:rPr>
          <w:b/>
          <w:bCs/>
          <w:lang w:val="pt-PT"/>
        </w:rPr>
        <w:t xml:space="preserve">ELEMENTOS A INCLUIR NO LIVRETE DO CRIPTOATIVO PRELATIVO A CRIPTOATIVOS QUE NÃO SEJAM </w:t>
      </w:r>
      <w:r>
        <w:rPr>
          <w:b/>
          <w:bCs/>
          <w:lang w:val="pt-PT"/>
        </w:rPr>
        <w:t>CRIPTOMOEDAS</w:t>
      </w:r>
      <w:r w:rsidRPr="00465964">
        <w:rPr>
          <w:b/>
          <w:bCs/>
          <w:lang w:val="pt-PT"/>
        </w:rPr>
        <w:t xml:space="preserve"> REFERENCIADAS A ATIVOS NEM </w:t>
      </w:r>
      <w:r>
        <w:rPr>
          <w:b/>
          <w:bCs/>
          <w:lang w:val="pt-PT"/>
        </w:rPr>
        <w:t>CRIPTOMOEDAS</w:t>
      </w:r>
      <w:r w:rsidRPr="00465964">
        <w:rPr>
          <w:b/>
          <w:bCs/>
          <w:lang w:val="pt-PT"/>
        </w:rPr>
        <w:t xml:space="preserve"> DE MOEDA ELETRÓNICA</w:t>
      </w:r>
    </w:p>
    <w:p w14:paraId="31DD787A" w14:textId="77777777" w:rsidR="00465964" w:rsidRPr="00465964" w:rsidRDefault="00465964" w:rsidP="00465964">
      <w:pPr>
        <w:rPr>
          <w:b/>
          <w:bCs/>
          <w:lang w:val="pt-PT"/>
        </w:rPr>
      </w:pPr>
      <w:r w:rsidRPr="00465964">
        <w:rPr>
          <w:b/>
          <w:bCs/>
          <w:lang w:val="pt-PT"/>
        </w:rPr>
        <w:t>Parte A: Informações sobre o oferente ou sobre a pessoa que solicita a admissão à negociação</w:t>
      </w:r>
    </w:p>
    <w:tbl>
      <w:tblPr>
        <w:tblW w:w="5000" w:type="pct"/>
        <w:tblCellMar>
          <w:left w:w="0" w:type="dxa"/>
          <w:right w:w="0" w:type="dxa"/>
        </w:tblCellMar>
        <w:tblLook w:val="04A0" w:firstRow="1" w:lastRow="0" w:firstColumn="1" w:lastColumn="0" w:noHBand="0" w:noVBand="1"/>
      </w:tblPr>
      <w:tblGrid>
        <w:gridCol w:w="1980"/>
        <w:gridCol w:w="7046"/>
      </w:tblGrid>
      <w:tr w:rsidR="00465964" w:rsidRPr="00465964" w14:paraId="42FDDDE5" w14:textId="77777777" w:rsidTr="00465964">
        <w:tc>
          <w:tcPr>
            <w:tcW w:w="0" w:type="auto"/>
            <w:shd w:val="clear" w:color="auto" w:fill="auto"/>
            <w:hideMark/>
          </w:tcPr>
          <w:p w14:paraId="1863A03D" w14:textId="77777777" w:rsidR="00465964" w:rsidRPr="00465964" w:rsidRDefault="00465964" w:rsidP="00465964">
            <w:r w:rsidRPr="00465964">
              <w:lastRenderedPageBreak/>
              <w:t>1.</w:t>
            </w:r>
          </w:p>
        </w:tc>
        <w:tc>
          <w:tcPr>
            <w:tcW w:w="0" w:type="auto"/>
            <w:shd w:val="clear" w:color="auto" w:fill="auto"/>
            <w:hideMark/>
          </w:tcPr>
          <w:p w14:paraId="4106F550" w14:textId="77777777" w:rsidR="00465964" w:rsidRPr="00465964" w:rsidRDefault="00465964" w:rsidP="00465964">
            <w:r w:rsidRPr="00465964">
              <w:t>Nome;</w:t>
            </w:r>
          </w:p>
        </w:tc>
      </w:tr>
    </w:tbl>
    <w:p w14:paraId="2036803F"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015"/>
        <w:gridCol w:w="8011"/>
      </w:tblGrid>
      <w:tr w:rsidR="00465964" w:rsidRPr="00465964" w14:paraId="1E12D0CF" w14:textId="77777777" w:rsidTr="00465964">
        <w:tc>
          <w:tcPr>
            <w:tcW w:w="0" w:type="auto"/>
            <w:shd w:val="clear" w:color="auto" w:fill="auto"/>
            <w:hideMark/>
          </w:tcPr>
          <w:p w14:paraId="65E2B37F" w14:textId="77777777" w:rsidR="00465964" w:rsidRPr="00465964" w:rsidRDefault="00465964" w:rsidP="00465964">
            <w:r w:rsidRPr="00465964">
              <w:t>2.</w:t>
            </w:r>
          </w:p>
        </w:tc>
        <w:tc>
          <w:tcPr>
            <w:tcW w:w="0" w:type="auto"/>
            <w:shd w:val="clear" w:color="auto" w:fill="auto"/>
            <w:hideMark/>
          </w:tcPr>
          <w:p w14:paraId="450CFB55" w14:textId="77777777" w:rsidR="00465964" w:rsidRPr="00465964" w:rsidRDefault="00465964" w:rsidP="00465964">
            <w:r w:rsidRPr="00465964">
              <w:t xml:space="preserve">Forma </w:t>
            </w:r>
            <w:proofErr w:type="spellStart"/>
            <w:r w:rsidRPr="00465964">
              <w:t>jurídica</w:t>
            </w:r>
            <w:proofErr w:type="spellEnd"/>
            <w:r w:rsidRPr="00465964">
              <w:t>;</w:t>
            </w:r>
          </w:p>
        </w:tc>
      </w:tr>
    </w:tbl>
    <w:p w14:paraId="52E16260"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326"/>
        <w:gridCol w:w="8700"/>
      </w:tblGrid>
      <w:tr w:rsidR="00465964" w:rsidRPr="00465964" w14:paraId="63314487" w14:textId="77777777" w:rsidTr="00465964">
        <w:tc>
          <w:tcPr>
            <w:tcW w:w="0" w:type="auto"/>
            <w:shd w:val="clear" w:color="auto" w:fill="auto"/>
            <w:hideMark/>
          </w:tcPr>
          <w:p w14:paraId="2B87DA2A" w14:textId="77777777" w:rsidR="00465964" w:rsidRPr="00465964" w:rsidRDefault="00465964" w:rsidP="00465964">
            <w:r w:rsidRPr="00465964">
              <w:t>3.</w:t>
            </w:r>
          </w:p>
        </w:tc>
        <w:tc>
          <w:tcPr>
            <w:tcW w:w="0" w:type="auto"/>
            <w:shd w:val="clear" w:color="auto" w:fill="auto"/>
            <w:hideMark/>
          </w:tcPr>
          <w:p w14:paraId="15C93635" w14:textId="77777777" w:rsidR="00465964" w:rsidRPr="00465964" w:rsidRDefault="00465964" w:rsidP="00465964">
            <w:pPr>
              <w:rPr>
                <w:lang w:val="pt-PT"/>
              </w:rPr>
            </w:pPr>
            <w:r w:rsidRPr="00465964">
              <w:rPr>
                <w:lang w:val="pt-PT"/>
              </w:rPr>
              <w:t>Sede social e sede estatutária, se forem diferentes;</w:t>
            </w:r>
          </w:p>
        </w:tc>
      </w:tr>
    </w:tbl>
    <w:p w14:paraId="741ECE80"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977"/>
        <w:gridCol w:w="8049"/>
      </w:tblGrid>
      <w:tr w:rsidR="00465964" w:rsidRPr="00465964" w14:paraId="495C1718" w14:textId="77777777" w:rsidTr="00465964">
        <w:tc>
          <w:tcPr>
            <w:tcW w:w="0" w:type="auto"/>
            <w:shd w:val="clear" w:color="auto" w:fill="auto"/>
            <w:hideMark/>
          </w:tcPr>
          <w:p w14:paraId="5CE4EE13" w14:textId="77777777" w:rsidR="00465964" w:rsidRPr="00465964" w:rsidRDefault="00465964" w:rsidP="00465964">
            <w:r w:rsidRPr="00465964">
              <w:t>4.</w:t>
            </w:r>
          </w:p>
        </w:tc>
        <w:tc>
          <w:tcPr>
            <w:tcW w:w="0" w:type="auto"/>
            <w:shd w:val="clear" w:color="auto" w:fill="auto"/>
            <w:hideMark/>
          </w:tcPr>
          <w:p w14:paraId="558E2631" w14:textId="77777777" w:rsidR="00465964" w:rsidRPr="00465964" w:rsidRDefault="00465964" w:rsidP="00465964">
            <w:r w:rsidRPr="00465964">
              <w:t xml:space="preserve">Data do </w:t>
            </w:r>
            <w:proofErr w:type="spellStart"/>
            <w:r w:rsidRPr="00465964">
              <w:t>registo</w:t>
            </w:r>
            <w:proofErr w:type="spellEnd"/>
            <w:r w:rsidRPr="00465964">
              <w:t>;</w:t>
            </w:r>
          </w:p>
        </w:tc>
      </w:tr>
    </w:tbl>
    <w:p w14:paraId="6CEEBFC5"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1"/>
        <w:gridCol w:w="8845"/>
      </w:tblGrid>
      <w:tr w:rsidR="00465964" w:rsidRPr="00465964" w14:paraId="497811D3" w14:textId="77777777" w:rsidTr="00465964">
        <w:tc>
          <w:tcPr>
            <w:tcW w:w="0" w:type="auto"/>
            <w:shd w:val="clear" w:color="auto" w:fill="auto"/>
            <w:hideMark/>
          </w:tcPr>
          <w:p w14:paraId="1E3FD06B" w14:textId="77777777" w:rsidR="00465964" w:rsidRPr="00465964" w:rsidRDefault="00465964" w:rsidP="00465964">
            <w:r w:rsidRPr="00465964">
              <w:t>5.</w:t>
            </w:r>
          </w:p>
        </w:tc>
        <w:tc>
          <w:tcPr>
            <w:tcW w:w="0" w:type="auto"/>
            <w:shd w:val="clear" w:color="auto" w:fill="auto"/>
            <w:hideMark/>
          </w:tcPr>
          <w:p w14:paraId="112B696C" w14:textId="77777777" w:rsidR="00465964" w:rsidRPr="00465964" w:rsidRDefault="00465964" w:rsidP="00465964">
            <w:pPr>
              <w:rPr>
                <w:lang w:val="pt-PT"/>
              </w:rPr>
            </w:pPr>
            <w:r w:rsidRPr="00465964">
              <w:rPr>
                <w:lang w:val="pt-PT"/>
              </w:rPr>
              <w:t>Identificador de entidade jurídica ou outro identificador exigido em conformidade com o direito nacional aplicável;</w:t>
            </w:r>
          </w:p>
        </w:tc>
      </w:tr>
    </w:tbl>
    <w:p w14:paraId="1E50B155"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1"/>
        <w:gridCol w:w="8845"/>
      </w:tblGrid>
      <w:tr w:rsidR="00465964" w:rsidRPr="00465964" w14:paraId="46FE6719" w14:textId="77777777" w:rsidTr="00465964">
        <w:tc>
          <w:tcPr>
            <w:tcW w:w="0" w:type="auto"/>
            <w:shd w:val="clear" w:color="auto" w:fill="auto"/>
            <w:hideMark/>
          </w:tcPr>
          <w:p w14:paraId="18AFD004" w14:textId="77777777" w:rsidR="00465964" w:rsidRPr="00465964" w:rsidRDefault="00465964" w:rsidP="00465964">
            <w:r w:rsidRPr="00465964">
              <w:t>6.</w:t>
            </w:r>
          </w:p>
        </w:tc>
        <w:tc>
          <w:tcPr>
            <w:tcW w:w="0" w:type="auto"/>
            <w:shd w:val="clear" w:color="auto" w:fill="auto"/>
            <w:hideMark/>
          </w:tcPr>
          <w:p w14:paraId="2BCBDD88" w14:textId="77777777" w:rsidR="00465964" w:rsidRPr="00465964" w:rsidRDefault="00465964" w:rsidP="00465964">
            <w:pPr>
              <w:rPr>
                <w:lang w:val="pt-PT"/>
              </w:rPr>
            </w:pPr>
            <w:r w:rsidRPr="00465964">
              <w:rPr>
                <w:lang w:val="pt-PT"/>
              </w:rPr>
              <w:t>Um número de telefone de contacto e um endereço de correio eletrónico do oferente ou da pessoa que solicita a admissão à negociação e um período, em dias, dentro do qual um investidor que contacte o oferente ou a pessoa que solicita a admissão à negociação através do referido número de telefone ou endereço de correio eletrónico receberá uma resposta;</w:t>
            </w:r>
          </w:p>
        </w:tc>
      </w:tr>
    </w:tbl>
    <w:p w14:paraId="28C608DE"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378"/>
        <w:gridCol w:w="8648"/>
      </w:tblGrid>
      <w:tr w:rsidR="00465964" w:rsidRPr="00465964" w14:paraId="7A4C5C97" w14:textId="77777777" w:rsidTr="00465964">
        <w:tc>
          <w:tcPr>
            <w:tcW w:w="0" w:type="auto"/>
            <w:shd w:val="clear" w:color="auto" w:fill="auto"/>
            <w:hideMark/>
          </w:tcPr>
          <w:p w14:paraId="504EFDDF" w14:textId="77777777" w:rsidR="00465964" w:rsidRPr="00465964" w:rsidRDefault="00465964" w:rsidP="00465964">
            <w:r w:rsidRPr="00465964">
              <w:t>7.</w:t>
            </w:r>
          </w:p>
        </w:tc>
        <w:tc>
          <w:tcPr>
            <w:tcW w:w="0" w:type="auto"/>
            <w:shd w:val="clear" w:color="auto" w:fill="auto"/>
            <w:hideMark/>
          </w:tcPr>
          <w:p w14:paraId="016E29F5" w14:textId="77777777" w:rsidR="00465964" w:rsidRPr="00465964" w:rsidRDefault="00465964" w:rsidP="00465964">
            <w:pPr>
              <w:rPr>
                <w:lang w:val="pt-PT"/>
              </w:rPr>
            </w:pPr>
            <w:r w:rsidRPr="00465964">
              <w:rPr>
                <w:lang w:val="pt-PT"/>
              </w:rPr>
              <w:t>Se for caso disso, o nome da empresa-mãe;</w:t>
            </w:r>
          </w:p>
        </w:tc>
      </w:tr>
    </w:tbl>
    <w:p w14:paraId="5E88FCB9"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1"/>
        <w:gridCol w:w="8845"/>
      </w:tblGrid>
      <w:tr w:rsidR="00465964" w:rsidRPr="00465964" w14:paraId="2E1105BF" w14:textId="77777777" w:rsidTr="00465964">
        <w:tc>
          <w:tcPr>
            <w:tcW w:w="0" w:type="auto"/>
            <w:shd w:val="clear" w:color="auto" w:fill="auto"/>
            <w:hideMark/>
          </w:tcPr>
          <w:p w14:paraId="485431EE" w14:textId="77777777" w:rsidR="00465964" w:rsidRPr="00465964" w:rsidRDefault="00465964" w:rsidP="00465964">
            <w:r w:rsidRPr="00465964">
              <w:t>8.</w:t>
            </w:r>
          </w:p>
        </w:tc>
        <w:tc>
          <w:tcPr>
            <w:tcW w:w="0" w:type="auto"/>
            <w:shd w:val="clear" w:color="auto" w:fill="auto"/>
            <w:hideMark/>
          </w:tcPr>
          <w:p w14:paraId="610C4070" w14:textId="77777777" w:rsidR="00465964" w:rsidRPr="00465964" w:rsidRDefault="00465964" w:rsidP="00465964">
            <w:pPr>
              <w:rPr>
                <w:lang w:val="pt-PT"/>
              </w:rPr>
            </w:pPr>
            <w:r w:rsidRPr="00465964">
              <w:rPr>
                <w:lang w:val="pt-PT"/>
              </w:rPr>
              <w:t>Identidade, endereços profissionais e funções dos membros do órgão de administração do oferente ou da pessoa que solicita a admissão à negociação;</w:t>
            </w:r>
          </w:p>
        </w:tc>
      </w:tr>
    </w:tbl>
    <w:p w14:paraId="5E1629EE"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1"/>
        <w:gridCol w:w="8845"/>
      </w:tblGrid>
      <w:tr w:rsidR="00465964" w:rsidRPr="00465964" w14:paraId="6EECF757" w14:textId="77777777" w:rsidTr="00465964">
        <w:tc>
          <w:tcPr>
            <w:tcW w:w="0" w:type="auto"/>
            <w:shd w:val="clear" w:color="auto" w:fill="auto"/>
            <w:hideMark/>
          </w:tcPr>
          <w:p w14:paraId="13537C7C" w14:textId="77777777" w:rsidR="00465964" w:rsidRPr="00465964" w:rsidRDefault="00465964" w:rsidP="00465964">
            <w:r w:rsidRPr="00465964">
              <w:t>9.</w:t>
            </w:r>
          </w:p>
        </w:tc>
        <w:tc>
          <w:tcPr>
            <w:tcW w:w="0" w:type="auto"/>
            <w:shd w:val="clear" w:color="auto" w:fill="auto"/>
            <w:hideMark/>
          </w:tcPr>
          <w:p w14:paraId="04DB5F8A" w14:textId="77777777" w:rsidR="00465964" w:rsidRPr="00465964" w:rsidRDefault="00465964" w:rsidP="00465964">
            <w:pPr>
              <w:rPr>
                <w:lang w:val="pt-PT"/>
              </w:rPr>
            </w:pPr>
            <w:r w:rsidRPr="00465964">
              <w:rPr>
                <w:lang w:val="pt-PT"/>
              </w:rPr>
              <w:t>Atividade comercial ou profissional do oferente ou da pessoa que solicita a admissão à negociação e, se for caso disso, da sua empresa-mãe;</w:t>
            </w:r>
          </w:p>
        </w:tc>
      </w:tr>
    </w:tbl>
    <w:p w14:paraId="13D9A604"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298"/>
        <w:gridCol w:w="8728"/>
      </w:tblGrid>
      <w:tr w:rsidR="00465964" w:rsidRPr="00465964" w14:paraId="4203C218" w14:textId="77777777" w:rsidTr="00465964">
        <w:tc>
          <w:tcPr>
            <w:tcW w:w="0" w:type="auto"/>
            <w:shd w:val="clear" w:color="auto" w:fill="auto"/>
            <w:hideMark/>
          </w:tcPr>
          <w:p w14:paraId="1FC2A007" w14:textId="77777777" w:rsidR="00465964" w:rsidRPr="00465964" w:rsidRDefault="00465964" w:rsidP="00465964">
            <w:r w:rsidRPr="00465964">
              <w:t>10.</w:t>
            </w:r>
          </w:p>
        </w:tc>
        <w:tc>
          <w:tcPr>
            <w:tcW w:w="0" w:type="auto"/>
            <w:shd w:val="clear" w:color="auto" w:fill="auto"/>
            <w:hideMark/>
          </w:tcPr>
          <w:p w14:paraId="0881E558" w14:textId="77777777" w:rsidR="00465964" w:rsidRPr="00465964" w:rsidRDefault="00465964" w:rsidP="00465964">
            <w:pPr>
              <w:rPr>
                <w:lang w:val="pt-PT"/>
              </w:rPr>
            </w:pPr>
            <w:r w:rsidRPr="00465964">
              <w:rPr>
                <w:lang w:val="pt-PT"/>
              </w:rPr>
              <w:t>A situação financeira do oferente ou da pessoa que solicita a admissão à negociação nos últimos três anos ou, se o oferente ou a pessoa que solicita a admissão à negociação estiver estabelecida há menos de três anos, a sua situação financeira desde a data do registo.</w:t>
            </w:r>
          </w:p>
          <w:p w14:paraId="7A48084E" w14:textId="77777777" w:rsidR="00465964" w:rsidRPr="00465964" w:rsidRDefault="00465964" w:rsidP="00465964">
            <w:pPr>
              <w:rPr>
                <w:lang w:val="pt-PT"/>
              </w:rPr>
            </w:pPr>
            <w:r w:rsidRPr="00465964">
              <w:rPr>
                <w:lang w:val="pt-PT"/>
              </w:rPr>
              <w:t>A situação financeira é avaliada com base numa análise imparcial da evolução e do desempenho das atividades comerciais do oferente ou da pessoa que solicita a admissão à negociação e da sua situação em cada ano e período intercalar para o qual são exigidas informações financeiras históricas, incluindo os motivos de alterações significativas.</w:t>
            </w:r>
          </w:p>
          <w:p w14:paraId="3873800A" w14:textId="77777777" w:rsidR="00465964" w:rsidRPr="00465964" w:rsidRDefault="00465964" w:rsidP="00465964">
            <w:pPr>
              <w:rPr>
                <w:lang w:val="pt-PT"/>
              </w:rPr>
            </w:pPr>
            <w:r w:rsidRPr="00465964">
              <w:rPr>
                <w:lang w:val="pt-PT"/>
              </w:rPr>
              <w:t>Essa análise deve consistir num exame equilibrado e global da evolução e do desempenho das atividades comerciais do oferente ou da pessoa que solicita a admissão à negociação e da sua situação, que corresponda à dimensão e à complexidade da atividade.</w:t>
            </w:r>
          </w:p>
        </w:tc>
      </w:tr>
    </w:tbl>
    <w:p w14:paraId="2539F0FB" w14:textId="77777777" w:rsidR="00465964" w:rsidRPr="00465964" w:rsidRDefault="00465964" w:rsidP="00465964">
      <w:pPr>
        <w:rPr>
          <w:b/>
          <w:bCs/>
          <w:lang w:val="pt-PT"/>
        </w:rPr>
      </w:pPr>
      <w:r w:rsidRPr="00465964">
        <w:rPr>
          <w:b/>
          <w:bCs/>
          <w:lang w:val="pt-PT"/>
        </w:rPr>
        <w:t>Parte B: Informações relativas ao emitente, se for diferente do oferente ou da pessoa que solicita a admissão à negociação</w:t>
      </w:r>
    </w:p>
    <w:tbl>
      <w:tblPr>
        <w:tblW w:w="5000" w:type="pct"/>
        <w:tblCellMar>
          <w:left w:w="0" w:type="dxa"/>
          <w:right w:w="0" w:type="dxa"/>
        </w:tblCellMar>
        <w:tblLook w:val="04A0" w:firstRow="1" w:lastRow="0" w:firstColumn="1" w:lastColumn="0" w:noHBand="0" w:noVBand="1"/>
      </w:tblPr>
      <w:tblGrid>
        <w:gridCol w:w="1980"/>
        <w:gridCol w:w="7046"/>
      </w:tblGrid>
      <w:tr w:rsidR="00465964" w:rsidRPr="00465964" w14:paraId="41920E5B" w14:textId="77777777" w:rsidTr="00465964">
        <w:tc>
          <w:tcPr>
            <w:tcW w:w="0" w:type="auto"/>
            <w:shd w:val="clear" w:color="auto" w:fill="auto"/>
            <w:hideMark/>
          </w:tcPr>
          <w:p w14:paraId="3ADE93FE" w14:textId="77777777" w:rsidR="00465964" w:rsidRPr="00465964" w:rsidRDefault="00465964" w:rsidP="00465964">
            <w:r w:rsidRPr="00465964">
              <w:t>1.</w:t>
            </w:r>
          </w:p>
        </w:tc>
        <w:tc>
          <w:tcPr>
            <w:tcW w:w="0" w:type="auto"/>
            <w:shd w:val="clear" w:color="auto" w:fill="auto"/>
            <w:hideMark/>
          </w:tcPr>
          <w:p w14:paraId="07E043B4" w14:textId="77777777" w:rsidR="00465964" w:rsidRPr="00465964" w:rsidRDefault="00465964" w:rsidP="00465964">
            <w:r w:rsidRPr="00465964">
              <w:t>Nome;</w:t>
            </w:r>
          </w:p>
        </w:tc>
      </w:tr>
    </w:tbl>
    <w:p w14:paraId="1B3D9B38"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015"/>
        <w:gridCol w:w="8011"/>
      </w:tblGrid>
      <w:tr w:rsidR="00465964" w:rsidRPr="00465964" w14:paraId="42CD9099" w14:textId="77777777" w:rsidTr="00465964">
        <w:tc>
          <w:tcPr>
            <w:tcW w:w="0" w:type="auto"/>
            <w:shd w:val="clear" w:color="auto" w:fill="auto"/>
            <w:hideMark/>
          </w:tcPr>
          <w:p w14:paraId="257864E0" w14:textId="77777777" w:rsidR="00465964" w:rsidRPr="00465964" w:rsidRDefault="00465964" w:rsidP="00465964">
            <w:r w:rsidRPr="00465964">
              <w:t>2.</w:t>
            </w:r>
          </w:p>
        </w:tc>
        <w:tc>
          <w:tcPr>
            <w:tcW w:w="0" w:type="auto"/>
            <w:shd w:val="clear" w:color="auto" w:fill="auto"/>
            <w:hideMark/>
          </w:tcPr>
          <w:p w14:paraId="16C29B54" w14:textId="77777777" w:rsidR="00465964" w:rsidRPr="00465964" w:rsidRDefault="00465964" w:rsidP="00465964">
            <w:r w:rsidRPr="00465964">
              <w:t xml:space="preserve">Forma </w:t>
            </w:r>
            <w:proofErr w:type="spellStart"/>
            <w:r w:rsidRPr="00465964">
              <w:t>jurídica</w:t>
            </w:r>
            <w:proofErr w:type="spellEnd"/>
            <w:r w:rsidRPr="00465964">
              <w:t>;</w:t>
            </w:r>
          </w:p>
        </w:tc>
      </w:tr>
    </w:tbl>
    <w:p w14:paraId="6331286E"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326"/>
        <w:gridCol w:w="8700"/>
      </w:tblGrid>
      <w:tr w:rsidR="00465964" w:rsidRPr="00465964" w14:paraId="6B1E2EBC" w14:textId="77777777" w:rsidTr="00465964">
        <w:tc>
          <w:tcPr>
            <w:tcW w:w="0" w:type="auto"/>
            <w:shd w:val="clear" w:color="auto" w:fill="auto"/>
            <w:hideMark/>
          </w:tcPr>
          <w:p w14:paraId="6FE8DE8C" w14:textId="77777777" w:rsidR="00465964" w:rsidRPr="00465964" w:rsidRDefault="00465964" w:rsidP="00465964">
            <w:r w:rsidRPr="00465964">
              <w:t>3.</w:t>
            </w:r>
          </w:p>
        </w:tc>
        <w:tc>
          <w:tcPr>
            <w:tcW w:w="0" w:type="auto"/>
            <w:shd w:val="clear" w:color="auto" w:fill="auto"/>
            <w:hideMark/>
          </w:tcPr>
          <w:p w14:paraId="53AE91DA" w14:textId="77777777" w:rsidR="00465964" w:rsidRPr="00465964" w:rsidRDefault="00465964" w:rsidP="00465964">
            <w:pPr>
              <w:rPr>
                <w:lang w:val="pt-PT"/>
              </w:rPr>
            </w:pPr>
            <w:r w:rsidRPr="00465964">
              <w:rPr>
                <w:lang w:val="pt-PT"/>
              </w:rPr>
              <w:t>Sede social e sede estatutária, se forem diferentes;</w:t>
            </w:r>
          </w:p>
        </w:tc>
      </w:tr>
    </w:tbl>
    <w:p w14:paraId="7FF3DAA1"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977"/>
        <w:gridCol w:w="8049"/>
      </w:tblGrid>
      <w:tr w:rsidR="00465964" w:rsidRPr="00465964" w14:paraId="10A77677" w14:textId="77777777" w:rsidTr="00465964">
        <w:tc>
          <w:tcPr>
            <w:tcW w:w="0" w:type="auto"/>
            <w:shd w:val="clear" w:color="auto" w:fill="auto"/>
            <w:hideMark/>
          </w:tcPr>
          <w:p w14:paraId="491747E7" w14:textId="77777777" w:rsidR="00465964" w:rsidRPr="00465964" w:rsidRDefault="00465964" w:rsidP="00465964">
            <w:r w:rsidRPr="00465964">
              <w:t>4.</w:t>
            </w:r>
          </w:p>
        </w:tc>
        <w:tc>
          <w:tcPr>
            <w:tcW w:w="0" w:type="auto"/>
            <w:shd w:val="clear" w:color="auto" w:fill="auto"/>
            <w:hideMark/>
          </w:tcPr>
          <w:p w14:paraId="1D2E34AC" w14:textId="77777777" w:rsidR="00465964" w:rsidRPr="00465964" w:rsidRDefault="00465964" w:rsidP="00465964">
            <w:r w:rsidRPr="00465964">
              <w:t xml:space="preserve">Data do </w:t>
            </w:r>
            <w:proofErr w:type="spellStart"/>
            <w:r w:rsidRPr="00465964">
              <w:t>registo</w:t>
            </w:r>
            <w:proofErr w:type="spellEnd"/>
            <w:r w:rsidRPr="00465964">
              <w:t>;</w:t>
            </w:r>
          </w:p>
        </w:tc>
      </w:tr>
    </w:tbl>
    <w:p w14:paraId="03786DC1"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1"/>
        <w:gridCol w:w="8845"/>
      </w:tblGrid>
      <w:tr w:rsidR="00465964" w:rsidRPr="00465964" w14:paraId="50F91832" w14:textId="77777777" w:rsidTr="00465964">
        <w:tc>
          <w:tcPr>
            <w:tcW w:w="0" w:type="auto"/>
            <w:shd w:val="clear" w:color="auto" w:fill="auto"/>
            <w:hideMark/>
          </w:tcPr>
          <w:p w14:paraId="3E173345" w14:textId="77777777" w:rsidR="00465964" w:rsidRPr="00465964" w:rsidRDefault="00465964" w:rsidP="00465964">
            <w:r w:rsidRPr="00465964">
              <w:t>5.</w:t>
            </w:r>
          </w:p>
        </w:tc>
        <w:tc>
          <w:tcPr>
            <w:tcW w:w="0" w:type="auto"/>
            <w:shd w:val="clear" w:color="auto" w:fill="auto"/>
            <w:hideMark/>
          </w:tcPr>
          <w:p w14:paraId="1B16B3B6" w14:textId="77777777" w:rsidR="00465964" w:rsidRPr="00465964" w:rsidRDefault="00465964" w:rsidP="00465964">
            <w:pPr>
              <w:rPr>
                <w:lang w:val="pt-PT"/>
              </w:rPr>
            </w:pPr>
            <w:r w:rsidRPr="00465964">
              <w:rPr>
                <w:lang w:val="pt-PT"/>
              </w:rPr>
              <w:t>Identificador de entidade jurídica ou outro identificador exigido nos termos do direito nacional aplicável;</w:t>
            </w:r>
          </w:p>
        </w:tc>
      </w:tr>
    </w:tbl>
    <w:p w14:paraId="7F221026"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378"/>
        <w:gridCol w:w="8648"/>
      </w:tblGrid>
      <w:tr w:rsidR="00465964" w:rsidRPr="00465964" w14:paraId="31C3F407" w14:textId="77777777" w:rsidTr="00465964">
        <w:tc>
          <w:tcPr>
            <w:tcW w:w="0" w:type="auto"/>
            <w:shd w:val="clear" w:color="auto" w:fill="auto"/>
            <w:hideMark/>
          </w:tcPr>
          <w:p w14:paraId="58D287C6" w14:textId="77777777" w:rsidR="00465964" w:rsidRPr="00465964" w:rsidRDefault="00465964" w:rsidP="00465964">
            <w:r w:rsidRPr="00465964">
              <w:t>6.</w:t>
            </w:r>
          </w:p>
        </w:tc>
        <w:tc>
          <w:tcPr>
            <w:tcW w:w="0" w:type="auto"/>
            <w:shd w:val="clear" w:color="auto" w:fill="auto"/>
            <w:hideMark/>
          </w:tcPr>
          <w:p w14:paraId="1FAFAE71" w14:textId="77777777" w:rsidR="00465964" w:rsidRPr="00465964" w:rsidRDefault="00465964" w:rsidP="00465964">
            <w:pPr>
              <w:rPr>
                <w:lang w:val="pt-PT"/>
              </w:rPr>
            </w:pPr>
            <w:r w:rsidRPr="00465964">
              <w:rPr>
                <w:lang w:val="pt-PT"/>
              </w:rPr>
              <w:t>Se for caso disso, o nome da empresa-mãe;</w:t>
            </w:r>
          </w:p>
        </w:tc>
      </w:tr>
    </w:tbl>
    <w:p w14:paraId="45757541"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1"/>
        <w:gridCol w:w="8845"/>
      </w:tblGrid>
      <w:tr w:rsidR="00465964" w:rsidRPr="00465964" w14:paraId="0A4B2656" w14:textId="77777777" w:rsidTr="00465964">
        <w:tc>
          <w:tcPr>
            <w:tcW w:w="0" w:type="auto"/>
            <w:shd w:val="clear" w:color="auto" w:fill="auto"/>
            <w:hideMark/>
          </w:tcPr>
          <w:p w14:paraId="462007BE" w14:textId="77777777" w:rsidR="00465964" w:rsidRPr="00465964" w:rsidRDefault="00465964" w:rsidP="00465964">
            <w:r w:rsidRPr="00465964">
              <w:t>7.</w:t>
            </w:r>
          </w:p>
        </w:tc>
        <w:tc>
          <w:tcPr>
            <w:tcW w:w="0" w:type="auto"/>
            <w:shd w:val="clear" w:color="auto" w:fill="auto"/>
            <w:hideMark/>
          </w:tcPr>
          <w:p w14:paraId="55D5E8A7" w14:textId="77777777" w:rsidR="00465964" w:rsidRPr="00465964" w:rsidRDefault="00465964" w:rsidP="00465964">
            <w:pPr>
              <w:rPr>
                <w:lang w:val="pt-PT"/>
              </w:rPr>
            </w:pPr>
            <w:r w:rsidRPr="00465964">
              <w:rPr>
                <w:lang w:val="pt-PT"/>
              </w:rPr>
              <w:t>Identidade, endereços profissionais e funções dos membros do órgão de administração do emitente;</w:t>
            </w:r>
          </w:p>
        </w:tc>
      </w:tr>
    </w:tbl>
    <w:p w14:paraId="000A78A7"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8"/>
        <w:gridCol w:w="8838"/>
      </w:tblGrid>
      <w:tr w:rsidR="00465964" w:rsidRPr="00465964" w14:paraId="060456C5" w14:textId="77777777" w:rsidTr="00465964">
        <w:tc>
          <w:tcPr>
            <w:tcW w:w="0" w:type="auto"/>
            <w:shd w:val="clear" w:color="auto" w:fill="auto"/>
            <w:hideMark/>
          </w:tcPr>
          <w:p w14:paraId="2CC3561E" w14:textId="77777777" w:rsidR="00465964" w:rsidRPr="00465964" w:rsidRDefault="00465964" w:rsidP="00465964">
            <w:r w:rsidRPr="00465964">
              <w:lastRenderedPageBreak/>
              <w:t>8.</w:t>
            </w:r>
          </w:p>
        </w:tc>
        <w:tc>
          <w:tcPr>
            <w:tcW w:w="0" w:type="auto"/>
            <w:shd w:val="clear" w:color="auto" w:fill="auto"/>
            <w:hideMark/>
          </w:tcPr>
          <w:p w14:paraId="5CCB8042" w14:textId="77777777" w:rsidR="00465964" w:rsidRPr="00465964" w:rsidRDefault="00465964" w:rsidP="00465964">
            <w:pPr>
              <w:rPr>
                <w:lang w:val="pt-PT"/>
              </w:rPr>
            </w:pPr>
            <w:r w:rsidRPr="00465964">
              <w:rPr>
                <w:lang w:val="pt-PT"/>
              </w:rPr>
              <w:t>Atividade comercial ou profissional do emitente e, se for caso disso, da sua empresa-mãe.</w:t>
            </w:r>
          </w:p>
        </w:tc>
      </w:tr>
    </w:tbl>
    <w:p w14:paraId="6F818188" w14:textId="77777777" w:rsidR="00465964" w:rsidRPr="00465964" w:rsidRDefault="00465964" w:rsidP="00465964">
      <w:pPr>
        <w:rPr>
          <w:b/>
          <w:bCs/>
          <w:lang w:val="pt-PT"/>
        </w:rPr>
      </w:pPr>
      <w:r w:rsidRPr="00465964">
        <w:rPr>
          <w:b/>
          <w:bCs/>
          <w:lang w:val="pt-PT"/>
        </w:rPr>
        <w:t>Parte C: Informações sobre o operador da plataforma de negociação, nos casos em que elabore o livrete do criptoativo</w:t>
      </w:r>
    </w:p>
    <w:tbl>
      <w:tblPr>
        <w:tblW w:w="5000" w:type="pct"/>
        <w:tblCellMar>
          <w:left w:w="0" w:type="dxa"/>
          <w:right w:w="0" w:type="dxa"/>
        </w:tblCellMar>
        <w:tblLook w:val="04A0" w:firstRow="1" w:lastRow="0" w:firstColumn="1" w:lastColumn="0" w:noHBand="0" w:noVBand="1"/>
      </w:tblPr>
      <w:tblGrid>
        <w:gridCol w:w="1980"/>
        <w:gridCol w:w="7046"/>
      </w:tblGrid>
      <w:tr w:rsidR="00465964" w:rsidRPr="00465964" w14:paraId="1887C2F2" w14:textId="77777777" w:rsidTr="00465964">
        <w:tc>
          <w:tcPr>
            <w:tcW w:w="0" w:type="auto"/>
            <w:shd w:val="clear" w:color="auto" w:fill="auto"/>
            <w:hideMark/>
          </w:tcPr>
          <w:p w14:paraId="56532090" w14:textId="77777777" w:rsidR="00465964" w:rsidRPr="00465964" w:rsidRDefault="00465964" w:rsidP="00465964">
            <w:r w:rsidRPr="00465964">
              <w:t>1.</w:t>
            </w:r>
          </w:p>
        </w:tc>
        <w:tc>
          <w:tcPr>
            <w:tcW w:w="0" w:type="auto"/>
            <w:shd w:val="clear" w:color="auto" w:fill="auto"/>
            <w:hideMark/>
          </w:tcPr>
          <w:p w14:paraId="4E150C5A" w14:textId="77777777" w:rsidR="00465964" w:rsidRPr="00465964" w:rsidRDefault="00465964" w:rsidP="00465964">
            <w:r w:rsidRPr="00465964">
              <w:t>Nome;</w:t>
            </w:r>
          </w:p>
        </w:tc>
      </w:tr>
    </w:tbl>
    <w:p w14:paraId="2B4E871F"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015"/>
        <w:gridCol w:w="8011"/>
      </w:tblGrid>
      <w:tr w:rsidR="00465964" w:rsidRPr="00465964" w14:paraId="592A6D6E" w14:textId="77777777" w:rsidTr="00465964">
        <w:tc>
          <w:tcPr>
            <w:tcW w:w="0" w:type="auto"/>
            <w:shd w:val="clear" w:color="auto" w:fill="auto"/>
            <w:hideMark/>
          </w:tcPr>
          <w:p w14:paraId="7EA2757E" w14:textId="77777777" w:rsidR="00465964" w:rsidRPr="00465964" w:rsidRDefault="00465964" w:rsidP="00465964">
            <w:r w:rsidRPr="00465964">
              <w:t>2.</w:t>
            </w:r>
          </w:p>
        </w:tc>
        <w:tc>
          <w:tcPr>
            <w:tcW w:w="0" w:type="auto"/>
            <w:shd w:val="clear" w:color="auto" w:fill="auto"/>
            <w:hideMark/>
          </w:tcPr>
          <w:p w14:paraId="39825CAF" w14:textId="77777777" w:rsidR="00465964" w:rsidRPr="00465964" w:rsidRDefault="00465964" w:rsidP="00465964">
            <w:r w:rsidRPr="00465964">
              <w:t xml:space="preserve">Forma </w:t>
            </w:r>
            <w:proofErr w:type="spellStart"/>
            <w:r w:rsidRPr="00465964">
              <w:t>jurídica</w:t>
            </w:r>
            <w:proofErr w:type="spellEnd"/>
            <w:r w:rsidRPr="00465964">
              <w:t>;</w:t>
            </w:r>
          </w:p>
        </w:tc>
      </w:tr>
    </w:tbl>
    <w:p w14:paraId="4BB4F638"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326"/>
        <w:gridCol w:w="8700"/>
      </w:tblGrid>
      <w:tr w:rsidR="00465964" w:rsidRPr="00465964" w14:paraId="60C011AD" w14:textId="77777777" w:rsidTr="00465964">
        <w:tc>
          <w:tcPr>
            <w:tcW w:w="0" w:type="auto"/>
            <w:shd w:val="clear" w:color="auto" w:fill="auto"/>
            <w:hideMark/>
          </w:tcPr>
          <w:p w14:paraId="78569357" w14:textId="77777777" w:rsidR="00465964" w:rsidRPr="00465964" w:rsidRDefault="00465964" w:rsidP="00465964">
            <w:r w:rsidRPr="00465964">
              <w:t>3.</w:t>
            </w:r>
          </w:p>
        </w:tc>
        <w:tc>
          <w:tcPr>
            <w:tcW w:w="0" w:type="auto"/>
            <w:shd w:val="clear" w:color="auto" w:fill="auto"/>
            <w:hideMark/>
          </w:tcPr>
          <w:p w14:paraId="2C5F5802" w14:textId="77777777" w:rsidR="00465964" w:rsidRPr="00465964" w:rsidRDefault="00465964" w:rsidP="00465964">
            <w:pPr>
              <w:rPr>
                <w:lang w:val="pt-PT"/>
              </w:rPr>
            </w:pPr>
            <w:r w:rsidRPr="00465964">
              <w:rPr>
                <w:lang w:val="pt-PT"/>
              </w:rPr>
              <w:t>Sede social e sede estatutária, se forem diferentes;</w:t>
            </w:r>
          </w:p>
        </w:tc>
      </w:tr>
    </w:tbl>
    <w:p w14:paraId="43730897"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977"/>
        <w:gridCol w:w="8049"/>
      </w:tblGrid>
      <w:tr w:rsidR="00465964" w:rsidRPr="00465964" w14:paraId="2808E69C" w14:textId="77777777" w:rsidTr="00465964">
        <w:tc>
          <w:tcPr>
            <w:tcW w:w="0" w:type="auto"/>
            <w:shd w:val="clear" w:color="auto" w:fill="auto"/>
            <w:hideMark/>
          </w:tcPr>
          <w:p w14:paraId="2F1D7487" w14:textId="77777777" w:rsidR="00465964" w:rsidRPr="00465964" w:rsidRDefault="00465964" w:rsidP="00465964">
            <w:r w:rsidRPr="00465964">
              <w:t>4.</w:t>
            </w:r>
          </w:p>
        </w:tc>
        <w:tc>
          <w:tcPr>
            <w:tcW w:w="0" w:type="auto"/>
            <w:shd w:val="clear" w:color="auto" w:fill="auto"/>
            <w:hideMark/>
          </w:tcPr>
          <w:p w14:paraId="180C398F" w14:textId="77777777" w:rsidR="00465964" w:rsidRPr="00465964" w:rsidRDefault="00465964" w:rsidP="00465964">
            <w:r w:rsidRPr="00465964">
              <w:t xml:space="preserve">Data do </w:t>
            </w:r>
            <w:proofErr w:type="spellStart"/>
            <w:r w:rsidRPr="00465964">
              <w:t>registo</w:t>
            </w:r>
            <w:proofErr w:type="spellEnd"/>
            <w:r w:rsidRPr="00465964">
              <w:t>;</w:t>
            </w:r>
          </w:p>
        </w:tc>
      </w:tr>
    </w:tbl>
    <w:p w14:paraId="7883C955"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1"/>
        <w:gridCol w:w="8845"/>
      </w:tblGrid>
      <w:tr w:rsidR="00465964" w:rsidRPr="00465964" w14:paraId="31A9D056" w14:textId="77777777" w:rsidTr="00465964">
        <w:tc>
          <w:tcPr>
            <w:tcW w:w="0" w:type="auto"/>
            <w:shd w:val="clear" w:color="auto" w:fill="auto"/>
            <w:hideMark/>
          </w:tcPr>
          <w:p w14:paraId="72CFB9D6" w14:textId="77777777" w:rsidR="00465964" w:rsidRPr="00465964" w:rsidRDefault="00465964" w:rsidP="00465964">
            <w:r w:rsidRPr="00465964">
              <w:t>5.</w:t>
            </w:r>
          </w:p>
        </w:tc>
        <w:tc>
          <w:tcPr>
            <w:tcW w:w="0" w:type="auto"/>
            <w:shd w:val="clear" w:color="auto" w:fill="auto"/>
            <w:hideMark/>
          </w:tcPr>
          <w:p w14:paraId="26193F9A" w14:textId="77777777" w:rsidR="00465964" w:rsidRPr="00465964" w:rsidRDefault="00465964" w:rsidP="00465964">
            <w:pPr>
              <w:rPr>
                <w:lang w:val="pt-PT"/>
              </w:rPr>
            </w:pPr>
            <w:r w:rsidRPr="00465964">
              <w:rPr>
                <w:lang w:val="pt-PT"/>
              </w:rPr>
              <w:t>Identificador de entidade jurídica ou outro identificador exigido nos termos do direito nacional aplicável;</w:t>
            </w:r>
          </w:p>
        </w:tc>
      </w:tr>
    </w:tbl>
    <w:p w14:paraId="5AAA4177"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378"/>
        <w:gridCol w:w="8648"/>
      </w:tblGrid>
      <w:tr w:rsidR="00465964" w:rsidRPr="00465964" w14:paraId="2CD39595" w14:textId="77777777" w:rsidTr="00465964">
        <w:tc>
          <w:tcPr>
            <w:tcW w:w="0" w:type="auto"/>
            <w:shd w:val="clear" w:color="auto" w:fill="auto"/>
            <w:hideMark/>
          </w:tcPr>
          <w:p w14:paraId="509E6458" w14:textId="77777777" w:rsidR="00465964" w:rsidRPr="00465964" w:rsidRDefault="00465964" w:rsidP="00465964">
            <w:r w:rsidRPr="00465964">
              <w:t>6.</w:t>
            </w:r>
          </w:p>
        </w:tc>
        <w:tc>
          <w:tcPr>
            <w:tcW w:w="0" w:type="auto"/>
            <w:shd w:val="clear" w:color="auto" w:fill="auto"/>
            <w:hideMark/>
          </w:tcPr>
          <w:p w14:paraId="677C764F" w14:textId="77777777" w:rsidR="00465964" w:rsidRPr="00465964" w:rsidRDefault="00465964" w:rsidP="00465964">
            <w:pPr>
              <w:rPr>
                <w:lang w:val="pt-PT"/>
              </w:rPr>
            </w:pPr>
            <w:r w:rsidRPr="00465964">
              <w:rPr>
                <w:lang w:val="pt-PT"/>
              </w:rPr>
              <w:t>Se for caso disso, o nome da empresa-mãe;</w:t>
            </w:r>
          </w:p>
        </w:tc>
      </w:tr>
    </w:tbl>
    <w:p w14:paraId="4C1E49A6"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261"/>
        <w:gridCol w:w="8765"/>
      </w:tblGrid>
      <w:tr w:rsidR="00465964" w:rsidRPr="00465964" w14:paraId="4CB4480C" w14:textId="77777777" w:rsidTr="00465964">
        <w:tc>
          <w:tcPr>
            <w:tcW w:w="0" w:type="auto"/>
            <w:shd w:val="clear" w:color="auto" w:fill="auto"/>
            <w:hideMark/>
          </w:tcPr>
          <w:p w14:paraId="40FC3AF3" w14:textId="77777777" w:rsidR="00465964" w:rsidRPr="00465964" w:rsidRDefault="00465964" w:rsidP="00465964">
            <w:r w:rsidRPr="00465964">
              <w:t>7.</w:t>
            </w:r>
          </w:p>
        </w:tc>
        <w:tc>
          <w:tcPr>
            <w:tcW w:w="0" w:type="auto"/>
            <w:shd w:val="clear" w:color="auto" w:fill="auto"/>
            <w:hideMark/>
          </w:tcPr>
          <w:p w14:paraId="276E475B" w14:textId="77777777" w:rsidR="00465964" w:rsidRPr="00465964" w:rsidRDefault="00465964" w:rsidP="00465964">
            <w:pPr>
              <w:rPr>
                <w:lang w:val="pt-PT"/>
              </w:rPr>
            </w:pPr>
            <w:r w:rsidRPr="00465964">
              <w:rPr>
                <w:lang w:val="pt-PT"/>
              </w:rPr>
              <w:t>O motivo pelo qual esse operador redigiu o livrete do criptoativo;</w:t>
            </w:r>
          </w:p>
        </w:tc>
      </w:tr>
    </w:tbl>
    <w:p w14:paraId="3B3CD3F8"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1"/>
        <w:gridCol w:w="8845"/>
      </w:tblGrid>
      <w:tr w:rsidR="00465964" w:rsidRPr="00465964" w14:paraId="55723A35" w14:textId="77777777" w:rsidTr="00465964">
        <w:tc>
          <w:tcPr>
            <w:tcW w:w="0" w:type="auto"/>
            <w:shd w:val="clear" w:color="auto" w:fill="auto"/>
            <w:hideMark/>
          </w:tcPr>
          <w:p w14:paraId="279CA23E" w14:textId="77777777" w:rsidR="00465964" w:rsidRPr="00465964" w:rsidRDefault="00465964" w:rsidP="00465964">
            <w:r w:rsidRPr="00465964">
              <w:t>8.</w:t>
            </w:r>
          </w:p>
        </w:tc>
        <w:tc>
          <w:tcPr>
            <w:tcW w:w="0" w:type="auto"/>
            <w:shd w:val="clear" w:color="auto" w:fill="auto"/>
            <w:hideMark/>
          </w:tcPr>
          <w:p w14:paraId="3F08F380" w14:textId="77777777" w:rsidR="00465964" w:rsidRPr="00465964" w:rsidRDefault="00465964" w:rsidP="00465964">
            <w:pPr>
              <w:rPr>
                <w:lang w:val="pt-PT"/>
              </w:rPr>
            </w:pPr>
            <w:r w:rsidRPr="00465964">
              <w:rPr>
                <w:lang w:val="pt-PT"/>
              </w:rPr>
              <w:t>Identidade, endereços profissionais e funções dos membros do órgão de administração do operador;</w:t>
            </w:r>
          </w:p>
        </w:tc>
      </w:tr>
    </w:tbl>
    <w:p w14:paraId="1A2FF2C0"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8"/>
        <w:gridCol w:w="8838"/>
      </w:tblGrid>
      <w:tr w:rsidR="00465964" w:rsidRPr="00465964" w14:paraId="51C5D7AB" w14:textId="77777777" w:rsidTr="00465964">
        <w:tc>
          <w:tcPr>
            <w:tcW w:w="0" w:type="auto"/>
            <w:shd w:val="clear" w:color="auto" w:fill="auto"/>
            <w:hideMark/>
          </w:tcPr>
          <w:p w14:paraId="3C806E04" w14:textId="77777777" w:rsidR="00465964" w:rsidRPr="00465964" w:rsidRDefault="00465964" w:rsidP="00465964">
            <w:r w:rsidRPr="00465964">
              <w:t>9.</w:t>
            </w:r>
          </w:p>
        </w:tc>
        <w:tc>
          <w:tcPr>
            <w:tcW w:w="0" w:type="auto"/>
            <w:shd w:val="clear" w:color="auto" w:fill="auto"/>
            <w:hideMark/>
          </w:tcPr>
          <w:p w14:paraId="2609671F" w14:textId="77777777" w:rsidR="00465964" w:rsidRPr="00465964" w:rsidRDefault="00465964" w:rsidP="00465964">
            <w:pPr>
              <w:rPr>
                <w:lang w:val="pt-PT"/>
              </w:rPr>
            </w:pPr>
            <w:r w:rsidRPr="00465964">
              <w:rPr>
                <w:lang w:val="pt-PT"/>
              </w:rPr>
              <w:t>Atividade comercial ou profissional do operador e, se for caso disso, da sua empresa-mãe.</w:t>
            </w:r>
          </w:p>
        </w:tc>
      </w:tr>
    </w:tbl>
    <w:p w14:paraId="2DEF98EF" w14:textId="77777777" w:rsidR="00465964" w:rsidRPr="00465964" w:rsidRDefault="00465964" w:rsidP="00465964">
      <w:pPr>
        <w:rPr>
          <w:b/>
          <w:bCs/>
          <w:lang w:val="pt-PT"/>
        </w:rPr>
      </w:pPr>
      <w:r w:rsidRPr="00465964">
        <w:rPr>
          <w:b/>
          <w:bCs/>
          <w:lang w:val="pt-PT"/>
        </w:rPr>
        <w:t>Parte D: Informações sobre o projeto de criptoativos</w:t>
      </w:r>
    </w:p>
    <w:tbl>
      <w:tblPr>
        <w:tblW w:w="5000" w:type="pct"/>
        <w:tblCellMar>
          <w:left w:w="0" w:type="dxa"/>
          <w:right w:w="0" w:type="dxa"/>
        </w:tblCellMar>
        <w:tblLook w:val="04A0" w:firstRow="1" w:lastRow="0" w:firstColumn="1" w:lastColumn="0" w:noHBand="0" w:noVBand="1"/>
      </w:tblPr>
      <w:tblGrid>
        <w:gridCol w:w="181"/>
        <w:gridCol w:w="8845"/>
      </w:tblGrid>
      <w:tr w:rsidR="00465964" w:rsidRPr="00465964" w14:paraId="65C9EF26" w14:textId="77777777" w:rsidTr="00465964">
        <w:tc>
          <w:tcPr>
            <w:tcW w:w="0" w:type="auto"/>
            <w:shd w:val="clear" w:color="auto" w:fill="auto"/>
            <w:hideMark/>
          </w:tcPr>
          <w:p w14:paraId="5BCACC2F" w14:textId="77777777" w:rsidR="00465964" w:rsidRPr="00465964" w:rsidRDefault="00465964" w:rsidP="00465964">
            <w:r w:rsidRPr="00465964">
              <w:t>1.</w:t>
            </w:r>
          </w:p>
        </w:tc>
        <w:tc>
          <w:tcPr>
            <w:tcW w:w="0" w:type="auto"/>
            <w:shd w:val="clear" w:color="auto" w:fill="auto"/>
            <w:hideMark/>
          </w:tcPr>
          <w:p w14:paraId="0E080C3B" w14:textId="77777777" w:rsidR="00465964" w:rsidRPr="00465964" w:rsidRDefault="00465964" w:rsidP="00465964">
            <w:pPr>
              <w:rPr>
                <w:lang w:val="pt-PT"/>
              </w:rPr>
            </w:pPr>
            <w:r w:rsidRPr="00465964">
              <w:rPr>
                <w:lang w:val="pt-PT"/>
              </w:rPr>
              <w:t>Nome do projeto de criptoativos e dos criptoativos, se for diferente do nome do oferente ou da pessoa que solicita a admissão à negociação, e forma abreviada ou símbolo;</w:t>
            </w:r>
          </w:p>
        </w:tc>
      </w:tr>
    </w:tbl>
    <w:p w14:paraId="0EE87C18"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370"/>
        <w:gridCol w:w="8656"/>
      </w:tblGrid>
      <w:tr w:rsidR="00465964" w:rsidRPr="00465964" w14:paraId="78CE1C82" w14:textId="77777777" w:rsidTr="00465964">
        <w:tc>
          <w:tcPr>
            <w:tcW w:w="0" w:type="auto"/>
            <w:shd w:val="clear" w:color="auto" w:fill="auto"/>
            <w:hideMark/>
          </w:tcPr>
          <w:p w14:paraId="07ED5ECB" w14:textId="77777777" w:rsidR="00465964" w:rsidRPr="00465964" w:rsidRDefault="00465964" w:rsidP="00465964">
            <w:r w:rsidRPr="00465964">
              <w:t>2.</w:t>
            </w:r>
          </w:p>
        </w:tc>
        <w:tc>
          <w:tcPr>
            <w:tcW w:w="0" w:type="auto"/>
            <w:shd w:val="clear" w:color="auto" w:fill="auto"/>
            <w:hideMark/>
          </w:tcPr>
          <w:p w14:paraId="385A3C75" w14:textId="77777777" w:rsidR="00465964" w:rsidRPr="00465964" w:rsidRDefault="00465964" w:rsidP="00465964">
            <w:pPr>
              <w:rPr>
                <w:lang w:val="pt-PT"/>
              </w:rPr>
            </w:pPr>
            <w:r w:rsidRPr="00465964">
              <w:rPr>
                <w:lang w:val="pt-PT"/>
              </w:rPr>
              <w:t>Descrição sucinta do projeto de criptoativos;</w:t>
            </w:r>
          </w:p>
        </w:tc>
      </w:tr>
    </w:tbl>
    <w:p w14:paraId="1628966C"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1"/>
        <w:gridCol w:w="8845"/>
      </w:tblGrid>
      <w:tr w:rsidR="00465964" w:rsidRPr="00465964" w14:paraId="42C552B9" w14:textId="77777777" w:rsidTr="00465964">
        <w:tc>
          <w:tcPr>
            <w:tcW w:w="0" w:type="auto"/>
            <w:shd w:val="clear" w:color="auto" w:fill="auto"/>
            <w:hideMark/>
          </w:tcPr>
          <w:p w14:paraId="2E1F75FE" w14:textId="77777777" w:rsidR="00465964" w:rsidRPr="00465964" w:rsidRDefault="00465964" w:rsidP="00465964">
            <w:r w:rsidRPr="00465964">
              <w:t>3.</w:t>
            </w:r>
          </w:p>
        </w:tc>
        <w:tc>
          <w:tcPr>
            <w:tcW w:w="0" w:type="auto"/>
            <w:shd w:val="clear" w:color="auto" w:fill="auto"/>
            <w:hideMark/>
          </w:tcPr>
          <w:p w14:paraId="07FE5310" w14:textId="77777777" w:rsidR="00465964" w:rsidRPr="00465964" w:rsidRDefault="00465964" w:rsidP="00465964">
            <w:pPr>
              <w:rPr>
                <w:lang w:val="pt-PT"/>
              </w:rPr>
            </w:pPr>
            <w:r w:rsidRPr="00465964">
              <w:rPr>
                <w:lang w:val="pt-PT"/>
              </w:rPr>
              <w:t>Dados relativos a todas as pessoas singulares ou coletivas (incluindo endereços profissionais ou domicílio da empresa) envolvidas na execução do projeto de criptoativos, nomeadamente consultores, membros da equipa de desenvolvimento e prestadores de serviços de criptoativos;</w:t>
            </w:r>
          </w:p>
        </w:tc>
      </w:tr>
    </w:tbl>
    <w:p w14:paraId="270348BE"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1"/>
        <w:gridCol w:w="8845"/>
      </w:tblGrid>
      <w:tr w:rsidR="00465964" w:rsidRPr="00465964" w14:paraId="7D0A85E2" w14:textId="77777777" w:rsidTr="00465964">
        <w:tc>
          <w:tcPr>
            <w:tcW w:w="0" w:type="auto"/>
            <w:shd w:val="clear" w:color="auto" w:fill="auto"/>
            <w:hideMark/>
          </w:tcPr>
          <w:p w14:paraId="440A6A14" w14:textId="77777777" w:rsidR="00465964" w:rsidRPr="00465964" w:rsidRDefault="00465964" w:rsidP="00465964">
            <w:r w:rsidRPr="00465964">
              <w:t>4.</w:t>
            </w:r>
          </w:p>
        </w:tc>
        <w:tc>
          <w:tcPr>
            <w:tcW w:w="0" w:type="auto"/>
            <w:shd w:val="clear" w:color="auto" w:fill="auto"/>
            <w:hideMark/>
          </w:tcPr>
          <w:p w14:paraId="5E945EED" w14:textId="4223B43E" w:rsidR="00465964" w:rsidRPr="00465964" w:rsidRDefault="00465964" w:rsidP="00465964">
            <w:pPr>
              <w:rPr>
                <w:lang w:val="pt-PT"/>
              </w:rPr>
            </w:pPr>
            <w:r w:rsidRPr="00465964">
              <w:rPr>
                <w:lang w:val="pt-PT"/>
              </w:rPr>
              <w:t xml:space="preserve">Se o projeto de criptoativos tiver por objeto </w:t>
            </w:r>
            <w:r>
              <w:rPr>
                <w:lang w:val="pt-PT"/>
              </w:rPr>
              <w:t>criptomoedas</w:t>
            </w:r>
            <w:r w:rsidRPr="00465964">
              <w:rPr>
                <w:lang w:val="pt-PT"/>
              </w:rPr>
              <w:t xml:space="preserve"> de consumo, as principais características dos bens ou serviços a desenvolver;</w:t>
            </w:r>
          </w:p>
        </w:tc>
      </w:tr>
    </w:tbl>
    <w:p w14:paraId="17BF1C80"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1"/>
        <w:gridCol w:w="8845"/>
      </w:tblGrid>
      <w:tr w:rsidR="00465964" w:rsidRPr="00465964" w14:paraId="1355753B" w14:textId="77777777" w:rsidTr="00465964">
        <w:tc>
          <w:tcPr>
            <w:tcW w:w="0" w:type="auto"/>
            <w:shd w:val="clear" w:color="auto" w:fill="auto"/>
            <w:hideMark/>
          </w:tcPr>
          <w:p w14:paraId="19B51579" w14:textId="77777777" w:rsidR="00465964" w:rsidRPr="00465964" w:rsidRDefault="00465964" w:rsidP="00465964">
            <w:r w:rsidRPr="00465964">
              <w:t>5.</w:t>
            </w:r>
          </w:p>
        </w:tc>
        <w:tc>
          <w:tcPr>
            <w:tcW w:w="0" w:type="auto"/>
            <w:shd w:val="clear" w:color="auto" w:fill="auto"/>
            <w:hideMark/>
          </w:tcPr>
          <w:p w14:paraId="5305748F" w14:textId="77777777" w:rsidR="00465964" w:rsidRPr="00465964" w:rsidRDefault="00465964" w:rsidP="00465964">
            <w:pPr>
              <w:rPr>
                <w:lang w:val="pt-PT"/>
              </w:rPr>
            </w:pPr>
            <w:r w:rsidRPr="00465964">
              <w:rPr>
                <w:lang w:val="pt-PT"/>
              </w:rPr>
              <w:t>Informações sobre o projeto de criptoativos, especialmente no que respeita aos objetivos intermédios passados e futuros do projeto e, se for o caso, aos recursos já afetados ao projeto;</w:t>
            </w:r>
          </w:p>
        </w:tc>
      </w:tr>
    </w:tbl>
    <w:p w14:paraId="507F25C2"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1"/>
        <w:gridCol w:w="8845"/>
      </w:tblGrid>
      <w:tr w:rsidR="00465964" w:rsidRPr="00465964" w14:paraId="58D9951B" w14:textId="77777777" w:rsidTr="00465964">
        <w:tc>
          <w:tcPr>
            <w:tcW w:w="0" w:type="auto"/>
            <w:shd w:val="clear" w:color="auto" w:fill="auto"/>
            <w:hideMark/>
          </w:tcPr>
          <w:p w14:paraId="38D86EB3" w14:textId="77777777" w:rsidR="00465964" w:rsidRPr="00465964" w:rsidRDefault="00465964" w:rsidP="00465964">
            <w:r w:rsidRPr="00465964">
              <w:t>6.</w:t>
            </w:r>
          </w:p>
        </w:tc>
        <w:tc>
          <w:tcPr>
            <w:tcW w:w="0" w:type="auto"/>
            <w:shd w:val="clear" w:color="auto" w:fill="auto"/>
            <w:hideMark/>
          </w:tcPr>
          <w:p w14:paraId="621BA018" w14:textId="77777777" w:rsidR="00465964" w:rsidRPr="00465964" w:rsidRDefault="00465964" w:rsidP="00465964">
            <w:pPr>
              <w:rPr>
                <w:lang w:val="pt-PT"/>
              </w:rPr>
            </w:pPr>
            <w:r w:rsidRPr="00465964">
              <w:rPr>
                <w:lang w:val="pt-PT"/>
              </w:rPr>
              <w:t>Se for caso disso, a utilização prevista de quaisquer fundos ou de outros criptoativos mobilizados.</w:t>
            </w:r>
          </w:p>
        </w:tc>
      </w:tr>
    </w:tbl>
    <w:p w14:paraId="2E3A053A" w14:textId="77777777" w:rsidR="00465964" w:rsidRPr="00465964" w:rsidRDefault="00465964" w:rsidP="00465964">
      <w:pPr>
        <w:rPr>
          <w:b/>
          <w:bCs/>
          <w:lang w:val="pt-PT"/>
        </w:rPr>
      </w:pPr>
      <w:r w:rsidRPr="00465964">
        <w:rPr>
          <w:b/>
          <w:bCs/>
          <w:lang w:val="pt-PT"/>
        </w:rPr>
        <w:t>Parte E: Informações sobre a oferta pública de criptoativos ou sobre a sua admissão à negociação</w:t>
      </w:r>
    </w:p>
    <w:tbl>
      <w:tblPr>
        <w:tblW w:w="5000" w:type="pct"/>
        <w:tblCellMar>
          <w:left w:w="0" w:type="dxa"/>
          <w:right w:w="0" w:type="dxa"/>
        </w:tblCellMar>
        <w:tblLook w:val="04A0" w:firstRow="1" w:lastRow="0" w:firstColumn="1" w:lastColumn="0" w:noHBand="0" w:noVBand="1"/>
      </w:tblPr>
      <w:tblGrid>
        <w:gridCol w:w="181"/>
        <w:gridCol w:w="8845"/>
      </w:tblGrid>
      <w:tr w:rsidR="00465964" w:rsidRPr="00465964" w14:paraId="16A918FF" w14:textId="77777777" w:rsidTr="00465964">
        <w:tc>
          <w:tcPr>
            <w:tcW w:w="0" w:type="auto"/>
            <w:shd w:val="clear" w:color="auto" w:fill="auto"/>
            <w:hideMark/>
          </w:tcPr>
          <w:p w14:paraId="02E74270" w14:textId="77777777" w:rsidR="00465964" w:rsidRPr="00465964" w:rsidRDefault="00465964" w:rsidP="00465964">
            <w:r w:rsidRPr="00465964">
              <w:t>1.</w:t>
            </w:r>
          </w:p>
        </w:tc>
        <w:tc>
          <w:tcPr>
            <w:tcW w:w="0" w:type="auto"/>
            <w:shd w:val="clear" w:color="auto" w:fill="auto"/>
            <w:hideMark/>
          </w:tcPr>
          <w:p w14:paraId="7CEC7749" w14:textId="77777777" w:rsidR="00465964" w:rsidRPr="00465964" w:rsidRDefault="00465964" w:rsidP="00465964">
            <w:pPr>
              <w:rPr>
                <w:lang w:val="pt-PT"/>
              </w:rPr>
            </w:pPr>
            <w:r w:rsidRPr="00465964">
              <w:rPr>
                <w:lang w:val="pt-PT"/>
              </w:rPr>
              <w:t>Menção que indique se o livrete do criptoativo diz respeito a uma oferta pública de criptoativos ou à sua admissão à negociação;</w:t>
            </w:r>
          </w:p>
        </w:tc>
      </w:tr>
    </w:tbl>
    <w:p w14:paraId="7030A136"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253"/>
        <w:gridCol w:w="8773"/>
      </w:tblGrid>
      <w:tr w:rsidR="00465964" w:rsidRPr="00465964" w14:paraId="58200B79" w14:textId="77777777" w:rsidTr="00465964">
        <w:tc>
          <w:tcPr>
            <w:tcW w:w="0" w:type="auto"/>
            <w:shd w:val="clear" w:color="auto" w:fill="auto"/>
            <w:hideMark/>
          </w:tcPr>
          <w:p w14:paraId="14A585C3" w14:textId="77777777" w:rsidR="00465964" w:rsidRPr="00465964" w:rsidRDefault="00465964" w:rsidP="00465964">
            <w:r w:rsidRPr="00465964">
              <w:t>2.</w:t>
            </w:r>
          </w:p>
        </w:tc>
        <w:tc>
          <w:tcPr>
            <w:tcW w:w="0" w:type="auto"/>
            <w:shd w:val="clear" w:color="auto" w:fill="auto"/>
            <w:hideMark/>
          </w:tcPr>
          <w:p w14:paraId="2D09481B" w14:textId="77777777" w:rsidR="00465964" w:rsidRPr="00465964" w:rsidRDefault="00465964" w:rsidP="00465964">
            <w:pPr>
              <w:rPr>
                <w:lang w:val="pt-PT"/>
              </w:rPr>
            </w:pPr>
            <w:r w:rsidRPr="00465964">
              <w:rPr>
                <w:lang w:val="pt-PT"/>
              </w:rPr>
              <w:t>Motivos da oferta pública ou da admissão à negociação solicitada;</w:t>
            </w:r>
          </w:p>
        </w:tc>
      </w:tr>
    </w:tbl>
    <w:p w14:paraId="60650EBA"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1"/>
        <w:gridCol w:w="8845"/>
      </w:tblGrid>
      <w:tr w:rsidR="00465964" w:rsidRPr="00465964" w14:paraId="4F84D785" w14:textId="77777777" w:rsidTr="00465964">
        <w:tc>
          <w:tcPr>
            <w:tcW w:w="0" w:type="auto"/>
            <w:shd w:val="clear" w:color="auto" w:fill="auto"/>
            <w:hideMark/>
          </w:tcPr>
          <w:p w14:paraId="1FF2D362" w14:textId="77777777" w:rsidR="00465964" w:rsidRPr="00465964" w:rsidRDefault="00465964" w:rsidP="00465964">
            <w:r w:rsidRPr="00465964">
              <w:t>3.</w:t>
            </w:r>
          </w:p>
        </w:tc>
        <w:tc>
          <w:tcPr>
            <w:tcW w:w="0" w:type="auto"/>
            <w:shd w:val="clear" w:color="auto" w:fill="auto"/>
            <w:hideMark/>
          </w:tcPr>
          <w:p w14:paraId="41A419F6" w14:textId="77777777" w:rsidR="00465964" w:rsidRPr="00465964" w:rsidRDefault="00465964" w:rsidP="00465964">
            <w:pPr>
              <w:rPr>
                <w:lang w:val="pt-PT"/>
              </w:rPr>
            </w:pPr>
            <w:r w:rsidRPr="00465964">
              <w:rPr>
                <w:lang w:val="pt-PT"/>
              </w:rPr>
              <w:t xml:space="preserve">Quando pertinente, o montante que a oferta pública pretende mobilizar em fundos ou em qualquer outro criptoativo, nomeadamente, se for caso disso, as metas mínima e máxima dos </w:t>
            </w:r>
            <w:r w:rsidRPr="00465964">
              <w:rPr>
                <w:lang w:val="pt-PT"/>
              </w:rPr>
              <w:lastRenderedPageBreak/>
              <w:t xml:space="preserve">objetivos de subscrição estabelecidos para a oferta pública de criptoativos, aceitação ou não das </w:t>
            </w:r>
            <w:proofErr w:type="spellStart"/>
            <w:r w:rsidRPr="00465964">
              <w:rPr>
                <w:lang w:val="pt-PT"/>
              </w:rPr>
              <w:t>sobressubscrições</w:t>
            </w:r>
            <w:proofErr w:type="spellEnd"/>
            <w:r w:rsidRPr="00465964">
              <w:rPr>
                <w:lang w:val="pt-PT"/>
              </w:rPr>
              <w:t xml:space="preserve"> e indicação do modo como se faz a sua afetação;</w:t>
            </w:r>
          </w:p>
        </w:tc>
      </w:tr>
    </w:tbl>
    <w:p w14:paraId="364CEB66"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1"/>
        <w:gridCol w:w="8845"/>
      </w:tblGrid>
      <w:tr w:rsidR="00465964" w:rsidRPr="00465964" w14:paraId="7BE761AF" w14:textId="77777777" w:rsidTr="00465964">
        <w:tc>
          <w:tcPr>
            <w:tcW w:w="0" w:type="auto"/>
            <w:shd w:val="clear" w:color="auto" w:fill="auto"/>
            <w:hideMark/>
          </w:tcPr>
          <w:p w14:paraId="3FEF78FA" w14:textId="77777777" w:rsidR="00465964" w:rsidRPr="00465964" w:rsidRDefault="00465964" w:rsidP="00465964">
            <w:r w:rsidRPr="00465964">
              <w:t>4.</w:t>
            </w:r>
          </w:p>
        </w:tc>
        <w:tc>
          <w:tcPr>
            <w:tcW w:w="0" w:type="auto"/>
            <w:shd w:val="clear" w:color="auto" w:fill="auto"/>
            <w:hideMark/>
          </w:tcPr>
          <w:p w14:paraId="6100EF40" w14:textId="77777777" w:rsidR="00465964" w:rsidRPr="00465964" w:rsidRDefault="00465964" w:rsidP="00465964">
            <w:pPr>
              <w:rPr>
                <w:lang w:val="pt-PT"/>
              </w:rPr>
            </w:pPr>
            <w:r w:rsidRPr="00465964">
              <w:rPr>
                <w:lang w:val="pt-PT"/>
              </w:rPr>
              <w:t>O preço de emissão do criptoativo em oferta pública (em moeda oficial ou em qualquer outro criptoativo), qualquer taxa de subscrição aplicável ou o método segundo o qual se determinará o preço da oferta pública;</w:t>
            </w:r>
          </w:p>
        </w:tc>
      </w:tr>
    </w:tbl>
    <w:p w14:paraId="769B64F1"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1"/>
        <w:gridCol w:w="8845"/>
      </w:tblGrid>
      <w:tr w:rsidR="00465964" w:rsidRPr="00465964" w14:paraId="335DBEFE" w14:textId="77777777" w:rsidTr="00465964">
        <w:tc>
          <w:tcPr>
            <w:tcW w:w="0" w:type="auto"/>
            <w:shd w:val="clear" w:color="auto" w:fill="auto"/>
            <w:hideMark/>
          </w:tcPr>
          <w:p w14:paraId="427C60D2" w14:textId="77777777" w:rsidR="00465964" w:rsidRPr="00465964" w:rsidRDefault="00465964" w:rsidP="00465964">
            <w:r w:rsidRPr="00465964">
              <w:t>5.</w:t>
            </w:r>
          </w:p>
        </w:tc>
        <w:tc>
          <w:tcPr>
            <w:tcW w:w="0" w:type="auto"/>
            <w:shd w:val="clear" w:color="auto" w:fill="auto"/>
            <w:hideMark/>
          </w:tcPr>
          <w:p w14:paraId="389B2817" w14:textId="77777777" w:rsidR="00465964" w:rsidRPr="00465964" w:rsidRDefault="00465964" w:rsidP="00465964">
            <w:pPr>
              <w:rPr>
                <w:lang w:val="pt-PT"/>
              </w:rPr>
            </w:pPr>
            <w:r w:rsidRPr="00465964">
              <w:rPr>
                <w:lang w:val="pt-PT"/>
              </w:rPr>
              <w:t>Quando pertinente, o número total de criptoativos objeto da oferta pública ou da admissão à negociação;</w:t>
            </w:r>
          </w:p>
        </w:tc>
      </w:tr>
    </w:tbl>
    <w:p w14:paraId="2E74D870"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1"/>
        <w:gridCol w:w="8845"/>
      </w:tblGrid>
      <w:tr w:rsidR="00465964" w:rsidRPr="00465964" w14:paraId="4BC09418" w14:textId="77777777" w:rsidTr="00465964">
        <w:tc>
          <w:tcPr>
            <w:tcW w:w="0" w:type="auto"/>
            <w:shd w:val="clear" w:color="auto" w:fill="auto"/>
            <w:hideMark/>
          </w:tcPr>
          <w:p w14:paraId="53A00313" w14:textId="77777777" w:rsidR="00465964" w:rsidRPr="00465964" w:rsidRDefault="00465964" w:rsidP="00465964">
            <w:r w:rsidRPr="00465964">
              <w:t>6.</w:t>
            </w:r>
          </w:p>
        </w:tc>
        <w:tc>
          <w:tcPr>
            <w:tcW w:w="0" w:type="auto"/>
            <w:shd w:val="clear" w:color="auto" w:fill="auto"/>
            <w:hideMark/>
          </w:tcPr>
          <w:p w14:paraId="3CA2C732" w14:textId="77777777" w:rsidR="00465964" w:rsidRPr="00465964" w:rsidRDefault="00465964" w:rsidP="00465964">
            <w:pPr>
              <w:rPr>
                <w:lang w:val="pt-PT"/>
              </w:rPr>
            </w:pPr>
            <w:r w:rsidRPr="00465964">
              <w:rPr>
                <w:lang w:val="pt-PT"/>
              </w:rPr>
              <w:t>Indicação dos potenciais detentores visados pela oferta pública de criptoativos ou pela admissão desses criptoativos à negociação, incluindo eventuais restrições quanto ao tipo de detentores dos referidos criptoativos;</w:t>
            </w:r>
          </w:p>
        </w:tc>
      </w:tr>
    </w:tbl>
    <w:p w14:paraId="35FE28C6"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1"/>
        <w:gridCol w:w="8845"/>
      </w:tblGrid>
      <w:tr w:rsidR="00465964" w:rsidRPr="00465964" w14:paraId="4BC75F29" w14:textId="77777777" w:rsidTr="00465964">
        <w:tc>
          <w:tcPr>
            <w:tcW w:w="0" w:type="auto"/>
            <w:shd w:val="clear" w:color="auto" w:fill="auto"/>
            <w:hideMark/>
          </w:tcPr>
          <w:p w14:paraId="726EF56A" w14:textId="77777777" w:rsidR="00465964" w:rsidRPr="00465964" w:rsidRDefault="00465964" w:rsidP="00465964">
            <w:r w:rsidRPr="00465964">
              <w:t>7.</w:t>
            </w:r>
          </w:p>
        </w:tc>
        <w:tc>
          <w:tcPr>
            <w:tcW w:w="0" w:type="auto"/>
            <w:shd w:val="clear" w:color="auto" w:fill="auto"/>
            <w:hideMark/>
          </w:tcPr>
          <w:p w14:paraId="25C9DA45" w14:textId="77777777" w:rsidR="00465964" w:rsidRPr="00465964" w:rsidRDefault="00465964" w:rsidP="00465964">
            <w:pPr>
              <w:rPr>
                <w:lang w:val="pt-PT"/>
              </w:rPr>
            </w:pPr>
            <w:r w:rsidRPr="00465964">
              <w:rPr>
                <w:lang w:val="pt-PT"/>
              </w:rPr>
              <w:t>Menção expressa que indique que os compradores que participam na oferta pública de criptoativos poderão ser reembolsados se a meta mínima do objetivo de subscrição não tiver sido alcançada no termo da oferta pública, se esses compradores exercerem o direito de retratação previsto no artigo 13.</w:t>
            </w:r>
            <w:r w:rsidRPr="00465964">
              <w:rPr>
                <w:vertAlign w:val="superscript"/>
                <w:lang w:val="pt-PT"/>
              </w:rPr>
              <w:t>o</w:t>
            </w:r>
            <w:r w:rsidRPr="00465964">
              <w:rPr>
                <w:lang w:val="pt-PT"/>
              </w:rPr>
              <w:t> ou se a oferta for cancelada, bem como uma descrição pormenorizada do mecanismo de reembolso, incluindo os prazos previstos para a realização do mesmo;</w:t>
            </w:r>
          </w:p>
        </w:tc>
      </w:tr>
    </w:tbl>
    <w:p w14:paraId="3A9A766C"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1"/>
        <w:gridCol w:w="8845"/>
      </w:tblGrid>
      <w:tr w:rsidR="00465964" w:rsidRPr="00465964" w14:paraId="7C7D55A7" w14:textId="77777777" w:rsidTr="00465964">
        <w:tc>
          <w:tcPr>
            <w:tcW w:w="0" w:type="auto"/>
            <w:shd w:val="clear" w:color="auto" w:fill="auto"/>
            <w:hideMark/>
          </w:tcPr>
          <w:p w14:paraId="52BDCE7F" w14:textId="77777777" w:rsidR="00465964" w:rsidRPr="00465964" w:rsidRDefault="00465964" w:rsidP="00465964">
            <w:r w:rsidRPr="00465964">
              <w:t>8.</w:t>
            </w:r>
          </w:p>
        </w:tc>
        <w:tc>
          <w:tcPr>
            <w:tcW w:w="0" w:type="auto"/>
            <w:shd w:val="clear" w:color="auto" w:fill="auto"/>
            <w:hideMark/>
          </w:tcPr>
          <w:p w14:paraId="56A7BFFE" w14:textId="77777777" w:rsidR="00465964" w:rsidRPr="00465964" w:rsidRDefault="00465964" w:rsidP="00465964">
            <w:pPr>
              <w:rPr>
                <w:lang w:val="pt-PT"/>
              </w:rPr>
            </w:pPr>
            <w:r w:rsidRPr="00465964">
              <w:rPr>
                <w:lang w:val="pt-PT"/>
              </w:rPr>
              <w:t xml:space="preserve">Informações sobre as várias fases da oferta pública de criptoativos, incluindo informações relativas ao desconto sobre o preço de compra oferecido aos primeiros compradores de criptoativos (vendas </w:t>
            </w:r>
            <w:proofErr w:type="spellStart"/>
            <w:r w:rsidRPr="00465964">
              <w:rPr>
                <w:lang w:val="pt-PT"/>
              </w:rPr>
              <w:t>pré-públicas</w:t>
            </w:r>
            <w:proofErr w:type="spellEnd"/>
            <w:r w:rsidRPr="00465964">
              <w:rPr>
                <w:lang w:val="pt-PT"/>
              </w:rPr>
              <w:t>); no caso de haver preços de compra com desconto para alguns compradores, uma explicação do motivo pelo qual os preços de compra podem variar e uma descrição do impacto sobre os outros investidores;</w:t>
            </w:r>
          </w:p>
        </w:tc>
      </w:tr>
    </w:tbl>
    <w:p w14:paraId="6F4BD476"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1"/>
        <w:gridCol w:w="8845"/>
      </w:tblGrid>
      <w:tr w:rsidR="00465964" w:rsidRPr="00465964" w14:paraId="0A69B650" w14:textId="77777777" w:rsidTr="00465964">
        <w:tc>
          <w:tcPr>
            <w:tcW w:w="0" w:type="auto"/>
            <w:shd w:val="clear" w:color="auto" w:fill="auto"/>
            <w:hideMark/>
          </w:tcPr>
          <w:p w14:paraId="4B22A92E" w14:textId="77777777" w:rsidR="00465964" w:rsidRPr="00465964" w:rsidRDefault="00465964" w:rsidP="00465964">
            <w:r w:rsidRPr="00465964">
              <w:t>9.</w:t>
            </w:r>
          </w:p>
        </w:tc>
        <w:tc>
          <w:tcPr>
            <w:tcW w:w="0" w:type="auto"/>
            <w:shd w:val="clear" w:color="auto" w:fill="auto"/>
            <w:hideMark/>
          </w:tcPr>
          <w:p w14:paraId="0BC11C5C" w14:textId="77777777" w:rsidR="00465964" w:rsidRPr="00465964" w:rsidRDefault="00465964" w:rsidP="00465964">
            <w:pPr>
              <w:rPr>
                <w:lang w:val="pt-PT"/>
              </w:rPr>
            </w:pPr>
            <w:r w:rsidRPr="00465964">
              <w:rPr>
                <w:lang w:val="pt-PT"/>
              </w:rPr>
              <w:t>Para ofertas públicas com duração limitada, o período de subscrição durante o qual a oferta pública está aberta;</w:t>
            </w:r>
          </w:p>
        </w:tc>
      </w:tr>
    </w:tbl>
    <w:p w14:paraId="1483DA15"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298"/>
        <w:gridCol w:w="8728"/>
      </w:tblGrid>
      <w:tr w:rsidR="00465964" w:rsidRPr="00465964" w14:paraId="65C25385" w14:textId="77777777" w:rsidTr="00465964">
        <w:tc>
          <w:tcPr>
            <w:tcW w:w="0" w:type="auto"/>
            <w:shd w:val="clear" w:color="auto" w:fill="auto"/>
            <w:hideMark/>
          </w:tcPr>
          <w:p w14:paraId="215201E4" w14:textId="77777777" w:rsidR="00465964" w:rsidRPr="00465964" w:rsidRDefault="00465964" w:rsidP="00465964">
            <w:r w:rsidRPr="00465964">
              <w:t>10.</w:t>
            </w:r>
          </w:p>
        </w:tc>
        <w:tc>
          <w:tcPr>
            <w:tcW w:w="0" w:type="auto"/>
            <w:shd w:val="clear" w:color="auto" w:fill="auto"/>
            <w:hideMark/>
          </w:tcPr>
          <w:p w14:paraId="621F4C63" w14:textId="77777777" w:rsidR="00465964" w:rsidRPr="00465964" w:rsidRDefault="00465964" w:rsidP="00465964">
            <w:pPr>
              <w:rPr>
                <w:lang w:val="pt-PT"/>
              </w:rPr>
            </w:pPr>
            <w:r w:rsidRPr="00465964">
              <w:rPr>
                <w:lang w:val="pt-PT"/>
              </w:rPr>
              <w:t>As medidas adotadas para salvaguardar os fundos ou outros criptoativos a que se refere o artigo 10.</w:t>
            </w:r>
            <w:r w:rsidRPr="00465964">
              <w:rPr>
                <w:vertAlign w:val="superscript"/>
                <w:lang w:val="pt-PT"/>
              </w:rPr>
              <w:t>o</w:t>
            </w:r>
            <w:r w:rsidRPr="00465964">
              <w:rPr>
                <w:lang w:val="pt-PT"/>
              </w:rPr>
              <w:t> durante a oferta pública com duração limitada ou durante o período de retratação;</w:t>
            </w:r>
          </w:p>
        </w:tc>
      </w:tr>
    </w:tbl>
    <w:p w14:paraId="6B0B022F"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298"/>
        <w:gridCol w:w="8728"/>
      </w:tblGrid>
      <w:tr w:rsidR="00465964" w:rsidRPr="00465964" w14:paraId="3BEABAE2" w14:textId="77777777" w:rsidTr="00465964">
        <w:tc>
          <w:tcPr>
            <w:tcW w:w="0" w:type="auto"/>
            <w:shd w:val="clear" w:color="auto" w:fill="auto"/>
            <w:hideMark/>
          </w:tcPr>
          <w:p w14:paraId="205FC25B" w14:textId="77777777" w:rsidR="00465964" w:rsidRPr="00465964" w:rsidRDefault="00465964" w:rsidP="00465964">
            <w:r w:rsidRPr="00465964">
              <w:t>11.</w:t>
            </w:r>
          </w:p>
        </w:tc>
        <w:tc>
          <w:tcPr>
            <w:tcW w:w="0" w:type="auto"/>
            <w:shd w:val="clear" w:color="auto" w:fill="auto"/>
            <w:hideMark/>
          </w:tcPr>
          <w:p w14:paraId="14AFEB83" w14:textId="77777777" w:rsidR="00465964" w:rsidRPr="00465964" w:rsidRDefault="00465964" w:rsidP="00465964">
            <w:pPr>
              <w:rPr>
                <w:lang w:val="pt-PT"/>
              </w:rPr>
            </w:pPr>
            <w:r w:rsidRPr="00465964">
              <w:rPr>
                <w:lang w:val="pt-PT"/>
              </w:rPr>
              <w:t>Métodos de pagamento para adquirir os criptoativos objeto da oferta pública e métodos de transferência para os compradores do valor pago, se estes tiverem direito a ser reembolsados;</w:t>
            </w:r>
          </w:p>
        </w:tc>
      </w:tr>
    </w:tbl>
    <w:p w14:paraId="37105614"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298"/>
        <w:gridCol w:w="8728"/>
      </w:tblGrid>
      <w:tr w:rsidR="00465964" w:rsidRPr="00465964" w14:paraId="7730B627" w14:textId="77777777" w:rsidTr="00465964">
        <w:tc>
          <w:tcPr>
            <w:tcW w:w="0" w:type="auto"/>
            <w:shd w:val="clear" w:color="auto" w:fill="auto"/>
            <w:hideMark/>
          </w:tcPr>
          <w:p w14:paraId="08C31F47" w14:textId="77777777" w:rsidR="00465964" w:rsidRPr="00465964" w:rsidRDefault="00465964" w:rsidP="00465964">
            <w:r w:rsidRPr="00465964">
              <w:t>12.</w:t>
            </w:r>
          </w:p>
        </w:tc>
        <w:tc>
          <w:tcPr>
            <w:tcW w:w="0" w:type="auto"/>
            <w:shd w:val="clear" w:color="auto" w:fill="auto"/>
            <w:hideMark/>
          </w:tcPr>
          <w:p w14:paraId="40938A62" w14:textId="77777777" w:rsidR="00465964" w:rsidRPr="00465964" w:rsidRDefault="00465964" w:rsidP="00465964">
            <w:pPr>
              <w:rPr>
                <w:lang w:val="pt-PT"/>
              </w:rPr>
            </w:pPr>
            <w:r w:rsidRPr="00465964">
              <w:rPr>
                <w:lang w:val="pt-PT"/>
              </w:rPr>
              <w:t>No caso de ofertas públicas, informações sobre o direito de retratação previsto no artigo 13.</w:t>
            </w:r>
            <w:r w:rsidRPr="00465964">
              <w:rPr>
                <w:vertAlign w:val="superscript"/>
                <w:lang w:val="pt-PT"/>
              </w:rPr>
              <w:t>o</w:t>
            </w:r>
            <w:r w:rsidRPr="00465964">
              <w:rPr>
                <w:lang w:val="pt-PT"/>
              </w:rPr>
              <w:t>;</w:t>
            </w:r>
          </w:p>
        </w:tc>
      </w:tr>
    </w:tbl>
    <w:p w14:paraId="22C8ED3B"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298"/>
        <w:gridCol w:w="8728"/>
      </w:tblGrid>
      <w:tr w:rsidR="00465964" w:rsidRPr="00465964" w14:paraId="64C9749B" w14:textId="77777777" w:rsidTr="00465964">
        <w:tc>
          <w:tcPr>
            <w:tcW w:w="0" w:type="auto"/>
            <w:shd w:val="clear" w:color="auto" w:fill="auto"/>
            <w:hideMark/>
          </w:tcPr>
          <w:p w14:paraId="1141BC0A" w14:textId="77777777" w:rsidR="00465964" w:rsidRPr="00465964" w:rsidRDefault="00465964" w:rsidP="00465964">
            <w:r w:rsidRPr="00465964">
              <w:t>13.</w:t>
            </w:r>
          </w:p>
        </w:tc>
        <w:tc>
          <w:tcPr>
            <w:tcW w:w="0" w:type="auto"/>
            <w:shd w:val="clear" w:color="auto" w:fill="auto"/>
            <w:hideMark/>
          </w:tcPr>
          <w:p w14:paraId="21D789AD" w14:textId="77777777" w:rsidR="00465964" w:rsidRPr="00465964" w:rsidRDefault="00465964" w:rsidP="00465964">
            <w:pPr>
              <w:rPr>
                <w:lang w:val="pt-PT"/>
              </w:rPr>
            </w:pPr>
            <w:r w:rsidRPr="00465964">
              <w:rPr>
                <w:lang w:val="pt-PT"/>
              </w:rPr>
              <w:t>Informações sobre o modo e os prazos para a transferência dos criptoativos adquiridos para os detentores;</w:t>
            </w:r>
          </w:p>
        </w:tc>
      </w:tr>
    </w:tbl>
    <w:p w14:paraId="1F8B5872"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298"/>
        <w:gridCol w:w="8728"/>
      </w:tblGrid>
      <w:tr w:rsidR="00465964" w:rsidRPr="00465964" w14:paraId="54900BBC" w14:textId="77777777" w:rsidTr="00465964">
        <w:tc>
          <w:tcPr>
            <w:tcW w:w="0" w:type="auto"/>
            <w:shd w:val="clear" w:color="auto" w:fill="auto"/>
            <w:hideMark/>
          </w:tcPr>
          <w:p w14:paraId="3FCCC3BD" w14:textId="77777777" w:rsidR="00465964" w:rsidRPr="00465964" w:rsidRDefault="00465964" w:rsidP="00465964">
            <w:r w:rsidRPr="00465964">
              <w:t>14.</w:t>
            </w:r>
          </w:p>
        </w:tc>
        <w:tc>
          <w:tcPr>
            <w:tcW w:w="0" w:type="auto"/>
            <w:shd w:val="clear" w:color="auto" w:fill="auto"/>
            <w:hideMark/>
          </w:tcPr>
          <w:p w14:paraId="2D7DF796" w14:textId="77777777" w:rsidR="00465964" w:rsidRPr="00465964" w:rsidRDefault="00465964" w:rsidP="00465964">
            <w:pPr>
              <w:rPr>
                <w:lang w:val="pt-PT"/>
              </w:rPr>
            </w:pPr>
            <w:r w:rsidRPr="00465964">
              <w:rPr>
                <w:lang w:val="pt-PT"/>
              </w:rPr>
              <w:t>Informações sobre os requisitos técnicos que o comprador é obrigado a satisfazer para deter os criptoativos;</w:t>
            </w:r>
          </w:p>
        </w:tc>
      </w:tr>
    </w:tbl>
    <w:p w14:paraId="351F07C2"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298"/>
        <w:gridCol w:w="8728"/>
      </w:tblGrid>
      <w:tr w:rsidR="00465964" w:rsidRPr="00465964" w14:paraId="6F13A461" w14:textId="77777777" w:rsidTr="00465964">
        <w:tc>
          <w:tcPr>
            <w:tcW w:w="0" w:type="auto"/>
            <w:shd w:val="clear" w:color="auto" w:fill="auto"/>
            <w:hideMark/>
          </w:tcPr>
          <w:p w14:paraId="02797CDD" w14:textId="77777777" w:rsidR="00465964" w:rsidRPr="00465964" w:rsidRDefault="00465964" w:rsidP="00465964">
            <w:r w:rsidRPr="00465964">
              <w:t>15.</w:t>
            </w:r>
          </w:p>
        </w:tc>
        <w:tc>
          <w:tcPr>
            <w:tcW w:w="0" w:type="auto"/>
            <w:shd w:val="clear" w:color="auto" w:fill="auto"/>
            <w:hideMark/>
          </w:tcPr>
          <w:p w14:paraId="09B7E688" w14:textId="77777777" w:rsidR="00465964" w:rsidRPr="00465964" w:rsidRDefault="00465964" w:rsidP="00465964">
            <w:pPr>
              <w:rPr>
                <w:lang w:val="pt-PT"/>
              </w:rPr>
            </w:pPr>
            <w:r w:rsidRPr="00465964">
              <w:rPr>
                <w:lang w:val="pt-PT"/>
              </w:rPr>
              <w:t>Quando pertinente, o nome do prestador de serviços de criptoativos responsável pela colocação dos criptoativos e a forma dessa colocação (com ou sem garantia);</w:t>
            </w:r>
          </w:p>
        </w:tc>
      </w:tr>
    </w:tbl>
    <w:p w14:paraId="5F961E2E"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298"/>
        <w:gridCol w:w="8728"/>
      </w:tblGrid>
      <w:tr w:rsidR="00465964" w:rsidRPr="00465964" w14:paraId="20BCB0FE" w14:textId="77777777" w:rsidTr="00465964">
        <w:tc>
          <w:tcPr>
            <w:tcW w:w="0" w:type="auto"/>
            <w:shd w:val="clear" w:color="auto" w:fill="auto"/>
            <w:hideMark/>
          </w:tcPr>
          <w:p w14:paraId="1D10AC7F" w14:textId="77777777" w:rsidR="00465964" w:rsidRPr="00465964" w:rsidRDefault="00465964" w:rsidP="00465964">
            <w:r w:rsidRPr="00465964">
              <w:t>16.</w:t>
            </w:r>
          </w:p>
        </w:tc>
        <w:tc>
          <w:tcPr>
            <w:tcW w:w="0" w:type="auto"/>
            <w:shd w:val="clear" w:color="auto" w:fill="auto"/>
            <w:hideMark/>
          </w:tcPr>
          <w:p w14:paraId="23B63930" w14:textId="77777777" w:rsidR="00465964" w:rsidRPr="00465964" w:rsidRDefault="00465964" w:rsidP="00465964">
            <w:pPr>
              <w:rPr>
                <w:lang w:val="pt-PT"/>
              </w:rPr>
            </w:pPr>
            <w:r w:rsidRPr="00465964">
              <w:rPr>
                <w:lang w:val="pt-PT"/>
              </w:rPr>
              <w:t>Quando pertinente, o nome da plataforma de negociação de criptoativos na qual é solicitada a admissão à negociação e informações sobre a forma como os investidores podem aceder a essas plataformas de negociação e sobre os custos envolvidos;</w:t>
            </w:r>
          </w:p>
        </w:tc>
      </w:tr>
    </w:tbl>
    <w:p w14:paraId="01DECFDA"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447"/>
        <w:gridCol w:w="8579"/>
      </w:tblGrid>
      <w:tr w:rsidR="00465964" w:rsidRPr="00465964" w14:paraId="57FE5164" w14:textId="77777777" w:rsidTr="00465964">
        <w:tc>
          <w:tcPr>
            <w:tcW w:w="0" w:type="auto"/>
            <w:shd w:val="clear" w:color="auto" w:fill="auto"/>
            <w:hideMark/>
          </w:tcPr>
          <w:p w14:paraId="5BD88DEC" w14:textId="77777777" w:rsidR="00465964" w:rsidRPr="00465964" w:rsidRDefault="00465964" w:rsidP="00465964">
            <w:r w:rsidRPr="00465964">
              <w:lastRenderedPageBreak/>
              <w:t>17.</w:t>
            </w:r>
          </w:p>
        </w:tc>
        <w:tc>
          <w:tcPr>
            <w:tcW w:w="0" w:type="auto"/>
            <w:shd w:val="clear" w:color="auto" w:fill="auto"/>
            <w:hideMark/>
          </w:tcPr>
          <w:p w14:paraId="1DC98BA1" w14:textId="77777777" w:rsidR="00465964" w:rsidRPr="00465964" w:rsidRDefault="00465964" w:rsidP="00465964">
            <w:pPr>
              <w:rPr>
                <w:lang w:val="pt-PT"/>
              </w:rPr>
            </w:pPr>
            <w:r w:rsidRPr="00465964">
              <w:rPr>
                <w:lang w:val="pt-PT"/>
              </w:rPr>
              <w:t>Despesas relacionadas com a oferta pública de criptoativos;</w:t>
            </w:r>
          </w:p>
        </w:tc>
      </w:tr>
    </w:tbl>
    <w:p w14:paraId="5285421E"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298"/>
        <w:gridCol w:w="8728"/>
      </w:tblGrid>
      <w:tr w:rsidR="00465964" w:rsidRPr="00465964" w14:paraId="4185C09A" w14:textId="77777777" w:rsidTr="00465964">
        <w:tc>
          <w:tcPr>
            <w:tcW w:w="0" w:type="auto"/>
            <w:shd w:val="clear" w:color="auto" w:fill="auto"/>
            <w:hideMark/>
          </w:tcPr>
          <w:p w14:paraId="5D465C1A" w14:textId="77777777" w:rsidR="00465964" w:rsidRPr="00465964" w:rsidRDefault="00465964" w:rsidP="00465964">
            <w:r w:rsidRPr="00465964">
              <w:t>18.</w:t>
            </w:r>
          </w:p>
        </w:tc>
        <w:tc>
          <w:tcPr>
            <w:tcW w:w="0" w:type="auto"/>
            <w:shd w:val="clear" w:color="auto" w:fill="auto"/>
            <w:hideMark/>
          </w:tcPr>
          <w:p w14:paraId="6F483E2A" w14:textId="77777777" w:rsidR="00465964" w:rsidRPr="00465964" w:rsidRDefault="00465964" w:rsidP="00465964">
            <w:pPr>
              <w:rPr>
                <w:lang w:val="pt-PT"/>
              </w:rPr>
            </w:pPr>
            <w:r w:rsidRPr="00465964">
              <w:rPr>
                <w:lang w:val="pt-PT"/>
              </w:rPr>
              <w:t>Potenciais conflitos de interesses das pessoas envolvidas na oferta pública ou na admissão à negociação, relacionados com a oferta ou com a admissão à negociação;</w:t>
            </w:r>
          </w:p>
        </w:tc>
      </w:tr>
    </w:tbl>
    <w:p w14:paraId="433AAACA"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341"/>
        <w:gridCol w:w="8685"/>
      </w:tblGrid>
      <w:tr w:rsidR="00465964" w:rsidRPr="00465964" w14:paraId="22D6206B" w14:textId="77777777" w:rsidTr="00465964">
        <w:tc>
          <w:tcPr>
            <w:tcW w:w="0" w:type="auto"/>
            <w:shd w:val="clear" w:color="auto" w:fill="auto"/>
            <w:hideMark/>
          </w:tcPr>
          <w:p w14:paraId="3CB6CEDD" w14:textId="77777777" w:rsidR="00465964" w:rsidRPr="00465964" w:rsidRDefault="00465964" w:rsidP="00465964">
            <w:r w:rsidRPr="00465964">
              <w:t>19.</w:t>
            </w:r>
          </w:p>
        </w:tc>
        <w:tc>
          <w:tcPr>
            <w:tcW w:w="0" w:type="auto"/>
            <w:shd w:val="clear" w:color="auto" w:fill="auto"/>
            <w:hideMark/>
          </w:tcPr>
          <w:p w14:paraId="4C2AD910" w14:textId="77777777" w:rsidR="00465964" w:rsidRPr="00465964" w:rsidRDefault="00465964" w:rsidP="00465964">
            <w:pPr>
              <w:rPr>
                <w:lang w:val="pt-PT"/>
              </w:rPr>
            </w:pPr>
            <w:r w:rsidRPr="00465964">
              <w:rPr>
                <w:lang w:val="pt-PT"/>
              </w:rPr>
              <w:t>A lei aplicável à oferta pública de criptoativos, bem como o tribunal competente.</w:t>
            </w:r>
          </w:p>
        </w:tc>
      </w:tr>
    </w:tbl>
    <w:p w14:paraId="0BA6680A" w14:textId="77777777" w:rsidR="00465964" w:rsidRPr="00465964" w:rsidRDefault="00465964" w:rsidP="00465964">
      <w:pPr>
        <w:rPr>
          <w:b/>
          <w:bCs/>
          <w:lang w:val="pt-PT"/>
        </w:rPr>
      </w:pPr>
      <w:r w:rsidRPr="00465964">
        <w:rPr>
          <w:b/>
          <w:bCs/>
          <w:lang w:val="pt-PT"/>
        </w:rPr>
        <w:t>Parte F: Informações sobre os criptoativos</w:t>
      </w:r>
    </w:p>
    <w:tbl>
      <w:tblPr>
        <w:tblW w:w="5000" w:type="pct"/>
        <w:tblCellMar>
          <w:left w:w="0" w:type="dxa"/>
          <w:right w:w="0" w:type="dxa"/>
        </w:tblCellMar>
        <w:tblLook w:val="04A0" w:firstRow="1" w:lastRow="0" w:firstColumn="1" w:lastColumn="0" w:noHBand="0" w:noVBand="1"/>
      </w:tblPr>
      <w:tblGrid>
        <w:gridCol w:w="181"/>
        <w:gridCol w:w="8845"/>
      </w:tblGrid>
      <w:tr w:rsidR="00465964" w:rsidRPr="00465964" w14:paraId="546E70F8" w14:textId="77777777" w:rsidTr="00465964">
        <w:tc>
          <w:tcPr>
            <w:tcW w:w="0" w:type="auto"/>
            <w:shd w:val="clear" w:color="auto" w:fill="auto"/>
            <w:hideMark/>
          </w:tcPr>
          <w:p w14:paraId="09F1FFD5" w14:textId="77777777" w:rsidR="00465964" w:rsidRPr="00465964" w:rsidRDefault="00465964" w:rsidP="00465964">
            <w:r w:rsidRPr="00465964">
              <w:t>1.</w:t>
            </w:r>
          </w:p>
        </w:tc>
        <w:tc>
          <w:tcPr>
            <w:tcW w:w="0" w:type="auto"/>
            <w:shd w:val="clear" w:color="auto" w:fill="auto"/>
            <w:hideMark/>
          </w:tcPr>
          <w:p w14:paraId="23F04AB3" w14:textId="77777777" w:rsidR="00465964" w:rsidRPr="00465964" w:rsidRDefault="00465964" w:rsidP="00465964">
            <w:pPr>
              <w:rPr>
                <w:lang w:val="pt-PT"/>
              </w:rPr>
            </w:pPr>
            <w:r w:rsidRPr="00465964">
              <w:rPr>
                <w:lang w:val="pt-PT"/>
              </w:rPr>
              <w:t>O tipo de criptoativo que será objeto de oferta pública ou para o qual é solicitada a admissão à negociação;</w:t>
            </w:r>
          </w:p>
        </w:tc>
      </w:tr>
    </w:tbl>
    <w:p w14:paraId="2BF0BFEC"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1"/>
        <w:gridCol w:w="8845"/>
      </w:tblGrid>
      <w:tr w:rsidR="00465964" w:rsidRPr="00465964" w14:paraId="502297B6" w14:textId="77777777" w:rsidTr="00465964">
        <w:tc>
          <w:tcPr>
            <w:tcW w:w="0" w:type="auto"/>
            <w:shd w:val="clear" w:color="auto" w:fill="auto"/>
            <w:hideMark/>
          </w:tcPr>
          <w:p w14:paraId="4DFF94CE" w14:textId="77777777" w:rsidR="00465964" w:rsidRPr="00465964" w:rsidRDefault="00465964" w:rsidP="00465964">
            <w:r w:rsidRPr="00465964">
              <w:t>2.</w:t>
            </w:r>
          </w:p>
        </w:tc>
        <w:tc>
          <w:tcPr>
            <w:tcW w:w="0" w:type="auto"/>
            <w:shd w:val="clear" w:color="auto" w:fill="auto"/>
            <w:hideMark/>
          </w:tcPr>
          <w:p w14:paraId="60FC7508" w14:textId="77777777" w:rsidR="00465964" w:rsidRPr="00465964" w:rsidRDefault="00465964" w:rsidP="00465964">
            <w:pPr>
              <w:rPr>
                <w:lang w:val="pt-PT"/>
              </w:rPr>
            </w:pPr>
            <w:r w:rsidRPr="00465964">
              <w:rPr>
                <w:lang w:val="pt-PT"/>
              </w:rPr>
              <w:t>Uma descrição das características, incluindo os dados necessários para a classificação do livrete do criptoativo no registo referido no artigo 109.</w:t>
            </w:r>
            <w:r w:rsidRPr="00465964">
              <w:rPr>
                <w:vertAlign w:val="superscript"/>
                <w:lang w:val="pt-PT"/>
              </w:rPr>
              <w:t>o</w:t>
            </w:r>
            <w:r w:rsidRPr="00465964">
              <w:rPr>
                <w:lang w:val="pt-PT"/>
              </w:rPr>
              <w:t xml:space="preserve">, conforme especificado em conformidade com o </w:t>
            </w:r>
            <w:proofErr w:type="spellStart"/>
            <w:r w:rsidRPr="00465964">
              <w:rPr>
                <w:lang w:val="pt-PT"/>
              </w:rPr>
              <w:t>n.</w:t>
            </w:r>
            <w:r w:rsidRPr="00465964">
              <w:rPr>
                <w:vertAlign w:val="superscript"/>
                <w:lang w:val="pt-PT"/>
              </w:rPr>
              <w:t>o</w:t>
            </w:r>
            <w:proofErr w:type="spellEnd"/>
            <w:r w:rsidRPr="00465964">
              <w:rPr>
                <w:lang w:val="pt-PT"/>
              </w:rPr>
              <w:t> 8 desse artigo, e das funcionalidades dos criptoativos objeto da oferta pública ou de admissão à negociação, incluindo informações sobre os prazos previstos para a aplicação dessas funcionalidades.</w:t>
            </w:r>
          </w:p>
        </w:tc>
      </w:tr>
    </w:tbl>
    <w:p w14:paraId="5A22F8DB" w14:textId="77777777" w:rsidR="00465964" w:rsidRPr="00465964" w:rsidRDefault="00465964" w:rsidP="00465964">
      <w:pPr>
        <w:rPr>
          <w:b/>
          <w:bCs/>
          <w:lang w:val="pt-PT"/>
        </w:rPr>
      </w:pPr>
      <w:r w:rsidRPr="00465964">
        <w:rPr>
          <w:b/>
          <w:bCs/>
          <w:lang w:val="pt-PT"/>
        </w:rPr>
        <w:t>Parte G: Informações sobre os direitos e obrigações associados aos criptoativos</w:t>
      </w:r>
    </w:p>
    <w:tbl>
      <w:tblPr>
        <w:tblW w:w="5000" w:type="pct"/>
        <w:tblCellMar>
          <w:left w:w="0" w:type="dxa"/>
          <w:right w:w="0" w:type="dxa"/>
        </w:tblCellMar>
        <w:tblLook w:val="04A0" w:firstRow="1" w:lastRow="0" w:firstColumn="1" w:lastColumn="0" w:noHBand="0" w:noVBand="1"/>
      </w:tblPr>
      <w:tblGrid>
        <w:gridCol w:w="181"/>
        <w:gridCol w:w="8845"/>
      </w:tblGrid>
      <w:tr w:rsidR="00465964" w:rsidRPr="00465964" w14:paraId="6481C4B5" w14:textId="77777777" w:rsidTr="00465964">
        <w:tc>
          <w:tcPr>
            <w:tcW w:w="0" w:type="auto"/>
            <w:shd w:val="clear" w:color="auto" w:fill="auto"/>
            <w:hideMark/>
          </w:tcPr>
          <w:p w14:paraId="0AB1DE4D" w14:textId="77777777" w:rsidR="00465964" w:rsidRPr="00465964" w:rsidRDefault="00465964" w:rsidP="00465964">
            <w:r w:rsidRPr="00465964">
              <w:t>1.</w:t>
            </w:r>
          </w:p>
        </w:tc>
        <w:tc>
          <w:tcPr>
            <w:tcW w:w="0" w:type="auto"/>
            <w:shd w:val="clear" w:color="auto" w:fill="auto"/>
            <w:hideMark/>
          </w:tcPr>
          <w:p w14:paraId="64A9E34C" w14:textId="77777777" w:rsidR="00465964" w:rsidRPr="00465964" w:rsidRDefault="00465964" w:rsidP="00465964">
            <w:pPr>
              <w:rPr>
                <w:lang w:val="pt-PT"/>
              </w:rPr>
            </w:pPr>
            <w:r w:rsidRPr="00465964">
              <w:rPr>
                <w:lang w:val="pt-PT"/>
              </w:rPr>
              <w:t>Uma descrição dos direitos e obrigações, se for caso disso, do comprador, bem como do procedimento e das condições para o exercício desses direitos;</w:t>
            </w:r>
          </w:p>
        </w:tc>
      </w:tr>
    </w:tbl>
    <w:p w14:paraId="61643562"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5"/>
        <w:gridCol w:w="8841"/>
      </w:tblGrid>
      <w:tr w:rsidR="00465964" w:rsidRPr="00465964" w14:paraId="0C0974A9" w14:textId="77777777" w:rsidTr="00465964">
        <w:tc>
          <w:tcPr>
            <w:tcW w:w="0" w:type="auto"/>
            <w:shd w:val="clear" w:color="auto" w:fill="auto"/>
            <w:hideMark/>
          </w:tcPr>
          <w:p w14:paraId="5C60E470" w14:textId="77777777" w:rsidR="00465964" w:rsidRPr="00465964" w:rsidRDefault="00465964" w:rsidP="00465964">
            <w:r w:rsidRPr="00465964">
              <w:t>2.</w:t>
            </w:r>
          </w:p>
        </w:tc>
        <w:tc>
          <w:tcPr>
            <w:tcW w:w="0" w:type="auto"/>
            <w:shd w:val="clear" w:color="auto" w:fill="auto"/>
            <w:hideMark/>
          </w:tcPr>
          <w:p w14:paraId="0C2895DA" w14:textId="77777777" w:rsidR="00465964" w:rsidRPr="00465964" w:rsidRDefault="00465964" w:rsidP="00465964">
            <w:pPr>
              <w:rPr>
                <w:lang w:val="pt-PT"/>
              </w:rPr>
            </w:pPr>
            <w:r w:rsidRPr="00465964">
              <w:rPr>
                <w:lang w:val="pt-PT"/>
              </w:rPr>
              <w:t>Uma descrição das circunstâncias em que os direitos e as obrigações podem ser alterados;</w:t>
            </w:r>
          </w:p>
        </w:tc>
      </w:tr>
    </w:tbl>
    <w:p w14:paraId="61CD2E2A"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1"/>
        <w:gridCol w:w="8845"/>
      </w:tblGrid>
      <w:tr w:rsidR="00465964" w:rsidRPr="00465964" w14:paraId="639812E0" w14:textId="77777777" w:rsidTr="00465964">
        <w:tc>
          <w:tcPr>
            <w:tcW w:w="0" w:type="auto"/>
            <w:shd w:val="clear" w:color="auto" w:fill="auto"/>
            <w:hideMark/>
          </w:tcPr>
          <w:p w14:paraId="1770F8FF" w14:textId="77777777" w:rsidR="00465964" w:rsidRPr="00465964" w:rsidRDefault="00465964" w:rsidP="00465964">
            <w:r w:rsidRPr="00465964">
              <w:t>3.</w:t>
            </w:r>
          </w:p>
        </w:tc>
        <w:tc>
          <w:tcPr>
            <w:tcW w:w="0" w:type="auto"/>
            <w:shd w:val="clear" w:color="auto" w:fill="auto"/>
            <w:hideMark/>
          </w:tcPr>
          <w:p w14:paraId="640D0C27" w14:textId="77777777" w:rsidR="00465964" w:rsidRPr="00465964" w:rsidRDefault="00465964" w:rsidP="00465964">
            <w:pPr>
              <w:rPr>
                <w:lang w:val="pt-PT"/>
              </w:rPr>
            </w:pPr>
            <w:r w:rsidRPr="00465964">
              <w:rPr>
                <w:lang w:val="pt-PT"/>
              </w:rPr>
              <w:t>Quando pertinente, informações sobre as futuras ofertas públicas de criptoativos pelo emitente e sobre o número de criptoativos que o emitente conservará para si próprio;</w:t>
            </w:r>
          </w:p>
        </w:tc>
      </w:tr>
    </w:tbl>
    <w:p w14:paraId="5C190BFE"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1"/>
        <w:gridCol w:w="8845"/>
      </w:tblGrid>
      <w:tr w:rsidR="00465964" w:rsidRPr="00465964" w14:paraId="3D313B51" w14:textId="77777777" w:rsidTr="00465964">
        <w:tc>
          <w:tcPr>
            <w:tcW w:w="0" w:type="auto"/>
            <w:shd w:val="clear" w:color="auto" w:fill="auto"/>
            <w:hideMark/>
          </w:tcPr>
          <w:p w14:paraId="47EDE956" w14:textId="77777777" w:rsidR="00465964" w:rsidRPr="00465964" w:rsidRDefault="00465964" w:rsidP="00465964">
            <w:r w:rsidRPr="00465964">
              <w:t>4.</w:t>
            </w:r>
          </w:p>
        </w:tc>
        <w:tc>
          <w:tcPr>
            <w:tcW w:w="0" w:type="auto"/>
            <w:shd w:val="clear" w:color="auto" w:fill="auto"/>
            <w:hideMark/>
          </w:tcPr>
          <w:p w14:paraId="0D1D6ED3" w14:textId="2262FEC3" w:rsidR="00465964" w:rsidRPr="00465964" w:rsidRDefault="00465964" w:rsidP="00465964">
            <w:pPr>
              <w:rPr>
                <w:lang w:val="pt-PT"/>
              </w:rPr>
            </w:pPr>
            <w:r w:rsidRPr="00465964">
              <w:rPr>
                <w:lang w:val="pt-PT"/>
              </w:rPr>
              <w:t xml:space="preserve">Se a oferta pública de criptoativos ou a sua admissão à negociação tiver por objeto </w:t>
            </w:r>
            <w:r>
              <w:rPr>
                <w:lang w:val="pt-PT"/>
              </w:rPr>
              <w:t>criptomoedas</w:t>
            </w:r>
            <w:r w:rsidRPr="00465964">
              <w:rPr>
                <w:lang w:val="pt-PT"/>
              </w:rPr>
              <w:t xml:space="preserve"> de consumo, informações sobre a qualidade e quantidade de bens ou serviços a que as </w:t>
            </w:r>
            <w:r>
              <w:rPr>
                <w:lang w:val="pt-PT"/>
              </w:rPr>
              <w:t>criptomoedas</w:t>
            </w:r>
            <w:r w:rsidRPr="00465964">
              <w:rPr>
                <w:lang w:val="pt-PT"/>
              </w:rPr>
              <w:t xml:space="preserve"> de consumo dão acesso;</w:t>
            </w:r>
          </w:p>
        </w:tc>
      </w:tr>
    </w:tbl>
    <w:p w14:paraId="24BD61C7"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1"/>
        <w:gridCol w:w="8845"/>
      </w:tblGrid>
      <w:tr w:rsidR="00465964" w:rsidRPr="00465964" w14:paraId="28C59C8B" w14:textId="77777777" w:rsidTr="00465964">
        <w:tc>
          <w:tcPr>
            <w:tcW w:w="0" w:type="auto"/>
            <w:shd w:val="clear" w:color="auto" w:fill="auto"/>
            <w:hideMark/>
          </w:tcPr>
          <w:p w14:paraId="105CD07C" w14:textId="77777777" w:rsidR="00465964" w:rsidRPr="00465964" w:rsidRDefault="00465964" w:rsidP="00465964">
            <w:r w:rsidRPr="00465964">
              <w:t>5.</w:t>
            </w:r>
          </w:p>
        </w:tc>
        <w:tc>
          <w:tcPr>
            <w:tcW w:w="0" w:type="auto"/>
            <w:shd w:val="clear" w:color="auto" w:fill="auto"/>
            <w:hideMark/>
          </w:tcPr>
          <w:p w14:paraId="53B6D992" w14:textId="66D62FCF" w:rsidR="00465964" w:rsidRPr="00465964" w:rsidRDefault="00465964" w:rsidP="00465964">
            <w:pPr>
              <w:rPr>
                <w:lang w:val="pt-PT"/>
              </w:rPr>
            </w:pPr>
            <w:r w:rsidRPr="00465964">
              <w:rPr>
                <w:lang w:val="pt-PT"/>
              </w:rPr>
              <w:t xml:space="preserve">Se as ofertas públicas de criptoativos ou a sua admissão à negociação tiver por objeto </w:t>
            </w:r>
            <w:r>
              <w:rPr>
                <w:lang w:val="pt-PT"/>
              </w:rPr>
              <w:t>criptomoedas</w:t>
            </w:r>
            <w:r w:rsidRPr="00465964">
              <w:rPr>
                <w:lang w:val="pt-PT"/>
              </w:rPr>
              <w:t xml:space="preserve"> de consumo, informações sobre o modo como as </w:t>
            </w:r>
            <w:r>
              <w:rPr>
                <w:lang w:val="pt-PT"/>
              </w:rPr>
              <w:t>criptomoedas</w:t>
            </w:r>
            <w:r w:rsidRPr="00465964">
              <w:rPr>
                <w:lang w:val="pt-PT"/>
              </w:rPr>
              <w:t xml:space="preserve"> de consumo podem ser trocadas pelos bens ou serviços a que dizem respeito;</w:t>
            </w:r>
          </w:p>
        </w:tc>
      </w:tr>
    </w:tbl>
    <w:p w14:paraId="4013468E"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1"/>
        <w:gridCol w:w="8845"/>
      </w:tblGrid>
      <w:tr w:rsidR="00465964" w:rsidRPr="00465964" w14:paraId="4B5079C0" w14:textId="77777777" w:rsidTr="00465964">
        <w:tc>
          <w:tcPr>
            <w:tcW w:w="0" w:type="auto"/>
            <w:shd w:val="clear" w:color="auto" w:fill="auto"/>
            <w:hideMark/>
          </w:tcPr>
          <w:p w14:paraId="3E86890E" w14:textId="77777777" w:rsidR="00465964" w:rsidRPr="00465964" w:rsidRDefault="00465964" w:rsidP="00465964">
            <w:r w:rsidRPr="00465964">
              <w:t>6.</w:t>
            </w:r>
          </w:p>
        </w:tc>
        <w:tc>
          <w:tcPr>
            <w:tcW w:w="0" w:type="auto"/>
            <w:shd w:val="clear" w:color="auto" w:fill="auto"/>
            <w:hideMark/>
          </w:tcPr>
          <w:p w14:paraId="4A44C543" w14:textId="77777777" w:rsidR="00465964" w:rsidRPr="00465964" w:rsidRDefault="00465964" w:rsidP="00465964">
            <w:pPr>
              <w:rPr>
                <w:lang w:val="pt-PT"/>
              </w:rPr>
            </w:pPr>
            <w:r w:rsidRPr="00465964">
              <w:rPr>
                <w:lang w:val="pt-PT"/>
              </w:rPr>
              <w:t>Se não for solicitada a admissão à negociação, informações sobre o modo e o local de aquisição ou de venda dos criptoativos após a oferta pública;</w:t>
            </w:r>
          </w:p>
        </w:tc>
      </w:tr>
    </w:tbl>
    <w:p w14:paraId="695B8F7E"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8"/>
        <w:gridCol w:w="8838"/>
      </w:tblGrid>
      <w:tr w:rsidR="00465964" w:rsidRPr="00465964" w14:paraId="1D3CCCD7" w14:textId="77777777" w:rsidTr="00465964">
        <w:tc>
          <w:tcPr>
            <w:tcW w:w="0" w:type="auto"/>
            <w:shd w:val="clear" w:color="auto" w:fill="auto"/>
            <w:hideMark/>
          </w:tcPr>
          <w:p w14:paraId="789CBF51" w14:textId="77777777" w:rsidR="00465964" w:rsidRPr="00465964" w:rsidRDefault="00465964" w:rsidP="00465964">
            <w:r w:rsidRPr="00465964">
              <w:t>7.</w:t>
            </w:r>
          </w:p>
        </w:tc>
        <w:tc>
          <w:tcPr>
            <w:tcW w:w="0" w:type="auto"/>
            <w:shd w:val="clear" w:color="auto" w:fill="auto"/>
            <w:hideMark/>
          </w:tcPr>
          <w:p w14:paraId="306491DE" w14:textId="77777777" w:rsidR="00465964" w:rsidRPr="00465964" w:rsidRDefault="00465964" w:rsidP="00465964">
            <w:pPr>
              <w:rPr>
                <w:lang w:val="pt-PT"/>
              </w:rPr>
            </w:pPr>
            <w:r w:rsidRPr="00465964">
              <w:rPr>
                <w:lang w:val="pt-PT"/>
              </w:rPr>
              <w:t>Restrições à transferibilidade dos criptoativos objeto de oferta ou admitidos à negociação;</w:t>
            </w:r>
          </w:p>
        </w:tc>
      </w:tr>
    </w:tbl>
    <w:p w14:paraId="408B09C1"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1"/>
        <w:gridCol w:w="8845"/>
      </w:tblGrid>
      <w:tr w:rsidR="00465964" w:rsidRPr="00465964" w14:paraId="5244DF64" w14:textId="77777777" w:rsidTr="00465964">
        <w:tc>
          <w:tcPr>
            <w:tcW w:w="0" w:type="auto"/>
            <w:shd w:val="clear" w:color="auto" w:fill="auto"/>
            <w:hideMark/>
          </w:tcPr>
          <w:p w14:paraId="31020D0D" w14:textId="77777777" w:rsidR="00465964" w:rsidRPr="00465964" w:rsidRDefault="00465964" w:rsidP="00465964">
            <w:r w:rsidRPr="00465964">
              <w:t>8.</w:t>
            </w:r>
          </w:p>
        </w:tc>
        <w:tc>
          <w:tcPr>
            <w:tcW w:w="0" w:type="auto"/>
            <w:shd w:val="clear" w:color="auto" w:fill="auto"/>
            <w:hideMark/>
          </w:tcPr>
          <w:p w14:paraId="36BB80B1" w14:textId="77777777" w:rsidR="00465964" w:rsidRPr="00465964" w:rsidRDefault="00465964" w:rsidP="00465964">
            <w:pPr>
              <w:rPr>
                <w:lang w:val="pt-PT"/>
              </w:rPr>
            </w:pPr>
            <w:r w:rsidRPr="00465964">
              <w:rPr>
                <w:lang w:val="pt-PT"/>
              </w:rPr>
              <w:t>Se os criptoativos tiverem protocolos relativos ao aumento ou diminuição da sua oferta em resposta à evolução da procura, uma descrição do funcionamento desses protocolos;</w:t>
            </w:r>
          </w:p>
        </w:tc>
      </w:tr>
    </w:tbl>
    <w:p w14:paraId="373AD80B"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1"/>
        <w:gridCol w:w="8845"/>
      </w:tblGrid>
      <w:tr w:rsidR="00465964" w:rsidRPr="00465964" w14:paraId="34F55E66" w14:textId="77777777" w:rsidTr="00465964">
        <w:tc>
          <w:tcPr>
            <w:tcW w:w="0" w:type="auto"/>
            <w:shd w:val="clear" w:color="auto" w:fill="auto"/>
            <w:hideMark/>
          </w:tcPr>
          <w:p w14:paraId="677EFA3B" w14:textId="77777777" w:rsidR="00465964" w:rsidRPr="00465964" w:rsidRDefault="00465964" w:rsidP="00465964">
            <w:r w:rsidRPr="00465964">
              <w:t>9.</w:t>
            </w:r>
          </w:p>
        </w:tc>
        <w:tc>
          <w:tcPr>
            <w:tcW w:w="0" w:type="auto"/>
            <w:shd w:val="clear" w:color="auto" w:fill="auto"/>
            <w:hideMark/>
          </w:tcPr>
          <w:p w14:paraId="0D529A47" w14:textId="77777777" w:rsidR="00465964" w:rsidRPr="00465964" w:rsidRDefault="00465964" w:rsidP="00465964">
            <w:pPr>
              <w:rPr>
                <w:lang w:val="pt-PT"/>
              </w:rPr>
            </w:pPr>
            <w:r w:rsidRPr="00465964">
              <w:rPr>
                <w:lang w:val="pt-PT"/>
              </w:rPr>
              <w:t>Quando pertinente, uma descrição dos regimes de proteção que protejam o valor dos criptoativos e dos regimes de compensação;</w:t>
            </w:r>
          </w:p>
        </w:tc>
      </w:tr>
    </w:tbl>
    <w:p w14:paraId="44334945"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415"/>
        <w:gridCol w:w="8611"/>
      </w:tblGrid>
      <w:tr w:rsidR="00465964" w:rsidRPr="00465964" w14:paraId="1D5D213D" w14:textId="77777777" w:rsidTr="00465964">
        <w:tc>
          <w:tcPr>
            <w:tcW w:w="0" w:type="auto"/>
            <w:shd w:val="clear" w:color="auto" w:fill="auto"/>
            <w:hideMark/>
          </w:tcPr>
          <w:p w14:paraId="7E8EAA37" w14:textId="77777777" w:rsidR="00465964" w:rsidRPr="00465964" w:rsidRDefault="00465964" w:rsidP="00465964">
            <w:r w:rsidRPr="00465964">
              <w:t>10.</w:t>
            </w:r>
          </w:p>
        </w:tc>
        <w:tc>
          <w:tcPr>
            <w:tcW w:w="0" w:type="auto"/>
            <w:shd w:val="clear" w:color="auto" w:fill="auto"/>
            <w:hideMark/>
          </w:tcPr>
          <w:p w14:paraId="4224EB21" w14:textId="77777777" w:rsidR="00465964" w:rsidRPr="00465964" w:rsidRDefault="00465964" w:rsidP="00465964">
            <w:pPr>
              <w:rPr>
                <w:lang w:val="pt-PT"/>
              </w:rPr>
            </w:pPr>
            <w:r w:rsidRPr="00465964">
              <w:rPr>
                <w:lang w:val="pt-PT"/>
              </w:rPr>
              <w:t>A lei aplicável aos criptoativos, bem como o tribunal competente.</w:t>
            </w:r>
          </w:p>
        </w:tc>
      </w:tr>
    </w:tbl>
    <w:p w14:paraId="18D0E93E" w14:textId="77777777" w:rsidR="00465964" w:rsidRPr="00465964" w:rsidRDefault="00465964" w:rsidP="00465964">
      <w:pPr>
        <w:rPr>
          <w:b/>
          <w:bCs/>
          <w:lang w:val="pt-PT"/>
        </w:rPr>
      </w:pPr>
      <w:r w:rsidRPr="00465964">
        <w:rPr>
          <w:b/>
          <w:bCs/>
          <w:lang w:val="pt-PT"/>
        </w:rPr>
        <w:t>Parte H: Informações sobre a tecnologia subjacente</w:t>
      </w:r>
    </w:p>
    <w:tbl>
      <w:tblPr>
        <w:tblW w:w="5000" w:type="pct"/>
        <w:tblCellMar>
          <w:left w:w="0" w:type="dxa"/>
          <w:right w:w="0" w:type="dxa"/>
        </w:tblCellMar>
        <w:tblLook w:val="04A0" w:firstRow="1" w:lastRow="0" w:firstColumn="1" w:lastColumn="0" w:noHBand="0" w:noVBand="1"/>
      </w:tblPr>
      <w:tblGrid>
        <w:gridCol w:w="181"/>
        <w:gridCol w:w="8845"/>
      </w:tblGrid>
      <w:tr w:rsidR="00465964" w:rsidRPr="00465964" w14:paraId="69B3E28B" w14:textId="77777777" w:rsidTr="00465964">
        <w:tc>
          <w:tcPr>
            <w:tcW w:w="0" w:type="auto"/>
            <w:shd w:val="clear" w:color="auto" w:fill="auto"/>
            <w:hideMark/>
          </w:tcPr>
          <w:p w14:paraId="2190BF53" w14:textId="77777777" w:rsidR="00465964" w:rsidRPr="00465964" w:rsidRDefault="00465964" w:rsidP="00465964">
            <w:r w:rsidRPr="00465964">
              <w:t>1.</w:t>
            </w:r>
          </w:p>
        </w:tc>
        <w:tc>
          <w:tcPr>
            <w:tcW w:w="0" w:type="auto"/>
            <w:shd w:val="clear" w:color="auto" w:fill="auto"/>
            <w:hideMark/>
          </w:tcPr>
          <w:p w14:paraId="490897C9" w14:textId="77777777" w:rsidR="00465964" w:rsidRPr="00465964" w:rsidRDefault="00465964" w:rsidP="00465964">
            <w:pPr>
              <w:rPr>
                <w:lang w:val="pt-PT"/>
              </w:rPr>
            </w:pPr>
            <w:r w:rsidRPr="00465964">
              <w:rPr>
                <w:lang w:val="pt-PT"/>
              </w:rPr>
              <w:t>Informações sobre a tecnologia utilizada, incluindo a tecnologia de registo distribuído, os protocolos e as normas técnicas utilizadas;</w:t>
            </w:r>
          </w:p>
        </w:tc>
      </w:tr>
    </w:tbl>
    <w:p w14:paraId="3506D73F"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349"/>
        <w:gridCol w:w="8677"/>
      </w:tblGrid>
      <w:tr w:rsidR="00465964" w:rsidRPr="00465964" w14:paraId="6306ADA1" w14:textId="77777777" w:rsidTr="00465964">
        <w:tc>
          <w:tcPr>
            <w:tcW w:w="0" w:type="auto"/>
            <w:shd w:val="clear" w:color="auto" w:fill="auto"/>
            <w:hideMark/>
          </w:tcPr>
          <w:p w14:paraId="627C632D" w14:textId="77777777" w:rsidR="00465964" w:rsidRPr="00465964" w:rsidRDefault="00465964" w:rsidP="00465964">
            <w:r w:rsidRPr="00465964">
              <w:t>2.</w:t>
            </w:r>
          </w:p>
        </w:tc>
        <w:tc>
          <w:tcPr>
            <w:tcW w:w="0" w:type="auto"/>
            <w:shd w:val="clear" w:color="auto" w:fill="auto"/>
            <w:hideMark/>
          </w:tcPr>
          <w:p w14:paraId="58F5A6A3" w14:textId="77777777" w:rsidR="00465964" w:rsidRPr="00465964" w:rsidRDefault="00465964" w:rsidP="00465964">
            <w:pPr>
              <w:rPr>
                <w:lang w:val="pt-PT"/>
              </w:rPr>
            </w:pPr>
            <w:r w:rsidRPr="00465964">
              <w:rPr>
                <w:lang w:val="pt-PT"/>
              </w:rPr>
              <w:t>O mecanismo de consenso, quando pertinente;</w:t>
            </w:r>
          </w:p>
        </w:tc>
      </w:tr>
    </w:tbl>
    <w:p w14:paraId="123FE158"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1"/>
        <w:gridCol w:w="8845"/>
      </w:tblGrid>
      <w:tr w:rsidR="00465964" w:rsidRPr="00465964" w14:paraId="15809229" w14:textId="77777777" w:rsidTr="00465964">
        <w:tc>
          <w:tcPr>
            <w:tcW w:w="0" w:type="auto"/>
            <w:shd w:val="clear" w:color="auto" w:fill="auto"/>
            <w:hideMark/>
          </w:tcPr>
          <w:p w14:paraId="37B49701" w14:textId="77777777" w:rsidR="00465964" w:rsidRPr="00465964" w:rsidRDefault="00465964" w:rsidP="00465964">
            <w:r w:rsidRPr="00465964">
              <w:lastRenderedPageBreak/>
              <w:t>3.</w:t>
            </w:r>
          </w:p>
        </w:tc>
        <w:tc>
          <w:tcPr>
            <w:tcW w:w="0" w:type="auto"/>
            <w:shd w:val="clear" w:color="auto" w:fill="auto"/>
            <w:hideMark/>
          </w:tcPr>
          <w:p w14:paraId="2611D762" w14:textId="77777777" w:rsidR="00465964" w:rsidRPr="00465964" w:rsidRDefault="00465964" w:rsidP="00465964">
            <w:pPr>
              <w:rPr>
                <w:lang w:val="pt-PT"/>
              </w:rPr>
            </w:pPr>
            <w:r w:rsidRPr="00465964">
              <w:rPr>
                <w:lang w:val="pt-PT"/>
              </w:rPr>
              <w:t>Mecanismos de incentivo para garantir a segurança das transações e eventuais comissões aplicáveis;</w:t>
            </w:r>
          </w:p>
        </w:tc>
      </w:tr>
    </w:tbl>
    <w:p w14:paraId="0073F448"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1"/>
        <w:gridCol w:w="8845"/>
      </w:tblGrid>
      <w:tr w:rsidR="00465964" w:rsidRPr="00465964" w14:paraId="7DD6CB74" w14:textId="77777777" w:rsidTr="00465964">
        <w:tc>
          <w:tcPr>
            <w:tcW w:w="0" w:type="auto"/>
            <w:shd w:val="clear" w:color="auto" w:fill="auto"/>
            <w:hideMark/>
          </w:tcPr>
          <w:p w14:paraId="7B6F2945" w14:textId="77777777" w:rsidR="00465964" w:rsidRPr="00465964" w:rsidRDefault="00465964" w:rsidP="00465964">
            <w:r w:rsidRPr="00465964">
              <w:t>4.</w:t>
            </w:r>
          </w:p>
        </w:tc>
        <w:tc>
          <w:tcPr>
            <w:tcW w:w="0" w:type="auto"/>
            <w:shd w:val="clear" w:color="auto" w:fill="auto"/>
            <w:hideMark/>
          </w:tcPr>
          <w:p w14:paraId="728F4855" w14:textId="77777777" w:rsidR="00465964" w:rsidRPr="00465964" w:rsidRDefault="00465964" w:rsidP="00465964">
            <w:pPr>
              <w:rPr>
                <w:lang w:val="pt-PT"/>
              </w:rPr>
            </w:pPr>
            <w:r w:rsidRPr="00465964">
              <w:rPr>
                <w:lang w:val="pt-PT"/>
              </w:rPr>
              <w:t>Se os criptoativos forem emitidos, transferidos e armazenados utilizando uma tecnologia de registo distribuído gerida pelo emitente, pelo oferente ou por terceiros em seu nome, uma descrição pormenorizada do funcionamento dessa tecnologia de registo distribuído;</w:t>
            </w:r>
          </w:p>
        </w:tc>
      </w:tr>
    </w:tbl>
    <w:p w14:paraId="3448149B"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1"/>
        <w:gridCol w:w="8845"/>
      </w:tblGrid>
      <w:tr w:rsidR="00465964" w:rsidRPr="00465964" w14:paraId="0EC3C9BE" w14:textId="77777777" w:rsidTr="00465964">
        <w:tc>
          <w:tcPr>
            <w:tcW w:w="0" w:type="auto"/>
            <w:shd w:val="clear" w:color="auto" w:fill="auto"/>
            <w:hideMark/>
          </w:tcPr>
          <w:p w14:paraId="4C4B54B3" w14:textId="77777777" w:rsidR="00465964" w:rsidRPr="00465964" w:rsidRDefault="00465964" w:rsidP="00465964">
            <w:r w:rsidRPr="00465964">
              <w:t>5.</w:t>
            </w:r>
          </w:p>
        </w:tc>
        <w:tc>
          <w:tcPr>
            <w:tcW w:w="0" w:type="auto"/>
            <w:shd w:val="clear" w:color="auto" w:fill="auto"/>
            <w:hideMark/>
          </w:tcPr>
          <w:p w14:paraId="00FD416E" w14:textId="77777777" w:rsidR="00465964" w:rsidRPr="00465964" w:rsidRDefault="00465964" w:rsidP="00465964">
            <w:pPr>
              <w:rPr>
                <w:lang w:val="pt-PT"/>
              </w:rPr>
            </w:pPr>
            <w:r w:rsidRPr="00465964">
              <w:rPr>
                <w:lang w:val="pt-PT"/>
              </w:rPr>
              <w:t>Informações sobre o resultado da auditoria à tecnologia utilizada, se tal auditoria foi realizada.</w:t>
            </w:r>
          </w:p>
        </w:tc>
      </w:tr>
    </w:tbl>
    <w:p w14:paraId="081F3B05" w14:textId="77777777" w:rsidR="00465964" w:rsidRPr="00465964" w:rsidRDefault="00465964" w:rsidP="00465964">
      <w:pPr>
        <w:rPr>
          <w:b/>
          <w:bCs/>
          <w:lang w:val="pt-PT"/>
        </w:rPr>
      </w:pPr>
      <w:r w:rsidRPr="00465964">
        <w:rPr>
          <w:b/>
          <w:bCs/>
          <w:lang w:val="pt-PT"/>
        </w:rPr>
        <w:t>Parte I: Informação sobre os riscos</w:t>
      </w:r>
    </w:p>
    <w:tbl>
      <w:tblPr>
        <w:tblW w:w="5000" w:type="pct"/>
        <w:tblCellMar>
          <w:left w:w="0" w:type="dxa"/>
          <w:right w:w="0" w:type="dxa"/>
        </w:tblCellMar>
        <w:tblLook w:val="04A0" w:firstRow="1" w:lastRow="0" w:firstColumn="1" w:lastColumn="0" w:noHBand="0" w:noVBand="1"/>
      </w:tblPr>
      <w:tblGrid>
        <w:gridCol w:w="181"/>
        <w:gridCol w:w="8845"/>
      </w:tblGrid>
      <w:tr w:rsidR="00465964" w:rsidRPr="00465964" w14:paraId="6C097B11" w14:textId="77777777" w:rsidTr="00465964">
        <w:tc>
          <w:tcPr>
            <w:tcW w:w="0" w:type="auto"/>
            <w:shd w:val="clear" w:color="auto" w:fill="auto"/>
            <w:hideMark/>
          </w:tcPr>
          <w:p w14:paraId="3127E840" w14:textId="77777777" w:rsidR="00465964" w:rsidRPr="00465964" w:rsidRDefault="00465964" w:rsidP="00465964">
            <w:r w:rsidRPr="00465964">
              <w:t>1.</w:t>
            </w:r>
          </w:p>
        </w:tc>
        <w:tc>
          <w:tcPr>
            <w:tcW w:w="0" w:type="auto"/>
            <w:shd w:val="clear" w:color="auto" w:fill="auto"/>
            <w:hideMark/>
          </w:tcPr>
          <w:p w14:paraId="6305AEA2" w14:textId="77777777" w:rsidR="00465964" w:rsidRPr="00465964" w:rsidRDefault="00465964" w:rsidP="00465964">
            <w:pPr>
              <w:rPr>
                <w:lang w:val="pt-PT"/>
              </w:rPr>
            </w:pPr>
            <w:r w:rsidRPr="00465964">
              <w:rPr>
                <w:lang w:val="pt-PT"/>
              </w:rPr>
              <w:t>Uma descrição dos riscos associados à oferta pública de criptoativos ou à sua admissão à negociação;</w:t>
            </w:r>
          </w:p>
        </w:tc>
      </w:tr>
    </w:tbl>
    <w:p w14:paraId="42C32739"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1"/>
        <w:gridCol w:w="8845"/>
      </w:tblGrid>
      <w:tr w:rsidR="00465964" w:rsidRPr="00465964" w14:paraId="0CB0B9BC" w14:textId="77777777" w:rsidTr="00465964">
        <w:tc>
          <w:tcPr>
            <w:tcW w:w="0" w:type="auto"/>
            <w:shd w:val="clear" w:color="auto" w:fill="auto"/>
            <w:hideMark/>
          </w:tcPr>
          <w:p w14:paraId="53C48CD9" w14:textId="77777777" w:rsidR="00465964" w:rsidRPr="00465964" w:rsidRDefault="00465964" w:rsidP="00465964">
            <w:r w:rsidRPr="00465964">
              <w:t>2.</w:t>
            </w:r>
          </w:p>
        </w:tc>
        <w:tc>
          <w:tcPr>
            <w:tcW w:w="0" w:type="auto"/>
            <w:shd w:val="clear" w:color="auto" w:fill="auto"/>
            <w:hideMark/>
          </w:tcPr>
          <w:p w14:paraId="365C4430" w14:textId="77777777" w:rsidR="00465964" w:rsidRPr="00465964" w:rsidRDefault="00465964" w:rsidP="00465964">
            <w:pPr>
              <w:rPr>
                <w:lang w:val="pt-PT"/>
              </w:rPr>
            </w:pPr>
            <w:r w:rsidRPr="00465964">
              <w:rPr>
                <w:lang w:val="pt-PT"/>
              </w:rPr>
              <w:t>Uma descrição dos riscos associados ao emitente, se for diferente do oferente, ou da pessoa que solicita a admissão à negociação;</w:t>
            </w:r>
          </w:p>
        </w:tc>
      </w:tr>
    </w:tbl>
    <w:p w14:paraId="72D22208"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304"/>
        <w:gridCol w:w="8722"/>
      </w:tblGrid>
      <w:tr w:rsidR="00465964" w:rsidRPr="00465964" w14:paraId="637AA73A" w14:textId="77777777" w:rsidTr="00465964">
        <w:tc>
          <w:tcPr>
            <w:tcW w:w="0" w:type="auto"/>
            <w:shd w:val="clear" w:color="auto" w:fill="auto"/>
            <w:hideMark/>
          </w:tcPr>
          <w:p w14:paraId="02708AB7" w14:textId="77777777" w:rsidR="00465964" w:rsidRPr="00465964" w:rsidRDefault="00465964" w:rsidP="00465964">
            <w:r w:rsidRPr="00465964">
              <w:t>3.</w:t>
            </w:r>
          </w:p>
        </w:tc>
        <w:tc>
          <w:tcPr>
            <w:tcW w:w="0" w:type="auto"/>
            <w:shd w:val="clear" w:color="auto" w:fill="auto"/>
            <w:hideMark/>
          </w:tcPr>
          <w:p w14:paraId="3286410F" w14:textId="77777777" w:rsidR="00465964" w:rsidRPr="00465964" w:rsidRDefault="00465964" w:rsidP="00465964">
            <w:pPr>
              <w:rPr>
                <w:lang w:val="pt-PT"/>
              </w:rPr>
            </w:pPr>
            <w:r w:rsidRPr="00465964">
              <w:rPr>
                <w:lang w:val="pt-PT"/>
              </w:rPr>
              <w:t>Uma descrição dos riscos associados aos criptoativos;</w:t>
            </w:r>
          </w:p>
        </w:tc>
      </w:tr>
    </w:tbl>
    <w:p w14:paraId="736E578D"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275"/>
        <w:gridCol w:w="8751"/>
      </w:tblGrid>
      <w:tr w:rsidR="00465964" w:rsidRPr="00465964" w14:paraId="5558DC23" w14:textId="77777777" w:rsidTr="00465964">
        <w:tc>
          <w:tcPr>
            <w:tcW w:w="0" w:type="auto"/>
            <w:shd w:val="clear" w:color="auto" w:fill="auto"/>
            <w:hideMark/>
          </w:tcPr>
          <w:p w14:paraId="6B21A33F" w14:textId="77777777" w:rsidR="00465964" w:rsidRPr="00465964" w:rsidRDefault="00465964" w:rsidP="00465964">
            <w:r w:rsidRPr="00465964">
              <w:t>4.</w:t>
            </w:r>
          </w:p>
        </w:tc>
        <w:tc>
          <w:tcPr>
            <w:tcW w:w="0" w:type="auto"/>
            <w:shd w:val="clear" w:color="auto" w:fill="auto"/>
            <w:hideMark/>
          </w:tcPr>
          <w:p w14:paraId="04809ECD" w14:textId="77777777" w:rsidR="00465964" w:rsidRPr="00465964" w:rsidRDefault="00465964" w:rsidP="00465964">
            <w:pPr>
              <w:rPr>
                <w:lang w:val="pt-PT"/>
              </w:rPr>
            </w:pPr>
            <w:r w:rsidRPr="00465964">
              <w:rPr>
                <w:lang w:val="pt-PT"/>
              </w:rPr>
              <w:t>Uma descrição dos riscos associados à execução do projeto;</w:t>
            </w:r>
          </w:p>
        </w:tc>
      </w:tr>
    </w:tbl>
    <w:p w14:paraId="4D02175C"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1"/>
        <w:gridCol w:w="8845"/>
      </w:tblGrid>
      <w:tr w:rsidR="00465964" w:rsidRPr="00465964" w14:paraId="0FA2E545" w14:textId="77777777" w:rsidTr="00465964">
        <w:tc>
          <w:tcPr>
            <w:tcW w:w="0" w:type="auto"/>
            <w:shd w:val="clear" w:color="auto" w:fill="auto"/>
            <w:hideMark/>
          </w:tcPr>
          <w:p w14:paraId="64470CCC" w14:textId="77777777" w:rsidR="00465964" w:rsidRPr="00465964" w:rsidRDefault="00465964" w:rsidP="00465964">
            <w:r w:rsidRPr="00465964">
              <w:t>5.</w:t>
            </w:r>
          </w:p>
        </w:tc>
        <w:tc>
          <w:tcPr>
            <w:tcW w:w="0" w:type="auto"/>
            <w:shd w:val="clear" w:color="auto" w:fill="auto"/>
            <w:hideMark/>
          </w:tcPr>
          <w:p w14:paraId="14C2C8ED" w14:textId="77777777" w:rsidR="00465964" w:rsidRPr="00465964" w:rsidRDefault="00465964" w:rsidP="00465964">
            <w:pPr>
              <w:rPr>
                <w:lang w:val="pt-PT"/>
              </w:rPr>
            </w:pPr>
            <w:r w:rsidRPr="00465964">
              <w:rPr>
                <w:lang w:val="pt-PT"/>
              </w:rPr>
              <w:t>Uma descrição dos riscos associados à tecnologia utilizada, bem como das eventuais medidas de atenuação.</w:t>
            </w:r>
          </w:p>
        </w:tc>
      </w:tr>
    </w:tbl>
    <w:p w14:paraId="7742523E" w14:textId="77777777" w:rsidR="00465964" w:rsidRPr="00465964" w:rsidRDefault="00465964" w:rsidP="00465964">
      <w:r w:rsidRPr="00465964">
        <w:pict w14:anchorId="1253ABAF">
          <v:rect id="_x0000_i1069" style="width:65.45pt;height:.75pt" o:hrpct="0" o:hralign="center" o:hrstd="t" o:hrnoshade="t" o:hr="t" fillcolor="black" stroked="f"/>
        </w:pict>
      </w:r>
    </w:p>
    <w:p w14:paraId="465A0DFB" w14:textId="77777777" w:rsidR="00465964" w:rsidRPr="00465964" w:rsidRDefault="00465964" w:rsidP="00465964">
      <w:pPr>
        <w:rPr>
          <w:b/>
          <w:bCs/>
          <w:lang w:val="pt-PT"/>
        </w:rPr>
      </w:pPr>
      <w:r w:rsidRPr="00465964">
        <w:rPr>
          <w:b/>
          <w:bCs/>
          <w:lang w:val="pt-PT"/>
        </w:rPr>
        <w:t>ANEXO II</w:t>
      </w:r>
    </w:p>
    <w:p w14:paraId="07D740F6" w14:textId="77777777" w:rsidR="00465964" w:rsidRPr="00465964" w:rsidRDefault="00465964" w:rsidP="00465964">
      <w:pPr>
        <w:rPr>
          <w:b/>
          <w:bCs/>
          <w:lang w:val="pt-PT"/>
        </w:rPr>
      </w:pPr>
      <w:r w:rsidRPr="00465964">
        <w:rPr>
          <w:b/>
          <w:bCs/>
          <w:lang w:val="pt-PT"/>
        </w:rPr>
        <w:t>ELEMENTOS A DIVULGAR ATRAVÉS DO LIVRETE DO CRIPTOATIVO PARA UMA CRIPTOFICHA REFERENCIADA A ATIVOS</w:t>
      </w:r>
    </w:p>
    <w:p w14:paraId="67E3CA9F" w14:textId="77777777" w:rsidR="00465964" w:rsidRPr="00465964" w:rsidRDefault="00465964" w:rsidP="00465964">
      <w:pPr>
        <w:rPr>
          <w:b/>
          <w:bCs/>
          <w:lang w:val="pt-PT"/>
        </w:rPr>
      </w:pPr>
      <w:r w:rsidRPr="00465964">
        <w:rPr>
          <w:b/>
          <w:bCs/>
          <w:lang w:val="pt-PT"/>
        </w:rPr>
        <w:t xml:space="preserve">Parte A: Informações sobre o emitente da </w:t>
      </w:r>
      <w:proofErr w:type="spellStart"/>
      <w:r w:rsidRPr="00465964">
        <w:rPr>
          <w:b/>
          <w:bCs/>
          <w:lang w:val="pt-PT"/>
        </w:rPr>
        <w:t>criptoficha</w:t>
      </w:r>
      <w:proofErr w:type="spellEnd"/>
      <w:r w:rsidRPr="00465964">
        <w:rPr>
          <w:b/>
          <w:bCs/>
          <w:lang w:val="pt-PT"/>
        </w:rPr>
        <w:t xml:space="preserve"> referenciada a ativos</w:t>
      </w:r>
    </w:p>
    <w:tbl>
      <w:tblPr>
        <w:tblW w:w="5000" w:type="pct"/>
        <w:tblCellMar>
          <w:left w:w="0" w:type="dxa"/>
          <w:right w:w="0" w:type="dxa"/>
        </w:tblCellMar>
        <w:tblLook w:val="04A0" w:firstRow="1" w:lastRow="0" w:firstColumn="1" w:lastColumn="0" w:noHBand="0" w:noVBand="1"/>
      </w:tblPr>
      <w:tblGrid>
        <w:gridCol w:w="1980"/>
        <w:gridCol w:w="7046"/>
      </w:tblGrid>
      <w:tr w:rsidR="00465964" w:rsidRPr="00465964" w14:paraId="09130EFE" w14:textId="77777777" w:rsidTr="00465964">
        <w:tc>
          <w:tcPr>
            <w:tcW w:w="0" w:type="auto"/>
            <w:shd w:val="clear" w:color="auto" w:fill="auto"/>
            <w:hideMark/>
          </w:tcPr>
          <w:p w14:paraId="28E12AE0" w14:textId="77777777" w:rsidR="00465964" w:rsidRPr="00465964" w:rsidRDefault="00465964" w:rsidP="00465964">
            <w:r w:rsidRPr="00465964">
              <w:t>1.</w:t>
            </w:r>
          </w:p>
        </w:tc>
        <w:tc>
          <w:tcPr>
            <w:tcW w:w="0" w:type="auto"/>
            <w:shd w:val="clear" w:color="auto" w:fill="auto"/>
            <w:hideMark/>
          </w:tcPr>
          <w:p w14:paraId="6136A98A" w14:textId="77777777" w:rsidR="00465964" w:rsidRPr="00465964" w:rsidRDefault="00465964" w:rsidP="00465964">
            <w:r w:rsidRPr="00465964">
              <w:t>Nome;</w:t>
            </w:r>
          </w:p>
        </w:tc>
      </w:tr>
    </w:tbl>
    <w:p w14:paraId="3B32E36A"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015"/>
        <w:gridCol w:w="8011"/>
      </w:tblGrid>
      <w:tr w:rsidR="00465964" w:rsidRPr="00465964" w14:paraId="5AFDE681" w14:textId="77777777" w:rsidTr="00465964">
        <w:tc>
          <w:tcPr>
            <w:tcW w:w="0" w:type="auto"/>
            <w:shd w:val="clear" w:color="auto" w:fill="auto"/>
            <w:hideMark/>
          </w:tcPr>
          <w:p w14:paraId="2A4B3BBE" w14:textId="77777777" w:rsidR="00465964" w:rsidRPr="00465964" w:rsidRDefault="00465964" w:rsidP="00465964">
            <w:r w:rsidRPr="00465964">
              <w:t>2.</w:t>
            </w:r>
          </w:p>
        </w:tc>
        <w:tc>
          <w:tcPr>
            <w:tcW w:w="0" w:type="auto"/>
            <w:shd w:val="clear" w:color="auto" w:fill="auto"/>
            <w:hideMark/>
          </w:tcPr>
          <w:p w14:paraId="233FA085" w14:textId="77777777" w:rsidR="00465964" w:rsidRPr="00465964" w:rsidRDefault="00465964" w:rsidP="00465964">
            <w:r w:rsidRPr="00465964">
              <w:t xml:space="preserve">Forma </w:t>
            </w:r>
            <w:proofErr w:type="spellStart"/>
            <w:r w:rsidRPr="00465964">
              <w:t>jurídica</w:t>
            </w:r>
            <w:proofErr w:type="spellEnd"/>
            <w:r w:rsidRPr="00465964">
              <w:t>;</w:t>
            </w:r>
          </w:p>
        </w:tc>
      </w:tr>
    </w:tbl>
    <w:p w14:paraId="5980DB0C"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326"/>
        <w:gridCol w:w="8700"/>
      </w:tblGrid>
      <w:tr w:rsidR="00465964" w:rsidRPr="00465964" w14:paraId="59346D3C" w14:textId="77777777" w:rsidTr="00465964">
        <w:tc>
          <w:tcPr>
            <w:tcW w:w="0" w:type="auto"/>
            <w:shd w:val="clear" w:color="auto" w:fill="auto"/>
            <w:hideMark/>
          </w:tcPr>
          <w:p w14:paraId="3F6042B0" w14:textId="77777777" w:rsidR="00465964" w:rsidRPr="00465964" w:rsidRDefault="00465964" w:rsidP="00465964">
            <w:r w:rsidRPr="00465964">
              <w:t>3.</w:t>
            </w:r>
          </w:p>
        </w:tc>
        <w:tc>
          <w:tcPr>
            <w:tcW w:w="0" w:type="auto"/>
            <w:shd w:val="clear" w:color="auto" w:fill="auto"/>
            <w:hideMark/>
          </w:tcPr>
          <w:p w14:paraId="6AEB1FEB" w14:textId="77777777" w:rsidR="00465964" w:rsidRPr="00465964" w:rsidRDefault="00465964" w:rsidP="00465964">
            <w:pPr>
              <w:rPr>
                <w:lang w:val="pt-PT"/>
              </w:rPr>
            </w:pPr>
            <w:r w:rsidRPr="00465964">
              <w:rPr>
                <w:lang w:val="pt-PT"/>
              </w:rPr>
              <w:t>Sede social e sede estatutária, se forem diferentes;</w:t>
            </w:r>
          </w:p>
        </w:tc>
      </w:tr>
    </w:tbl>
    <w:p w14:paraId="4B4F822B"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977"/>
        <w:gridCol w:w="8049"/>
      </w:tblGrid>
      <w:tr w:rsidR="00465964" w:rsidRPr="00465964" w14:paraId="5CD4163B" w14:textId="77777777" w:rsidTr="00465964">
        <w:tc>
          <w:tcPr>
            <w:tcW w:w="0" w:type="auto"/>
            <w:shd w:val="clear" w:color="auto" w:fill="auto"/>
            <w:hideMark/>
          </w:tcPr>
          <w:p w14:paraId="444190A0" w14:textId="77777777" w:rsidR="00465964" w:rsidRPr="00465964" w:rsidRDefault="00465964" w:rsidP="00465964">
            <w:r w:rsidRPr="00465964">
              <w:t>4.</w:t>
            </w:r>
          </w:p>
        </w:tc>
        <w:tc>
          <w:tcPr>
            <w:tcW w:w="0" w:type="auto"/>
            <w:shd w:val="clear" w:color="auto" w:fill="auto"/>
            <w:hideMark/>
          </w:tcPr>
          <w:p w14:paraId="22561E46" w14:textId="77777777" w:rsidR="00465964" w:rsidRPr="00465964" w:rsidRDefault="00465964" w:rsidP="00465964">
            <w:r w:rsidRPr="00465964">
              <w:t xml:space="preserve">Data do </w:t>
            </w:r>
            <w:proofErr w:type="spellStart"/>
            <w:r w:rsidRPr="00465964">
              <w:t>registo</w:t>
            </w:r>
            <w:proofErr w:type="spellEnd"/>
            <w:r w:rsidRPr="00465964">
              <w:t>;</w:t>
            </w:r>
          </w:p>
        </w:tc>
      </w:tr>
    </w:tbl>
    <w:p w14:paraId="4F65B51E"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1"/>
        <w:gridCol w:w="8845"/>
      </w:tblGrid>
      <w:tr w:rsidR="00465964" w:rsidRPr="00465964" w14:paraId="140AC7C9" w14:textId="77777777" w:rsidTr="00465964">
        <w:tc>
          <w:tcPr>
            <w:tcW w:w="0" w:type="auto"/>
            <w:shd w:val="clear" w:color="auto" w:fill="auto"/>
            <w:hideMark/>
          </w:tcPr>
          <w:p w14:paraId="0BE21805" w14:textId="77777777" w:rsidR="00465964" w:rsidRPr="00465964" w:rsidRDefault="00465964" w:rsidP="00465964">
            <w:r w:rsidRPr="00465964">
              <w:t>5.</w:t>
            </w:r>
          </w:p>
        </w:tc>
        <w:tc>
          <w:tcPr>
            <w:tcW w:w="0" w:type="auto"/>
            <w:shd w:val="clear" w:color="auto" w:fill="auto"/>
            <w:hideMark/>
          </w:tcPr>
          <w:p w14:paraId="7BC01C4E" w14:textId="77777777" w:rsidR="00465964" w:rsidRPr="00465964" w:rsidRDefault="00465964" w:rsidP="00465964">
            <w:pPr>
              <w:rPr>
                <w:lang w:val="pt-PT"/>
              </w:rPr>
            </w:pPr>
            <w:r w:rsidRPr="00465964">
              <w:rPr>
                <w:lang w:val="pt-PT"/>
              </w:rPr>
              <w:t>Identificador de entidade jurídica ou outro identificador exigido nos termos do direito nacional aplicável;</w:t>
            </w:r>
          </w:p>
        </w:tc>
      </w:tr>
    </w:tbl>
    <w:p w14:paraId="7C9F2FC6"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342"/>
        <w:gridCol w:w="8684"/>
      </w:tblGrid>
      <w:tr w:rsidR="00465964" w:rsidRPr="00465964" w14:paraId="7CC3384C" w14:textId="77777777" w:rsidTr="00465964">
        <w:tc>
          <w:tcPr>
            <w:tcW w:w="0" w:type="auto"/>
            <w:shd w:val="clear" w:color="auto" w:fill="auto"/>
            <w:hideMark/>
          </w:tcPr>
          <w:p w14:paraId="01F8C342" w14:textId="77777777" w:rsidR="00465964" w:rsidRPr="00465964" w:rsidRDefault="00465964" w:rsidP="00465964">
            <w:r w:rsidRPr="00465964">
              <w:t>6.</w:t>
            </w:r>
          </w:p>
        </w:tc>
        <w:tc>
          <w:tcPr>
            <w:tcW w:w="0" w:type="auto"/>
            <w:shd w:val="clear" w:color="auto" w:fill="auto"/>
            <w:hideMark/>
          </w:tcPr>
          <w:p w14:paraId="3F676610" w14:textId="77777777" w:rsidR="00465964" w:rsidRPr="00465964" w:rsidRDefault="00465964" w:rsidP="00465964">
            <w:pPr>
              <w:rPr>
                <w:lang w:val="pt-PT"/>
              </w:rPr>
            </w:pPr>
            <w:r w:rsidRPr="00465964">
              <w:rPr>
                <w:lang w:val="pt-PT"/>
              </w:rPr>
              <w:t>Se for caso disso, a identidade da empresa-mãe;</w:t>
            </w:r>
          </w:p>
        </w:tc>
      </w:tr>
    </w:tbl>
    <w:p w14:paraId="6853AD33"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1"/>
        <w:gridCol w:w="8845"/>
      </w:tblGrid>
      <w:tr w:rsidR="00465964" w:rsidRPr="00465964" w14:paraId="53D94F46" w14:textId="77777777" w:rsidTr="00465964">
        <w:tc>
          <w:tcPr>
            <w:tcW w:w="0" w:type="auto"/>
            <w:shd w:val="clear" w:color="auto" w:fill="auto"/>
            <w:hideMark/>
          </w:tcPr>
          <w:p w14:paraId="6D286573" w14:textId="77777777" w:rsidR="00465964" w:rsidRPr="00465964" w:rsidRDefault="00465964" w:rsidP="00465964">
            <w:r w:rsidRPr="00465964">
              <w:t>7.</w:t>
            </w:r>
          </w:p>
        </w:tc>
        <w:tc>
          <w:tcPr>
            <w:tcW w:w="0" w:type="auto"/>
            <w:shd w:val="clear" w:color="auto" w:fill="auto"/>
            <w:hideMark/>
          </w:tcPr>
          <w:p w14:paraId="41C8EA82" w14:textId="77777777" w:rsidR="00465964" w:rsidRPr="00465964" w:rsidRDefault="00465964" w:rsidP="00465964">
            <w:pPr>
              <w:rPr>
                <w:lang w:val="pt-PT"/>
              </w:rPr>
            </w:pPr>
            <w:r w:rsidRPr="00465964">
              <w:rPr>
                <w:lang w:val="pt-PT"/>
              </w:rPr>
              <w:t>Identidade, endereços profissionais e funções dos membros do órgão de administração do emitente;</w:t>
            </w:r>
          </w:p>
        </w:tc>
      </w:tr>
    </w:tbl>
    <w:p w14:paraId="52C3064C"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8"/>
        <w:gridCol w:w="8838"/>
      </w:tblGrid>
      <w:tr w:rsidR="00465964" w:rsidRPr="00465964" w14:paraId="5814BC33" w14:textId="77777777" w:rsidTr="00465964">
        <w:tc>
          <w:tcPr>
            <w:tcW w:w="0" w:type="auto"/>
            <w:shd w:val="clear" w:color="auto" w:fill="auto"/>
            <w:hideMark/>
          </w:tcPr>
          <w:p w14:paraId="1ED57198" w14:textId="77777777" w:rsidR="00465964" w:rsidRPr="00465964" w:rsidRDefault="00465964" w:rsidP="00465964">
            <w:r w:rsidRPr="00465964">
              <w:t>8.</w:t>
            </w:r>
          </w:p>
        </w:tc>
        <w:tc>
          <w:tcPr>
            <w:tcW w:w="0" w:type="auto"/>
            <w:shd w:val="clear" w:color="auto" w:fill="auto"/>
            <w:hideMark/>
          </w:tcPr>
          <w:p w14:paraId="7D73A1D7" w14:textId="77777777" w:rsidR="00465964" w:rsidRPr="00465964" w:rsidRDefault="00465964" w:rsidP="00465964">
            <w:pPr>
              <w:rPr>
                <w:lang w:val="pt-PT"/>
              </w:rPr>
            </w:pPr>
            <w:r w:rsidRPr="00465964">
              <w:rPr>
                <w:lang w:val="pt-PT"/>
              </w:rPr>
              <w:t>Atividade comercial ou profissional do emitente e, se for caso disso, da sua empresa-mãe;</w:t>
            </w:r>
          </w:p>
        </w:tc>
      </w:tr>
    </w:tbl>
    <w:p w14:paraId="2E84DD8D"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1"/>
        <w:gridCol w:w="8845"/>
      </w:tblGrid>
      <w:tr w:rsidR="00465964" w:rsidRPr="00465964" w14:paraId="430F3E27" w14:textId="77777777" w:rsidTr="00465964">
        <w:tc>
          <w:tcPr>
            <w:tcW w:w="0" w:type="auto"/>
            <w:shd w:val="clear" w:color="auto" w:fill="auto"/>
            <w:hideMark/>
          </w:tcPr>
          <w:p w14:paraId="3A3428B7" w14:textId="77777777" w:rsidR="00465964" w:rsidRPr="00465964" w:rsidRDefault="00465964" w:rsidP="00465964">
            <w:r w:rsidRPr="00465964">
              <w:t>9.</w:t>
            </w:r>
          </w:p>
        </w:tc>
        <w:tc>
          <w:tcPr>
            <w:tcW w:w="0" w:type="auto"/>
            <w:shd w:val="clear" w:color="auto" w:fill="auto"/>
            <w:hideMark/>
          </w:tcPr>
          <w:p w14:paraId="7E0ABAAF" w14:textId="77777777" w:rsidR="00465964" w:rsidRPr="00465964" w:rsidRDefault="00465964" w:rsidP="00465964">
            <w:pPr>
              <w:rPr>
                <w:lang w:val="pt-PT"/>
              </w:rPr>
            </w:pPr>
            <w:r w:rsidRPr="00465964">
              <w:rPr>
                <w:lang w:val="pt-PT"/>
              </w:rPr>
              <w:t>A situação financeira do emitente nos últimos três anos ou, se o emitente estiver estabelecido há menos de três anos, a sua situação financeira desde a data do registo.</w:t>
            </w:r>
          </w:p>
          <w:p w14:paraId="7CA8D357" w14:textId="77777777" w:rsidR="00465964" w:rsidRPr="00465964" w:rsidRDefault="00465964" w:rsidP="00465964">
            <w:pPr>
              <w:rPr>
                <w:lang w:val="pt-PT"/>
              </w:rPr>
            </w:pPr>
            <w:r w:rsidRPr="00465964">
              <w:rPr>
                <w:lang w:val="pt-PT"/>
              </w:rPr>
              <w:t xml:space="preserve">A situação financeira é avaliada com base numa análise imparcial da evolução e do desempenho das atividades comerciais do emitente e da sua situação em cada ano e </w:t>
            </w:r>
            <w:r w:rsidRPr="00465964">
              <w:rPr>
                <w:lang w:val="pt-PT"/>
              </w:rPr>
              <w:lastRenderedPageBreak/>
              <w:t>período intercalar para o qual são exigidas informações financeiras históricas, incluindo os motivos de alterações significativas.</w:t>
            </w:r>
          </w:p>
          <w:p w14:paraId="73C0B5E6" w14:textId="77777777" w:rsidR="00465964" w:rsidRPr="00465964" w:rsidRDefault="00465964" w:rsidP="00465964">
            <w:pPr>
              <w:rPr>
                <w:lang w:val="pt-PT"/>
              </w:rPr>
            </w:pPr>
            <w:r w:rsidRPr="00465964">
              <w:rPr>
                <w:lang w:val="pt-PT"/>
              </w:rPr>
              <w:t>Essa análise deve consistir num exame equilibrado e global da evolução e do desempenho da atividade empresarial do emitente e da sua situação, que corresponda à dimensão e à complexidade da atividade.</w:t>
            </w:r>
          </w:p>
        </w:tc>
      </w:tr>
    </w:tbl>
    <w:p w14:paraId="3AD032EA"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355"/>
        <w:gridCol w:w="8671"/>
      </w:tblGrid>
      <w:tr w:rsidR="00465964" w:rsidRPr="00465964" w14:paraId="096095DB" w14:textId="77777777" w:rsidTr="00465964">
        <w:tc>
          <w:tcPr>
            <w:tcW w:w="0" w:type="auto"/>
            <w:shd w:val="clear" w:color="auto" w:fill="auto"/>
            <w:hideMark/>
          </w:tcPr>
          <w:p w14:paraId="603DFF31" w14:textId="77777777" w:rsidR="00465964" w:rsidRPr="00465964" w:rsidRDefault="00465964" w:rsidP="00465964">
            <w:r w:rsidRPr="00465964">
              <w:t>10.</w:t>
            </w:r>
          </w:p>
        </w:tc>
        <w:tc>
          <w:tcPr>
            <w:tcW w:w="0" w:type="auto"/>
            <w:shd w:val="clear" w:color="auto" w:fill="auto"/>
            <w:hideMark/>
          </w:tcPr>
          <w:p w14:paraId="4573DFE1" w14:textId="77777777" w:rsidR="00465964" w:rsidRPr="00465964" w:rsidRDefault="00465964" w:rsidP="00465964">
            <w:pPr>
              <w:rPr>
                <w:lang w:val="pt-PT"/>
              </w:rPr>
            </w:pPr>
            <w:r w:rsidRPr="00465964">
              <w:rPr>
                <w:lang w:val="pt-PT"/>
              </w:rPr>
              <w:t>Uma descrição pormenorizada dos mecanismos de governação do emitente;</w:t>
            </w:r>
          </w:p>
        </w:tc>
      </w:tr>
    </w:tbl>
    <w:p w14:paraId="5961A13D"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298"/>
        <w:gridCol w:w="8728"/>
      </w:tblGrid>
      <w:tr w:rsidR="00465964" w:rsidRPr="00465964" w14:paraId="5844A36E" w14:textId="77777777" w:rsidTr="00465964">
        <w:tc>
          <w:tcPr>
            <w:tcW w:w="0" w:type="auto"/>
            <w:shd w:val="clear" w:color="auto" w:fill="auto"/>
            <w:hideMark/>
          </w:tcPr>
          <w:p w14:paraId="11738139" w14:textId="77777777" w:rsidR="00465964" w:rsidRPr="00465964" w:rsidRDefault="00465964" w:rsidP="00465964">
            <w:r w:rsidRPr="00465964">
              <w:t>11.</w:t>
            </w:r>
          </w:p>
        </w:tc>
        <w:tc>
          <w:tcPr>
            <w:tcW w:w="0" w:type="auto"/>
            <w:shd w:val="clear" w:color="auto" w:fill="auto"/>
            <w:hideMark/>
          </w:tcPr>
          <w:p w14:paraId="173115F1" w14:textId="6D917452" w:rsidR="00465964" w:rsidRPr="00465964" w:rsidRDefault="00465964" w:rsidP="00465964">
            <w:pPr>
              <w:rPr>
                <w:lang w:val="pt-PT"/>
              </w:rPr>
            </w:pPr>
            <w:r w:rsidRPr="00465964">
              <w:rPr>
                <w:lang w:val="pt-PT"/>
              </w:rPr>
              <w:t xml:space="preserve">Exceto para os emitentes de </w:t>
            </w:r>
            <w:r>
              <w:rPr>
                <w:lang w:val="pt-PT"/>
              </w:rPr>
              <w:t>criptomoedas</w:t>
            </w:r>
            <w:r w:rsidRPr="00465964">
              <w:rPr>
                <w:lang w:val="pt-PT"/>
              </w:rPr>
              <w:t xml:space="preserve"> referenciadas a ativos que estejam isentos de autorização nos termos do artigo 17.</w:t>
            </w:r>
            <w:r w:rsidRPr="00465964">
              <w:rPr>
                <w:vertAlign w:val="superscript"/>
                <w:lang w:val="pt-PT"/>
              </w:rPr>
              <w:t>o</w:t>
            </w:r>
            <w:r w:rsidRPr="00465964">
              <w:rPr>
                <w:lang w:val="pt-PT"/>
              </w:rPr>
              <w:t xml:space="preserve">, informações sobre a autorização enquanto emitente de uma </w:t>
            </w:r>
            <w:proofErr w:type="spellStart"/>
            <w:r w:rsidRPr="00465964">
              <w:rPr>
                <w:lang w:val="pt-PT"/>
              </w:rPr>
              <w:t>criptoficha</w:t>
            </w:r>
            <w:proofErr w:type="spellEnd"/>
            <w:r w:rsidRPr="00465964">
              <w:rPr>
                <w:lang w:val="pt-PT"/>
              </w:rPr>
              <w:t xml:space="preserve"> referenciada a ativos e nome da autoridade competente que concedeu essa autorização.</w:t>
            </w:r>
          </w:p>
          <w:p w14:paraId="512374CC" w14:textId="77777777" w:rsidR="00465964" w:rsidRPr="00465964" w:rsidRDefault="00465964" w:rsidP="00465964">
            <w:pPr>
              <w:rPr>
                <w:lang w:val="pt-PT"/>
              </w:rPr>
            </w:pPr>
            <w:r w:rsidRPr="00465964">
              <w:rPr>
                <w:lang w:val="pt-PT"/>
              </w:rPr>
              <w:t>Para instituições de crédito, o nome da autoridade competente do Estado-Membro de origem.</w:t>
            </w:r>
          </w:p>
        </w:tc>
      </w:tr>
    </w:tbl>
    <w:p w14:paraId="5C3E8D53"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298"/>
        <w:gridCol w:w="8728"/>
      </w:tblGrid>
      <w:tr w:rsidR="00465964" w:rsidRPr="00465964" w14:paraId="41735506" w14:textId="77777777" w:rsidTr="00465964">
        <w:tc>
          <w:tcPr>
            <w:tcW w:w="0" w:type="auto"/>
            <w:shd w:val="clear" w:color="auto" w:fill="auto"/>
            <w:hideMark/>
          </w:tcPr>
          <w:p w14:paraId="66C0853D" w14:textId="77777777" w:rsidR="00465964" w:rsidRPr="00465964" w:rsidRDefault="00465964" w:rsidP="00465964">
            <w:r w:rsidRPr="00465964">
              <w:t>12.</w:t>
            </w:r>
          </w:p>
        </w:tc>
        <w:tc>
          <w:tcPr>
            <w:tcW w:w="0" w:type="auto"/>
            <w:shd w:val="clear" w:color="auto" w:fill="auto"/>
            <w:hideMark/>
          </w:tcPr>
          <w:p w14:paraId="02C45812" w14:textId="77777777" w:rsidR="00465964" w:rsidRPr="00465964" w:rsidRDefault="00465964" w:rsidP="00465964">
            <w:pPr>
              <w:rPr>
                <w:lang w:val="pt-PT"/>
              </w:rPr>
            </w:pPr>
            <w:r w:rsidRPr="00465964">
              <w:rPr>
                <w:lang w:val="pt-PT"/>
              </w:rPr>
              <w:t xml:space="preserve">Caso o emitente da </w:t>
            </w:r>
            <w:proofErr w:type="spellStart"/>
            <w:r w:rsidRPr="00465964">
              <w:rPr>
                <w:lang w:val="pt-PT"/>
              </w:rPr>
              <w:t>criptoficha</w:t>
            </w:r>
            <w:proofErr w:type="spellEnd"/>
            <w:r w:rsidRPr="00465964">
              <w:rPr>
                <w:lang w:val="pt-PT"/>
              </w:rPr>
              <w:t xml:space="preserve"> referenciada a ativos também emita outros criptoativos ou também exercer atividades relacionadas com outros criptoativos, tal deve ser claramente indicado; o emitente deve também indicar se existe alguma ligação entre o emitente e a entidade que gere a tecnologia de registo distribuído utilizada para emitir o criptoativo, nomeadamente se os protocolos são geridos ou controlados por uma pessoa com uma ligação próxima aos participantes no projeto.</w:t>
            </w:r>
          </w:p>
        </w:tc>
      </w:tr>
    </w:tbl>
    <w:p w14:paraId="0091A0A7" w14:textId="77777777" w:rsidR="00465964" w:rsidRPr="00465964" w:rsidRDefault="00465964" w:rsidP="00465964">
      <w:pPr>
        <w:rPr>
          <w:b/>
          <w:bCs/>
          <w:lang w:val="pt-PT"/>
        </w:rPr>
      </w:pPr>
      <w:r w:rsidRPr="00465964">
        <w:rPr>
          <w:b/>
          <w:bCs/>
          <w:lang w:val="pt-PT"/>
        </w:rPr>
        <w:t xml:space="preserve">Parte B: Informações sobre a </w:t>
      </w:r>
      <w:proofErr w:type="spellStart"/>
      <w:r w:rsidRPr="00465964">
        <w:rPr>
          <w:b/>
          <w:bCs/>
          <w:lang w:val="pt-PT"/>
        </w:rPr>
        <w:t>criptoficha</w:t>
      </w:r>
      <w:proofErr w:type="spellEnd"/>
      <w:r w:rsidRPr="00465964">
        <w:rPr>
          <w:b/>
          <w:bCs/>
          <w:lang w:val="pt-PT"/>
        </w:rPr>
        <w:t xml:space="preserve"> referenciada a ativos</w:t>
      </w:r>
    </w:p>
    <w:tbl>
      <w:tblPr>
        <w:tblW w:w="5000" w:type="pct"/>
        <w:tblCellMar>
          <w:left w:w="0" w:type="dxa"/>
          <w:right w:w="0" w:type="dxa"/>
        </w:tblCellMar>
        <w:tblLook w:val="04A0" w:firstRow="1" w:lastRow="0" w:firstColumn="1" w:lastColumn="0" w:noHBand="0" w:noVBand="1"/>
      </w:tblPr>
      <w:tblGrid>
        <w:gridCol w:w="232"/>
        <w:gridCol w:w="8794"/>
      </w:tblGrid>
      <w:tr w:rsidR="00465964" w:rsidRPr="00465964" w14:paraId="3FE3BFBB" w14:textId="77777777" w:rsidTr="00465964">
        <w:tc>
          <w:tcPr>
            <w:tcW w:w="0" w:type="auto"/>
            <w:shd w:val="clear" w:color="auto" w:fill="auto"/>
            <w:hideMark/>
          </w:tcPr>
          <w:p w14:paraId="6DCCC623" w14:textId="77777777" w:rsidR="00465964" w:rsidRPr="00465964" w:rsidRDefault="00465964" w:rsidP="00465964">
            <w:r w:rsidRPr="00465964">
              <w:t>1.</w:t>
            </w:r>
          </w:p>
        </w:tc>
        <w:tc>
          <w:tcPr>
            <w:tcW w:w="0" w:type="auto"/>
            <w:shd w:val="clear" w:color="auto" w:fill="auto"/>
            <w:hideMark/>
          </w:tcPr>
          <w:p w14:paraId="63DA11A4" w14:textId="77777777" w:rsidR="00465964" w:rsidRPr="00465964" w:rsidRDefault="00465964" w:rsidP="00465964">
            <w:pPr>
              <w:rPr>
                <w:lang w:val="pt-PT"/>
              </w:rPr>
            </w:pPr>
            <w:r w:rsidRPr="00465964">
              <w:rPr>
                <w:lang w:val="pt-PT"/>
              </w:rPr>
              <w:t xml:space="preserve">Nome e forma abreviada ou símbolo da </w:t>
            </w:r>
            <w:proofErr w:type="spellStart"/>
            <w:r w:rsidRPr="00465964">
              <w:rPr>
                <w:lang w:val="pt-PT"/>
              </w:rPr>
              <w:t>criptoficha</w:t>
            </w:r>
            <w:proofErr w:type="spellEnd"/>
            <w:r w:rsidRPr="00465964">
              <w:rPr>
                <w:lang w:val="pt-PT"/>
              </w:rPr>
              <w:t xml:space="preserve"> referenciada a ativos;</w:t>
            </w:r>
          </w:p>
        </w:tc>
      </w:tr>
    </w:tbl>
    <w:p w14:paraId="1F3F4C24"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1"/>
        <w:gridCol w:w="8845"/>
      </w:tblGrid>
      <w:tr w:rsidR="00465964" w:rsidRPr="00465964" w14:paraId="4C0962D0" w14:textId="77777777" w:rsidTr="00465964">
        <w:tc>
          <w:tcPr>
            <w:tcW w:w="0" w:type="auto"/>
            <w:shd w:val="clear" w:color="auto" w:fill="auto"/>
            <w:hideMark/>
          </w:tcPr>
          <w:p w14:paraId="5A58C76F" w14:textId="77777777" w:rsidR="00465964" w:rsidRPr="00465964" w:rsidRDefault="00465964" w:rsidP="00465964">
            <w:r w:rsidRPr="00465964">
              <w:t>2.</w:t>
            </w:r>
          </w:p>
        </w:tc>
        <w:tc>
          <w:tcPr>
            <w:tcW w:w="0" w:type="auto"/>
            <w:shd w:val="clear" w:color="auto" w:fill="auto"/>
            <w:hideMark/>
          </w:tcPr>
          <w:p w14:paraId="1AE7DCAC" w14:textId="77777777" w:rsidR="00465964" w:rsidRPr="00465964" w:rsidRDefault="00465964" w:rsidP="00465964">
            <w:pPr>
              <w:rPr>
                <w:lang w:val="pt-PT"/>
              </w:rPr>
            </w:pPr>
            <w:r w:rsidRPr="00465964">
              <w:rPr>
                <w:lang w:val="pt-PT"/>
              </w:rPr>
              <w:t xml:space="preserve">Uma descrição das características da </w:t>
            </w:r>
            <w:proofErr w:type="spellStart"/>
            <w:r w:rsidRPr="00465964">
              <w:rPr>
                <w:lang w:val="pt-PT"/>
              </w:rPr>
              <w:t>criptoficha</w:t>
            </w:r>
            <w:proofErr w:type="spellEnd"/>
            <w:r w:rsidRPr="00465964">
              <w:rPr>
                <w:lang w:val="pt-PT"/>
              </w:rPr>
              <w:t xml:space="preserve"> referenciada a ativos, incluindo os dados necessários para a classificação do livrete do criptoativo no registo referido no artigo 109.</w:t>
            </w:r>
            <w:r w:rsidRPr="00465964">
              <w:rPr>
                <w:vertAlign w:val="superscript"/>
                <w:lang w:val="pt-PT"/>
              </w:rPr>
              <w:t>o</w:t>
            </w:r>
            <w:r w:rsidRPr="00465964">
              <w:rPr>
                <w:lang w:val="pt-PT"/>
              </w:rPr>
              <w:t xml:space="preserve">, conforme especificado em conformidade com o </w:t>
            </w:r>
            <w:proofErr w:type="spellStart"/>
            <w:r w:rsidRPr="00465964">
              <w:rPr>
                <w:lang w:val="pt-PT"/>
              </w:rPr>
              <w:t>n.</w:t>
            </w:r>
            <w:r w:rsidRPr="00465964">
              <w:rPr>
                <w:vertAlign w:val="superscript"/>
                <w:lang w:val="pt-PT"/>
              </w:rPr>
              <w:t>o</w:t>
            </w:r>
            <w:proofErr w:type="spellEnd"/>
            <w:r w:rsidRPr="00465964">
              <w:rPr>
                <w:lang w:val="pt-PT"/>
              </w:rPr>
              <w:t> 8 desse artigo;</w:t>
            </w:r>
          </w:p>
        </w:tc>
      </w:tr>
    </w:tbl>
    <w:p w14:paraId="1F20A579"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1"/>
        <w:gridCol w:w="8845"/>
      </w:tblGrid>
      <w:tr w:rsidR="00465964" w:rsidRPr="00465964" w14:paraId="2F63310A" w14:textId="77777777" w:rsidTr="00465964">
        <w:tc>
          <w:tcPr>
            <w:tcW w:w="0" w:type="auto"/>
            <w:shd w:val="clear" w:color="auto" w:fill="auto"/>
            <w:hideMark/>
          </w:tcPr>
          <w:p w14:paraId="4278D99D" w14:textId="77777777" w:rsidR="00465964" w:rsidRPr="00465964" w:rsidRDefault="00465964" w:rsidP="00465964">
            <w:r w:rsidRPr="00465964">
              <w:t>3.</w:t>
            </w:r>
          </w:p>
        </w:tc>
        <w:tc>
          <w:tcPr>
            <w:tcW w:w="0" w:type="auto"/>
            <w:shd w:val="clear" w:color="auto" w:fill="auto"/>
            <w:hideMark/>
          </w:tcPr>
          <w:p w14:paraId="314140E4" w14:textId="77777777" w:rsidR="00465964" w:rsidRPr="00465964" w:rsidRDefault="00465964" w:rsidP="00465964">
            <w:pPr>
              <w:rPr>
                <w:lang w:val="pt-PT"/>
              </w:rPr>
            </w:pPr>
            <w:r w:rsidRPr="00465964">
              <w:rPr>
                <w:lang w:val="pt-PT"/>
              </w:rPr>
              <w:t xml:space="preserve">Dados relativos a todas as pessoas singulares ou coletivas (incluindo endereços profissionais ou domicílio da empresa) envolvidas na operacionalização da </w:t>
            </w:r>
            <w:proofErr w:type="spellStart"/>
            <w:r w:rsidRPr="00465964">
              <w:rPr>
                <w:lang w:val="pt-PT"/>
              </w:rPr>
              <w:t>criptoficha</w:t>
            </w:r>
            <w:proofErr w:type="spellEnd"/>
            <w:r w:rsidRPr="00465964">
              <w:rPr>
                <w:lang w:val="pt-PT"/>
              </w:rPr>
              <w:t xml:space="preserve"> referenciada a ativos, nomeadamente consultores, membros da equipa de desenvolvimento e prestadores de serviços de criptoativos;</w:t>
            </w:r>
          </w:p>
        </w:tc>
      </w:tr>
    </w:tbl>
    <w:p w14:paraId="0B5D07AE"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1"/>
        <w:gridCol w:w="8845"/>
      </w:tblGrid>
      <w:tr w:rsidR="00465964" w:rsidRPr="00465964" w14:paraId="6B43C0A0" w14:textId="77777777" w:rsidTr="00465964">
        <w:tc>
          <w:tcPr>
            <w:tcW w:w="0" w:type="auto"/>
            <w:shd w:val="clear" w:color="auto" w:fill="auto"/>
            <w:hideMark/>
          </w:tcPr>
          <w:p w14:paraId="0AFC56C9" w14:textId="77777777" w:rsidR="00465964" w:rsidRPr="00465964" w:rsidRDefault="00465964" w:rsidP="00465964">
            <w:r w:rsidRPr="00465964">
              <w:t>4.</w:t>
            </w:r>
          </w:p>
        </w:tc>
        <w:tc>
          <w:tcPr>
            <w:tcW w:w="0" w:type="auto"/>
            <w:shd w:val="clear" w:color="auto" w:fill="auto"/>
            <w:hideMark/>
          </w:tcPr>
          <w:p w14:paraId="0D9A15D2" w14:textId="77777777" w:rsidR="00465964" w:rsidRPr="00465964" w:rsidRDefault="00465964" w:rsidP="00465964">
            <w:pPr>
              <w:rPr>
                <w:lang w:val="pt-PT"/>
              </w:rPr>
            </w:pPr>
            <w:r w:rsidRPr="00465964">
              <w:rPr>
                <w:lang w:val="pt-PT"/>
              </w:rPr>
              <w:t>Uma descrição das funções, das responsabilidades e das obrigações em matéria de prestação de contas das entidades terceiras a que se refere o artigo 34.</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5, primeiro parágrafo, alínea h);</w:t>
            </w:r>
          </w:p>
        </w:tc>
      </w:tr>
    </w:tbl>
    <w:p w14:paraId="2141A1D4"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1"/>
        <w:gridCol w:w="8845"/>
      </w:tblGrid>
      <w:tr w:rsidR="00465964" w:rsidRPr="00465964" w14:paraId="22C90D17" w14:textId="77777777" w:rsidTr="00465964">
        <w:tc>
          <w:tcPr>
            <w:tcW w:w="0" w:type="auto"/>
            <w:shd w:val="clear" w:color="auto" w:fill="auto"/>
            <w:hideMark/>
          </w:tcPr>
          <w:p w14:paraId="6DEA0479" w14:textId="77777777" w:rsidR="00465964" w:rsidRPr="00465964" w:rsidRDefault="00465964" w:rsidP="00465964">
            <w:r w:rsidRPr="00465964">
              <w:t>5.</w:t>
            </w:r>
          </w:p>
        </w:tc>
        <w:tc>
          <w:tcPr>
            <w:tcW w:w="0" w:type="auto"/>
            <w:shd w:val="clear" w:color="auto" w:fill="auto"/>
            <w:hideMark/>
          </w:tcPr>
          <w:p w14:paraId="45BA9A95" w14:textId="2564B0D2" w:rsidR="00465964" w:rsidRPr="00465964" w:rsidRDefault="00465964" w:rsidP="00465964">
            <w:pPr>
              <w:rPr>
                <w:lang w:val="pt-PT"/>
              </w:rPr>
            </w:pPr>
            <w:r w:rsidRPr="00465964">
              <w:rPr>
                <w:lang w:val="pt-PT"/>
              </w:rPr>
              <w:t xml:space="preserve">Informações sobre os planos para as </w:t>
            </w:r>
            <w:r>
              <w:rPr>
                <w:lang w:val="pt-PT"/>
              </w:rPr>
              <w:t>criptomoedas</w:t>
            </w:r>
            <w:r w:rsidRPr="00465964">
              <w:rPr>
                <w:lang w:val="pt-PT"/>
              </w:rPr>
              <w:t xml:space="preserve"> referenciadas a ativos, incluindo a descrição dos objetivos intermédios passados e futuros e, se for o caso, dos recursos já afetados.</w:t>
            </w:r>
          </w:p>
        </w:tc>
      </w:tr>
    </w:tbl>
    <w:p w14:paraId="1607DF5C" w14:textId="77777777" w:rsidR="00465964" w:rsidRPr="00465964" w:rsidRDefault="00465964" w:rsidP="00465964">
      <w:pPr>
        <w:rPr>
          <w:b/>
          <w:bCs/>
          <w:lang w:val="pt-PT"/>
        </w:rPr>
      </w:pPr>
      <w:r w:rsidRPr="00465964">
        <w:rPr>
          <w:b/>
          <w:bCs/>
          <w:lang w:val="pt-PT"/>
        </w:rPr>
        <w:t xml:space="preserve">Parte C: Informações sobre a oferta pública da </w:t>
      </w:r>
      <w:proofErr w:type="spellStart"/>
      <w:r w:rsidRPr="00465964">
        <w:rPr>
          <w:b/>
          <w:bCs/>
          <w:lang w:val="pt-PT"/>
        </w:rPr>
        <w:t>criptoficha</w:t>
      </w:r>
      <w:proofErr w:type="spellEnd"/>
      <w:r w:rsidRPr="00465964">
        <w:rPr>
          <w:b/>
          <w:bCs/>
          <w:lang w:val="pt-PT"/>
        </w:rPr>
        <w:t xml:space="preserve"> referenciada a ativos ou sobre a sua admissão à negociação</w:t>
      </w:r>
    </w:p>
    <w:tbl>
      <w:tblPr>
        <w:tblW w:w="5000" w:type="pct"/>
        <w:tblCellMar>
          <w:left w:w="0" w:type="dxa"/>
          <w:right w:w="0" w:type="dxa"/>
        </w:tblCellMar>
        <w:tblLook w:val="04A0" w:firstRow="1" w:lastRow="0" w:firstColumn="1" w:lastColumn="0" w:noHBand="0" w:noVBand="1"/>
      </w:tblPr>
      <w:tblGrid>
        <w:gridCol w:w="181"/>
        <w:gridCol w:w="8845"/>
      </w:tblGrid>
      <w:tr w:rsidR="00465964" w:rsidRPr="00465964" w14:paraId="27102F2E" w14:textId="77777777" w:rsidTr="00465964">
        <w:tc>
          <w:tcPr>
            <w:tcW w:w="0" w:type="auto"/>
            <w:shd w:val="clear" w:color="auto" w:fill="auto"/>
            <w:hideMark/>
          </w:tcPr>
          <w:p w14:paraId="47108225" w14:textId="77777777" w:rsidR="00465964" w:rsidRPr="00465964" w:rsidRDefault="00465964" w:rsidP="00465964">
            <w:r w:rsidRPr="00465964">
              <w:t>1.</w:t>
            </w:r>
          </w:p>
        </w:tc>
        <w:tc>
          <w:tcPr>
            <w:tcW w:w="0" w:type="auto"/>
            <w:shd w:val="clear" w:color="auto" w:fill="auto"/>
            <w:hideMark/>
          </w:tcPr>
          <w:p w14:paraId="5F5DA858" w14:textId="77777777" w:rsidR="00465964" w:rsidRPr="00465964" w:rsidRDefault="00465964" w:rsidP="00465964">
            <w:pPr>
              <w:rPr>
                <w:lang w:val="pt-PT"/>
              </w:rPr>
            </w:pPr>
            <w:r w:rsidRPr="00465964">
              <w:rPr>
                <w:lang w:val="pt-PT"/>
              </w:rPr>
              <w:t xml:space="preserve">Menção que indique se o livrete do criptoativo diz respeito a uma oferta pública da </w:t>
            </w:r>
            <w:proofErr w:type="spellStart"/>
            <w:r w:rsidRPr="00465964">
              <w:rPr>
                <w:lang w:val="pt-PT"/>
              </w:rPr>
              <w:t>criptoficha</w:t>
            </w:r>
            <w:proofErr w:type="spellEnd"/>
            <w:r w:rsidRPr="00465964">
              <w:rPr>
                <w:lang w:val="pt-PT"/>
              </w:rPr>
              <w:t xml:space="preserve"> referenciada a ativos ou à sua admissão à negociação;</w:t>
            </w:r>
          </w:p>
        </w:tc>
      </w:tr>
    </w:tbl>
    <w:p w14:paraId="32EED12D"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1"/>
        <w:gridCol w:w="8845"/>
      </w:tblGrid>
      <w:tr w:rsidR="00465964" w:rsidRPr="00465964" w14:paraId="2B46EA58" w14:textId="77777777" w:rsidTr="00465964">
        <w:tc>
          <w:tcPr>
            <w:tcW w:w="0" w:type="auto"/>
            <w:shd w:val="clear" w:color="auto" w:fill="auto"/>
            <w:hideMark/>
          </w:tcPr>
          <w:p w14:paraId="0EDB808B" w14:textId="77777777" w:rsidR="00465964" w:rsidRPr="00465964" w:rsidRDefault="00465964" w:rsidP="00465964">
            <w:r w:rsidRPr="00465964">
              <w:t>2.</w:t>
            </w:r>
          </w:p>
        </w:tc>
        <w:tc>
          <w:tcPr>
            <w:tcW w:w="0" w:type="auto"/>
            <w:shd w:val="clear" w:color="auto" w:fill="auto"/>
            <w:hideMark/>
          </w:tcPr>
          <w:p w14:paraId="15DF1C21" w14:textId="77777777" w:rsidR="00465964" w:rsidRPr="00465964" w:rsidRDefault="00465964" w:rsidP="00465964">
            <w:pPr>
              <w:rPr>
                <w:lang w:val="pt-PT"/>
              </w:rPr>
            </w:pPr>
            <w:r w:rsidRPr="00465964">
              <w:rPr>
                <w:lang w:val="pt-PT"/>
              </w:rPr>
              <w:t xml:space="preserve">Quando pertinente, o montante que a oferta pública da </w:t>
            </w:r>
            <w:proofErr w:type="spellStart"/>
            <w:r w:rsidRPr="00465964">
              <w:rPr>
                <w:lang w:val="pt-PT"/>
              </w:rPr>
              <w:t>criptoficha</w:t>
            </w:r>
            <w:proofErr w:type="spellEnd"/>
            <w:r w:rsidRPr="00465964">
              <w:rPr>
                <w:lang w:val="pt-PT"/>
              </w:rPr>
              <w:t xml:space="preserve"> referenciada a ativos pretende mobilizar em fundos ou em qualquer outro criptoativo, nomeadamente, se for caso disso, as metas mínima e máxima dos objetivos de subscrição estabelecidos para a oferta </w:t>
            </w:r>
            <w:r w:rsidRPr="00465964">
              <w:rPr>
                <w:lang w:val="pt-PT"/>
              </w:rPr>
              <w:lastRenderedPageBreak/>
              <w:t xml:space="preserve">pública da </w:t>
            </w:r>
            <w:proofErr w:type="spellStart"/>
            <w:r w:rsidRPr="00465964">
              <w:rPr>
                <w:lang w:val="pt-PT"/>
              </w:rPr>
              <w:t>criptoficha</w:t>
            </w:r>
            <w:proofErr w:type="spellEnd"/>
            <w:r w:rsidRPr="00465964">
              <w:rPr>
                <w:lang w:val="pt-PT"/>
              </w:rPr>
              <w:t xml:space="preserve"> referenciada a ativos, aceitação ou não das </w:t>
            </w:r>
            <w:proofErr w:type="spellStart"/>
            <w:r w:rsidRPr="00465964">
              <w:rPr>
                <w:lang w:val="pt-PT"/>
              </w:rPr>
              <w:t>sobressubscrições</w:t>
            </w:r>
            <w:proofErr w:type="spellEnd"/>
            <w:r w:rsidRPr="00465964">
              <w:rPr>
                <w:lang w:val="pt-PT"/>
              </w:rPr>
              <w:t xml:space="preserve"> e indicação do modo como se faz a sua afetação;</w:t>
            </w:r>
          </w:p>
        </w:tc>
      </w:tr>
    </w:tbl>
    <w:p w14:paraId="5A98E8F7"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1"/>
        <w:gridCol w:w="8845"/>
      </w:tblGrid>
      <w:tr w:rsidR="00465964" w:rsidRPr="00465964" w14:paraId="1E63805C" w14:textId="77777777" w:rsidTr="00465964">
        <w:tc>
          <w:tcPr>
            <w:tcW w:w="0" w:type="auto"/>
            <w:shd w:val="clear" w:color="auto" w:fill="auto"/>
            <w:hideMark/>
          </w:tcPr>
          <w:p w14:paraId="372E3202" w14:textId="77777777" w:rsidR="00465964" w:rsidRPr="00465964" w:rsidRDefault="00465964" w:rsidP="00465964">
            <w:r w:rsidRPr="00465964">
              <w:t>3.</w:t>
            </w:r>
          </w:p>
        </w:tc>
        <w:tc>
          <w:tcPr>
            <w:tcW w:w="0" w:type="auto"/>
            <w:shd w:val="clear" w:color="auto" w:fill="auto"/>
            <w:hideMark/>
          </w:tcPr>
          <w:p w14:paraId="02414E3F" w14:textId="77777777" w:rsidR="00465964" w:rsidRPr="00465964" w:rsidRDefault="00465964" w:rsidP="00465964">
            <w:pPr>
              <w:rPr>
                <w:lang w:val="pt-PT"/>
              </w:rPr>
            </w:pPr>
            <w:r w:rsidRPr="00465964">
              <w:rPr>
                <w:lang w:val="pt-PT"/>
              </w:rPr>
              <w:t xml:space="preserve">Quando pertinente, o número total de unidades da </w:t>
            </w:r>
            <w:proofErr w:type="spellStart"/>
            <w:r w:rsidRPr="00465964">
              <w:rPr>
                <w:lang w:val="pt-PT"/>
              </w:rPr>
              <w:t>criptoficha</w:t>
            </w:r>
            <w:proofErr w:type="spellEnd"/>
            <w:r w:rsidRPr="00465964">
              <w:rPr>
                <w:lang w:val="pt-PT"/>
              </w:rPr>
              <w:t xml:space="preserve"> referenciada a </w:t>
            </w:r>
            <w:proofErr w:type="gramStart"/>
            <w:r w:rsidRPr="00465964">
              <w:rPr>
                <w:lang w:val="pt-PT"/>
              </w:rPr>
              <w:t>ativos objeto</w:t>
            </w:r>
            <w:proofErr w:type="gramEnd"/>
            <w:r w:rsidRPr="00465964">
              <w:rPr>
                <w:lang w:val="pt-PT"/>
              </w:rPr>
              <w:t xml:space="preserve"> da oferta ou da admissão à negociação;</w:t>
            </w:r>
          </w:p>
        </w:tc>
      </w:tr>
    </w:tbl>
    <w:p w14:paraId="6A40091C"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1"/>
        <w:gridCol w:w="8845"/>
      </w:tblGrid>
      <w:tr w:rsidR="00465964" w:rsidRPr="00465964" w14:paraId="789AE993" w14:textId="77777777" w:rsidTr="00465964">
        <w:tc>
          <w:tcPr>
            <w:tcW w:w="0" w:type="auto"/>
            <w:shd w:val="clear" w:color="auto" w:fill="auto"/>
            <w:hideMark/>
          </w:tcPr>
          <w:p w14:paraId="35AA7726" w14:textId="77777777" w:rsidR="00465964" w:rsidRPr="00465964" w:rsidRDefault="00465964" w:rsidP="00465964">
            <w:r w:rsidRPr="00465964">
              <w:t>4.</w:t>
            </w:r>
          </w:p>
        </w:tc>
        <w:tc>
          <w:tcPr>
            <w:tcW w:w="0" w:type="auto"/>
            <w:shd w:val="clear" w:color="auto" w:fill="auto"/>
            <w:hideMark/>
          </w:tcPr>
          <w:p w14:paraId="67A9CFEF" w14:textId="77777777" w:rsidR="00465964" w:rsidRPr="00465964" w:rsidRDefault="00465964" w:rsidP="00465964">
            <w:pPr>
              <w:rPr>
                <w:lang w:val="pt-PT"/>
              </w:rPr>
            </w:pPr>
            <w:r w:rsidRPr="00465964">
              <w:rPr>
                <w:lang w:val="pt-PT"/>
              </w:rPr>
              <w:t xml:space="preserve">Indicação dos potenciais detentores visados pela oferta pública ou pela admissão à negociação da </w:t>
            </w:r>
            <w:proofErr w:type="spellStart"/>
            <w:r w:rsidRPr="00465964">
              <w:rPr>
                <w:lang w:val="pt-PT"/>
              </w:rPr>
              <w:t>criptoficha</w:t>
            </w:r>
            <w:proofErr w:type="spellEnd"/>
            <w:r w:rsidRPr="00465964">
              <w:rPr>
                <w:lang w:val="pt-PT"/>
              </w:rPr>
              <w:t xml:space="preserve"> referenciada a ativos, incluindo eventuais restrições quanto ao tipo de detentores da referida </w:t>
            </w:r>
            <w:proofErr w:type="spellStart"/>
            <w:r w:rsidRPr="00465964">
              <w:rPr>
                <w:lang w:val="pt-PT"/>
              </w:rPr>
              <w:t>criptoficha</w:t>
            </w:r>
            <w:proofErr w:type="spellEnd"/>
            <w:r w:rsidRPr="00465964">
              <w:rPr>
                <w:lang w:val="pt-PT"/>
              </w:rPr>
              <w:t xml:space="preserve"> referenciada a ativos;</w:t>
            </w:r>
          </w:p>
        </w:tc>
      </w:tr>
    </w:tbl>
    <w:p w14:paraId="69FF9FDD"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1"/>
        <w:gridCol w:w="8845"/>
      </w:tblGrid>
      <w:tr w:rsidR="00465964" w:rsidRPr="00465964" w14:paraId="6C5EDA0C" w14:textId="77777777" w:rsidTr="00465964">
        <w:tc>
          <w:tcPr>
            <w:tcW w:w="0" w:type="auto"/>
            <w:shd w:val="clear" w:color="auto" w:fill="auto"/>
            <w:hideMark/>
          </w:tcPr>
          <w:p w14:paraId="0EA4DE0B" w14:textId="77777777" w:rsidR="00465964" w:rsidRPr="00465964" w:rsidRDefault="00465964" w:rsidP="00465964">
            <w:r w:rsidRPr="00465964">
              <w:t>5.</w:t>
            </w:r>
          </w:p>
        </w:tc>
        <w:tc>
          <w:tcPr>
            <w:tcW w:w="0" w:type="auto"/>
            <w:shd w:val="clear" w:color="auto" w:fill="auto"/>
            <w:hideMark/>
          </w:tcPr>
          <w:p w14:paraId="65E71007" w14:textId="77777777" w:rsidR="00465964" w:rsidRPr="00465964" w:rsidRDefault="00465964" w:rsidP="00465964">
            <w:pPr>
              <w:rPr>
                <w:lang w:val="pt-PT"/>
              </w:rPr>
            </w:pPr>
            <w:r w:rsidRPr="00465964">
              <w:rPr>
                <w:lang w:val="pt-PT"/>
              </w:rPr>
              <w:t xml:space="preserve">Menção expressa de que os compradores que participam na oferta pública da </w:t>
            </w:r>
            <w:proofErr w:type="spellStart"/>
            <w:r w:rsidRPr="00465964">
              <w:rPr>
                <w:lang w:val="pt-PT"/>
              </w:rPr>
              <w:t>criptoficha</w:t>
            </w:r>
            <w:proofErr w:type="spellEnd"/>
            <w:r w:rsidRPr="00465964">
              <w:rPr>
                <w:lang w:val="pt-PT"/>
              </w:rPr>
              <w:t xml:space="preserve"> referenciada a ativos poderão ser reembolsados se a meta mínima do objetivo de subscrição não tiver sido alcançada no termo da oferta pública, incluindo os prazos previstos para a realização do reembolso; as consequências de exceder a meta máxima do objetivo de subscrição devem ser explicitadas;</w:t>
            </w:r>
          </w:p>
        </w:tc>
      </w:tr>
    </w:tbl>
    <w:p w14:paraId="0DDFE1B8"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1"/>
        <w:gridCol w:w="8845"/>
      </w:tblGrid>
      <w:tr w:rsidR="00465964" w:rsidRPr="00465964" w14:paraId="11E5EA22" w14:textId="77777777" w:rsidTr="00465964">
        <w:tc>
          <w:tcPr>
            <w:tcW w:w="0" w:type="auto"/>
            <w:shd w:val="clear" w:color="auto" w:fill="auto"/>
            <w:hideMark/>
          </w:tcPr>
          <w:p w14:paraId="60E2FDEC" w14:textId="77777777" w:rsidR="00465964" w:rsidRPr="00465964" w:rsidRDefault="00465964" w:rsidP="00465964">
            <w:r w:rsidRPr="00465964">
              <w:t>6.</w:t>
            </w:r>
          </w:p>
        </w:tc>
        <w:tc>
          <w:tcPr>
            <w:tcW w:w="0" w:type="auto"/>
            <w:shd w:val="clear" w:color="auto" w:fill="auto"/>
            <w:hideMark/>
          </w:tcPr>
          <w:p w14:paraId="7F343BC5" w14:textId="77777777" w:rsidR="00465964" w:rsidRPr="00465964" w:rsidRDefault="00465964" w:rsidP="00465964">
            <w:pPr>
              <w:rPr>
                <w:lang w:val="pt-PT"/>
              </w:rPr>
            </w:pPr>
            <w:r w:rsidRPr="00465964">
              <w:rPr>
                <w:lang w:val="pt-PT"/>
              </w:rPr>
              <w:t xml:space="preserve">Informação sobre as várias fases da oferta pública da </w:t>
            </w:r>
            <w:proofErr w:type="spellStart"/>
            <w:r w:rsidRPr="00465964">
              <w:rPr>
                <w:lang w:val="pt-PT"/>
              </w:rPr>
              <w:t>criptoficha</w:t>
            </w:r>
            <w:proofErr w:type="spellEnd"/>
            <w:r w:rsidRPr="00465964">
              <w:rPr>
                <w:lang w:val="pt-PT"/>
              </w:rPr>
              <w:t xml:space="preserve"> referenciada a ativos, incluindo informações relativas ao desconto sobre o preço de compra oferecido aos primeiros compradores da </w:t>
            </w:r>
            <w:proofErr w:type="spellStart"/>
            <w:r w:rsidRPr="00465964">
              <w:rPr>
                <w:lang w:val="pt-PT"/>
              </w:rPr>
              <w:t>criptoficha</w:t>
            </w:r>
            <w:proofErr w:type="spellEnd"/>
            <w:r w:rsidRPr="00465964">
              <w:rPr>
                <w:lang w:val="pt-PT"/>
              </w:rPr>
              <w:t xml:space="preserve"> referenciada a ativos (vendas </w:t>
            </w:r>
            <w:proofErr w:type="spellStart"/>
            <w:r w:rsidRPr="00465964">
              <w:rPr>
                <w:lang w:val="pt-PT"/>
              </w:rPr>
              <w:t>pré-públicas</w:t>
            </w:r>
            <w:proofErr w:type="spellEnd"/>
            <w:r w:rsidRPr="00465964">
              <w:rPr>
                <w:lang w:val="pt-PT"/>
              </w:rPr>
              <w:t>) e, no caso de haver preços de compra com desconto para alguns compradores, uma explicação do motivo pelo qual os preços de compra podem variar e uma descrição do impacto sobre os outros investidores;</w:t>
            </w:r>
          </w:p>
        </w:tc>
      </w:tr>
    </w:tbl>
    <w:p w14:paraId="3C53CDAE"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1"/>
        <w:gridCol w:w="8845"/>
      </w:tblGrid>
      <w:tr w:rsidR="00465964" w:rsidRPr="00465964" w14:paraId="0BC1406A" w14:textId="77777777" w:rsidTr="00465964">
        <w:tc>
          <w:tcPr>
            <w:tcW w:w="0" w:type="auto"/>
            <w:shd w:val="clear" w:color="auto" w:fill="auto"/>
            <w:hideMark/>
          </w:tcPr>
          <w:p w14:paraId="76064FF1" w14:textId="77777777" w:rsidR="00465964" w:rsidRPr="00465964" w:rsidRDefault="00465964" w:rsidP="00465964">
            <w:r w:rsidRPr="00465964">
              <w:t>7.</w:t>
            </w:r>
          </w:p>
        </w:tc>
        <w:tc>
          <w:tcPr>
            <w:tcW w:w="0" w:type="auto"/>
            <w:shd w:val="clear" w:color="auto" w:fill="auto"/>
            <w:hideMark/>
          </w:tcPr>
          <w:p w14:paraId="6B35D88B" w14:textId="77777777" w:rsidR="00465964" w:rsidRPr="00465964" w:rsidRDefault="00465964" w:rsidP="00465964">
            <w:pPr>
              <w:rPr>
                <w:lang w:val="pt-PT"/>
              </w:rPr>
            </w:pPr>
            <w:r w:rsidRPr="00465964">
              <w:rPr>
                <w:lang w:val="pt-PT"/>
              </w:rPr>
              <w:t>Para ofertas com duração limitada, o período de subscrição durante o qual a oferta pública está aberta;</w:t>
            </w:r>
          </w:p>
        </w:tc>
      </w:tr>
    </w:tbl>
    <w:p w14:paraId="0FD0D5FD"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1"/>
        <w:gridCol w:w="8845"/>
      </w:tblGrid>
      <w:tr w:rsidR="00465964" w:rsidRPr="00465964" w14:paraId="7B224985" w14:textId="77777777" w:rsidTr="00465964">
        <w:tc>
          <w:tcPr>
            <w:tcW w:w="0" w:type="auto"/>
            <w:shd w:val="clear" w:color="auto" w:fill="auto"/>
            <w:hideMark/>
          </w:tcPr>
          <w:p w14:paraId="59ADF638" w14:textId="77777777" w:rsidR="00465964" w:rsidRPr="00465964" w:rsidRDefault="00465964" w:rsidP="00465964">
            <w:r w:rsidRPr="00465964">
              <w:t>8.</w:t>
            </w:r>
          </w:p>
        </w:tc>
        <w:tc>
          <w:tcPr>
            <w:tcW w:w="0" w:type="auto"/>
            <w:shd w:val="clear" w:color="auto" w:fill="auto"/>
            <w:hideMark/>
          </w:tcPr>
          <w:p w14:paraId="01CB9BBD" w14:textId="77777777" w:rsidR="00465964" w:rsidRPr="00465964" w:rsidRDefault="00465964" w:rsidP="00465964">
            <w:pPr>
              <w:rPr>
                <w:lang w:val="pt-PT"/>
              </w:rPr>
            </w:pPr>
            <w:r w:rsidRPr="00465964">
              <w:rPr>
                <w:lang w:val="pt-PT"/>
              </w:rPr>
              <w:t xml:space="preserve">Métodos de pagamento para a aquisição e o reembolso da </w:t>
            </w:r>
            <w:proofErr w:type="spellStart"/>
            <w:r w:rsidRPr="00465964">
              <w:rPr>
                <w:lang w:val="pt-PT"/>
              </w:rPr>
              <w:t>criptoficha</w:t>
            </w:r>
            <w:proofErr w:type="spellEnd"/>
            <w:r w:rsidRPr="00465964">
              <w:rPr>
                <w:lang w:val="pt-PT"/>
              </w:rPr>
              <w:t xml:space="preserve"> referenciada a </w:t>
            </w:r>
            <w:proofErr w:type="gramStart"/>
            <w:r w:rsidRPr="00465964">
              <w:rPr>
                <w:lang w:val="pt-PT"/>
              </w:rPr>
              <w:t>ativos objeto</w:t>
            </w:r>
            <w:proofErr w:type="gramEnd"/>
            <w:r w:rsidRPr="00465964">
              <w:rPr>
                <w:lang w:val="pt-PT"/>
              </w:rPr>
              <w:t xml:space="preserve"> da oferta pública;</w:t>
            </w:r>
          </w:p>
        </w:tc>
      </w:tr>
    </w:tbl>
    <w:p w14:paraId="6D6B656F"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1"/>
        <w:gridCol w:w="8845"/>
      </w:tblGrid>
      <w:tr w:rsidR="00465964" w:rsidRPr="00465964" w14:paraId="308E5B62" w14:textId="77777777" w:rsidTr="00465964">
        <w:tc>
          <w:tcPr>
            <w:tcW w:w="0" w:type="auto"/>
            <w:shd w:val="clear" w:color="auto" w:fill="auto"/>
            <w:hideMark/>
          </w:tcPr>
          <w:p w14:paraId="4C1F364E" w14:textId="77777777" w:rsidR="00465964" w:rsidRPr="00465964" w:rsidRDefault="00465964" w:rsidP="00465964">
            <w:r w:rsidRPr="00465964">
              <w:t>9.</w:t>
            </w:r>
          </w:p>
        </w:tc>
        <w:tc>
          <w:tcPr>
            <w:tcW w:w="0" w:type="auto"/>
            <w:shd w:val="clear" w:color="auto" w:fill="auto"/>
            <w:hideMark/>
          </w:tcPr>
          <w:p w14:paraId="6473263A" w14:textId="77777777" w:rsidR="00465964" w:rsidRPr="00465964" w:rsidRDefault="00465964" w:rsidP="00465964">
            <w:pPr>
              <w:rPr>
                <w:lang w:val="pt-PT"/>
              </w:rPr>
            </w:pPr>
            <w:r w:rsidRPr="00465964">
              <w:rPr>
                <w:lang w:val="pt-PT"/>
              </w:rPr>
              <w:t xml:space="preserve">Informação sobre o método e os prazos para a transferência para os detentores da </w:t>
            </w:r>
            <w:proofErr w:type="spellStart"/>
            <w:r w:rsidRPr="00465964">
              <w:rPr>
                <w:lang w:val="pt-PT"/>
              </w:rPr>
              <w:t>criptoficha</w:t>
            </w:r>
            <w:proofErr w:type="spellEnd"/>
            <w:r w:rsidRPr="00465964">
              <w:rPr>
                <w:lang w:val="pt-PT"/>
              </w:rPr>
              <w:t xml:space="preserve"> referenciada a ativos adquirida;</w:t>
            </w:r>
          </w:p>
        </w:tc>
      </w:tr>
    </w:tbl>
    <w:p w14:paraId="6054900C"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298"/>
        <w:gridCol w:w="8728"/>
      </w:tblGrid>
      <w:tr w:rsidR="00465964" w:rsidRPr="00465964" w14:paraId="4EAC6719" w14:textId="77777777" w:rsidTr="00465964">
        <w:tc>
          <w:tcPr>
            <w:tcW w:w="0" w:type="auto"/>
            <w:shd w:val="clear" w:color="auto" w:fill="auto"/>
            <w:hideMark/>
          </w:tcPr>
          <w:p w14:paraId="27270735" w14:textId="77777777" w:rsidR="00465964" w:rsidRPr="00465964" w:rsidRDefault="00465964" w:rsidP="00465964">
            <w:r w:rsidRPr="00465964">
              <w:t>10.</w:t>
            </w:r>
          </w:p>
        </w:tc>
        <w:tc>
          <w:tcPr>
            <w:tcW w:w="0" w:type="auto"/>
            <w:shd w:val="clear" w:color="auto" w:fill="auto"/>
            <w:hideMark/>
          </w:tcPr>
          <w:p w14:paraId="1F4C56D8" w14:textId="77777777" w:rsidR="00465964" w:rsidRPr="00465964" w:rsidRDefault="00465964" w:rsidP="00465964">
            <w:pPr>
              <w:rPr>
                <w:lang w:val="pt-PT"/>
              </w:rPr>
            </w:pPr>
            <w:r w:rsidRPr="00465964">
              <w:rPr>
                <w:lang w:val="pt-PT"/>
              </w:rPr>
              <w:t xml:space="preserve">Informação sobre os requisitos técnicos que o comprador é obrigado a satisfazer para deter a </w:t>
            </w:r>
            <w:proofErr w:type="spellStart"/>
            <w:r w:rsidRPr="00465964">
              <w:rPr>
                <w:lang w:val="pt-PT"/>
              </w:rPr>
              <w:t>criptoficha</w:t>
            </w:r>
            <w:proofErr w:type="spellEnd"/>
            <w:r w:rsidRPr="00465964">
              <w:rPr>
                <w:lang w:val="pt-PT"/>
              </w:rPr>
              <w:t xml:space="preserve"> referenciada a ativos;</w:t>
            </w:r>
          </w:p>
        </w:tc>
      </w:tr>
    </w:tbl>
    <w:p w14:paraId="46FC00A0"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298"/>
        <w:gridCol w:w="8728"/>
      </w:tblGrid>
      <w:tr w:rsidR="00465964" w:rsidRPr="00465964" w14:paraId="568FE649" w14:textId="77777777" w:rsidTr="00465964">
        <w:tc>
          <w:tcPr>
            <w:tcW w:w="0" w:type="auto"/>
            <w:shd w:val="clear" w:color="auto" w:fill="auto"/>
            <w:hideMark/>
          </w:tcPr>
          <w:p w14:paraId="4CB0CC19" w14:textId="77777777" w:rsidR="00465964" w:rsidRPr="00465964" w:rsidRDefault="00465964" w:rsidP="00465964">
            <w:r w:rsidRPr="00465964">
              <w:t>11.</w:t>
            </w:r>
          </w:p>
        </w:tc>
        <w:tc>
          <w:tcPr>
            <w:tcW w:w="0" w:type="auto"/>
            <w:shd w:val="clear" w:color="auto" w:fill="auto"/>
            <w:hideMark/>
          </w:tcPr>
          <w:p w14:paraId="3592A9FC" w14:textId="77777777" w:rsidR="00465964" w:rsidRPr="00465964" w:rsidRDefault="00465964" w:rsidP="00465964">
            <w:pPr>
              <w:rPr>
                <w:lang w:val="pt-PT"/>
              </w:rPr>
            </w:pPr>
            <w:r w:rsidRPr="00465964">
              <w:rPr>
                <w:lang w:val="pt-PT"/>
              </w:rPr>
              <w:t xml:space="preserve">Quando aplicável, o nome do prestador de serviços de criptoativos responsável pela colocação da </w:t>
            </w:r>
            <w:proofErr w:type="spellStart"/>
            <w:r w:rsidRPr="00465964">
              <w:rPr>
                <w:lang w:val="pt-PT"/>
              </w:rPr>
              <w:t>criptoficha</w:t>
            </w:r>
            <w:proofErr w:type="spellEnd"/>
            <w:r w:rsidRPr="00465964">
              <w:rPr>
                <w:lang w:val="pt-PT"/>
              </w:rPr>
              <w:t xml:space="preserve"> referenciada a ativos e a forma dessa colocação (com ou sem garantia);</w:t>
            </w:r>
          </w:p>
        </w:tc>
      </w:tr>
    </w:tbl>
    <w:p w14:paraId="69827222"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298"/>
        <w:gridCol w:w="8728"/>
      </w:tblGrid>
      <w:tr w:rsidR="00465964" w:rsidRPr="00465964" w14:paraId="4D209B26" w14:textId="77777777" w:rsidTr="00465964">
        <w:tc>
          <w:tcPr>
            <w:tcW w:w="0" w:type="auto"/>
            <w:shd w:val="clear" w:color="auto" w:fill="auto"/>
            <w:hideMark/>
          </w:tcPr>
          <w:p w14:paraId="4C61669B" w14:textId="77777777" w:rsidR="00465964" w:rsidRPr="00465964" w:rsidRDefault="00465964" w:rsidP="00465964">
            <w:r w:rsidRPr="00465964">
              <w:t>12.</w:t>
            </w:r>
          </w:p>
        </w:tc>
        <w:tc>
          <w:tcPr>
            <w:tcW w:w="0" w:type="auto"/>
            <w:shd w:val="clear" w:color="auto" w:fill="auto"/>
            <w:hideMark/>
          </w:tcPr>
          <w:p w14:paraId="4FAA237F" w14:textId="77777777" w:rsidR="00465964" w:rsidRPr="00465964" w:rsidRDefault="00465964" w:rsidP="00465964">
            <w:pPr>
              <w:rPr>
                <w:lang w:val="pt-PT"/>
              </w:rPr>
            </w:pPr>
            <w:r w:rsidRPr="00465964">
              <w:rPr>
                <w:lang w:val="pt-PT"/>
              </w:rPr>
              <w:t>Quando aplicável, o nome da plataforma de negociação de criptoativos na qual é solicitada a admissão à negociação e informações sobre a forma como os investidores podem aceder a essas plataformas de negociação e sobre os custos envolvidos;</w:t>
            </w:r>
          </w:p>
        </w:tc>
      </w:tr>
    </w:tbl>
    <w:p w14:paraId="76ECDCBD"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339"/>
        <w:gridCol w:w="8687"/>
      </w:tblGrid>
      <w:tr w:rsidR="00465964" w:rsidRPr="00465964" w14:paraId="01FBEE52" w14:textId="77777777" w:rsidTr="00465964">
        <w:tc>
          <w:tcPr>
            <w:tcW w:w="0" w:type="auto"/>
            <w:shd w:val="clear" w:color="auto" w:fill="auto"/>
            <w:hideMark/>
          </w:tcPr>
          <w:p w14:paraId="77DD39FD" w14:textId="77777777" w:rsidR="00465964" w:rsidRPr="00465964" w:rsidRDefault="00465964" w:rsidP="00465964">
            <w:r w:rsidRPr="00465964">
              <w:t>13.</w:t>
            </w:r>
          </w:p>
        </w:tc>
        <w:tc>
          <w:tcPr>
            <w:tcW w:w="0" w:type="auto"/>
            <w:shd w:val="clear" w:color="auto" w:fill="auto"/>
            <w:hideMark/>
          </w:tcPr>
          <w:p w14:paraId="7D069E82" w14:textId="77777777" w:rsidR="00465964" w:rsidRPr="00465964" w:rsidRDefault="00465964" w:rsidP="00465964">
            <w:pPr>
              <w:rPr>
                <w:lang w:val="pt-PT"/>
              </w:rPr>
            </w:pPr>
            <w:r w:rsidRPr="00465964">
              <w:rPr>
                <w:lang w:val="pt-PT"/>
              </w:rPr>
              <w:t xml:space="preserve">Despesas relacionadas com a oferta pública da </w:t>
            </w:r>
            <w:proofErr w:type="spellStart"/>
            <w:r w:rsidRPr="00465964">
              <w:rPr>
                <w:lang w:val="pt-PT"/>
              </w:rPr>
              <w:t>criptoficha</w:t>
            </w:r>
            <w:proofErr w:type="spellEnd"/>
            <w:r w:rsidRPr="00465964">
              <w:rPr>
                <w:lang w:val="pt-PT"/>
              </w:rPr>
              <w:t xml:space="preserve"> referenciada a ativos;</w:t>
            </w:r>
          </w:p>
        </w:tc>
      </w:tr>
    </w:tbl>
    <w:p w14:paraId="38F27477"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298"/>
        <w:gridCol w:w="8728"/>
      </w:tblGrid>
      <w:tr w:rsidR="00465964" w:rsidRPr="00465964" w14:paraId="463A1778" w14:textId="77777777" w:rsidTr="00465964">
        <w:tc>
          <w:tcPr>
            <w:tcW w:w="0" w:type="auto"/>
            <w:shd w:val="clear" w:color="auto" w:fill="auto"/>
            <w:hideMark/>
          </w:tcPr>
          <w:p w14:paraId="486AC74F" w14:textId="77777777" w:rsidR="00465964" w:rsidRPr="00465964" w:rsidRDefault="00465964" w:rsidP="00465964">
            <w:r w:rsidRPr="00465964">
              <w:t>14.</w:t>
            </w:r>
          </w:p>
        </w:tc>
        <w:tc>
          <w:tcPr>
            <w:tcW w:w="0" w:type="auto"/>
            <w:shd w:val="clear" w:color="auto" w:fill="auto"/>
            <w:hideMark/>
          </w:tcPr>
          <w:p w14:paraId="436CF685" w14:textId="77777777" w:rsidR="00465964" w:rsidRPr="00465964" w:rsidRDefault="00465964" w:rsidP="00465964">
            <w:pPr>
              <w:rPr>
                <w:lang w:val="pt-PT"/>
              </w:rPr>
            </w:pPr>
            <w:r w:rsidRPr="00465964">
              <w:rPr>
                <w:lang w:val="pt-PT"/>
              </w:rPr>
              <w:t>Potenciais conflitos de interesses das pessoas envolvidas na oferta pública ou na admissão à negociação, relacionados com a oferta ou com a admissão à negociação;</w:t>
            </w:r>
          </w:p>
        </w:tc>
      </w:tr>
    </w:tbl>
    <w:p w14:paraId="3DA3378D"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298"/>
        <w:gridCol w:w="8728"/>
      </w:tblGrid>
      <w:tr w:rsidR="00465964" w:rsidRPr="00465964" w14:paraId="6102A907" w14:textId="77777777" w:rsidTr="00465964">
        <w:tc>
          <w:tcPr>
            <w:tcW w:w="0" w:type="auto"/>
            <w:shd w:val="clear" w:color="auto" w:fill="auto"/>
            <w:hideMark/>
          </w:tcPr>
          <w:p w14:paraId="3996F7B6" w14:textId="77777777" w:rsidR="00465964" w:rsidRPr="00465964" w:rsidRDefault="00465964" w:rsidP="00465964">
            <w:r w:rsidRPr="00465964">
              <w:t>15.</w:t>
            </w:r>
          </w:p>
        </w:tc>
        <w:tc>
          <w:tcPr>
            <w:tcW w:w="0" w:type="auto"/>
            <w:shd w:val="clear" w:color="auto" w:fill="auto"/>
            <w:hideMark/>
          </w:tcPr>
          <w:p w14:paraId="6FA9D2A3" w14:textId="77777777" w:rsidR="00465964" w:rsidRPr="00465964" w:rsidRDefault="00465964" w:rsidP="00465964">
            <w:pPr>
              <w:rPr>
                <w:lang w:val="pt-PT"/>
              </w:rPr>
            </w:pPr>
            <w:r w:rsidRPr="00465964">
              <w:rPr>
                <w:lang w:val="pt-PT"/>
              </w:rPr>
              <w:t xml:space="preserve">A lei aplicável à oferta pública da </w:t>
            </w:r>
            <w:proofErr w:type="spellStart"/>
            <w:r w:rsidRPr="00465964">
              <w:rPr>
                <w:lang w:val="pt-PT"/>
              </w:rPr>
              <w:t>criptoficha</w:t>
            </w:r>
            <w:proofErr w:type="spellEnd"/>
            <w:r w:rsidRPr="00465964">
              <w:rPr>
                <w:lang w:val="pt-PT"/>
              </w:rPr>
              <w:t xml:space="preserve"> referenciada a ativos, bem como o tribunal competente.</w:t>
            </w:r>
          </w:p>
        </w:tc>
      </w:tr>
    </w:tbl>
    <w:p w14:paraId="3E1B6E73" w14:textId="77777777" w:rsidR="00465964" w:rsidRPr="00465964" w:rsidRDefault="00465964" w:rsidP="00465964">
      <w:pPr>
        <w:rPr>
          <w:b/>
          <w:bCs/>
          <w:lang w:val="pt-PT"/>
        </w:rPr>
      </w:pPr>
      <w:r w:rsidRPr="00465964">
        <w:rPr>
          <w:b/>
          <w:bCs/>
          <w:lang w:val="pt-PT"/>
        </w:rPr>
        <w:t xml:space="preserve">Parte D: Informações sobre os direitos e obrigações associados à </w:t>
      </w:r>
      <w:proofErr w:type="spellStart"/>
      <w:r w:rsidRPr="00465964">
        <w:rPr>
          <w:b/>
          <w:bCs/>
          <w:lang w:val="pt-PT"/>
        </w:rPr>
        <w:t>criptoficha</w:t>
      </w:r>
      <w:proofErr w:type="spellEnd"/>
      <w:r w:rsidRPr="00465964">
        <w:rPr>
          <w:b/>
          <w:bCs/>
          <w:lang w:val="pt-PT"/>
        </w:rPr>
        <w:t xml:space="preserve"> referenciada a ativos</w:t>
      </w:r>
    </w:p>
    <w:tbl>
      <w:tblPr>
        <w:tblW w:w="5000" w:type="pct"/>
        <w:tblCellMar>
          <w:left w:w="0" w:type="dxa"/>
          <w:right w:w="0" w:type="dxa"/>
        </w:tblCellMar>
        <w:tblLook w:val="04A0" w:firstRow="1" w:lastRow="0" w:firstColumn="1" w:lastColumn="0" w:noHBand="0" w:noVBand="1"/>
      </w:tblPr>
      <w:tblGrid>
        <w:gridCol w:w="181"/>
        <w:gridCol w:w="8845"/>
      </w:tblGrid>
      <w:tr w:rsidR="00465964" w:rsidRPr="00465964" w14:paraId="20E2E369" w14:textId="77777777" w:rsidTr="00465964">
        <w:tc>
          <w:tcPr>
            <w:tcW w:w="0" w:type="auto"/>
            <w:shd w:val="clear" w:color="auto" w:fill="auto"/>
            <w:hideMark/>
          </w:tcPr>
          <w:p w14:paraId="3D6903C0" w14:textId="77777777" w:rsidR="00465964" w:rsidRPr="00465964" w:rsidRDefault="00465964" w:rsidP="00465964">
            <w:r w:rsidRPr="00465964">
              <w:lastRenderedPageBreak/>
              <w:t>1.</w:t>
            </w:r>
          </w:p>
        </w:tc>
        <w:tc>
          <w:tcPr>
            <w:tcW w:w="0" w:type="auto"/>
            <w:shd w:val="clear" w:color="auto" w:fill="auto"/>
            <w:hideMark/>
          </w:tcPr>
          <w:p w14:paraId="00C1ABA7" w14:textId="77777777" w:rsidR="00465964" w:rsidRPr="00465964" w:rsidRDefault="00465964" w:rsidP="00465964">
            <w:pPr>
              <w:rPr>
                <w:lang w:val="pt-PT"/>
              </w:rPr>
            </w:pPr>
            <w:r w:rsidRPr="00465964">
              <w:rPr>
                <w:lang w:val="pt-PT"/>
              </w:rPr>
              <w:t xml:space="preserve">Uma descrição das características e das funcionalidades da </w:t>
            </w:r>
            <w:proofErr w:type="spellStart"/>
            <w:r w:rsidRPr="00465964">
              <w:rPr>
                <w:lang w:val="pt-PT"/>
              </w:rPr>
              <w:t>criptoficha</w:t>
            </w:r>
            <w:proofErr w:type="spellEnd"/>
            <w:r w:rsidRPr="00465964">
              <w:rPr>
                <w:lang w:val="pt-PT"/>
              </w:rPr>
              <w:t xml:space="preserve"> referenciada a </w:t>
            </w:r>
            <w:proofErr w:type="gramStart"/>
            <w:r w:rsidRPr="00465964">
              <w:rPr>
                <w:lang w:val="pt-PT"/>
              </w:rPr>
              <w:t>ativos objeto</w:t>
            </w:r>
            <w:proofErr w:type="gramEnd"/>
            <w:r w:rsidRPr="00465964">
              <w:rPr>
                <w:lang w:val="pt-PT"/>
              </w:rPr>
              <w:t xml:space="preserve"> da oferta pública ou de admissão à negociação, incluindo informações sobre os prazos previstos para a aplicação dessas funcionalidades;</w:t>
            </w:r>
          </w:p>
        </w:tc>
      </w:tr>
    </w:tbl>
    <w:p w14:paraId="3B3B0066"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1"/>
        <w:gridCol w:w="8845"/>
      </w:tblGrid>
      <w:tr w:rsidR="00465964" w:rsidRPr="00465964" w14:paraId="194FC8BE" w14:textId="77777777" w:rsidTr="00465964">
        <w:tc>
          <w:tcPr>
            <w:tcW w:w="0" w:type="auto"/>
            <w:shd w:val="clear" w:color="auto" w:fill="auto"/>
            <w:hideMark/>
          </w:tcPr>
          <w:p w14:paraId="618B1272" w14:textId="77777777" w:rsidR="00465964" w:rsidRPr="00465964" w:rsidRDefault="00465964" w:rsidP="00465964">
            <w:r w:rsidRPr="00465964">
              <w:t>2.</w:t>
            </w:r>
          </w:p>
        </w:tc>
        <w:tc>
          <w:tcPr>
            <w:tcW w:w="0" w:type="auto"/>
            <w:shd w:val="clear" w:color="auto" w:fill="auto"/>
            <w:hideMark/>
          </w:tcPr>
          <w:p w14:paraId="2F4F8937" w14:textId="77777777" w:rsidR="00465964" w:rsidRPr="00465964" w:rsidRDefault="00465964" w:rsidP="00465964">
            <w:pPr>
              <w:rPr>
                <w:lang w:val="pt-PT"/>
              </w:rPr>
            </w:pPr>
            <w:r w:rsidRPr="00465964">
              <w:rPr>
                <w:lang w:val="pt-PT"/>
              </w:rPr>
              <w:t>Uma descrição dos direitos e obrigações, se for caso disso, do comprador, bem como do procedimento e das condições para o exercício desses direitos;</w:t>
            </w:r>
          </w:p>
        </w:tc>
      </w:tr>
    </w:tbl>
    <w:p w14:paraId="24D4D89F"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5"/>
        <w:gridCol w:w="8841"/>
      </w:tblGrid>
      <w:tr w:rsidR="00465964" w:rsidRPr="00465964" w14:paraId="2F3E9D41" w14:textId="77777777" w:rsidTr="00465964">
        <w:tc>
          <w:tcPr>
            <w:tcW w:w="0" w:type="auto"/>
            <w:shd w:val="clear" w:color="auto" w:fill="auto"/>
            <w:hideMark/>
          </w:tcPr>
          <w:p w14:paraId="14871D10" w14:textId="77777777" w:rsidR="00465964" w:rsidRPr="00465964" w:rsidRDefault="00465964" w:rsidP="00465964">
            <w:r w:rsidRPr="00465964">
              <w:t>3.</w:t>
            </w:r>
          </w:p>
        </w:tc>
        <w:tc>
          <w:tcPr>
            <w:tcW w:w="0" w:type="auto"/>
            <w:shd w:val="clear" w:color="auto" w:fill="auto"/>
            <w:hideMark/>
          </w:tcPr>
          <w:p w14:paraId="1E72A55D" w14:textId="77777777" w:rsidR="00465964" w:rsidRPr="00465964" w:rsidRDefault="00465964" w:rsidP="00465964">
            <w:pPr>
              <w:rPr>
                <w:lang w:val="pt-PT"/>
              </w:rPr>
            </w:pPr>
            <w:r w:rsidRPr="00465964">
              <w:rPr>
                <w:lang w:val="pt-PT"/>
              </w:rPr>
              <w:t>Uma descrição das circunstâncias em que os direitos e as obrigações podem ser alterados;</w:t>
            </w:r>
          </w:p>
        </w:tc>
      </w:tr>
    </w:tbl>
    <w:p w14:paraId="1023907F"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1"/>
        <w:gridCol w:w="8845"/>
      </w:tblGrid>
      <w:tr w:rsidR="00465964" w:rsidRPr="00465964" w14:paraId="6D5742AD" w14:textId="77777777" w:rsidTr="00465964">
        <w:tc>
          <w:tcPr>
            <w:tcW w:w="0" w:type="auto"/>
            <w:shd w:val="clear" w:color="auto" w:fill="auto"/>
            <w:hideMark/>
          </w:tcPr>
          <w:p w14:paraId="3F6B0F5C" w14:textId="77777777" w:rsidR="00465964" w:rsidRPr="00465964" w:rsidRDefault="00465964" w:rsidP="00465964">
            <w:r w:rsidRPr="00465964">
              <w:t>4.</w:t>
            </w:r>
          </w:p>
        </w:tc>
        <w:tc>
          <w:tcPr>
            <w:tcW w:w="0" w:type="auto"/>
            <w:shd w:val="clear" w:color="auto" w:fill="auto"/>
            <w:hideMark/>
          </w:tcPr>
          <w:p w14:paraId="0939113F" w14:textId="77777777" w:rsidR="00465964" w:rsidRPr="00465964" w:rsidRDefault="00465964" w:rsidP="00465964">
            <w:pPr>
              <w:rPr>
                <w:lang w:val="pt-PT"/>
              </w:rPr>
            </w:pPr>
            <w:r w:rsidRPr="00465964">
              <w:rPr>
                <w:lang w:val="pt-PT"/>
              </w:rPr>
              <w:t xml:space="preserve">Quando aplicável, informação sobre as futuras ofertas públicas da </w:t>
            </w:r>
            <w:proofErr w:type="spellStart"/>
            <w:r w:rsidRPr="00465964">
              <w:rPr>
                <w:lang w:val="pt-PT"/>
              </w:rPr>
              <w:t>criptoficha</w:t>
            </w:r>
            <w:proofErr w:type="spellEnd"/>
            <w:r w:rsidRPr="00465964">
              <w:rPr>
                <w:lang w:val="pt-PT"/>
              </w:rPr>
              <w:t xml:space="preserve"> referenciada a ativos pelo emitente e sobre o número de unidades da </w:t>
            </w:r>
            <w:proofErr w:type="spellStart"/>
            <w:r w:rsidRPr="00465964">
              <w:rPr>
                <w:lang w:val="pt-PT"/>
              </w:rPr>
              <w:t>criptoficha</w:t>
            </w:r>
            <w:proofErr w:type="spellEnd"/>
            <w:r w:rsidRPr="00465964">
              <w:rPr>
                <w:lang w:val="pt-PT"/>
              </w:rPr>
              <w:t xml:space="preserve"> referenciada a ativos que o emitente conservará para si próprio;</w:t>
            </w:r>
          </w:p>
        </w:tc>
      </w:tr>
    </w:tbl>
    <w:p w14:paraId="47A5C7CE"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1"/>
        <w:gridCol w:w="8845"/>
      </w:tblGrid>
      <w:tr w:rsidR="00465964" w:rsidRPr="00465964" w14:paraId="61E21614" w14:textId="77777777" w:rsidTr="00465964">
        <w:tc>
          <w:tcPr>
            <w:tcW w:w="0" w:type="auto"/>
            <w:shd w:val="clear" w:color="auto" w:fill="auto"/>
            <w:hideMark/>
          </w:tcPr>
          <w:p w14:paraId="3DEF0579" w14:textId="77777777" w:rsidR="00465964" w:rsidRPr="00465964" w:rsidRDefault="00465964" w:rsidP="00465964">
            <w:r w:rsidRPr="00465964">
              <w:t>5.</w:t>
            </w:r>
          </w:p>
        </w:tc>
        <w:tc>
          <w:tcPr>
            <w:tcW w:w="0" w:type="auto"/>
            <w:shd w:val="clear" w:color="auto" w:fill="auto"/>
            <w:hideMark/>
          </w:tcPr>
          <w:p w14:paraId="15B1D26B" w14:textId="77777777" w:rsidR="00465964" w:rsidRPr="00465964" w:rsidRDefault="00465964" w:rsidP="00465964">
            <w:pPr>
              <w:rPr>
                <w:lang w:val="pt-PT"/>
              </w:rPr>
            </w:pPr>
            <w:r w:rsidRPr="00465964">
              <w:rPr>
                <w:lang w:val="pt-PT"/>
              </w:rPr>
              <w:t xml:space="preserve">Se não for solicitada a admissão à negociação, informação sobre o modo e o local de aquisição ou de venda da </w:t>
            </w:r>
            <w:proofErr w:type="spellStart"/>
            <w:r w:rsidRPr="00465964">
              <w:rPr>
                <w:lang w:val="pt-PT"/>
              </w:rPr>
              <w:t>criptoficha</w:t>
            </w:r>
            <w:proofErr w:type="spellEnd"/>
            <w:r w:rsidRPr="00465964">
              <w:rPr>
                <w:lang w:val="pt-PT"/>
              </w:rPr>
              <w:t xml:space="preserve"> referenciada a ativos após a oferta pública;</w:t>
            </w:r>
          </w:p>
        </w:tc>
      </w:tr>
    </w:tbl>
    <w:p w14:paraId="3975FAD9"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1"/>
        <w:gridCol w:w="8845"/>
      </w:tblGrid>
      <w:tr w:rsidR="00465964" w:rsidRPr="00465964" w14:paraId="39F9F7FF" w14:textId="77777777" w:rsidTr="00465964">
        <w:tc>
          <w:tcPr>
            <w:tcW w:w="0" w:type="auto"/>
            <w:shd w:val="clear" w:color="auto" w:fill="auto"/>
            <w:hideMark/>
          </w:tcPr>
          <w:p w14:paraId="7E251ACA" w14:textId="77777777" w:rsidR="00465964" w:rsidRPr="00465964" w:rsidRDefault="00465964" w:rsidP="00465964">
            <w:r w:rsidRPr="00465964">
              <w:t>6.</w:t>
            </w:r>
          </w:p>
        </w:tc>
        <w:tc>
          <w:tcPr>
            <w:tcW w:w="0" w:type="auto"/>
            <w:shd w:val="clear" w:color="auto" w:fill="auto"/>
            <w:hideMark/>
          </w:tcPr>
          <w:p w14:paraId="7081ADEB" w14:textId="77777777" w:rsidR="00465964" w:rsidRPr="00465964" w:rsidRDefault="00465964" w:rsidP="00465964">
            <w:pPr>
              <w:rPr>
                <w:lang w:val="pt-PT"/>
              </w:rPr>
            </w:pPr>
            <w:r w:rsidRPr="00465964">
              <w:rPr>
                <w:lang w:val="pt-PT"/>
              </w:rPr>
              <w:t xml:space="preserve">Eventuais restrições à transferibilidade da </w:t>
            </w:r>
            <w:proofErr w:type="spellStart"/>
            <w:r w:rsidRPr="00465964">
              <w:rPr>
                <w:lang w:val="pt-PT"/>
              </w:rPr>
              <w:t>criptoficha</w:t>
            </w:r>
            <w:proofErr w:type="spellEnd"/>
            <w:r w:rsidRPr="00465964">
              <w:rPr>
                <w:lang w:val="pt-PT"/>
              </w:rPr>
              <w:t xml:space="preserve"> referenciada a </w:t>
            </w:r>
            <w:proofErr w:type="gramStart"/>
            <w:r w:rsidRPr="00465964">
              <w:rPr>
                <w:lang w:val="pt-PT"/>
              </w:rPr>
              <w:t>ativos objeto</w:t>
            </w:r>
            <w:proofErr w:type="gramEnd"/>
            <w:r w:rsidRPr="00465964">
              <w:rPr>
                <w:lang w:val="pt-PT"/>
              </w:rPr>
              <w:t xml:space="preserve"> de oferta pública ou admitidas à negociação;</w:t>
            </w:r>
          </w:p>
        </w:tc>
      </w:tr>
    </w:tbl>
    <w:p w14:paraId="45ABD391"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1"/>
        <w:gridCol w:w="8845"/>
      </w:tblGrid>
      <w:tr w:rsidR="00465964" w:rsidRPr="00465964" w14:paraId="3B3F5AF5" w14:textId="77777777" w:rsidTr="00465964">
        <w:tc>
          <w:tcPr>
            <w:tcW w:w="0" w:type="auto"/>
            <w:shd w:val="clear" w:color="auto" w:fill="auto"/>
            <w:hideMark/>
          </w:tcPr>
          <w:p w14:paraId="6BE04B06" w14:textId="77777777" w:rsidR="00465964" w:rsidRPr="00465964" w:rsidRDefault="00465964" w:rsidP="00465964">
            <w:r w:rsidRPr="00465964">
              <w:t>7.</w:t>
            </w:r>
          </w:p>
        </w:tc>
        <w:tc>
          <w:tcPr>
            <w:tcW w:w="0" w:type="auto"/>
            <w:shd w:val="clear" w:color="auto" w:fill="auto"/>
            <w:hideMark/>
          </w:tcPr>
          <w:p w14:paraId="16AB0DDB" w14:textId="77777777" w:rsidR="00465964" w:rsidRPr="00465964" w:rsidRDefault="00465964" w:rsidP="00465964">
            <w:pPr>
              <w:rPr>
                <w:lang w:val="pt-PT"/>
              </w:rPr>
            </w:pPr>
            <w:r w:rsidRPr="00465964">
              <w:rPr>
                <w:lang w:val="pt-PT"/>
              </w:rPr>
              <w:t xml:space="preserve">Caso a </w:t>
            </w:r>
            <w:proofErr w:type="spellStart"/>
            <w:r w:rsidRPr="00465964">
              <w:rPr>
                <w:lang w:val="pt-PT"/>
              </w:rPr>
              <w:t>criptoficha</w:t>
            </w:r>
            <w:proofErr w:type="spellEnd"/>
            <w:r w:rsidRPr="00465964">
              <w:rPr>
                <w:lang w:val="pt-PT"/>
              </w:rPr>
              <w:t xml:space="preserve"> referenciada a ativos tenha protocolos relativos ao aumento ou diminuição da sua oferta em resposta à evolução da procura, uma descrição do funcionamento desses protocolos;</w:t>
            </w:r>
          </w:p>
        </w:tc>
      </w:tr>
    </w:tbl>
    <w:p w14:paraId="08913F06"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1"/>
        <w:gridCol w:w="8845"/>
      </w:tblGrid>
      <w:tr w:rsidR="00465964" w:rsidRPr="00465964" w14:paraId="0D104F7B" w14:textId="77777777" w:rsidTr="00465964">
        <w:tc>
          <w:tcPr>
            <w:tcW w:w="0" w:type="auto"/>
            <w:shd w:val="clear" w:color="auto" w:fill="auto"/>
            <w:hideMark/>
          </w:tcPr>
          <w:p w14:paraId="472B90BC" w14:textId="77777777" w:rsidR="00465964" w:rsidRPr="00465964" w:rsidRDefault="00465964" w:rsidP="00465964">
            <w:r w:rsidRPr="00465964">
              <w:t>8.</w:t>
            </w:r>
          </w:p>
        </w:tc>
        <w:tc>
          <w:tcPr>
            <w:tcW w:w="0" w:type="auto"/>
            <w:shd w:val="clear" w:color="auto" w:fill="auto"/>
            <w:hideMark/>
          </w:tcPr>
          <w:p w14:paraId="6D5C680B" w14:textId="77777777" w:rsidR="00465964" w:rsidRPr="00465964" w:rsidRDefault="00465964" w:rsidP="00465964">
            <w:pPr>
              <w:rPr>
                <w:lang w:val="pt-PT"/>
              </w:rPr>
            </w:pPr>
            <w:r w:rsidRPr="00465964">
              <w:rPr>
                <w:lang w:val="pt-PT"/>
              </w:rPr>
              <w:t xml:space="preserve">Quando aplicável, uma descrição dos regimes de proteção que protejam o valor da </w:t>
            </w:r>
            <w:proofErr w:type="spellStart"/>
            <w:r w:rsidRPr="00465964">
              <w:rPr>
                <w:lang w:val="pt-PT"/>
              </w:rPr>
              <w:t>criptoficha</w:t>
            </w:r>
            <w:proofErr w:type="spellEnd"/>
            <w:r w:rsidRPr="00465964">
              <w:rPr>
                <w:lang w:val="pt-PT"/>
              </w:rPr>
              <w:t xml:space="preserve"> referenciada a ativos e dos regimes de compensação;</w:t>
            </w:r>
          </w:p>
        </w:tc>
      </w:tr>
    </w:tbl>
    <w:p w14:paraId="45C5E14C"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1"/>
        <w:gridCol w:w="8845"/>
      </w:tblGrid>
      <w:tr w:rsidR="00465964" w:rsidRPr="00465964" w14:paraId="74A82E3F" w14:textId="77777777" w:rsidTr="00465964">
        <w:tc>
          <w:tcPr>
            <w:tcW w:w="0" w:type="auto"/>
            <w:shd w:val="clear" w:color="auto" w:fill="auto"/>
            <w:hideMark/>
          </w:tcPr>
          <w:p w14:paraId="5361029D" w14:textId="77777777" w:rsidR="00465964" w:rsidRPr="00465964" w:rsidRDefault="00465964" w:rsidP="00465964">
            <w:r w:rsidRPr="00465964">
              <w:t>9.</w:t>
            </w:r>
          </w:p>
        </w:tc>
        <w:tc>
          <w:tcPr>
            <w:tcW w:w="0" w:type="auto"/>
            <w:shd w:val="clear" w:color="auto" w:fill="auto"/>
            <w:hideMark/>
          </w:tcPr>
          <w:p w14:paraId="4BAE315A" w14:textId="77777777" w:rsidR="00465964" w:rsidRPr="00465964" w:rsidRDefault="00465964" w:rsidP="00465964">
            <w:pPr>
              <w:rPr>
                <w:lang w:val="pt-PT"/>
              </w:rPr>
            </w:pPr>
            <w:r w:rsidRPr="00465964">
              <w:rPr>
                <w:lang w:val="pt-PT"/>
              </w:rPr>
              <w:t xml:space="preserve">Informações sobre a natureza e a </w:t>
            </w:r>
            <w:proofErr w:type="spellStart"/>
            <w:r w:rsidRPr="00465964">
              <w:rPr>
                <w:lang w:val="pt-PT"/>
              </w:rPr>
              <w:t>executoriedade</w:t>
            </w:r>
            <w:proofErr w:type="spellEnd"/>
            <w:r w:rsidRPr="00465964">
              <w:rPr>
                <w:lang w:val="pt-PT"/>
              </w:rPr>
              <w:t xml:space="preserve"> dos direitos, incluindo os direitos de reembolso permanentes e quaisquer créditos que os detentores e qualquer pessoa singular ou coletiva a que se refere o artigo 39.</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2, possam ter sobre o emitente, incluindo informações sobre a forma como esses direitos serão tratados em caso de processos de insolvência, informações que indiquem se são atribuídos direitos diferentes a diferentes detentores e as razões não discriminatórias para essa diferença de tratamento;</w:t>
            </w:r>
          </w:p>
        </w:tc>
      </w:tr>
    </w:tbl>
    <w:p w14:paraId="73031DF2"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298"/>
        <w:gridCol w:w="8728"/>
      </w:tblGrid>
      <w:tr w:rsidR="00465964" w:rsidRPr="00465964" w14:paraId="7FCAA49C" w14:textId="77777777" w:rsidTr="00465964">
        <w:tc>
          <w:tcPr>
            <w:tcW w:w="0" w:type="auto"/>
            <w:shd w:val="clear" w:color="auto" w:fill="auto"/>
            <w:hideMark/>
          </w:tcPr>
          <w:p w14:paraId="59A0BEE1" w14:textId="77777777" w:rsidR="00465964" w:rsidRPr="00465964" w:rsidRDefault="00465964" w:rsidP="00465964">
            <w:r w:rsidRPr="00465964">
              <w:t>10.</w:t>
            </w:r>
          </w:p>
        </w:tc>
        <w:tc>
          <w:tcPr>
            <w:tcW w:w="0" w:type="auto"/>
            <w:shd w:val="clear" w:color="auto" w:fill="auto"/>
            <w:hideMark/>
          </w:tcPr>
          <w:p w14:paraId="06C7A239" w14:textId="77777777" w:rsidR="00465964" w:rsidRPr="00465964" w:rsidRDefault="00465964" w:rsidP="00465964">
            <w:pPr>
              <w:rPr>
                <w:lang w:val="pt-PT"/>
              </w:rPr>
            </w:pPr>
            <w:r w:rsidRPr="00465964">
              <w:rPr>
                <w:lang w:val="pt-PT"/>
              </w:rPr>
              <w:t xml:space="preserve">Uma descrição pormenorizada do crédito que a </w:t>
            </w:r>
            <w:proofErr w:type="spellStart"/>
            <w:r w:rsidRPr="00465964">
              <w:rPr>
                <w:lang w:val="pt-PT"/>
              </w:rPr>
              <w:t>criptoficha</w:t>
            </w:r>
            <w:proofErr w:type="spellEnd"/>
            <w:r w:rsidRPr="00465964">
              <w:rPr>
                <w:lang w:val="pt-PT"/>
              </w:rPr>
              <w:t xml:space="preserve"> referenciada a ativos representa para os detentores, nomeadamente:</w:t>
            </w:r>
          </w:p>
          <w:tbl>
            <w:tblPr>
              <w:tblW w:w="5000" w:type="pct"/>
              <w:tblCellMar>
                <w:left w:w="0" w:type="dxa"/>
                <w:right w:w="0" w:type="dxa"/>
              </w:tblCellMar>
              <w:tblLook w:val="04A0" w:firstRow="1" w:lastRow="0" w:firstColumn="1" w:lastColumn="0" w:noHBand="0" w:noVBand="1"/>
            </w:tblPr>
            <w:tblGrid>
              <w:gridCol w:w="182"/>
              <w:gridCol w:w="8546"/>
            </w:tblGrid>
            <w:tr w:rsidR="00465964" w:rsidRPr="00465964" w14:paraId="19CF4E49" w14:textId="77777777">
              <w:tc>
                <w:tcPr>
                  <w:tcW w:w="0" w:type="auto"/>
                  <w:shd w:val="clear" w:color="auto" w:fill="auto"/>
                  <w:hideMark/>
                </w:tcPr>
                <w:p w14:paraId="33A70813" w14:textId="77777777" w:rsidR="00465964" w:rsidRPr="00465964" w:rsidRDefault="00465964" w:rsidP="00465964">
                  <w:r w:rsidRPr="00465964">
                    <w:t>a)</w:t>
                  </w:r>
                </w:p>
              </w:tc>
              <w:tc>
                <w:tcPr>
                  <w:tcW w:w="0" w:type="auto"/>
                  <w:shd w:val="clear" w:color="auto" w:fill="auto"/>
                  <w:hideMark/>
                </w:tcPr>
                <w:p w14:paraId="29ED908E" w14:textId="77777777" w:rsidR="00465964" w:rsidRPr="00465964" w:rsidRDefault="00465964" w:rsidP="00465964">
                  <w:pPr>
                    <w:rPr>
                      <w:lang w:val="pt-PT"/>
                    </w:rPr>
                  </w:pPr>
                  <w:r w:rsidRPr="00465964">
                    <w:rPr>
                      <w:lang w:val="pt-PT"/>
                    </w:rPr>
                    <w:t>A descrição de cada ativo de referência e a proporção especificada de cada um desses ativos;</w:t>
                  </w:r>
                </w:p>
              </w:tc>
            </w:tr>
          </w:tbl>
          <w:p w14:paraId="40FB10EC"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8"/>
              <w:gridCol w:w="8540"/>
            </w:tblGrid>
            <w:tr w:rsidR="00465964" w:rsidRPr="00465964" w14:paraId="20C833B4" w14:textId="77777777">
              <w:tc>
                <w:tcPr>
                  <w:tcW w:w="0" w:type="auto"/>
                  <w:shd w:val="clear" w:color="auto" w:fill="auto"/>
                  <w:hideMark/>
                </w:tcPr>
                <w:p w14:paraId="7AC515BB" w14:textId="77777777" w:rsidR="00465964" w:rsidRPr="00465964" w:rsidRDefault="00465964" w:rsidP="00465964">
                  <w:r w:rsidRPr="00465964">
                    <w:t>b)</w:t>
                  </w:r>
                </w:p>
              </w:tc>
              <w:tc>
                <w:tcPr>
                  <w:tcW w:w="0" w:type="auto"/>
                  <w:shd w:val="clear" w:color="auto" w:fill="auto"/>
                  <w:hideMark/>
                </w:tcPr>
                <w:p w14:paraId="75DFABA1" w14:textId="77777777" w:rsidR="00465964" w:rsidRPr="00465964" w:rsidRDefault="00465964" w:rsidP="00465964">
                  <w:pPr>
                    <w:rPr>
                      <w:lang w:val="pt-PT"/>
                    </w:rPr>
                  </w:pPr>
                  <w:r w:rsidRPr="00465964">
                    <w:rPr>
                      <w:lang w:val="pt-PT"/>
                    </w:rPr>
                    <w:t>A relação entre o valor dos ativos de referência e o montante do crédito e a reserva de ativos; e</w:t>
                  </w:r>
                </w:p>
              </w:tc>
            </w:tr>
          </w:tbl>
          <w:p w14:paraId="3B744FBE"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0"/>
              <w:gridCol w:w="8548"/>
            </w:tblGrid>
            <w:tr w:rsidR="00465964" w:rsidRPr="00465964" w14:paraId="3AD63A71" w14:textId="77777777">
              <w:tc>
                <w:tcPr>
                  <w:tcW w:w="0" w:type="auto"/>
                  <w:shd w:val="clear" w:color="auto" w:fill="auto"/>
                  <w:hideMark/>
                </w:tcPr>
                <w:p w14:paraId="7823ED35" w14:textId="77777777" w:rsidR="00465964" w:rsidRPr="00465964" w:rsidRDefault="00465964" w:rsidP="00465964">
                  <w:r w:rsidRPr="00465964">
                    <w:t>c)</w:t>
                  </w:r>
                </w:p>
              </w:tc>
              <w:tc>
                <w:tcPr>
                  <w:tcW w:w="0" w:type="auto"/>
                  <w:shd w:val="clear" w:color="auto" w:fill="auto"/>
                  <w:hideMark/>
                </w:tcPr>
                <w:p w14:paraId="15500B82" w14:textId="77777777" w:rsidR="00465964" w:rsidRPr="00465964" w:rsidRDefault="00465964" w:rsidP="00465964">
                  <w:pPr>
                    <w:rPr>
                      <w:lang w:val="pt-PT"/>
                    </w:rPr>
                  </w:pPr>
                  <w:r w:rsidRPr="00465964">
                    <w:rPr>
                      <w:lang w:val="pt-PT"/>
                    </w:rPr>
                    <w:t>Uma descrição da forma como é efetuada uma avaliação justa e transparente das componentes do crédito, que identifique, se for caso disso, as partes independentes;</w:t>
                  </w:r>
                </w:p>
              </w:tc>
            </w:tr>
          </w:tbl>
          <w:p w14:paraId="478CCE14" w14:textId="77777777" w:rsidR="00465964" w:rsidRPr="00465964" w:rsidRDefault="00465964" w:rsidP="00465964">
            <w:pPr>
              <w:rPr>
                <w:lang w:val="pt-PT"/>
              </w:rPr>
            </w:pPr>
          </w:p>
        </w:tc>
      </w:tr>
    </w:tbl>
    <w:p w14:paraId="1C1A0297"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298"/>
        <w:gridCol w:w="8728"/>
      </w:tblGrid>
      <w:tr w:rsidR="00465964" w:rsidRPr="00465964" w14:paraId="36B82CDD" w14:textId="77777777" w:rsidTr="00465964">
        <w:tc>
          <w:tcPr>
            <w:tcW w:w="0" w:type="auto"/>
            <w:shd w:val="clear" w:color="auto" w:fill="auto"/>
            <w:hideMark/>
          </w:tcPr>
          <w:p w14:paraId="2CE20F88" w14:textId="77777777" w:rsidR="00465964" w:rsidRPr="00465964" w:rsidRDefault="00465964" w:rsidP="00465964">
            <w:r w:rsidRPr="00465964">
              <w:t>11.</w:t>
            </w:r>
          </w:p>
        </w:tc>
        <w:tc>
          <w:tcPr>
            <w:tcW w:w="0" w:type="auto"/>
            <w:shd w:val="clear" w:color="auto" w:fill="auto"/>
            <w:hideMark/>
          </w:tcPr>
          <w:p w14:paraId="777AA27A" w14:textId="77777777" w:rsidR="00465964" w:rsidRPr="00465964" w:rsidRDefault="00465964" w:rsidP="00465964">
            <w:pPr>
              <w:rPr>
                <w:lang w:val="pt-PT"/>
              </w:rPr>
            </w:pPr>
            <w:r w:rsidRPr="00465964">
              <w:rPr>
                <w:lang w:val="pt-PT"/>
              </w:rPr>
              <w:t xml:space="preserve">Quando aplicável, informação sobre as medidas adotadas pelo emitente para assegurar a liquidez da </w:t>
            </w:r>
            <w:proofErr w:type="spellStart"/>
            <w:r w:rsidRPr="00465964">
              <w:rPr>
                <w:lang w:val="pt-PT"/>
              </w:rPr>
              <w:t>criptoficha</w:t>
            </w:r>
            <w:proofErr w:type="spellEnd"/>
            <w:r w:rsidRPr="00465964">
              <w:rPr>
                <w:lang w:val="pt-PT"/>
              </w:rPr>
              <w:t xml:space="preserve"> referenciada a ativos, incluindo o nome das entidades responsáveis por assegurar essa liquidez;</w:t>
            </w:r>
          </w:p>
        </w:tc>
      </w:tr>
    </w:tbl>
    <w:p w14:paraId="529DEE94"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298"/>
        <w:gridCol w:w="8728"/>
      </w:tblGrid>
      <w:tr w:rsidR="00465964" w:rsidRPr="00465964" w14:paraId="1C4CD139" w14:textId="77777777" w:rsidTr="00465964">
        <w:tc>
          <w:tcPr>
            <w:tcW w:w="0" w:type="auto"/>
            <w:shd w:val="clear" w:color="auto" w:fill="auto"/>
            <w:hideMark/>
          </w:tcPr>
          <w:p w14:paraId="0FD68ADF" w14:textId="77777777" w:rsidR="00465964" w:rsidRPr="00465964" w:rsidRDefault="00465964" w:rsidP="00465964">
            <w:r w:rsidRPr="00465964">
              <w:t>12.</w:t>
            </w:r>
          </w:p>
        </w:tc>
        <w:tc>
          <w:tcPr>
            <w:tcW w:w="0" w:type="auto"/>
            <w:shd w:val="clear" w:color="auto" w:fill="auto"/>
            <w:hideMark/>
          </w:tcPr>
          <w:p w14:paraId="349A3E17" w14:textId="77777777" w:rsidR="00465964" w:rsidRPr="00465964" w:rsidRDefault="00465964" w:rsidP="00465964">
            <w:pPr>
              <w:rPr>
                <w:lang w:val="pt-PT"/>
              </w:rPr>
            </w:pPr>
            <w:r w:rsidRPr="00465964">
              <w:rPr>
                <w:lang w:val="pt-PT"/>
              </w:rPr>
              <w:t xml:space="preserve">Informações de contacto para a apresentação de reclamações e descrição dos procedimentos de tratamento das reclamações e de qualquer mecanismo de resolução de litígios ou procedimento de recurso estabelecido pelo emitente da </w:t>
            </w:r>
            <w:proofErr w:type="spellStart"/>
            <w:r w:rsidRPr="00465964">
              <w:rPr>
                <w:lang w:val="pt-PT"/>
              </w:rPr>
              <w:t>criptoficha</w:t>
            </w:r>
            <w:proofErr w:type="spellEnd"/>
            <w:r w:rsidRPr="00465964">
              <w:rPr>
                <w:lang w:val="pt-PT"/>
              </w:rPr>
              <w:t xml:space="preserve"> referenciada a ativos;</w:t>
            </w:r>
          </w:p>
        </w:tc>
      </w:tr>
    </w:tbl>
    <w:p w14:paraId="4A033B84"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298"/>
        <w:gridCol w:w="8728"/>
      </w:tblGrid>
      <w:tr w:rsidR="00465964" w:rsidRPr="00465964" w14:paraId="5CB317CB" w14:textId="77777777" w:rsidTr="00465964">
        <w:tc>
          <w:tcPr>
            <w:tcW w:w="0" w:type="auto"/>
            <w:shd w:val="clear" w:color="auto" w:fill="auto"/>
            <w:hideMark/>
          </w:tcPr>
          <w:p w14:paraId="790F1F8D" w14:textId="77777777" w:rsidR="00465964" w:rsidRPr="00465964" w:rsidRDefault="00465964" w:rsidP="00465964">
            <w:r w:rsidRPr="00465964">
              <w:lastRenderedPageBreak/>
              <w:t>13.</w:t>
            </w:r>
          </w:p>
        </w:tc>
        <w:tc>
          <w:tcPr>
            <w:tcW w:w="0" w:type="auto"/>
            <w:shd w:val="clear" w:color="auto" w:fill="auto"/>
            <w:hideMark/>
          </w:tcPr>
          <w:p w14:paraId="543A53F1" w14:textId="77777777" w:rsidR="00465964" w:rsidRPr="00465964" w:rsidRDefault="00465964" w:rsidP="00465964">
            <w:pPr>
              <w:rPr>
                <w:lang w:val="pt-PT"/>
              </w:rPr>
            </w:pPr>
            <w:r w:rsidRPr="00465964">
              <w:rPr>
                <w:lang w:val="pt-PT"/>
              </w:rPr>
              <w:t>Uma descrição dos direitos dos detentores quando o emitente não está em condições de cumprir as suas obrigações, inclusive em caso de insolvência;</w:t>
            </w:r>
          </w:p>
        </w:tc>
      </w:tr>
    </w:tbl>
    <w:p w14:paraId="5DA4BF61"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347"/>
        <w:gridCol w:w="8679"/>
      </w:tblGrid>
      <w:tr w:rsidR="00465964" w:rsidRPr="00465964" w14:paraId="770051DD" w14:textId="77777777" w:rsidTr="00465964">
        <w:tc>
          <w:tcPr>
            <w:tcW w:w="0" w:type="auto"/>
            <w:shd w:val="clear" w:color="auto" w:fill="auto"/>
            <w:hideMark/>
          </w:tcPr>
          <w:p w14:paraId="144ED704" w14:textId="77777777" w:rsidR="00465964" w:rsidRPr="00465964" w:rsidRDefault="00465964" w:rsidP="00465964">
            <w:r w:rsidRPr="00465964">
              <w:t>14.</w:t>
            </w:r>
          </w:p>
        </w:tc>
        <w:tc>
          <w:tcPr>
            <w:tcW w:w="0" w:type="auto"/>
            <w:shd w:val="clear" w:color="auto" w:fill="auto"/>
            <w:hideMark/>
          </w:tcPr>
          <w:p w14:paraId="2F9B61B6" w14:textId="77777777" w:rsidR="00465964" w:rsidRPr="00465964" w:rsidRDefault="00465964" w:rsidP="00465964">
            <w:pPr>
              <w:rPr>
                <w:lang w:val="pt-PT"/>
              </w:rPr>
            </w:pPr>
            <w:r w:rsidRPr="00465964">
              <w:rPr>
                <w:lang w:val="pt-PT"/>
              </w:rPr>
              <w:t>Uma descrição dos direitos no contexto da execução do plano de recuperação;</w:t>
            </w:r>
          </w:p>
        </w:tc>
      </w:tr>
    </w:tbl>
    <w:p w14:paraId="625187D0"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355"/>
        <w:gridCol w:w="8671"/>
      </w:tblGrid>
      <w:tr w:rsidR="00465964" w:rsidRPr="00465964" w14:paraId="05B7170B" w14:textId="77777777" w:rsidTr="00465964">
        <w:tc>
          <w:tcPr>
            <w:tcW w:w="0" w:type="auto"/>
            <w:shd w:val="clear" w:color="auto" w:fill="auto"/>
            <w:hideMark/>
          </w:tcPr>
          <w:p w14:paraId="6CD43291" w14:textId="77777777" w:rsidR="00465964" w:rsidRPr="00465964" w:rsidRDefault="00465964" w:rsidP="00465964">
            <w:r w:rsidRPr="00465964">
              <w:t>15.</w:t>
            </w:r>
          </w:p>
        </w:tc>
        <w:tc>
          <w:tcPr>
            <w:tcW w:w="0" w:type="auto"/>
            <w:shd w:val="clear" w:color="auto" w:fill="auto"/>
            <w:hideMark/>
          </w:tcPr>
          <w:p w14:paraId="23A4D61F" w14:textId="77777777" w:rsidR="00465964" w:rsidRPr="00465964" w:rsidRDefault="00465964" w:rsidP="00465964">
            <w:pPr>
              <w:rPr>
                <w:lang w:val="pt-PT"/>
              </w:rPr>
            </w:pPr>
            <w:r w:rsidRPr="00465964">
              <w:rPr>
                <w:lang w:val="pt-PT"/>
              </w:rPr>
              <w:t>Uma descrição dos direitos no contexto da execução do plano de reembolso;</w:t>
            </w:r>
          </w:p>
        </w:tc>
      </w:tr>
    </w:tbl>
    <w:p w14:paraId="5BFBA1D0"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298"/>
        <w:gridCol w:w="8728"/>
      </w:tblGrid>
      <w:tr w:rsidR="00465964" w:rsidRPr="00465964" w14:paraId="7D974779" w14:textId="77777777" w:rsidTr="00465964">
        <w:tc>
          <w:tcPr>
            <w:tcW w:w="0" w:type="auto"/>
            <w:shd w:val="clear" w:color="auto" w:fill="auto"/>
            <w:hideMark/>
          </w:tcPr>
          <w:p w14:paraId="5F7B97D4" w14:textId="77777777" w:rsidR="00465964" w:rsidRPr="00465964" w:rsidRDefault="00465964" w:rsidP="00465964">
            <w:r w:rsidRPr="00465964">
              <w:t>16.</w:t>
            </w:r>
          </w:p>
        </w:tc>
        <w:tc>
          <w:tcPr>
            <w:tcW w:w="0" w:type="auto"/>
            <w:shd w:val="clear" w:color="auto" w:fill="auto"/>
            <w:hideMark/>
          </w:tcPr>
          <w:p w14:paraId="237C961B" w14:textId="77777777" w:rsidR="00465964" w:rsidRPr="00465964" w:rsidRDefault="00465964" w:rsidP="00465964">
            <w:pPr>
              <w:rPr>
                <w:lang w:val="pt-PT"/>
              </w:rPr>
            </w:pPr>
            <w:r w:rsidRPr="00465964">
              <w:rPr>
                <w:lang w:val="pt-PT"/>
              </w:rPr>
              <w:t xml:space="preserve">Informações pormenorizadas sobre a forma como a </w:t>
            </w:r>
            <w:proofErr w:type="spellStart"/>
            <w:r w:rsidRPr="00465964">
              <w:rPr>
                <w:lang w:val="pt-PT"/>
              </w:rPr>
              <w:t>criptoficha</w:t>
            </w:r>
            <w:proofErr w:type="spellEnd"/>
            <w:r w:rsidRPr="00465964">
              <w:rPr>
                <w:lang w:val="pt-PT"/>
              </w:rPr>
              <w:t xml:space="preserve"> referenciada a ativos é reembolsada, incluindo sobre a questão de saber se o detentor poderá escolher a forma de reembolso, a forma de transferência ou a moeda oficial de reembolso;</w:t>
            </w:r>
          </w:p>
        </w:tc>
      </w:tr>
    </w:tbl>
    <w:p w14:paraId="2F9DD99B"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329"/>
        <w:gridCol w:w="8697"/>
      </w:tblGrid>
      <w:tr w:rsidR="00465964" w:rsidRPr="00465964" w14:paraId="0A14F444" w14:textId="77777777" w:rsidTr="00465964">
        <w:tc>
          <w:tcPr>
            <w:tcW w:w="0" w:type="auto"/>
            <w:shd w:val="clear" w:color="auto" w:fill="auto"/>
            <w:hideMark/>
          </w:tcPr>
          <w:p w14:paraId="55B1D178" w14:textId="77777777" w:rsidR="00465964" w:rsidRPr="00465964" w:rsidRDefault="00465964" w:rsidP="00465964">
            <w:r w:rsidRPr="00465964">
              <w:t>17.</w:t>
            </w:r>
          </w:p>
        </w:tc>
        <w:tc>
          <w:tcPr>
            <w:tcW w:w="0" w:type="auto"/>
            <w:shd w:val="clear" w:color="auto" w:fill="auto"/>
            <w:hideMark/>
          </w:tcPr>
          <w:p w14:paraId="21BDD158" w14:textId="77777777" w:rsidR="00465964" w:rsidRPr="00465964" w:rsidRDefault="00465964" w:rsidP="00465964">
            <w:pPr>
              <w:rPr>
                <w:lang w:val="pt-PT"/>
              </w:rPr>
            </w:pPr>
            <w:r w:rsidRPr="00465964">
              <w:rPr>
                <w:lang w:val="pt-PT"/>
              </w:rPr>
              <w:t xml:space="preserve">A lei aplicável à </w:t>
            </w:r>
            <w:proofErr w:type="spellStart"/>
            <w:r w:rsidRPr="00465964">
              <w:rPr>
                <w:lang w:val="pt-PT"/>
              </w:rPr>
              <w:t>criptoficha</w:t>
            </w:r>
            <w:proofErr w:type="spellEnd"/>
            <w:r w:rsidRPr="00465964">
              <w:rPr>
                <w:lang w:val="pt-PT"/>
              </w:rPr>
              <w:t xml:space="preserve"> referenciada a ativos, bem como o tribunal competente.</w:t>
            </w:r>
          </w:p>
        </w:tc>
      </w:tr>
    </w:tbl>
    <w:p w14:paraId="60EB7944" w14:textId="77777777" w:rsidR="00465964" w:rsidRPr="00465964" w:rsidRDefault="00465964" w:rsidP="00465964">
      <w:pPr>
        <w:rPr>
          <w:b/>
          <w:bCs/>
          <w:lang w:val="pt-PT"/>
        </w:rPr>
      </w:pPr>
      <w:r w:rsidRPr="00465964">
        <w:rPr>
          <w:b/>
          <w:bCs/>
          <w:lang w:val="pt-PT"/>
        </w:rPr>
        <w:t>Parte E: Informações sobre a tecnologia subjacente</w:t>
      </w:r>
    </w:p>
    <w:tbl>
      <w:tblPr>
        <w:tblW w:w="5000" w:type="pct"/>
        <w:tblCellMar>
          <w:left w:w="0" w:type="dxa"/>
          <w:right w:w="0" w:type="dxa"/>
        </w:tblCellMar>
        <w:tblLook w:val="04A0" w:firstRow="1" w:lastRow="0" w:firstColumn="1" w:lastColumn="0" w:noHBand="0" w:noVBand="1"/>
      </w:tblPr>
      <w:tblGrid>
        <w:gridCol w:w="181"/>
        <w:gridCol w:w="8845"/>
      </w:tblGrid>
      <w:tr w:rsidR="00465964" w:rsidRPr="00465964" w14:paraId="12C27C27" w14:textId="77777777" w:rsidTr="00465964">
        <w:tc>
          <w:tcPr>
            <w:tcW w:w="0" w:type="auto"/>
            <w:shd w:val="clear" w:color="auto" w:fill="auto"/>
            <w:hideMark/>
          </w:tcPr>
          <w:p w14:paraId="4498181E" w14:textId="77777777" w:rsidR="00465964" w:rsidRPr="00465964" w:rsidRDefault="00465964" w:rsidP="00465964">
            <w:r w:rsidRPr="00465964">
              <w:t>1.</w:t>
            </w:r>
          </w:p>
        </w:tc>
        <w:tc>
          <w:tcPr>
            <w:tcW w:w="0" w:type="auto"/>
            <w:shd w:val="clear" w:color="auto" w:fill="auto"/>
            <w:hideMark/>
          </w:tcPr>
          <w:p w14:paraId="19E21EC0" w14:textId="0F83F57E" w:rsidR="00465964" w:rsidRPr="00465964" w:rsidRDefault="00465964" w:rsidP="00465964">
            <w:pPr>
              <w:rPr>
                <w:lang w:val="pt-PT"/>
              </w:rPr>
            </w:pPr>
            <w:r w:rsidRPr="00465964">
              <w:rPr>
                <w:lang w:val="pt-PT"/>
              </w:rPr>
              <w:t xml:space="preserve">Informação sobre a tecnologia utilizada, incluindo a tecnologia de registo distribuído, bem como os protocolos e as normas técnicas utilizadas, que permitem a detenção, armazenamento e transferência de </w:t>
            </w:r>
            <w:r>
              <w:rPr>
                <w:lang w:val="pt-PT"/>
              </w:rPr>
              <w:t>criptomoedas</w:t>
            </w:r>
            <w:r w:rsidRPr="00465964">
              <w:rPr>
                <w:lang w:val="pt-PT"/>
              </w:rPr>
              <w:t xml:space="preserve"> referenciadas a ativos;</w:t>
            </w:r>
          </w:p>
        </w:tc>
      </w:tr>
    </w:tbl>
    <w:p w14:paraId="4A2193D2"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349"/>
        <w:gridCol w:w="8677"/>
      </w:tblGrid>
      <w:tr w:rsidR="00465964" w:rsidRPr="00465964" w14:paraId="18191F7C" w14:textId="77777777" w:rsidTr="00465964">
        <w:tc>
          <w:tcPr>
            <w:tcW w:w="0" w:type="auto"/>
            <w:shd w:val="clear" w:color="auto" w:fill="auto"/>
            <w:hideMark/>
          </w:tcPr>
          <w:p w14:paraId="0530CD36" w14:textId="77777777" w:rsidR="00465964" w:rsidRPr="00465964" w:rsidRDefault="00465964" w:rsidP="00465964">
            <w:r w:rsidRPr="00465964">
              <w:t>2.</w:t>
            </w:r>
          </w:p>
        </w:tc>
        <w:tc>
          <w:tcPr>
            <w:tcW w:w="0" w:type="auto"/>
            <w:shd w:val="clear" w:color="auto" w:fill="auto"/>
            <w:hideMark/>
          </w:tcPr>
          <w:p w14:paraId="3C3D5600" w14:textId="77777777" w:rsidR="00465964" w:rsidRPr="00465964" w:rsidRDefault="00465964" w:rsidP="00465964">
            <w:pPr>
              <w:rPr>
                <w:lang w:val="pt-PT"/>
              </w:rPr>
            </w:pPr>
            <w:r w:rsidRPr="00465964">
              <w:rPr>
                <w:lang w:val="pt-PT"/>
              </w:rPr>
              <w:t>O mecanismo de consenso, quando pertinente;</w:t>
            </w:r>
          </w:p>
        </w:tc>
      </w:tr>
    </w:tbl>
    <w:p w14:paraId="16D99797"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1"/>
        <w:gridCol w:w="8845"/>
      </w:tblGrid>
      <w:tr w:rsidR="00465964" w:rsidRPr="00465964" w14:paraId="17DE15DE" w14:textId="77777777" w:rsidTr="00465964">
        <w:tc>
          <w:tcPr>
            <w:tcW w:w="0" w:type="auto"/>
            <w:shd w:val="clear" w:color="auto" w:fill="auto"/>
            <w:hideMark/>
          </w:tcPr>
          <w:p w14:paraId="34993088" w14:textId="77777777" w:rsidR="00465964" w:rsidRPr="00465964" w:rsidRDefault="00465964" w:rsidP="00465964">
            <w:r w:rsidRPr="00465964">
              <w:t>3.</w:t>
            </w:r>
          </w:p>
        </w:tc>
        <w:tc>
          <w:tcPr>
            <w:tcW w:w="0" w:type="auto"/>
            <w:shd w:val="clear" w:color="auto" w:fill="auto"/>
            <w:hideMark/>
          </w:tcPr>
          <w:p w14:paraId="73E79F7B" w14:textId="77777777" w:rsidR="00465964" w:rsidRPr="00465964" w:rsidRDefault="00465964" w:rsidP="00465964">
            <w:pPr>
              <w:rPr>
                <w:lang w:val="pt-PT"/>
              </w:rPr>
            </w:pPr>
            <w:r w:rsidRPr="00465964">
              <w:rPr>
                <w:lang w:val="pt-PT"/>
              </w:rPr>
              <w:t>Mecanismos de incentivo para garantir a segurança das transações e eventuais comissões aplicáveis;</w:t>
            </w:r>
          </w:p>
        </w:tc>
      </w:tr>
    </w:tbl>
    <w:p w14:paraId="3DF99394"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1"/>
        <w:gridCol w:w="8845"/>
      </w:tblGrid>
      <w:tr w:rsidR="00465964" w:rsidRPr="00465964" w14:paraId="4CFF0A38" w14:textId="77777777" w:rsidTr="00465964">
        <w:tc>
          <w:tcPr>
            <w:tcW w:w="0" w:type="auto"/>
            <w:shd w:val="clear" w:color="auto" w:fill="auto"/>
            <w:hideMark/>
          </w:tcPr>
          <w:p w14:paraId="2A9F7BDE" w14:textId="77777777" w:rsidR="00465964" w:rsidRPr="00465964" w:rsidRDefault="00465964" w:rsidP="00465964">
            <w:r w:rsidRPr="00465964">
              <w:t>4.</w:t>
            </w:r>
          </w:p>
        </w:tc>
        <w:tc>
          <w:tcPr>
            <w:tcW w:w="0" w:type="auto"/>
            <w:shd w:val="clear" w:color="auto" w:fill="auto"/>
            <w:hideMark/>
          </w:tcPr>
          <w:p w14:paraId="435FCB17" w14:textId="0977DA74" w:rsidR="00465964" w:rsidRPr="00465964" w:rsidRDefault="00465964" w:rsidP="00465964">
            <w:pPr>
              <w:rPr>
                <w:lang w:val="pt-PT"/>
              </w:rPr>
            </w:pPr>
            <w:r w:rsidRPr="00465964">
              <w:rPr>
                <w:lang w:val="pt-PT"/>
              </w:rPr>
              <w:t xml:space="preserve">Se as </w:t>
            </w:r>
            <w:r>
              <w:rPr>
                <w:lang w:val="pt-PT"/>
              </w:rPr>
              <w:t>criptomoedas</w:t>
            </w:r>
            <w:r w:rsidRPr="00465964">
              <w:rPr>
                <w:lang w:val="pt-PT"/>
              </w:rPr>
              <w:t xml:space="preserve"> referenciadas a ativos forem emitidas, transferidas e armazenadas utilizando uma tecnologia de registo distribuído gerida pelo emitente ou por um terceiro em nome do emitente, uma descrição pormenorizada do funcionamento dessa tecnologia de registo distribuído;</w:t>
            </w:r>
          </w:p>
        </w:tc>
      </w:tr>
    </w:tbl>
    <w:p w14:paraId="6F37F084"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1"/>
        <w:gridCol w:w="8845"/>
      </w:tblGrid>
      <w:tr w:rsidR="00465964" w:rsidRPr="00465964" w14:paraId="7322A0B8" w14:textId="77777777" w:rsidTr="00465964">
        <w:tc>
          <w:tcPr>
            <w:tcW w:w="0" w:type="auto"/>
            <w:shd w:val="clear" w:color="auto" w:fill="auto"/>
            <w:hideMark/>
          </w:tcPr>
          <w:p w14:paraId="5012E08D" w14:textId="77777777" w:rsidR="00465964" w:rsidRPr="00465964" w:rsidRDefault="00465964" w:rsidP="00465964">
            <w:r w:rsidRPr="00465964">
              <w:t>5.</w:t>
            </w:r>
          </w:p>
        </w:tc>
        <w:tc>
          <w:tcPr>
            <w:tcW w:w="0" w:type="auto"/>
            <w:shd w:val="clear" w:color="auto" w:fill="auto"/>
            <w:hideMark/>
          </w:tcPr>
          <w:p w14:paraId="7F3D70F0" w14:textId="77777777" w:rsidR="00465964" w:rsidRPr="00465964" w:rsidRDefault="00465964" w:rsidP="00465964">
            <w:pPr>
              <w:rPr>
                <w:lang w:val="pt-PT"/>
              </w:rPr>
            </w:pPr>
            <w:r w:rsidRPr="00465964">
              <w:rPr>
                <w:lang w:val="pt-PT"/>
              </w:rPr>
              <w:t>Informações sobre o resultado da auditoria à tecnologia utilizada, se tal auditoria foi realizada.</w:t>
            </w:r>
          </w:p>
        </w:tc>
      </w:tr>
    </w:tbl>
    <w:p w14:paraId="127CA4AA" w14:textId="77777777" w:rsidR="00465964" w:rsidRPr="00465964" w:rsidRDefault="00465964" w:rsidP="00465964">
      <w:pPr>
        <w:rPr>
          <w:b/>
          <w:bCs/>
          <w:lang w:val="pt-PT"/>
        </w:rPr>
      </w:pPr>
      <w:r w:rsidRPr="00465964">
        <w:rPr>
          <w:b/>
          <w:bCs/>
          <w:lang w:val="pt-PT"/>
        </w:rPr>
        <w:t>Parte F: Informação sobre os riscos</w:t>
      </w:r>
    </w:p>
    <w:tbl>
      <w:tblPr>
        <w:tblW w:w="5000" w:type="pct"/>
        <w:tblCellMar>
          <w:left w:w="0" w:type="dxa"/>
          <w:right w:w="0" w:type="dxa"/>
        </w:tblCellMar>
        <w:tblLook w:val="04A0" w:firstRow="1" w:lastRow="0" w:firstColumn="1" w:lastColumn="0" w:noHBand="0" w:noVBand="1"/>
      </w:tblPr>
      <w:tblGrid>
        <w:gridCol w:w="181"/>
        <w:gridCol w:w="8845"/>
      </w:tblGrid>
      <w:tr w:rsidR="00465964" w:rsidRPr="00465964" w14:paraId="366C5DCC" w14:textId="77777777" w:rsidTr="00465964">
        <w:tc>
          <w:tcPr>
            <w:tcW w:w="0" w:type="auto"/>
            <w:shd w:val="clear" w:color="auto" w:fill="auto"/>
            <w:hideMark/>
          </w:tcPr>
          <w:p w14:paraId="52C5BDF0" w14:textId="77777777" w:rsidR="00465964" w:rsidRPr="00465964" w:rsidRDefault="00465964" w:rsidP="00465964">
            <w:r w:rsidRPr="00465964">
              <w:t>1.</w:t>
            </w:r>
          </w:p>
        </w:tc>
        <w:tc>
          <w:tcPr>
            <w:tcW w:w="0" w:type="auto"/>
            <w:shd w:val="clear" w:color="auto" w:fill="auto"/>
            <w:hideMark/>
          </w:tcPr>
          <w:p w14:paraId="0714722A" w14:textId="77777777" w:rsidR="00465964" w:rsidRPr="00465964" w:rsidRDefault="00465964" w:rsidP="00465964">
            <w:pPr>
              <w:rPr>
                <w:lang w:val="pt-PT"/>
              </w:rPr>
            </w:pPr>
            <w:r w:rsidRPr="00465964">
              <w:rPr>
                <w:lang w:val="pt-PT"/>
              </w:rPr>
              <w:t>Os riscos relacionados com a reserva de ativos, quando o emitente não está em condições de cumprir as suas obrigações;</w:t>
            </w:r>
          </w:p>
        </w:tc>
      </w:tr>
    </w:tbl>
    <w:p w14:paraId="765718D9"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95"/>
        <w:gridCol w:w="8831"/>
      </w:tblGrid>
      <w:tr w:rsidR="00465964" w:rsidRPr="00465964" w14:paraId="7AC1802D" w14:textId="77777777" w:rsidTr="00465964">
        <w:tc>
          <w:tcPr>
            <w:tcW w:w="0" w:type="auto"/>
            <w:shd w:val="clear" w:color="auto" w:fill="auto"/>
            <w:hideMark/>
          </w:tcPr>
          <w:p w14:paraId="06613073" w14:textId="77777777" w:rsidR="00465964" w:rsidRPr="00465964" w:rsidRDefault="00465964" w:rsidP="00465964">
            <w:r w:rsidRPr="00465964">
              <w:t>2.</w:t>
            </w:r>
          </w:p>
        </w:tc>
        <w:tc>
          <w:tcPr>
            <w:tcW w:w="0" w:type="auto"/>
            <w:shd w:val="clear" w:color="auto" w:fill="auto"/>
            <w:hideMark/>
          </w:tcPr>
          <w:p w14:paraId="598C69BE" w14:textId="77777777" w:rsidR="00465964" w:rsidRPr="00465964" w:rsidRDefault="00465964" w:rsidP="00465964">
            <w:pPr>
              <w:rPr>
                <w:lang w:val="pt-PT"/>
              </w:rPr>
            </w:pPr>
            <w:r w:rsidRPr="00465964">
              <w:rPr>
                <w:lang w:val="pt-PT"/>
              </w:rPr>
              <w:t xml:space="preserve">Uma descrição dos riscos associados ao emitente da </w:t>
            </w:r>
            <w:proofErr w:type="spellStart"/>
            <w:r w:rsidRPr="00465964">
              <w:rPr>
                <w:lang w:val="pt-PT"/>
              </w:rPr>
              <w:t>criptoficha</w:t>
            </w:r>
            <w:proofErr w:type="spellEnd"/>
            <w:r w:rsidRPr="00465964">
              <w:rPr>
                <w:lang w:val="pt-PT"/>
              </w:rPr>
              <w:t xml:space="preserve"> referenciada a ativos;</w:t>
            </w:r>
          </w:p>
        </w:tc>
      </w:tr>
    </w:tbl>
    <w:p w14:paraId="6C5F3C99"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1"/>
        <w:gridCol w:w="8845"/>
      </w:tblGrid>
      <w:tr w:rsidR="00465964" w:rsidRPr="00465964" w14:paraId="1FA7C0D9" w14:textId="77777777" w:rsidTr="00465964">
        <w:tc>
          <w:tcPr>
            <w:tcW w:w="0" w:type="auto"/>
            <w:shd w:val="clear" w:color="auto" w:fill="auto"/>
            <w:hideMark/>
          </w:tcPr>
          <w:p w14:paraId="1CA4BC56" w14:textId="77777777" w:rsidR="00465964" w:rsidRPr="00465964" w:rsidRDefault="00465964" w:rsidP="00465964">
            <w:r w:rsidRPr="00465964">
              <w:t>3.</w:t>
            </w:r>
          </w:p>
        </w:tc>
        <w:tc>
          <w:tcPr>
            <w:tcW w:w="0" w:type="auto"/>
            <w:shd w:val="clear" w:color="auto" w:fill="auto"/>
            <w:hideMark/>
          </w:tcPr>
          <w:p w14:paraId="76D9E15E" w14:textId="77777777" w:rsidR="00465964" w:rsidRPr="00465964" w:rsidRDefault="00465964" w:rsidP="00465964">
            <w:pPr>
              <w:rPr>
                <w:lang w:val="pt-PT"/>
              </w:rPr>
            </w:pPr>
            <w:r w:rsidRPr="00465964">
              <w:rPr>
                <w:lang w:val="pt-PT"/>
              </w:rPr>
              <w:t xml:space="preserve">Uma descrição dos riscos associados à oferta pública da </w:t>
            </w:r>
            <w:proofErr w:type="spellStart"/>
            <w:r w:rsidRPr="00465964">
              <w:rPr>
                <w:lang w:val="pt-PT"/>
              </w:rPr>
              <w:t>criptoficha</w:t>
            </w:r>
            <w:proofErr w:type="spellEnd"/>
            <w:r w:rsidRPr="00465964">
              <w:rPr>
                <w:lang w:val="pt-PT"/>
              </w:rPr>
              <w:t xml:space="preserve"> referenciada a ativos ou à sua admissão à negociação;</w:t>
            </w:r>
          </w:p>
        </w:tc>
      </w:tr>
    </w:tbl>
    <w:p w14:paraId="019DF551"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1"/>
        <w:gridCol w:w="8845"/>
      </w:tblGrid>
      <w:tr w:rsidR="00465964" w:rsidRPr="00465964" w14:paraId="21715089" w14:textId="77777777" w:rsidTr="00465964">
        <w:tc>
          <w:tcPr>
            <w:tcW w:w="0" w:type="auto"/>
            <w:shd w:val="clear" w:color="auto" w:fill="auto"/>
            <w:hideMark/>
          </w:tcPr>
          <w:p w14:paraId="23D8C58C" w14:textId="77777777" w:rsidR="00465964" w:rsidRPr="00465964" w:rsidRDefault="00465964" w:rsidP="00465964">
            <w:r w:rsidRPr="00465964">
              <w:t>4.</w:t>
            </w:r>
          </w:p>
        </w:tc>
        <w:tc>
          <w:tcPr>
            <w:tcW w:w="0" w:type="auto"/>
            <w:shd w:val="clear" w:color="auto" w:fill="auto"/>
            <w:hideMark/>
          </w:tcPr>
          <w:p w14:paraId="4E1F4A46" w14:textId="77777777" w:rsidR="00465964" w:rsidRPr="00465964" w:rsidRDefault="00465964" w:rsidP="00465964">
            <w:pPr>
              <w:rPr>
                <w:lang w:val="pt-PT"/>
              </w:rPr>
            </w:pPr>
            <w:r w:rsidRPr="00465964">
              <w:rPr>
                <w:lang w:val="pt-PT"/>
              </w:rPr>
              <w:t xml:space="preserve">Uma descrição dos riscos associados à </w:t>
            </w:r>
            <w:proofErr w:type="spellStart"/>
            <w:r w:rsidRPr="00465964">
              <w:rPr>
                <w:lang w:val="pt-PT"/>
              </w:rPr>
              <w:t>criptoficha</w:t>
            </w:r>
            <w:proofErr w:type="spellEnd"/>
            <w:r w:rsidRPr="00465964">
              <w:rPr>
                <w:lang w:val="pt-PT"/>
              </w:rPr>
              <w:t xml:space="preserve"> referenciada a ativos, em especial no que respeita aos ativos a que a </w:t>
            </w:r>
            <w:proofErr w:type="spellStart"/>
            <w:r w:rsidRPr="00465964">
              <w:rPr>
                <w:lang w:val="pt-PT"/>
              </w:rPr>
              <w:t>criptoficha</w:t>
            </w:r>
            <w:proofErr w:type="spellEnd"/>
            <w:r w:rsidRPr="00465964">
              <w:rPr>
                <w:lang w:val="pt-PT"/>
              </w:rPr>
              <w:t xml:space="preserve"> está referenciada;</w:t>
            </w:r>
          </w:p>
        </w:tc>
      </w:tr>
    </w:tbl>
    <w:p w14:paraId="132B658C"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1"/>
        <w:gridCol w:w="8845"/>
      </w:tblGrid>
      <w:tr w:rsidR="00465964" w:rsidRPr="00465964" w14:paraId="075DE302" w14:textId="77777777" w:rsidTr="00465964">
        <w:tc>
          <w:tcPr>
            <w:tcW w:w="0" w:type="auto"/>
            <w:shd w:val="clear" w:color="auto" w:fill="auto"/>
            <w:hideMark/>
          </w:tcPr>
          <w:p w14:paraId="02E3742B" w14:textId="77777777" w:rsidR="00465964" w:rsidRPr="00465964" w:rsidRDefault="00465964" w:rsidP="00465964">
            <w:r w:rsidRPr="00465964">
              <w:t>5.</w:t>
            </w:r>
          </w:p>
        </w:tc>
        <w:tc>
          <w:tcPr>
            <w:tcW w:w="0" w:type="auto"/>
            <w:shd w:val="clear" w:color="auto" w:fill="auto"/>
            <w:hideMark/>
          </w:tcPr>
          <w:p w14:paraId="6AEC53F6" w14:textId="77777777" w:rsidR="00465964" w:rsidRPr="00465964" w:rsidRDefault="00465964" w:rsidP="00465964">
            <w:pPr>
              <w:rPr>
                <w:lang w:val="pt-PT"/>
              </w:rPr>
            </w:pPr>
            <w:r w:rsidRPr="00465964">
              <w:rPr>
                <w:lang w:val="pt-PT"/>
              </w:rPr>
              <w:t xml:space="preserve">Uma descrição dos riscos associados à operacionalização do projeto da </w:t>
            </w:r>
            <w:proofErr w:type="spellStart"/>
            <w:r w:rsidRPr="00465964">
              <w:rPr>
                <w:lang w:val="pt-PT"/>
              </w:rPr>
              <w:t>criptoficha</w:t>
            </w:r>
            <w:proofErr w:type="spellEnd"/>
            <w:r w:rsidRPr="00465964">
              <w:rPr>
                <w:lang w:val="pt-PT"/>
              </w:rPr>
              <w:t xml:space="preserve"> referenciada a ativos;</w:t>
            </w:r>
          </w:p>
        </w:tc>
      </w:tr>
    </w:tbl>
    <w:p w14:paraId="37DA77A7"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1"/>
        <w:gridCol w:w="8845"/>
      </w:tblGrid>
      <w:tr w:rsidR="00465964" w:rsidRPr="00465964" w14:paraId="5E3810D5" w14:textId="77777777" w:rsidTr="00465964">
        <w:tc>
          <w:tcPr>
            <w:tcW w:w="0" w:type="auto"/>
            <w:shd w:val="clear" w:color="auto" w:fill="auto"/>
            <w:hideMark/>
          </w:tcPr>
          <w:p w14:paraId="532D16C9" w14:textId="77777777" w:rsidR="00465964" w:rsidRPr="00465964" w:rsidRDefault="00465964" w:rsidP="00465964">
            <w:r w:rsidRPr="00465964">
              <w:t>6.</w:t>
            </w:r>
          </w:p>
        </w:tc>
        <w:tc>
          <w:tcPr>
            <w:tcW w:w="0" w:type="auto"/>
            <w:shd w:val="clear" w:color="auto" w:fill="auto"/>
            <w:hideMark/>
          </w:tcPr>
          <w:p w14:paraId="03D0040D" w14:textId="77777777" w:rsidR="00465964" w:rsidRPr="00465964" w:rsidRDefault="00465964" w:rsidP="00465964">
            <w:pPr>
              <w:rPr>
                <w:lang w:val="pt-PT"/>
              </w:rPr>
            </w:pPr>
            <w:r w:rsidRPr="00465964">
              <w:rPr>
                <w:lang w:val="pt-PT"/>
              </w:rPr>
              <w:t>Uma descrição dos riscos associados à tecnologia utilizada, bem como das eventuais medidas de atenuação.</w:t>
            </w:r>
          </w:p>
        </w:tc>
      </w:tr>
    </w:tbl>
    <w:p w14:paraId="27EA985E" w14:textId="77777777" w:rsidR="00465964" w:rsidRPr="00465964" w:rsidRDefault="00465964" w:rsidP="00465964">
      <w:pPr>
        <w:rPr>
          <w:b/>
          <w:bCs/>
          <w:lang w:val="pt-PT"/>
        </w:rPr>
      </w:pPr>
      <w:r w:rsidRPr="00465964">
        <w:rPr>
          <w:b/>
          <w:bCs/>
          <w:lang w:val="pt-PT"/>
        </w:rPr>
        <w:t>Parte G: Informação sobre a reserva de ativos</w:t>
      </w:r>
    </w:p>
    <w:tbl>
      <w:tblPr>
        <w:tblW w:w="5000" w:type="pct"/>
        <w:tblCellMar>
          <w:left w:w="0" w:type="dxa"/>
          <w:right w:w="0" w:type="dxa"/>
        </w:tblCellMar>
        <w:tblLook w:val="04A0" w:firstRow="1" w:lastRow="0" w:firstColumn="1" w:lastColumn="0" w:noHBand="0" w:noVBand="1"/>
      </w:tblPr>
      <w:tblGrid>
        <w:gridCol w:w="181"/>
        <w:gridCol w:w="8845"/>
      </w:tblGrid>
      <w:tr w:rsidR="00465964" w:rsidRPr="00465964" w14:paraId="0A030E4A" w14:textId="77777777" w:rsidTr="00465964">
        <w:tc>
          <w:tcPr>
            <w:tcW w:w="0" w:type="auto"/>
            <w:shd w:val="clear" w:color="auto" w:fill="auto"/>
            <w:hideMark/>
          </w:tcPr>
          <w:p w14:paraId="6DE41195" w14:textId="77777777" w:rsidR="00465964" w:rsidRPr="00465964" w:rsidRDefault="00465964" w:rsidP="00465964">
            <w:r w:rsidRPr="00465964">
              <w:t>1.</w:t>
            </w:r>
          </w:p>
        </w:tc>
        <w:tc>
          <w:tcPr>
            <w:tcW w:w="0" w:type="auto"/>
            <w:shd w:val="clear" w:color="auto" w:fill="auto"/>
            <w:hideMark/>
          </w:tcPr>
          <w:p w14:paraId="61836D40" w14:textId="77777777" w:rsidR="00465964" w:rsidRPr="00465964" w:rsidRDefault="00465964" w:rsidP="00465964">
            <w:pPr>
              <w:rPr>
                <w:lang w:val="pt-PT"/>
              </w:rPr>
            </w:pPr>
            <w:r w:rsidRPr="00465964">
              <w:rPr>
                <w:lang w:val="pt-PT"/>
              </w:rPr>
              <w:t xml:space="preserve">Uma descrição pormenorizada do mecanismo destinado a alinhar o valor da reserva de ativos com o crédito associado à </w:t>
            </w:r>
            <w:proofErr w:type="spellStart"/>
            <w:r w:rsidRPr="00465964">
              <w:rPr>
                <w:lang w:val="pt-PT"/>
              </w:rPr>
              <w:t>criptoficha</w:t>
            </w:r>
            <w:proofErr w:type="spellEnd"/>
            <w:r w:rsidRPr="00465964">
              <w:rPr>
                <w:lang w:val="pt-PT"/>
              </w:rPr>
              <w:t xml:space="preserve"> referenciada a ativos, incluindo os aspetos jurídicos e técnicos;</w:t>
            </w:r>
          </w:p>
        </w:tc>
      </w:tr>
    </w:tbl>
    <w:p w14:paraId="3247DEC9"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213"/>
        <w:gridCol w:w="8813"/>
      </w:tblGrid>
      <w:tr w:rsidR="00465964" w:rsidRPr="00465964" w14:paraId="6F6DE923" w14:textId="77777777" w:rsidTr="00465964">
        <w:tc>
          <w:tcPr>
            <w:tcW w:w="0" w:type="auto"/>
            <w:shd w:val="clear" w:color="auto" w:fill="auto"/>
            <w:hideMark/>
          </w:tcPr>
          <w:p w14:paraId="0A3A9DD0" w14:textId="77777777" w:rsidR="00465964" w:rsidRPr="00465964" w:rsidRDefault="00465964" w:rsidP="00465964">
            <w:r w:rsidRPr="00465964">
              <w:lastRenderedPageBreak/>
              <w:t>2.</w:t>
            </w:r>
          </w:p>
        </w:tc>
        <w:tc>
          <w:tcPr>
            <w:tcW w:w="0" w:type="auto"/>
            <w:shd w:val="clear" w:color="auto" w:fill="auto"/>
            <w:hideMark/>
          </w:tcPr>
          <w:p w14:paraId="05C4F168" w14:textId="77777777" w:rsidR="00465964" w:rsidRPr="00465964" w:rsidRDefault="00465964" w:rsidP="00465964">
            <w:pPr>
              <w:rPr>
                <w:lang w:val="pt-PT"/>
              </w:rPr>
            </w:pPr>
            <w:r w:rsidRPr="00465964">
              <w:rPr>
                <w:lang w:val="pt-PT"/>
              </w:rPr>
              <w:t>Uma descrição pormenorizada da reserva de ativos e da respetiva composição;</w:t>
            </w:r>
          </w:p>
        </w:tc>
      </w:tr>
    </w:tbl>
    <w:p w14:paraId="6695D30E"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1"/>
        <w:gridCol w:w="8845"/>
      </w:tblGrid>
      <w:tr w:rsidR="00465964" w:rsidRPr="00465964" w14:paraId="46559D59" w14:textId="77777777" w:rsidTr="00465964">
        <w:tc>
          <w:tcPr>
            <w:tcW w:w="0" w:type="auto"/>
            <w:shd w:val="clear" w:color="auto" w:fill="auto"/>
            <w:hideMark/>
          </w:tcPr>
          <w:p w14:paraId="1CCEBD4B" w14:textId="77777777" w:rsidR="00465964" w:rsidRPr="00465964" w:rsidRDefault="00465964" w:rsidP="00465964">
            <w:r w:rsidRPr="00465964">
              <w:t>3.</w:t>
            </w:r>
          </w:p>
        </w:tc>
        <w:tc>
          <w:tcPr>
            <w:tcW w:w="0" w:type="auto"/>
            <w:shd w:val="clear" w:color="auto" w:fill="auto"/>
            <w:hideMark/>
          </w:tcPr>
          <w:p w14:paraId="4240ADBA" w14:textId="7E6FDC3B" w:rsidR="00465964" w:rsidRPr="00465964" w:rsidRDefault="00465964" w:rsidP="00465964">
            <w:pPr>
              <w:rPr>
                <w:lang w:val="pt-PT"/>
              </w:rPr>
            </w:pPr>
            <w:r w:rsidRPr="00465964">
              <w:rPr>
                <w:lang w:val="pt-PT"/>
              </w:rPr>
              <w:t xml:space="preserve">Uma descrição dos mecanismos através dos quais as </w:t>
            </w:r>
            <w:r>
              <w:rPr>
                <w:lang w:val="pt-PT"/>
              </w:rPr>
              <w:t>criptomoedas</w:t>
            </w:r>
            <w:r w:rsidRPr="00465964">
              <w:rPr>
                <w:lang w:val="pt-PT"/>
              </w:rPr>
              <w:t xml:space="preserve"> referenciadas a ativos são emitidas e reembolsadas;</w:t>
            </w:r>
          </w:p>
        </w:tc>
      </w:tr>
    </w:tbl>
    <w:p w14:paraId="5D8244EF"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1"/>
        <w:gridCol w:w="8845"/>
      </w:tblGrid>
      <w:tr w:rsidR="00465964" w:rsidRPr="00465964" w14:paraId="1B73E94C" w14:textId="77777777" w:rsidTr="00465964">
        <w:tc>
          <w:tcPr>
            <w:tcW w:w="0" w:type="auto"/>
            <w:shd w:val="clear" w:color="auto" w:fill="auto"/>
            <w:hideMark/>
          </w:tcPr>
          <w:p w14:paraId="699B6A5A" w14:textId="77777777" w:rsidR="00465964" w:rsidRPr="00465964" w:rsidRDefault="00465964" w:rsidP="00465964">
            <w:r w:rsidRPr="00465964">
              <w:t>4.</w:t>
            </w:r>
          </w:p>
        </w:tc>
        <w:tc>
          <w:tcPr>
            <w:tcW w:w="0" w:type="auto"/>
            <w:shd w:val="clear" w:color="auto" w:fill="auto"/>
            <w:hideMark/>
          </w:tcPr>
          <w:p w14:paraId="0A4BDD42" w14:textId="77777777" w:rsidR="00465964" w:rsidRPr="00465964" w:rsidRDefault="00465964" w:rsidP="00465964">
            <w:pPr>
              <w:rPr>
                <w:lang w:val="pt-PT"/>
              </w:rPr>
            </w:pPr>
            <w:r w:rsidRPr="00465964">
              <w:rPr>
                <w:lang w:val="pt-PT"/>
              </w:rPr>
              <w:t>Informações sobre o eventual investimento de uma parte dos ativos de reserva e, se for o caso, uma descrição da política de investimento destes ativos de reserva;</w:t>
            </w:r>
          </w:p>
        </w:tc>
      </w:tr>
    </w:tbl>
    <w:p w14:paraId="48C9C48D"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1"/>
        <w:gridCol w:w="8845"/>
      </w:tblGrid>
      <w:tr w:rsidR="00465964" w:rsidRPr="00465964" w14:paraId="5FE07F17" w14:textId="77777777" w:rsidTr="00465964">
        <w:tc>
          <w:tcPr>
            <w:tcW w:w="0" w:type="auto"/>
            <w:shd w:val="clear" w:color="auto" w:fill="auto"/>
            <w:hideMark/>
          </w:tcPr>
          <w:p w14:paraId="7F863B0C" w14:textId="77777777" w:rsidR="00465964" w:rsidRPr="00465964" w:rsidRDefault="00465964" w:rsidP="00465964">
            <w:r w:rsidRPr="00465964">
              <w:t>5.</w:t>
            </w:r>
          </w:p>
        </w:tc>
        <w:tc>
          <w:tcPr>
            <w:tcW w:w="0" w:type="auto"/>
            <w:shd w:val="clear" w:color="auto" w:fill="auto"/>
            <w:hideMark/>
          </w:tcPr>
          <w:p w14:paraId="5B9435CA" w14:textId="77777777" w:rsidR="00465964" w:rsidRPr="00465964" w:rsidRDefault="00465964" w:rsidP="00465964">
            <w:pPr>
              <w:rPr>
                <w:lang w:val="pt-PT"/>
              </w:rPr>
            </w:pPr>
            <w:r w:rsidRPr="00465964">
              <w:rPr>
                <w:lang w:val="pt-PT"/>
              </w:rPr>
              <w:t>Uma descrição dos mecanismos de custódia dos ativos de reserva, incluindo a sua segregação, e o nome dos prestadores de serviços de criptoativos responsáveis pela custódia e administração de criptoativos por conta de clientes, das instituições de crédito ou das empresas de investimento nomeadas como entidades de custódia dos ativos de reserva.</w:t>
            </w:r>
          </w:p>
        </w:tc>
      </w:tr>
    </w:tbl>
    <w:p w14:paraId="42788719" w14:textId="77777777" w:rsidR="00465964" w:rsidRPr="00465964" w:rsidRDefault="00465964" w:rsidP="00465964">
      <w:r w:rsidRPr="00465964">
        <w:pict w14:anchorId="2EEE0695">
          <v:rect id="_x0000_i1070" style="width:65.45pt;height:.75pt" o:hrpct="0" o:hralign="center" o:hrstd="t" o:hrnoshade="t" o:hr="t" fillcolor="black" stroked="f"/>
        </w:pict>
      </w:r>
    </w:p>
    <w:p w14:paraId="24E39995" w14:textId="77777777" w:rsidR="00465964" w:rsidRPr="00465964" w:rsidRDefault="00465964" w:rsidP="00465964">
      <w:pPr>
        <w:rPr>
          <w:b/>
          <w:bCs/>
          <w:lang w:val="pt-PT"/>
        </w:rPr>
      </w:pPr>
      <w:r w:rsidRPr="00465964">
        <w:rPr>
          <w:b/>
          <w:bCs/>
          <w:lang w:val="pt-PT"/>
        </w:rPr>
        <w:t>ANEXO III</w:t>
      </w:r>
    </w:p>
    <w:p w14:paraId="4A87B841" w14:textId="77777777" w:rsidR="00465964" w:rsidRPr="00465964" w:rsidRDefault="00465964" w:rsidP="00465964">
      <w:pPr>
        <w:rPr>
          <w:b/>
          <w:bCs/>
          <w:lang w:val="pt-PT"/>
        </w:rPr>
      </w:pPr>
      <w:r w:rsidRPr="00465964">
        <w:rPr>
          <w:b/>
          <w:bCs/>
          <w:lang w:val="pt-PT"/>
        </w:rPr>
        <w:t>ELEMENTOS A DIVULGAR ATRAVÉS DO LIVRETE DO CRIPTOATIVO PARA UMA CRIPTOFICHA DE MOEDA ELETRÓNICA</w:t>
      </w:r>
    </w:p>
    <w:p w14:paraId="53B46842" w14:textId="77777777" w:rsidR="00465964" w:rsidRPr="00465964" w:rsidRDefault="00465964" w:rsidP="00465964">
      <w:pPr>
        <w:rPr>
          <w:b/>
          <w:bCs/>
          <w:lang w:val="pt-PT"/>
        </w:rPr>
      </w:pPr>
      <w:r w:rsidRPr="00465964">
        <w:rPr>
          <w:b/>
          <w:bCs/>
          <w:lang w:val="pt-PT"/>
        </w:rPr>
        <w:t xml:space="preserve">Parte A: Informação sobre o emitente da </w:t>
      </w:r>
      <w:proofErr w:type="spellStart"/>
      <w:r w:rsidRPr="00465964">
        <w:rPr>
          <w:b/>
          <w:bCs/>
          <w:lang w:val="pt-PT"/>
        </w:rPr>
        <w:t>criptoficha</w:t>
      </w:r>
      <w:proofErr w:type="spellEnd"/>
      <w:r w:rsidRPr="00465964">
        <w:rPr>
          <w:b/>
          <w:bCs/>
          <w:lang w:val="pt-PT"/>
        </w:rPr>
        <w:t xml:space="preserve"> de moeda eletrónica</w:t>
      </w:r>
    </w:p>
    <w:tbl>
      <w:tblPr>
        <w:tblW w:w="5000" w:type="pct"/>
        <w:tblCellMar>
          <w:left w:w="0" w:type="dxa"/>
          <w:right w:w="0" w:type="dxa"/>
        </w:tblCellMar>
        <w:tblLook w:val="04A0" w:firstRow="1" w:lastRow="0" w:firstColumn="1" w:lastColumn="0" w:noHBand="0" w:noVBand="1"/>
      </w:tblPr>
      <w:tblGrid>
        <w:gridCol w:w="1980"/>
        <w:gridCol w:w="7046"/>
      </w:tblGrid>
      <w:tr w:rsidR="00465964" w:rsidRPr="00465964" w14:paraId="7FC3F566" w14:textId="77777777" w:rsidTr="00465964">
        <w:tc>
          <w:tcPr>
            <w:tcW w:w="0" w:type="auto"/>
            <w:shd w:val="clear" w:color="auto" w:fill="auto"/>
            <w:hideMark/>
          </w:tcPr>
          <w:p w14:paraId="4B10933A" w14:textId="77777777" w:rsidR="00465964" w:rsidRPr="00465964" w:rsidRDefault="00465964" w:rsidP="00465964">
            <w:r w:rsidRPr="00465964">
              <w:t>1.</w:t>
            </w:r>
          </w:p>
        </w:tc>
        <w:tc>
          <w:tcPr>
            <w:tcW w:w="0" w:type="auto"/>
            <w:shd w:val="clear" w:color="auto" w:fill="auto"/>
            <w:hideMark/>
          </w:tcPr>
          <w:p w14:paraId="55ECFD73" w14:textId="77777777" w:rsidR="00465964" w:rsidRPr="00465964" w:rsidRDefault="00465964" w:rsidP="00465964">
            <w:r w:rsidRPr="00465964">
              <w:t>Nome;</w:t>
            </w:r>
          </w:p>
        </w:tc>
      </w:tr>
    </w:tbl>
    <w:p w14:paraId="1BAA34FB"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015"/>
        <w:gridCol w:w="8011"/>
      </w:tblGrid>
      <w:tr w:rsidR="00465964" w:rsidRPr="00465964" w14:paraId="7C87AF57" w14:textId="77777777" w:rsidTr="00465964">
        <w:tc>
          <w:tcPr>
            <w:tcW w:w="0" w:type="auto"/>
            <w:shd w:val="clear" w:color="auto" w:fill="auto"/>
            <w:hideMark/>
          </w:tcPr>
          <w:p w14:paraId="6BBF3C73" w14:textId="77777777" w:rsidR="00465964" w:rsidRPr="00465964" w:rsidRDefault="00465964" w:rsidP="00465964">
            <w:r w:rsidRPr="00465964">
              <w:t>2.</w:t>
            </w:r>
          </w:p>
        </w:tc>
        <w:tc>
          <w:tcPr>
            <w:tcW w:w="0" w:type="auto"/>
            <w:shd w:val="clear" w:color="auto" w:fill="auto"/>
            <w:hideMark/>
          </w:tcPr>
          <w:p w14:paraId="227EFB9E" w14:textId="77777777" w:rsidR="00465964" w:rsidRPr="00465964" w:rsidRDefault="00465964" w:rsidP="00465964">
            <w:r w:rsidRPr="00465964">
              <w:t xml:space="preserve">Forma </w:t>
            </w:r>
            <w:proofErr w:type="spellStart"/>
            <w:r w:rsidRPr="00465964">
              <w:t>jurídica</w:t>
            </w:r>
            <w:proofErr w:type="spellEnd"/>
            <w:r w:rsidRPr="00465964">
              <w:t>;</w:t>
            </w:r>
          </w:p>
        </w:tc>
      </w:tr>
    </w:tbl>
    <w:p w14:paraId="7C5E9FBA"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326"/>
        <w:gridCol w:w="8700"/>
      </w:tblGrid>
      <w:tr w:rsidR="00465964" w:rsidRPr="00465964" w14:paraId="7E54EF33" w14:textId="77777777" w:rsidTr="00465964">
        <w:tc>
          <w:tcPr>
            <w:tcW w:w="0" w:type="auto"/>
            <w:shd w:val="clear" w:color="auto" w:fill="auto"/>
            <w:hideMark/>
          </w:tcPr>
          <w:p w14:paraId="55229DFA" w14:textId="77777777" w:rsidR="00465964" w:rsidRPr="00465964" w:rsidRDefault="00465964" w:rsidP="00465964">
            <w:r w:rsidRPr="00465964">
              <w:t>3.</w:t>
            </w:r>
          </w:p>
        </w:tc>
        <w:tc>
          <w:tcPr>
            <w:tcW w:w="0" w:type="auto"/>
            <w:shd w:val="clear" w:color="auto" w:fill="auto"/>
            <w:hideMark/>
          </w:tcPr>
          <w:p w14:paraId="2C135FF4" w14:textId="77777777" w:rsidR="00465964" w:rsidRPr="00465964" w:rsidRDefault="00465964" w:rsidP="00465964">
            <w:pPr>
              <w:rPr>
                <w:lang w:val="pt-PT"/>
              </w:rPr>
            </w:pPr>
            <w:r w:rsidRPr="00465964">
              <w:rPr>
                <w:lang w:val="pt-PT"/>
              </w:rPr>
              <w:t>Sede social e sede estatutária, se forem diferentes;</w:t>
            </w:r>
          </w:p>
        </w:tc>
      </w:tr>
    </w:tbl>
    <w:p w14:paraId="1B697662"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977"/>
        <w:gridCol w:w="8049"/>
      </w:tblGrid>
      <w:tr w:rsidR="00465964" w:rsidRPr="00465964" w14:paraId="6AD0707E" w14:textId="77777777" w:rsidTr="00465964">
        <w:tc>
          <w:tcPr>
            <w:tcW w:w="0" w:type="auto"/>
            <w:shd w:val="clear" w:color="auto" w:fill="auto"/>
            <w:hideMark/>
          </w:tcPr>
          <w:p w14:paraId="37EF5502" w14:textId="77777777" w:rsidR="00465964" w:rsidRPr="00465964" w:rsidRDefault="00465964" w:rsidP="00465964">
            <w:r w:rsidRPr="00465964">
              <w:t>4.</w:t>
            </w:r>
          </w:p>
        </w:tc>
        <w:tc>
          <w:tcPr>
            <w:tcW w:w="0" w:type="auto"/>
            <w:shd w:val="clear" w:color="auto" w:fill="auto"/>
            <w:hideMark/>
          </w:tcPr>
          <w:p w14:paraId="739D0B89" w14:textId="77777777" w:rsidR="00465964" w:rsidRPr="00465964" w:rsidRDefault="00465964" w:rsidP="00465964">
            <w:r w:rsidRPr="00465964">
              <w:t xml:space="preserve">Data do </w:t>
            </w:r>
            <w:proofErr w:type="spellStart"/>
            <w:r w:rsidRPr="00465964">
              <w:t>registo</w:t>
            </w:r>
            <w:proofErr w:type="spellEnd"/>
            <w:r w:rsidRPr="00465964">
              <w:t>;</w:t>
            </w:r>
          </w:p>
        </w:tc>
      </w:tr>
    </w:tbl>
    <w:p w14:paraId="59787700"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1"/>
        <w:gridCol w:w="8845"/>
      </w:tblGrid>
      <w:tr w:rsidR="00465964" w:rsidRPr="00465964" w14:paraId="1B970688" w14:textId="77777777" w:rsidTr="00465964">
        <w:tc>
          <w:tcPr>
            <w:tcW w:w="0" w:type="auto"/>
            <w:shd w:val="clear" w:color="auto" w:fill="auto"/>
            <w:hideMark/>
          </w:tcPr>
          <w:p w14:paraId="7D7A241F" w14:textId="77777777" w:rsidR="00465964" w:rsidRPr="00465964" w:rsidRDefault="00465964" w:rsidP="00465964">
            <w:r w:rsidRPr="00465964">
              <w:t>5.</w:t>
            </w:r>
          </w:p>
        </w:tc>
        <w:tc>
          <w:tcPr>
            <w:tcW w:w="0" w:type="auto"/>
            <w:shd w:val="clear" w:color="auto" w:fill="auto"/>
            <w:hideMark/>
          </w:tcPr>
          <w:p w14:paraId="51C8B365" w14:textId="77777777" w:rsidR="00465964" w:rsidRPr="00465964" w:rsidRDefault="00465964" w:rsidP="00465964">
            <w:pPr>
              <w:rPr>
                <w:lang w:val="pt-PT"/>
              </w:rPr>
            </w:pPr>
            <w:r w:rsidRPr="00465964">
              <w:rPr>
                <w:lang w:val="pt-PT"/>
              </w:rPr>
              <w:t>Identificador de entidade jurídica, se disponível, ou outro identificador exigido nos termos do direito nacional aplicável;</w:t>
            </w:r>
          </w:p>
        </w:tc>
      </w:tr>
    </w:tbl>
    <w:p w14:paraId="0BE244E9"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1"/>
        <w:gridCol w:w="8845"/>
      </w:tblGrid>
      <w:tr w:rsidR="00465964" w:rsidRPr="00465964" w14:paraId="672B8F7D" w14:textId="77777777" w:rsidTr="00465964">
        <w:tc>
          <w:tcPr>
            <w:tcW w:w="0" w:type="auto"/>
            <w:shd w:val="clear" w:color="auto" w:fill="auto"/>
            <w:hideMark/>
          </w:tcPr>
          <w:p w14:paraId="027A4649" w14:textId="77777777" w:rsidR="00465964" w:rsidRPr="00465964" w:rsidRDefault="00465964" w:rsidP="00465964">
            <w:r w:rsidRPr="00465964">
              <w:t>6.</w:t>
            </w:r>
          </w:p>
        </w:tc>
        <w:tc>
          <w:tcPr>
            <w:tcW w:w="0" w:type="auto"/>
            <w:shd w:val="clear" w:color="auto" w:fill="auto"/>
            <w:hideMark/>
          </w:tcPr>
          <w:p w14:paraId="27E7155E" w14:textId="77777777" w:rsidR="00465964" w:rsidRPr="00465964" w:rsidRDefault="00465964" w:rsidP="00465964">
            <w:pPr>
              <w:rPr>
                <w:lang w:val="pt-PT"/>
              </w:rPr>
            </w:pPr>
            <w:r w:rsidRPr="00465964">
              <w:rPr>
                <w:lang w:val="pt-PT"/>
              </w:rPr>
              <w:t>Um número de telefone de contacto e um endereço de correio eletrónico do emitente e um período, em dias, dentro do qual um investidor que contacte o emitente através do referido número de telefone ou endereço de correio eletrónico receberá uma resposta.</w:t>
            </w:r>
          </w:p>
        </w:tc>
      </w:tr>
    </w:tbl>
    <w:p w14:paraId="0D2CA52D"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342"/>
        <w:gridCol w:w="8684"/>
      </w:tblGrid>
      <w:tr w:rsidR="00465964" w:rsidRPr="00465964" w14:paraId="284ED31F" w14:textId="77777777" w:rsidTr="00465964">
        <w:tc>
          <w:tcPr>
            <w:tcW w:w="0" w:type="auto"/>
            <w:shd w:val="clear" w:color="auto" w:fill="auto"/>
            <w:hideMark/>
          </w:tcPr>
          <w:p w14:paraId="04C95F02" w14:textId="77777777" w:rsidR="00465964" w:rsidRPr="00465964" w:rsidRDefault="00465964" w:rsidP="00465964">
            <w:r w:rsidRPr="00465964">
              <w:t>7.</w:t>
            </w:r>
          </w:p>
        </w:tc>
        <w:tc>
          <w:tcPr>
            <w:tcW w:w="0" w:type="auto"/>
            <w:shd w:val="clear" w:color="auto" w:fill="auto"/>
            <w:hideMark/>
          </w:tcPr>
          <w:p w14:paraId="3C4E70EC" w14:textId="77777777" w:rsidR="00465964" w:rsidRPr="00465964" w:rsidRDefault="00465964" w:rsidP="00465964">
            <w:pPr>
              <w:rPr>
                <w:lang w:val="pt-PT"/>
              </w:rPr>
            </w:pPr>
            <w:r w:rsidRPr="00465964">
              <w:rPr>
                <w:lang w:val="pt-PT"/>
              </w:rPr>
              <w:t>Se for caso disso, a identidade da empresa-mãe;</w:t>
            </w:r>
          </w:p>
        </w:tc>
      </w:tr>
    </w:tbl>
    <w:p w14:paraId="73060761"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1"/>
        <w:gridCol w:w="8845"/>
      </w:tblGrid>
      <w:tr w:rsidR="00465964" w:rsidRPr="00465964" w14:paraId="3A45D6F9" w14:textId="77777777" w:rsidTr="00465964">
        <w:tc>
          <w:tcPr>
            <w:tcW w:w="0" w:type="auto"/>
            <w:shd w:val="clear" w:color="auto" w:fill="auto"/>
            <w:hideMark/>
          </w:tcPr>
          <w:p w14:paraId="4955FA24" w14:textId="77777777" w:rsidR="00465964" w:rsidRPr="00465964" w:rsidRDefault="00465964" w:rsidP="00465964">
            <w:r w:rsidRPr="00465964">
              <w:t>8.</w:t>
            </w:r>
          </w:p>
        </w:tc>
        <w:tc>
          <w:tcPr>
            <w:tcW w:w="0" w:type="auto"/>
            <w:shd w:val="clear" w:color="auto" w:fill="auto"/>
            <w:hideMark/>
          </w:tcPr>
          <w:p w14:paraId="026A121F" w14:textId="77777777" w:rsidR="00465964" w:rsidRPr="00465964" w:rsidRDefault="00465964" w:rsidP="00465964">
            <w:pPr>
              <w:rPr>
                <w:lang w:val="pt-PT"/>
              </w:rPr>
            </w:pPr>
            <w:r w:rsidRPr="00465964">
              <w:rPr>
                <w:lang w:val="pt-PT"/>
              </w:rPr>
              <w:t>Identidade, endereço profissional e funções dos membros do órgão de administração do emitente;</w:t>
            </w:r>
          </w:p>
        </w:tc>
      </w:tr>
    </w:tbl>
    <w:p w14:paraId="2454F2A4"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8"/>
        <w:gridCol w:w="8838"/>
      </w:tblGrid>
      <w:tr w:rsidR="00465964" w:rsidRPr="00465964" w14:paraId="6D895D7F" w14:textId="77777777" w:rsidTr="00465964">
        <w:tc>
          <w:tcPr>
            <w:tcW w:w="0" w:type="auto"/>
            <w:shd w:val="clear" w:color="auto" w:fill="auto"/>
            <w:hideMark/>
          </w:tcPr>
          <w:p w14:paraId="69ED426F" w14:textId="77777777" w:rsidR="00465964" w:rsidRPr="00465964" w:rsidRDefault="00465964" w:rsidP="00465964">
            <w:r w:rsidRPr="00465964">
              <w:t>9.</w:t>
            </w:r>
          </w:p>
        </w:tc>
        <w:tc>
          <w:tcPr>
            <w:tcW w:w="0" w:type="auto"/>
            <w:shd w:val="clear" w:color="auto" w:fill="auto"/>
            <w:hideMark/>
          </w:tcPr>
          <w:p w14:paraId="4E1A99C1" w14:textId="77777777" w:rsidR="00465964" w:rsidRPr="00465964" w:rsidRDefault="00465964" w:rsidP="00465964">
            <w:pPr>
              <w:rPr>
                <w:lang w:val="pt-PT"/>
              </w:rPr>
            </w:pPr>
            <w:r w:rsidRPr="00465964">
              <w:rPr>
                <w:lang w:val="pt-PT"/>
              </w:rPr>
              <w:t>Atividade comercial ou profissional do emitente e, se for caso disso, da sua empresa-mãe;</w:t>
            </w:r>
          </w:p>
        </w:tc>
      </w:tr>
    </w:tbl>
    <w:p w14:paraId="49D4CFEA"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762"/>
        <w:gridCol w:w="8264"/>
      </w:tblGrid>
      <w:tr w:rsidR="00465964" w:rsidRPr="00465964" w14:paraId="6AEC5672" w14:textId="77777777" w:rsidTr="00465964">
        <w:tc>
          <w:tcPr>
            <w:tcW w:w="0" w:type="auto"/>
            <w:shd w:val="clear" w:color="auto" w:fill="auto"/>
            <w:hideMark/>
          </w:tcPr>
          <w:p w14:paraId="04392ABD" w14:textId="77777777" w:rsidR="00465964" w:rsidRPr="00465964" w:rsidRDefault="00465964" w:rsidP="00465964">
            <w:r w:rsidRPr="00465964">
              <w:t>10.</w:t>
            </w:r>
          </w:p>
        </w:tc>
        <w:tc>
          <w:tcPr>
            <w:tcW w:w="0" w:type="auto"/>
            <w:shd w:val="clear" w:color="auto" w:fill="auto"/>
            <w:hideMark/>
          </w:tcPr>
          <w:p w14:paraId="20294943" w14:textId="77777777" w:rsidR="00465964" w:rsidRPr="00465964" w:rsidRDefault="00465964" w:rsidP="00465964">
            <w:proofErr w:type="spellStart"/>
            <w:r w:rsidRPr="00465964">
              <w:t>Potenciais</w:t>
            </w:r>
            <w:proofErr w:type="spellEnd"/>
            <w:r w:rsidRPr="00465964">
              <w:t xml:space="preserve"> </w:t>
            </w:r>
            <w:proofErr w:type="spellStart"/>
            <w:r w:rsidRPr="00465964">
              <w:t>conflitos</w:t>
            </w:r>
            <w:proofErr w:type="spellEnd"/>
            <w:r w:rsidRPr="00465964">
              <w:t xml:space="preserve"> de interesses;</w:t>
            </w:r>
          </w:p>
        </w:tc>
      </w:tr>
    </w:tbl>
    <w:p w14:paraId="07BD3BB8"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298"/>
        <w:gridCol w:w="8728"/>
      </w:tblGrid>
      <w:tr w:rsidR="00465964" w:rsidRPr="00465964" w14:paraId="1D555D02" w14:textId="77777777" w:rsidTr="00465964">
        <w:tc>
          <w:tcPr>
            <w:tcW w:w="0" w:type="auto"/>
            <w:shd w:val="clear" w:color="auto" w:fill="auto"/>
            <w:hideMark/>
          </w:tcPr>
          <w:p w14:paraId="01A8AF54" w14:textId="77777777" w:rsidR="00465964" w:rsidRPr="00465964" w:rsidRDefault="00465964" w:rsidP="00465964">
            <w:r w:rsidRPr="00465964">
              <w:t>11.</w:t>
            </w:r>
          </w:p>
        </w:tc>
        <w:tc>
          <w:tcPr>
            <w:tcW w:w="0" w:type="auto"/>
            <w:shd w:val="clear" w:color="auto" w:fill="auto"/>
            <w:hideMark/>
          </w:tcPr>
          <w:p w14:paraId="3F5AE6CF" w14:textId="77777777" w:rsidR="00465964" w:rsidRPr="00465964" w:rsidRDefault="00465964" w:rsidP="00465964">
            <w:pPr>
              <w:rPr>
                <w:lang w:val="pt-PT"/>
              </w:rPr>
            </w:pPr>
            <w:r w:rsidRPr="00465964">
              <w:rPr>
                <w:lang w:val="pt-PT"/>
              </w:rPr>
              <w:t xml:space="preserve">Caso o emitente da </w:t>
            </w:r>
            <w:proofErr w:type="spellStart"/>
            <w:r w:rsidRPr="00465964">
              <w:rPr>
                <w:lang w:val="pt-PT"/>
              </w:rPr>
              <w:t>criptoficha</w:t>
            </w:r>
            <w:proofErr w:type="spellEnd"/>
            <w:r w:rsidRPr="00465964">
              <w:rPr>
                <w:lang w:val="pt-PT"/>
              </w:rPr>
              <w:t xml:space="preserve"> de moeda eletrónica também emita outros criptoativos ou também exercer outras atividades relacionadas com criptoativos, tal deve ser claramente indicado; o emitente deve também indicar se existe alguma ligação entre o emitente e a entidade que gere a tecnologia de registo distribuído utilizada para emitir o criptoativo, nomeadamente se os protocolos são geridos ou controlados por uma pessoa com uma ligação próxima aos participantes no projeto;</w:t>
            </w:r>
          </w:p>
        </w:tc>
      </w:tr>
    </w:tbl>
    <w:p w14:paraId="6EDDD171"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298"/>
        <w:gridCol w:w="8728"/>
      </w:tblGrid>
      <w:tr w:rsidR="00465964" w:rsidRPr="00465964" w14:paraId="71BA29ED" w14:textId="77777777" w:rsidTr="00465964">
        <w:tc>
          <w:tcPr>
            <w:tcW w:w="0" w:type="auto"/>
            <w:shd w:val="clear" w:color="auto" w:fill="auto"/>
            <w:hideMark/>
          </w:tcPr>
          <w:p w14:paraId="4EB8D356" w14:textId="77777777" w:rsidR="00465964" w:rsidRPr="00465964" w:rsidRDefault="00465964" w:rsidP="00465964">
            <w:r w:rsidRPr="00465964">
              <w:t>12.</w:t>
            </w:r>
          </w:p>
        </w:tc>
        <w:tc>
          <w:tcPr>
            <w:tcW w:w="0" w:type="auto"/>
            <w:shd w:val="clear" w:color="auto" w:fill="auto"/>
            <w:hideMark/>
          </w:tcPr>
          <w:p w14:paraId="23906AAD" w14:textId="77777777" w:rsidR="00465964" w:rsidRPr="00465964" w:rsidRDefault="00465964" w:rsidP="00465964">
            <w:pPr>
              <w:rPr>
                <w:lang w:val="pt-PT"/>
              </w:rPr>
            </w:pPr>
            <w:r w:rsidRPr="00465964">
              <w:rPr>
                <w:lang w:val="pt-PT"/>
              </w:rPr>
              <w:t>A situação financeira do emitente nos últimos três anos ou, se o emitente estiver estabelecido há menos de três anos, a sua situação financeira desde a data do seu registo.</w:t>
            </w:r>
          </w:p>
          <w:p w14:paraId="76593FEB" w14:textId="77777777" w:rsidR="00465964" w:rsidRPr="00465964" w:rsidRDefault="00465964" w:rsidP="00465964">
            <w:pPr>
              <w:rPr>
                <w:lang w:val="pt-PT"/>
              </w:rPr>
            </w:pPr>
            <w:r w:rsidRPr="00465964">
              <w:rPr>
                <w:lang w:val="pt-PT"/>
              </w:rPr>
              <w:lastRenderedPageBreak/>
              <w:t>A situação financeira é avaliada com base numa análise imparcial da evolução e do desempenho das atividades comerciais do emitente e da sua situação em cada ano e período intercalar para o qual são exigidas informações financeiras históricas, incluindo os motivos de alterações significativas.</w:t>
            </w:r>
          </w:p>
          <w:p w14:paraId="58F608BD" w14:textId="77777777" w:rsidR="00465964" w:rsidRPr="00465964" w:rsidRDefault="00465964" w:rsidP="00465964">
            <w:pPr>
              <w:rPr>
                <w:lang w:val="pt-PT"/>
              </w:rPr>
            </w:pPr>
            <w:r w:rsidRPr="00465964">
              <w:rPr>
                <w:lang w:val="pt-PT"/>
              </w:rPr>
              <w:t>Essa análise deve consistir num exame equilibrado e global da evolução e do desempenho da atividade empresarial do emitente e da sua situação, que corresponda à dimensão e à complexidade da atividade;</w:t>
            </w:r>
          </w:p>
        </w:tc>
      </w:tr>
    </w:tbl>
    <w:p w14:paraId="0DE75F30"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298"/>
        <w:gridCol w:w="8728"/>
      </w:tblGrid>
      <w:tr w:rsidR="00465964" w:rsidRPr="00465964" w14:paraId="0F2F26BC" w14:textId="77777777" w:rsidTr="00465964">
        <w:tc>
          <w:tcPr>
            <w:tcW w:w="0" w:type="auto"/>
            <w:shd w:val="clear" w:color="auto" w:fill="auto"/>
            <w:hideMark/>
          </w:tcPr>
          <w:p w14:paraId="003B721C" w14:textId="77777777" w:rsidR="00465964" w:rsidRPr="00465964" w:rsidRDefault="00465964" w:rsidP="00465964">
            <w:r w:rsidRPr="00465964">
              <w:t>13.</w:t>
            </w:r>
          </w:p>
        </w:tc>
        <w:tc>
          <w:tcPr>
            <w:tcW w:w="0" w:type="auto"/>
            <w:shd w:val="clear" w:color="auto" w:fill="auto"/>
            <w:hideMark/>
          </w:tcPr>
          <w:p w14:paraId="03953C18" w14:textId="2C559762" w:rsidR="00465964" w:rsidRPr="00465964" w:rsidRDefault="00465964" w:rsidP="00465964">
            <w:pPr>
              <w:rPr>
                <w:lang w:val="pt-PT"/>
              </w:rPr>
            </w:pPr>
            <w:r w:rsidRPr="00465964">
              <w:rPr>
                <w:lang w:val="pt-PT"/>
              </w:rPr>
              <w:t xml:space="preserve">Exceto para os emitentes de </w:t>
            </w:r>
            <w:r>
              <w:rPr>
                <w:lang w:val="pt-PT"/>
              </w:rPr>
              <w:t>criptomoedas</w:t>
            </w:r>
            <w:r w:rsidRPr="00465964">
              <w:rPr>
                <w:lang w:val="pt-PT"/>
              </w:rPr>
              <w:t xml:space="preserve"> de moeda eletrónica que estejam isentos de autorização nos termos do artigo </w:t>
            </w:r>
            <w:proofErr w:type="gramStart"/>
            <w:r w:rsidRPr="00465964">
              <w:rPr>
                <w:lang w:val="pt-PT"/>
              </w:rPr>
              <w:t>48.</w:t>
            </w:r>
            <w:r w:rsidRPr="00465964">
              <w:rPr>
                <w:vertAlign w:val="superscript"/>
                <w:lang w:val="pt-PT"/>
              </w:rPr>
              <w:t>o</w:t>
            </w:r>
            <w:proofErr w:type="gramEnd"/>
            <w:r w:rsidRPr="00465964">
              <w:rPr>
                <w:lang w:val="pt-PT"/>
              </w:rPr>
              <w:t xml:space="preserve">, </w:t>
            </w:r>
            <w:proofErr w:type="spellStart"/>
            <w:r w:rsidRPr="00465964">
              <w:rPr>
                <w:lang w:val="pt-PT"/>
              </w:rPr>
              <w:t>n.</w:t>
            </w:r>
            <w:r w:rsidRPr="00465964">
              <w:rPr>
                <w:vertAlign w:val="superscript"/>
                <w:lang w:val="pt-PT"/>
              </w:rPr>
              <w:t>os</w:t>
            </w:r>
            <w:proofErr w:type="spellEnd"/>
            <w:r w:rsidRPr="00465964">
              <w:rPr>
                <w:lang w:val="pt-PT"/>
              </w:rPr>
              <w:t xml:space="preserve"> 4 e 5, informações sobre a autorização na qualidade de emitente de uma </w:t>
            </w:r>
            <w:proofErr w:type="spellStart"/>
            <w:r w:rsidRPr="00465964">
              <w:rPr>
                <w:lang w:val="pt-PT"/>
              </w:rPr>
              <w:t>criptoficha</w:t>
            </w:r>
            <w:proofErr w:type="spellEnd"/>
            <w:r w:rsidRPr="00465964">
              <w:rPr>
                <w:lang w:val="pt-PT"/>
              </w:rPr>
              <w:t xml:space="preserve"> de moeda eletrónica e o nome da autoridade competente que concedeu essa autorização.</w:t>
            </w:r>
          </w:p>
        </w:tc>
      </w:tr>
    </w:tbl>
    <w:p w14:paraId="1EEDBD1F" w14:textId="77777777" w:rsidR="00465964" w:rsidRPr="00465964" w:rsidRDefault="00465964" w:rsidP="00465964">
      <w:pPr>
        <w:rPr>
          <w:b/>
          <w:bCs/>
          <w:lang w:val="pt-PT"/>
        </w:rPr>
      </w:pPr>
      <w:r w:rsidRPr="00465964">
        <w:rPr>
          <w:b/>
          <w:bCs/>
          <w:lang w:val="pt-PT"/>
        </w:rPr>
        <w:t xml:space="preserve">Parte B: Informações sobre a </w:t>
      </w:r>
      <w:proofErr w:type="spellStart"/>
      <w:r w:rsidRPr="00465964">
        <w:rPr>
          <w:b/>
          <w:bCs/>
          <w:lang w:val="pt-PT"/>
        </w:rPr>
        <w:t>criptoficha</w:t>
      </w:r>
      <w:proofErr w:type="spellEnd"/>
      <w:r w:rsidRPr="00465964">
        <w:rPr>
          <w:b/>
          <w:bCs/>
          <w:lang w:val="pt-PT"/>
        </w:rPr>
        <w:t xml:space="preserve"> de moeda eletrónica</w:t>
      </w:r>
    </w:p>
    <w:tbl>
      <w:tblPr>
        <w:tblW w:w="5000" w:type="pct"/>
        <w:tblCellMar>
          <w:left w:w="0" w:type="dxa"/>
          <w:right w:w="0" w:type="dxa"/>
        </w:tblCellMar>
        <w:tblLook w:val="04A0" w:firstRow="1" w:lastRow="0" w:firstColumn="1" w:lastColumn="0" w:noHBand="0" w:noVBand="1"/>
      </w:tblPr>
      <w:tblGrid>
        <w:gridCol w:w="635"/>
        <w:gridCol w:w="8391"/>
      </w:tblGrid>
      <w:tr w:rsidR="00465964" w:rsidRPr="00465964" w14:paraId="075FD462" w14:textId="77777777" w:rsidTr="00465964">
        <w:tc>
          <w:tcPr>
            <w:tcW w:w="0" w:type="auto"/>
            <w:shd w:val="clear" w:color="auto" w:fill="auto"/>
            <w:hideMark/>
          </w:tcPr>
          <w:p w14:paraId="217D121D" w14:textId="77777777" w:rsidR="00465964" w:rsidRPr="00465964" w:rsidRDefault="00465964" w:rsidP="00465964">
            <w:r w:rsidRPr="00465964">
              <w:t>1.</w:t>
            </w:r>
          </w:p>
        </w:tc>
        <w:tc>
          <w:tcPr>
            <w:tcW w:w="0" w:type="auto"/>
            <w:shd w:val="clear" w:color="auto" w:fill="auto"/>
            <w:hideMark/>
          </w:tcPr>
          <w:p w14:paraId="562C9513" w14:textId="77777777" w:rsidR="00465964" w:rsidRPr="00465964" w:rsidRDefault="00465964" w:rsidP="00465964">
            <w:r w:rsidRPr="00465964">
              <w:t xml:space="preserve">Nome e forma </w:t>
            </w:r>
            <w:proofErr w:type="spellStart"/>
            <w:r w:rsidRPr="00465964">
              <w:t>abreviada</w:t>
            </w:r>
            <w:proofErr w:type="spellEnd"/>
            <w:r w:rsidRPr="00465964">
              <w:t>;</w:t>
            </w:r>
          </w:p>
        </w:tc>
      </w:tr>
    </w:tbl>
    <w:p w14:paraId="02636090"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1"/>
        <w:gridCol w:w="8845"/>
      </w:tblGrid>
      <w:tr w:rsidR="00465964" w:rsidRPr="00465964" w14:paraId="5132B45A" w14:textId="77777777" w:rsidTr="00465964">
        <w:tc>
          <w:tcPr>
            <w:tcW w:w="0" w:type="auto"/>
            <w:shd w:val="clear" w:color="auto" w:fill="auto"/>
            <w:hideMark/>
          </w:tcPr>
          <w:p w14:paraId="397C2731" w14:textId="77777777" w:rsidR="00465964" w:rsidRPr="00465964" w:rsidRDefault="00465964" w:rsidP="00465964">
            <w:r w:rsidRPr="00465964">
              <w:t>2.</w:t>
            </w:r>
          </w:p>
        </w:tc>
        <w:tc>
          <w:tcPr>
            <w:tcW w:w="0" w:type="auto"/>
            <w:shd w:val="clear" w:color="auto" w:fill="auto"/>
            <w:hideMark/>
          </w:tcPr>
          <w:p w14:paraId="6AF84317" w14:textId="77777777" w:rsidR="00465964" w:rsidRPr="00465964" w:rsidRDefault="00465964" w:rsidP="00465964">
            <w:pPr>
              <w:rPr>
                <w:lang w:val="pt-PT"/>
              </w:rPr>
            </w:pPr>
            <w:r w:rsidRPr="00465964">
              <w:rPr>
                <w:lang w:val="pt-PT"/>
              </w:rPr>
              <w:t xml:space="preserve">Uma descrição das características da </w:t>
            </w:r>
            <w:proofErr w:type="spellStart"/>
            <w:r w:rsidRPr="00465964">
              <w:rPr>
                <w:lang w:val="pt-PT"/>
              </w:rPr>
              <w:t>criptoficha</w:t>
            </w:r>
            <w:proofErr w:type="spellEnd"/>
            <w:r w:rsidRPr="00465964">
              <w:rPr>
                <w:lang w:val="pt-PT"/>
              </w:rPr>
              <w:t xml:space="preserve"> de moeda eletrónica, incluindo os dados necessários para a classificação do livrete do criptoativo no registo referido no artigo 109.</w:t>
            </w:r>
            <w:r w:rsidRPr="00465964">
              <w:rPr>
                <w:vertAlign w:val="superscript"/>
                <w:lang w:val="pt-PT"/>
              </w:rPr>
              <w:t>o</w:t>
            </w:r>
            <w:r w:rsidRPr="00465964">
              <w:rPr>
                <w:lang w:val="pt-PT"/>
              </w:rPr>
              <w:t xml:space="preserve">, conforme especificado em conformidade com o </w:t>
            </w:r>
            <w:proofErr w:type="spellStart"/>
            <w:r w:rsidRPr="00465964">
              <w:rPr>
                <w:lang w:val="pt-PT"/>
              </w:rPr>
              <w:t>n.</w:t>
            </w:r>
            <w:r w:rsidRPr="00465964">
              <w:rPr>
                <w:vertAlign w:val="superscript"/>
                <w:lang w:val="pt-PT"/>
              </w:rPr>
              <w:t>o</w:t>
            </w:r>
            <w:proofErr w:type="spellEnd"/>
            <w:r w:rsidRPr="00465964">
              <w:rPr>
                <w:lang w:val="pt-PT"/>
              </w:rPr>
              <w:t> 8 desse artigo;</w:t>
            </w:r>
          </w:p>
        </w:tc>
      </w:tr>
    </w:tbl>
    <w:p w14:paraId="213DC939"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1"/>
        <w:gridCol w:w="8845"/>
      </w:tblGrid>
      <w:tr w:rsidR="00465964" w:rsidRPr="00465964" w14:paraId="67755004" w14:textId="77777777" w:rsidTr="00465964">
        <w:tc>
          <w:tcPr>
            <w:tcW w:w="0" w:type="auto"/>
            <w:shd w:val="clear" w:color="auto" w:fill="auto"/>
            <w:hideMark/>
          </w:tcPr>
          <w:p w14:paraId="5A5D5218" w14:textId="77777777" w:rsidR="00465964" w:rsidRPr="00465964" w:rsidRDefault="00465964" w:rsidP="00465964">
            <w:r w:rsidRPr="00465964">
              <w:t>3.</w:t>
            </w:r>
          </w:p>
        </w:tc>
        <w:tc>
          <w:tcPr>
            <w:tcW w:w="0" w:type="auto"/>
            <w:shd w:val="clear" w:color="auto" w:fill="auto"/>
            <w:hideMark/>
          </w:tcPr>
          <w:p w14:paraId="49233A03" w14:textId="77777777" w:rsidR="00465964" w:rsidRPr="00465964" w:rsidRDefault="00465964" w:rsidP="00465964">
            <w:pPr>
              <w:rPr>
                <w:lang w:val="pt-PT"/>
              </w:rPr>
            </w:pPr>
            <w:r w:rsidRPr="00465964">
              <w:rPr>
                <w:lang w:val="pt-PT"/>
              </w:rPr>
              <w:t>Dados relativos a todas as pessoas singulares ou coletivas (incluindo endereços profissionais e/ou domicílio da empresa) envolvidas na conceção e desenvolvimento, nomeadamente consultores, membros da equipa de desenvolvimento e prestadores de serviços de criptoativos.</w:t>
            </w:r>
          </w:p>
        </w:tc>
      </w:tr>
    </w:tbl>
    <w:p w14:paraId="1A8B9BDF" w14:textId="77777777" w:rsidR="00465964" w:rsidRPr="00465964" w:rsidRDefault="00465964" w:rsidP="00465964">
      <w:pPr>
        <w:rPr>
          <w:b/>
          <w:bCs/>
          <w:lang w:val="pt-PT"/>
        </w:rPr>
      </w:pPr>
      <w:r w:rsidRPr="00465964">
        <w:rPr>
          <w:b/>
          <w:bCs/>
          <w:lang w:val="pt-PT"/>
        </w:rPr>
        <w:t xml:space="preserve">Parte C: Informações sobre a oferta pública da </w:t>
      </w:r>
      <w:proofErr w:type="spellStart"/>
      <w:r w:rsidRPr="00465964">
        <w:rPr>
          <w:b/>
          <w:bCs/>
          <w:lang w:val="pt-PT"/>
        </w:rPr>
        <w:t>criptoficha</w:t>
      </w:r>
      <w:proofErr w:type="spellEnd"/>
      <w:r w:rsidRPr="00465964">
        <w:rPr>
          <w:b/>
          <w:bCs/>
          <w:lang w:val="pt-PT"/>
        </w:rPr>
        <w:t xml:space="preserve"> de moeda eletrónica ou sobre a sua admissão à negociação</w:t>
      </w:r>
    </w:p>
    <w:tbl>
      <w:tblPr>
        <w:tblW w:w="5000" w:type="pct"/>
        <w:tblCellMar>
          <w:left w:w="0" w:type="dxa"/>
          <w:right w:w="0" w:type="dxa"/>
        </w:tblCellMar>
        <w:tblLook w:val="04A0" w:firstRow="1" w:lastRow="0" w:firstColumn="1" w:lastColumn="0" w:noHBand="0" w:noVBand="1"/>
      </w:tblPr>
      <w:tblGrid>
        <w:gridCol w:w="181"/>
        <w:gridCol w:w="8845"/>
      </w:tblGrid>
      <w:tr w:rsidR="00465964" w:rsidRPr="00465964" w14:paraId="4E1126A6" w14:textId="77777777" w:rsidTr="00465964">
        <w:tc>
          <w:tcPr>
            <w:tcW w:w="0" w:type="auto"/>
            <w:shd w:val="clear" w:color="auto" w:fill="auto"/>
            <w:hideMark/>
          </w:tcPr>
          <w:p w14:paraId="78E77B7F" w14:textId="77777777" w:rsidR="00465964" w:rsidRPr="00465964" w:rsidRDefault="00465964" w:rsidP="00465964">
            <w:r w:rsidRPr="00465964">
              <w:t>1.</w:t>
            </w:r>
          </w:p>
        </w:tc>
        <w:tc>
          <w:tcPr>
            <w:tcW w:w="0" w:type="auto"/>
            <w:shd w:val="clear" w:color="auto" w:fill="auto"/>
            <w:hideMark/>
          </w:tcPr>
          <w:p w14:paraId="6379ADE5" w14:textId="77777777" w:rsidR="00465964" w:rsidRPr="00465964" w:rsidRDefault="00465964" w:rsidP="00465964">
            <w:pPr>
              <w:rPr>
                <w:lang w:val="pt-PT"/>
              </w:rPr>
            </w:pPr>
            <w:r w:rsidRPr="00465964">
              <w:rPr>
                <w:lang w:val="pt-PT"/>
              </w:rPr>
              <w:t xml:space="preserve">Menção que indique se o livrete do criptoativo diz respeito a uma oferta pública da </w:t>
            </w:r>
            <w:proofErr w:type="spellStart"/>
            <w:r w:rsidRPr="00465964">
              <w:rPr>
                <w:lang w:val="pt-PT"/>
              </w:rPr>
              <w:t>criptoficha</w:t>
            </w:r>
            <w:proofErr w:type="spellEnd"/>
            <w:r w:rsidRPr="00465964">
              <w:rPr>
                <w:lang w:val="pt-PT"/>
              </w:rPr>
              <w:t xml:space="preserve"> de moeda eletrónica ou à sua admissão à negociação;</w:t>
            </w:r>
          </w:p>
        </w:tc>
      </w:tr>
    </w:tbl>
    <w:p w14:paraId="03047CD5"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1"/>
        <w:gridCol w:w="8845"/>
      </w:tblGrid>
      <w:tr w:rsidR="00465964" w:rsidRPr="00465964" w14:paraId="701C94B5" w14:textId="77777777" w:rsidTr="00465964">
        <w:tc>
          <w:tcPr>
            <w:tcW w:w="0" w:type="auto"/>
            <w:shd w:val="clear" w:color="auto" w:fill="auto"/>
            <w:hideMark/>
          </w:tcPr>
          <w:p w14:paraId="5E35B8A4" w14:textId="77777777" w:rsidR="00465964" w:rsidRPr="00465964" w:rsidRDefault="00465964" w:rsidP="00465964">
            <w:r w:rsidRPr="00465964">
              <w:t>2.</w:t>
            </w:r>
          </w:p>
        </w:tc>
        <w:tc>
          <w:tcPr>
            <w:tcW w:w="0" w:type="auto"/>
            <w:shd w:val="clear" w:color="auto" w:fill="auto"/>
            <w:hideMark/>
          </w:tcPr>
          <w:p w14:paraId="4DF94D70" w14:textId="77777777" w:rsidR="00465964" w:rsidRPr="00465964" w:rsidRDefault="00465964" w:rsidP="00465964">
            <w:pPr>
              <w:rPr>
                <w:lang w:val="pt-PT"/>
              </w:rPr>
            </w:pPr>
            <w:r w:rsidRPr="00465964">
              <w:rPr>
                <w:lang w:val="pt-PT"/>
              </w:rPr>
              <w:t xml:space="preserve">Quando disponível, o número total de unidades da </w:t>
            </w:r>
            <w:proofErr w:type="spellStart"/>
            <w:r w:rsidRPr="00465964">
              <w:rPr>
                <w:lang w:val="pt-PT"/>
              </w:rPr>
              <w:t>criptoficha</w:t>
            </w:r>
            <w:proofErr w:type="spellEnd"/>
            <w:r w:rsidRPr="00465964">
              <w:rPr>
                <w:lang w:val="pt-PT"/>
              </w:rPr>
              <w:t xml:space="preserve"> de moeda eletrónica objeto da oferta pública ou da admissão à negociação;</w:t>
            </w:r>
          </w:p>
        </w:tc>
      </w:tr>
    </w:tbl>
    <w:p w14:paraId="1381C77D"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1"/>
        <w:gridCol w:w="8845"/>
      </w:tblGrid>
      <w:tr w:rsidR="00465964" w:rsidRPr="00465964" w14:paraId="19BC7461" w14:textId="77777777" w:rsidTr="00465964">
        <w:tc>
          <w:tcPr>
            <w:tcW w:w="0" w:type="auto"/>
            <w:shd w:val="clear" w:color="auto" w:fill="auto"/>
            <w:hideMark/>
          </w:tcPr>
          <w:p w14:paraId="74CEB0E4" w14:textId="77777777" w:rsidR="00465964" w:rsidRPr="00465964" w:rsidRDefault="00465964" w:rsidP="00465964">
            <w:r w:rsidRPr="00465964">
              <w:t>3.</w:t>
            </w:r>
          </w:p>
        </w:tc>
        <w:tc>
          <w:tcPr>
            <w:tcW w:w="0" w:type="auto"/>
            <w:shd w:val="clear" w:color="auto" w:fill="auto"/>
            <w:hideMark/>
          </w:tcPr>
          <w:p w14:paraId="38651AA8" w14:textId="77777777" w:rsidR="00465964" w:rsidRPr="00465964" w:rsidRDefault="00465964" w:rsidP="00465964">
            <w:pPr>
              <w:rPr>
                <w:lang w:val="pt-PT"/>
              </w:rPr>
            </w:pPr>
            <w:r w:rsidRPr="00465964">
              <w:rPr>
                <w:lang w:val="pt-PT"/>
              </w:rPr>
              <w:t xml:space="preserve">Quando aplicável, o nome das plataformas de negociação de criptoativos nas quais é solicitada a admissão da </w:t>
            </w:r>
            <w:proofErr w:type="spellStart"/>
            <w:r w:rsidRPr="00465964">
              <w:rPr>
                <w:lang w:val="pt-PT"/>
              </w:rPr>
              <w:t>criptoficha</w:t>
            </w:r>
            <w:proofErr w:type="spellEnd"/>
            <w:r w:rsidRPr="00465964">
              <w:rPr>
                <w:lang w:val="pt-PT"/>
              </w:rPr>
              <w:t xml:space="preserve"> de moeda eletrónica à negociação;</w:t>
            </w:r>
          </w:p>
        </w:tc>
      </w:tr>
    </w:tbl>
    <w:p w14:paraId="6DC95C71"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1"/>
        <w:gridCol w:w="8845"/>
      </w:tblGrid>
      <w:tr w:rsidR="00465964" w:rsidRPr="00465964" w14:paraId="5D851B7C" w14:textId="77777777" w:rsidTr="00465964">
        <w:tc>
          <w:tcPr>
            <w:tcW w:w="0" w:type="auto"/>
            <w:shd w:val="clear" w:color="auto" w:fill="auto"/>
            <w:hideMark/>
          </w:tcPr>
          <w:p w14:paraId="60EC4586" w14:textId="77777777" w:rsidR="00465964" w:rsidRPr="00465964" w:rsidRDefault="00465964" w:rsidP="00465964">
            <w:r w:rsidRPr="00465964">
              <w:t>4.</w:t>
            </w:r>
          </w:p>
        </w:tc>
        <w:tc>
          <w:tcPr>
            <w:tcW w:w="0" w:type="auto"/>
            <w:shd w:val="clear" w:color="auto" w:fill="auto"/>
            <w:hideMark/>
          </w:tcPr>
          <w:p w14:paraId="633403DD" w14:textId="77777777" w:rsidR="00465964" w:rsidRPr="00465964" w:rsidRDefault="00465964" w:rsidP="00465964">
            <w:pPr>
              <w:rPr>
                <w:lang w:val="pt-PT"/>
              </w:rPr>
            </w:pPr>
            <w:r w:rsidRPr="00465964">
              <w:rPr>
                <w:lang w:val="pt-PT"/>
              </w:rPr>
              <w:t xml:space="preserve">A lei aplicável à oferta pública da </w:t>
            </w:r>
            <w:proofErr w:type="spellStart"/>
            <w:r w:rsidRPr="00465964">
              <w:rPr>
                <w:lang w:val="pt-PT"/>
              </w:rPr>
              <w:t>criptoficha</w:t>
            </w:r>
            <w:proofErr w:type="spellEnd"/>
            <w:r w:rsidRPr="00465964">
              <w:rPr>
                <w:lang w:val="pt-PT"/>
              </w:rPr>
              <w:t xml:space="preserve"> de moeda eletrónica, bem como o tribunal competente.</w:t>
            </w:r>
          </w:p>
        </w:tc>
      </w:tr>
    </w:tbl>
    <w:p w14:paraId="567C5AF5" w14:textId="320C4145" w:rsidR="00465964" w:rsidRPr="00465964" w:rsidRDefault="00465964" w:rsidP="00465964">
      <w:pPr>
        <w:rPr>
          <w:b/>
          <w:bCs/>
          <w:lang w:val="pt-PT"/>
        </w:rPr>
      </w:pPr>
      <w:r w:rsidRPr="00465964">
        <w:rPr>
          <w:b/>
          <w:bCs/>
          <w:lang w:val="pt-PT"/>
        </w:rPr>
        <w:t xml:space="preserve">Parte D: Informações sobre os direitos e obrigações associados às </w:t>
      </w:r>
      <w:r>
        <w:rPr>
          <w:b/>
          <w:bCs/>
          <w:lang w:val="pt-PT"/>
        </w:rPr>
        <w:t>criptomoedas</w:t>
      </w:r>
      <w:r w:rsidRPr="00465964">
        <w:rPr>
          <w:b/>
          <w:bCs/>
          <w:lang w:val="pt-PT"/>
        </w:rPr>
        <w:t xml:space="preserve"> de moeda eletrónica</w:t>
      </w:r>
    </w:p>
    <w:tbl>
      <w:tblPr>
        <w:tblW w:w="5000" w:type="pct"/>
        <w:tblCellMar>
          <w:left w:w="0" w:type="dxa"/>
          <w:right w:w="0" w:type="dxa"/>
        </w:tblCellMar>
        <w:tblLook w:val="04A0" w:firstRow="1" w:lastRow="0" w:firstColumn="1" w:lastColumn="0" w:noHBand="0" w:noVBand="1"/>
      </w:tblPr>
      <w:tblGrid>
        <w:gridCol w:w="181"/>
        <w:gridCol w:w="8845"/>
      </w:tblGrid>
      <w:tr w:rsidR="00465964" w:rsidRPr="00465964" w14:paraId="3CB657C8" w14:textId="77777777" w:rsidTr="00465964">
        <w:tc>
          <w:tcPr>
            <w:tcW w:w="0" w:type="auto"/>
            <w:shd w:val="clear" w:color="auto" w:fill="auto"/>
            <w:hideMark/>
          </w:tcPr>
          <w:p w14:paraId="7BBA4CF4" w14:textId="77777777" w:rsidR="00465964" w:rsidRPr="00465964" w:rsidRDefault="00465964" w:rsidP="00465964">
            <w:r w:rsidRPr="00465964">
              <w:t>1.</w:t>
            </w:r>
          </w:p>
        </w:tc>
        <w:tc>
          <w:tcPr>
            <w:tcW w:w="0" w:type="auto"/>
            <w:shd w:val="clear" w:color="auto" w:fill="auto"/>
            <w:hideMark/>
          </w:tcPr>
          <w:p w14:paraId="352738AF" w14:textId="77777777" w:rsidR="00465964" w:rsidRPr="00465964" w:rsidRDefault="00465964" w:rsidP="00465964">
            <w:pPr>
              <w:rPr>
                <w:lang w:val="pt-PT"/>
              </w:rPr>
            </w:pPr>
            <w:r w:rsidRPr="00465964">
              <w:rPr>
                <w:lang w:val="pt-PT"/>
              </w:rPr>
              <w:t xml:space="preserve">Uma descrição pormenorizada dos direitos e obrigações, se aplicável, do detentor da </w:t>
            </w:r>
            <w:proofErr w:type="spellStart"/>
            <w:r w:rsidRPr="00465964">
              <w:rPr>
                <w:lang w:val="pt-PT"/>
              </w:rPr>
              <w:t>criptoficha</w:t>
            </w:r>
            <w:proofErr w:type="spellEnd"/>
            <w:r w:rsidRPr="00465964">
              <w:rPr>
                <w:lang w:val="pt-PT"/>
              </w:rPr>
              <w:t xml:space="preserve"> de moeda eletrónica, incluindo o direito de reembolso pelo valor nominal, bem como o procedimento e as condições para o exercício destes direitos;</w:t>
            </w:r>
          </w:p>
        </w:tc>
      </w:tr>
    </w:tbl>
    <w:p w14:paraId="3A527510"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5"/>
        <w:gridCol w:w="8841"/>
      </w:tblGrid>
      <w:tr w:rsidR="00465964" w:rsidRPr="00465964" w14:paraId="601D3B8F" w14:textId="77777777" w:rsidTr="00465964">
        <w:tc>
          <w:tcPr>
            <w:tcW w:w="0" w:type="auto"/>
            <w:shd w:val="clear" w:color="auto" w:fill="auto"/>
            <w:hideMark/>
          </w:tcPr>
          <w:p w14:paraId="0861C5C0" w14:textId="77777777" w:rsidR="00465964" w:rsidRPr="00465964" w:rsidRDefault="00465964" w:rsidP="00465964">
            <w:r w:rsidRPr="00465964">
              <w:t>2.</w:t>
            </w:r>
          </w:p>
        </w:tc>
        <w:tc>
          <w:tcPr>
            <w:tcW w:w="0" w:type="auto"/>
            <w:shd w:val="clear" w:color="auto" w:fill="auto"/>
            <w:hideMark/>
          </w:tcPr>
          <w:p w14:paraId="29EC0F8C" w14:textId="77777777" w:rsidR="00465964" w:rsidRPr="00465964" w:rsidRDefault="00465964" w:rsidP="00465964">
            <w:pPr>
              <w:rPr>
                <w:lang w:val="pt-PT"/>
              </w:rPr>
            </w:pPr>
            <w:r w:rsidRPr="00465964">
              <w:rPr>
                <w:lang w:val="pt-PT"/>
              </w:rPr>
              <w:t>Uma descrição das circunstâncias em que os direitos e as obrigações podem ser alterados;</w:t>
            </w:r>
          </w:p>
        </w:tc>
      </w:tr>
    </w:tbl>
    <w:p w14:paraId="5C82C4A6"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1"/>
        <w:gridCol w:w="8845"/>
      </w:tblGrid>
      <w:tr w:rsidR="00465964" w:rsidRPr="00465964" w14:paraId="462C930F" w14:textId="77777777" w:rsidTr="00465964">
        <w:tc>
          <w:tcPr>
            <w:tcW w:w="0" w:type="auto"/>
            <w:shd w:val="clear" w:color="auto" w:fill="auto"/>
            <w:hideMark/>
          </w:tcPr>
          <w:p w14:paraId="1FBEFD22" w14:textId="77777777" w:rsidR="00465964" w:rsidRPr="00465964" w:rsidRDefault="00465964" w:rsidP="00465964">
            <w:r w:rsidRPr="00465964">
              <w:t>3.</w:t>
            </w:r>
          </w:p>
        </w:tc>
        <w:tc>
          <w:tcPr>
            <w:tcW w:w="0" w:type="auto"/>
            <w:shd w:val="clear" w:color="auto" w:fill="auto"/>
            <w:hideMark/>
          </w:tcPr>
          <w:p w14:paraId="7D01B93F" w14:textId="77777777" w:rsidR="00465964" w:rsidRPr="00465964" w:rsidRDefault="00465964" w:rsidP="00465964">
            <w:pPr>
              <w:rPr>
                <w:lang w:val="pt-PT"/>
              </w:rPr>
            </w:pPr>
            <w:r w:rsidRPr="00465964">
              <w:rPr>
                <w:lang w:val="pt-PT"/>
              </w:rPr>
              <w:t>Uma descrição dos direitos dos detentores quando o emitente não está em condições de cumprir as suas obrigações, inclusive em caso de insolvência;</w:t>
            </w:r>
          </w:p>
        </w:tc>
      </w:tr>
    </w:tbl>
    <w:p w14:paraId="371272F4"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214"/>
        <w:gridCol w:w="8812"/>
      </w:tblGrid>
      <w:tr w:rsidR="00465964" w:rsidRPr="00465964" w14:paraId="47B1C8F4" w14:textId="77777777" w:rsidTr="00465964">
        <w:tc>
          <w:tcPr>
            <w:tcW w:w="0" w:type="auto"/>
            <w:shd w:val="clear" w:color="auto" w:fill="auto"/>
            <w:hideMark/>
          </w:tcPr>
          <w:p w14:paraId="59D0BF93" w14:textId="77777777" w:rsidR="00465964" w:rsidRPr="00465964" w:rsidRDefault="00465964" w:rsidP="00465964">
            <w:r w:rsidRPr="00465964">
              <w:lastRenderedPageBreak/>
              <w:t>4.</w:t>
            </w:r>
          </w:p>
        </w:tc>
        <w:tc>
          <w:tcPr>
            <w:tcW w:w="0" w:type="auto"/>
            <w:shd w:val="clear" w:color="auto" w:fill="auto"/>
            <w:hideMark/>
          </w:tcPr>
          <w:p w14:paraId="38524870" w14:textId="77777777" w:rsidR="00465964" w:rsidRPr="00465964" w:rsidRDefault="00465964" w:rsidP="00465964">
            <w:pPr>
              <w:rPr>
                <w:lang w:val="pt-PT"/>
              </w:rPr>
            </w:pPr>
            <w:r w:rsidRPr="00465964">
              <w:rPr>
                <w:lang w:val="pt-PT"/>
              </w:rPr>
              <w:t>Uma descrição dos direitos no contexto da execução do plano de recuperação;</w:t>
            </w:r>
          </w:p>
        </w:tc>
      </w:tr>
    </w:tbl>
    <w:p w14:paraId="0A77116F"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219"/>
        <w:gridCol w:w="8807"/>
      </w:tblGrid>
      <w:tr w:rsidR="00465964" w:rsidRPr="00465964" w14:paraId="62254D29" w14:textId="77777777" w:rsidTr="00465964">
        <w:tc>
          <w:tcPr>
            <w:tcW w:w="0" w:type="auto"/>
            <w:shd w:val="clear" w:color="auto" w:fill="auto"/>
            <w:hideMark/>
          </w:tcPr>
          <w:p w14:paraId="14E48C2B" w14:textId="77777777" w:rsidR="00465964" w:rsidRPr="00465964" w:rsidRDefault="00465964" w:rsidP="00465964">
            <w:r w:rsidRPr="00465964">
              <w:t>5.</w:t>
            </w:r>
          </w:p>
        </w:tc>
        <w:tc>
          <w:tcPr>
            <w:tcW w:w="0" w:type="auto"/>
            <w:shd w:val="clear" w:color="auto" w:fill="auto"/>
            <w:hideMark/>
          </w:tcPr>
          <w:p w14:paraId="1EE213FB" w14:textId="77777777" w:rsidR="00465964" w:rsidRPr="00465964" w:rsidRDefault="00465964" w:rsidP="00465964">
            <w:pPr>
              <w:rPr>
                <w:lang w:val="pt-PT"/>
              </w:rPr>
            </w:pPr>
            <w:r w:rsidRPr="00465964">
              <w:rPr>
                <w:lang w:val="pt-PT"/>
              </w:rPr>
              <w:t>Uma descrição dos direitos no contexto da execução do plano de reembolso;</w:t>
            </w:r>
          </w:p>
        </w:tc>
      </w:tr>
    </w:tbl>
    <w:p w14:paraId="4C0E1AF3"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1"/>
        <w:gridCol w:w="8845"/>
      </w:tblGrid>
      <w:tr w:rsidR="00465964" w:rsidRPr="00465964" w14:paraId="4A0D3192" w14:textId="77777777" w:rsidTr="00465964">
        <w:tc>
          <w:tcPr>
            <w:tcW w:w="0" w:type="auto"/>
            <w:shd w:val="clear" w:color="auto" w:fill="auto"/>
            <w:hideMark/>
          </w:tcPr>
          <w:p w14:paraId="542CBC2F" w14:textId="77777777" w:rsidR="00465964" w:rsidRPr="00465964" w:rsidRDefault="00465964" w:rsidP="00465964">
            <w:r w:rsidRPr="00465964">
              <w:t>6.</w:t>
            </w:r>
          </w:p>
        </w:tc>
        <w:tc>
          <w:tcPr>
            <w:tcW w:w="0" w:type="auto"/>
            <w:shd w:val="clear" w:color="auto" w:fill="auto"/>
            <w:hideMark/>
          </w:tcPr>
          <w:p w14:paraId="533C4418" w14:textId="77777777" w:rsidR="00465964" w:rsidRPr="00465964" w:rsidRDefault="00465964" w:rsidP="00465964">
            <w:pPr>
              <w:rPr>
                <w:lang w:val="pt-PT"/>
              </w:rPr>
            </w:pPr>
            <w:r w:rsidRPr="00465964">
              <w:rPr>
                <w:lang w:val="pt-PT"/>
              </w:rPr>
              <w:t xml:space="preserve">Informações de contacto para a apresentação de reclamações e descrição dos procedimentos de tratamento das reclamações e de qualquer mecanismo de resolução de litígios ou procedimento de recurso estabelecido pelo emitente da </w:t>
            </w:r>
            <w:proofErr w:type="spellStart"/>
            <w:r w:rsidRPr="00465964">
              <w:rPr>
                <w:lang w:val="pt-PT"/>
              </w:rPr>
              <w:t>criptoficha</w:t>
            </w:r>
            <w:proofErr w:type="spellEnd"/>
            <w:r w:rsidRPr="00465964">
              <w:rPr>
                <w:lang w:val="pt-PT"/>
              </w:rPr>
              <w:t xml:space="preserve"> de moeda eletrónica;</w:t>
            </w:r>
          </w:p>
        </w:tc>
      </w:tr>
    </w:tbl>
    <w:p w14:paraId="77339A9B"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1"/>
        <w:gridCol w:w="8845"/>
      </w:tblGrid>
      <w:tr w:rsidR="00465964" w:rsidRPr="00465964" w14:paraId="2F4FFDB0" w14:textId="77777777" w:rsidTr="00465964">
        <w:tc>
          <w:tcPr>
            <w:tcW w:w="0" w:type="auto"/>
            <w:shd w:val="clear" w:color="auto" w:fill="auto"/>
            <w:hideMark/>
          </w:tcPr>
          <w:p w14:paraId="11BF3415" w14:textId="77777777" w:rsidR="00465964" w:rsidRPr="00465964" w:rsidRDefault="00465964" w:rsidP="00465964">
            <w:r w:rsidRPr="00465964">
              <w:t>7.</w:t>
            </w:r>
          </w:p>
        </w:tc>
        <w:tc>
          <w:tcPr>
            <w:tcW w:w="0" w:type="auto"/>
            <w:shd w:val="clear" w:color="auto" w:fill="auto"/>
            <w:hideMark/>
          </w:tcPr>
          <w:p w14:paraId="6F3DC232" w14:textId="77777777" w:rsidR="00465964" w:rsidRPr="00465964" w:rsidRDefault="00465964" w:rsidP="00465964">
            <w:pPr>
              <w:rPr>
                <w:lang w:val="pt-PT"/>
              </w:rPr>
            </w:pPr>
            <w:r w:rsidRPr="00465964">
              <w:rPr>
                <w:lang w:val="pt-PT"/>
              </w:rPr>
              <w:t>Quando pertinente, uma descrição dos regimes de proteção que protejam o valor do criptoativo e dos regimes de compensação;</w:t>
            </w:r>
          </w:p>
        </w:tc>
      </w:tr>
    </w:tbl>
    <w:p w14:paraId="2AC416CA"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203"/>
        <w:gridCol w:w="8823"/>
      </w:tblGrid>
      <w:tr w:rsidR="00465964" w:rsidRPr="00465964" w14:paraId="5580410B" w14:textId="77777777" w:rsidTr="00465964">
        <w:tc>
          <w:tcPr>
            <w:tcW w:w="0" w:type="auto"/>
            <w:shd w:val="clear" w:color="auto" w:fill="auto"/>
            <w:hideMark/>
          </w:tcPr>
          <w:p w14:paraId="3FAB12A8" w14:textId="77777777" w:rsidR="00465964" w:rsidRPr="00465964" w:rsidRDefault="00465964" w:rsidP="00465964">
            <w:r w:rsidRPr="00465964">
              <w:t>8.</w:t>
            </w:r>
          </w:p>
        </w:tc>
        <w:tc>
          <w:tcPr>
            <w:tcW w:w="0" w:type="auto"/>
            <w:shd w:val="clear" w:color="auto" w:fill="auto"/>
            <w:hideMark/>
          </w:tcPr>
          <w:p w14:paraId="20F7979E" w14:textId="77777777" w:rsidR="00465964" w:rsidRPr="00465964" w:rsidRDefault="00465964" w:rsidP="00465964">
            <w:pPr>
              <w:rPr>
                <w:lang w:val="pt-PT"/>
              </w:rPr>
            </w:pPr>
            <w:r w:rsidRPr="00465964">
              <w:rPr>
                <w:lang w:val="pt-PT"/>
              </w:rPr>
              <w:t xml:space="preserve">A lei aplicável à </w:t>
            </w:r>
            <w:proofErr w:type="spellStart"/>
            <w:r w:rsidRPr="00465964">
              <w:rPr>
                <w:lang w:val="pt-PT"/>
              </w:rPr>
              <w:t>criptoficha</w:t>
            </w:r>
            <w:proofErr w:type="spellEnd"/>
            <w:r w:rsidRPr="00465964">
              <w:rPr>
                <w:lang w:val="pt-PT"/>
              </w:rPr>
              <w:t xml:space="preserve"> de moeda eletrónica, bem como o tribunal competente.</w:t>
            </w:r>
          </w:p>
        </w:tc>
      </w:tr>
    </w:tbl>
    <w:p w14:paraId="344C2920" w14:textId="77777777" w:rsidR="00465964" w:rsidRPr="00465964" w:rsidRDefault="00465964" w:rsidP="00465964">
      <w:pPr>
        <w:rPr>
          <w:b/>
          <w:bCs/>
          <w:lang w:val="pt-PT"/>
        </w:rPr>
      </w:pPr>
      <w:r w:rsidRPr="00465964">
        <w:rPr>
          <w:b/>
          <w:bCs/>
          <w:lang w:val="pt-PT"/>
        </w:rPr>
        <w:t>Parte E: Informações sobre a tecnologia subjacente</w:t>
      </w:r>
    </w:p>
    <w:tbl>
      <w:tblPr>
        <w:tblW w:w="5000" w:type="pct"/>
        <w:tblCellMar>
          <w:left w:w="0" w:type="dxa"/>
          <w:right w:w="0" w:type="dxa"/>
        </w:tblCellMar>
        <w:tblLook w:val="04A0" w:firstRow="1" w:lastRow="0" w:firstColumn="1" w:lastColumn="0" w:noHBand="0" w:noVBand="1"/>
      </w:tblPr>
      <w:tblGrid>
        <w:gridCol w:w="181"/>
        <w:gridCol w:w="8845"/>
      </w:tblGrid>
      <w:tr w:rsidR="00465964" w:rsidRPr="00465964" w14:paraId="3B765D09" w14:textId="77777777" w:rsidTr="00465964">
        <w:tc>
          <w:tcPr>
            <w:tcW w:w="0" w:type="auto"/>
            <w:shd w:val="clear" w:color="auto" w:fill="auto"/>
            <w:hideMark/>
          </w:tcPr>
          <w:p w14:paraId="68D27A34" w14:textId="77777777" w:rsidR="00465964" w:rsidRPr="00465964" w:rsidRDefault="00465964" w:rsidP="00465964">
            <w:r w:rsidRPr="00465964">
              <w:t>1.</w:t>
            </w:r>
          </w:p>
        </w:tc>
        <w:tc>
          <w:tcPr>
            <w:tcW w:w="0" w:type="auto"/>
            <w:shd w:val="clear" w:color="auto" w:fill="auto"/>
            <w:hideMark/>
          </w:tcPr>
          <w:p w14:paraId="6DA704F7" w14:textId="36F11624" w:rsidR="00465964" w:rsidRPr="00465964" w:rsidRDefault="00465964" w:rsidP="00465964">
            <w:pPr>
              <w:rPr>
                <w:lang w:val="pt-PT"/>
              </w:rPr>
            </w:pPr>
            <w:r w:rsidRPr="00465964">
              <w:rPr>
                <w:lang w:val="pt-PT"/>
              </w:rPr>
              <w:t xml:space="preserve">Informação sobre a tecnologia utilizada, incluindo a tecnologia de registo distribuído, bem como os protocolos e as normas técnicas utilizadas, que permitem a detenção, armazenamento e transferência de </w:t>
            </w:r>
            <w:r>
              <w:rPr>
                <w:lang w:val="pt-PT"/>
              </w:rPr>
              <w:t>criptomoedas</w:t>
            </w:r>
            <w:r w:rsidRPr="00465964">
              <w:rPr>
                <w:lang w:val="pt-PT"/>
              </w:rPr>
              <w:t xml:space="preserve"> de moeda eletrónica;</w:t>
            </w:r>
          </w:p>
        </w:tc>
      </w:tr>
    </w:tbl>
    <w:p w14:paraId="46DBEBED"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1"/>
        <w:gridCol w:w="8845"/>
      </w:tblGrid>
      <w:tr w:rsidR="00465964" w:rsidRPr="00465964" w14:paraId="681F5C6C" w14:textId="77777777" w:rsidTr="00465964">
        <w:tc>
          <w:tcPr>
            <w:tcW w:w="0" w:type="auto"/>
            <w:shd w:val="clear" w:color="auto" w:fill="auto"/>
            <w:hideMark/>
          </w:tcPr>
          <w:p w14:paraId="7DF6ABC6" w14:textId="77777777" w:rsidR="00465964" w:rsidRPr="00465964" w:rsidRDefault="00465964" w:rsidP="00465964">
            <w:r w:rsidRPr="00465964">
              <w:t>2.</w:t>
            </w:r>
          </w:p>
        </w:tc>
        <w:tc>
          <w:tcPr>
            <w:tcW w:w="0" w:type="auto"/>
            <w:shd w:val="clear" w:color="auto" w:fill="auto"/>
            <w:hideMark/>
          </w:tcPr>
          <w:p w14:paraId="7B28D279" w14:textId="77777777" w:rsidR="00465964" w:rsidRPr="00465964" w:rsidRDefault="00465964" w:rsidP="00465964">
            <w:pPr>
              <w:rPr>
                <w:lang w:val="pt-PT"/>
              </w:rPr>
            </w:pPr>
            <w:r w:rsidRPr="00465964">
              <w:rPr>
                <w:lang w:val="pt-PT"/>
              </w:rPr>
              <w:t xml:space="preserve">Informação sobre os requisitos técnicos que o comprador tem de cumprir para assumir o controlo da </w:t>
            </w:r>
            <w:proofErr w:type="spellStart"/>
            <w:r w:rsidRPr="00465964">
              <w:rPr>
                <w:lang w:val="pt-PT"/>
              </w:rPr>
              <w:t>criptoficha</w:t>
            </w:r>
            <w:proofErr w:type="spellEnd"/>
            <w:r w:rsidRPr="00465964">
              <w:rPr>
                <w:lang w:val="pt-PT"/>
              </w:rPr>
              <w:t xml:space="preserve"> de moeda eletrónica;</w:t>
            </w:r>
          </w:p>
        </w:tc>
      </w:tr>
    </w:tbl>
    <w:p w14:paraId="16298DCD"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349"/>
        <w:gridCol w:w="8677"/>
      </w:tblGrid>
      <w:tr w:rsidR="00465964" w:rsidRPr="00465964" w14:paraId="4B7BBFE2" w14:textId="77777777" w:rsidTr="00465964">
        <w:tc>
          <w:tcPr>
            <w:tcW w:w="0" w:type="auto"/>
            <w:shd w:val="clear" w:color="auto" w:fill="auto"/>
            <w:hideMark/>
          </w:tcPr>
          <w:p w14:paraId="5331C0E5" w14:textId="77777777" w:rsidR="00465964" w:rsidRPr="00465964" w:rsidRDefault="00465964" w:rsidP="00465964">
            <w:r w:rsidRPr="00465964">
              <w:t>3.</w:t>
            </w:r>
          </w:p>
        </w:tc>
        <w:tc>
          <w:tcPr>
            <w:tcW w:w="0" w:type="auto"/>
            <w:shd w:val="clear" w:color="auto" w:fill="auto"/>
            <w:hideMark/>
          </w:tcPr>
          <w:p w14:paraId="36C1FFB6" w14:textId="77777777" w:rsidR="00465964" w:rsidRPr="00465964" w:rsidRDefault="00465964" w:rsidP="00465964">
            <w:pPr>
              <w:rPr>
                <w:lang w:val="pt-PT"/>
              </w:rPr>
            </w:pPr>
            <w:r w:rsidRPr="00465964">
              <w:rPr>
                <w:lang w:val="pt-PT"/>
              </w:rPr>
              <w:t>O mecanismo de consenso, quando pertinente;</w:t>
            </w:r>
          </w:p>
        </w:tc>
      </w:tr>
    </w:tbl>
    <w:p w14:paraId="657D27FA"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1"/>
        <w:gridCol w:w="8845"/>
      </w:tblGrid>
      <w:tr w:rsidR="00465964" w:rsidRPr="00465964" w14:paraId="4D2C8D97" w14:textId="77777777" w:rsidTr="00465964">
        <w:tc>
          <w:tcPr>
            <w:tcW w:w="0" w:type="auto"/>
            <w:shd w:val="clear" w:color="auto" w:fill="auto"/>
            <w:hideMark/>
          </w:tcPr>
          <w:p w14:paraId="0D738AB9" w14:textId="77777777" w:rsidR="00465964" w:rsidRPr="00465964" w:rsidRDefault="00465964" w:rsidP="00465964">
            <w:r w:rsidRPr="00465964">
              <w:t>4.</w:t>
            </w:r>
          </w:p>
        </w:tc>
        <w:tc>
          <w:tcPr>
            <w:tcW w:w="0" w:type="auto"/>
            <w:shd w:val="clear" w:color="auto" w:fill="auto"/>
            <w:hideMark/>
          </w:tcPr>
          <w:p w14:paraId="249D9A13" w14:textId="77777777" w:rsidR="00465964" w:rsidRPr="00465964" w:rsidRDefault="00465964" w:rsidP="00465964">
            <w:pPr>
              <w:rPr>
                <w:lang w:val="pt-PT"/>
              </w:rPr>
            </w:pPr>
            <w:r w:rsidRPr="00465964">
              <w:rPr>
                <w:lang w:val="pt-PT"/>
              </w:rPr>
              <w:t>Mecanismos de incentivo para garantir a segurança das transações e eventuais comissões aplicáveis;</w:t>
            </w:r>
          </w:p>
        </w:tc>
      </w:tr>
    </w:tbl>
    <w:p w14:paraId="4140A6A8"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1"/>
        <w:gridCol w:w="8845"/>
      </w:tblGrid>
      <w:tr w:rsidR="00465964" w:rsidRPr="00465964" w14:paraId="5EAB4ACB" w14:textId="77777777" w:rsidTr="00465964">
        <w:tc>
          <w:tcPr>
            <w:tcW w:w="0" w:type="auto"/>
            <w:shd w:val="clear" w:color="auto" w:fill="auto"/>
            <w:hideMark/>
          </w:tcPr>
          <w:p w14:paraId="68465BD6" w14:textId="77777777" w:rsidR="00465964" w:rsidRPr="00465964" w:rsidRDefault="00465964" w:rsidP="00465964">
            <w:r w:rsidRPr="00465964">
              <w:t>5.</w:t>
            </w:r>
          </w:p>
        </w:tc>
        <w:tc>
          <w:tcPr>
            <w:tcW w:w="0" w:type="auto"/>
            <w:shd w:val="clear" w:color="auto" w:fill="auto"/>
            <w:hideMark/>
          </w:tcPr>
          <w:p w14:paraId="6E3E14A7" w14:textId="77777777" w:rsidR="00465964" w:rsidRPr="00465964" w:rsidRDefault="00465964" w:rsidP="00465964">
            <w:pPr>
              <w:rPr>
                <w:lang w:val="pt-PT"/>
              </w:rPr>
            </w:pPr>
            <w:r w:rsidRPr="00465964">
              <w:rPr>
                <w:lang w:val="pt-PT"/>
              </w:rPr>
              <w:t xml:space="preserve">Caso a </w:t>
            </w:r>
            <w:proofErr w:type="spellStart"/>
            <w:r w:rsidRPr="00465964">
              <w:rPr>
                <w:lang w:val="pt-PT"/>
              </w:rPr>
              <w:t>criptoficha</w:t>
            </w:r>
            <w:proofErr w:type="spellEnd"/>
            <w:r w:rsidRPr="00465964">
              <w:rPr>
                <w:lang w:val="pt-PT"/>
              </w:rPr>
              <w:t xml:space="preserve"> de moeda eletrónica seja emitida, transferida e armazenada utilizando uma tecnologia de registo distribuído gerida pelo emitente ou por terceiros em seu nome, uma descrição pormenorizada do funcionamento dessa tecnologia de registo distribuído;</w:t>
            </w:r>
          </w:p>
        </w:tc>
      </w:tr>
    </w:tbl>
    <w:p w14:paraId="6C613EF6"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2"/>
        <w:gridCol w:w="8844"/>
      </w:tblGrid>
      <w:tr w:rsidR="00465964" w:rsidRPr="00465964" w14:paraId="08A9B08A" w14:textId="77777777" w:rsidTr="00465964">
        <w:tc>
          <w:tcPr>
            <w:tcW w:w="0" w:type="auto"/>
            <w:shd w:val="clear" w:color="auto" w:fill="auto"/>
            <w:hideMark/>
          </w:tcPr>
          <w:p w14:paraId="69B94ED0" w14:textId="77777777" w:rsidR="00465964" w:rsidRPr="00465964" w:rsidRDefault="00465964" w:rsidP="00465964">
            <w:r w:rsidRPr="00465964">
              <w:t>6.</w:t>
            </w:r>
          </w:p>
        </w:tc>
        <w:tc>
          <w:tcPr>
            <w:tcW w:w="0" w:type="auto"/>
            <w:shd w:val="clear" w:color="auto" w:fill="auto"/>
            <w:hideMark/>
          </w:tcPr>
          <w:p w14:paraId="05116DB0" w14:textId="77777777" w:rsidR="00465964" w:rsidRPr="00465964" w:rsidRDefault="00465964" w:rsidP="00465964">
            <w:pPr>
              <w:rPr>
                <w:lang w:val="pt-PT"/>
              </w:rPr>
            </w:pPr>
            <w:r w:rsidRPr="00465964">
              <w:rPr>
                <w:lang w:val="pt-PT"/>
              </w:rPr>
              <w:t>Informação sobre o resultado da auditoria à tecnologia utilizada, se tal auditoria foi realizada.</w:t>
            </w:r>
          </w:p>
        </w:tc>
      </w:tr>
    </w:tbl>
    <w:p w14:paraId="70E64910" w14:textId="77777777" w:rsidR="00465964" w:rsidRPr="00465964" w:rsidRDefault="00465964" w:rsidP="00465964">
      <w:pPr>
        <w:rPr>
          <w:b/>
          <w:bCs/>
          <w:lang w:val="pt-PT"/>
        </w:rPr>
      </w:pPr>
      <w:r w:rsidRPr="00465964">
        <w:rPr>
          <w:b/>
          <w:bCs/>
          <w:lang w:val="pt-PT"/>
        </w:rPr>
        <w:t>Parte F: Informação sobre os riscos</w:t>
      </w:r>
    </w:p>
    <w:tbl>
      <w:tblPr>
        <w:tblW w:w="5000" w:type="pct"/>
        <w:tblCellMar>
          <w:left w:w="0" w:type="dxa"/>
          <w:right w:w="0" w:type="dxa"/>
        </w:tblCellMar>
        <w:tblLook w:val="04A0" w:firstRow="1" w:lastRow="0" w:firstColumn="1" w:lastColumn="0" w:noHBand="0" w:noVBand="1"/>
      </w:tblPr>
      <w:tblGrid>
        <w:gridCol w:w="207"/>
        <w:gridCol w:w="8819"/>
      </w:tblGrid>
      <w:tr w:rsidR="00465964" w:rsidRPr="00465964" w14:paraId="1606FC89" w14:textId="77777777" w:rsidTr="00465964">
        <w:tc>
          <w:tcPr>
            <w:tcW w:w="0" w:type="auto"/>
            <w:shd w:val="clear" w:color="auto" w:fill="auto"/>
            <w:hideMark/>
          </w:tcPr>
          <w:p w14:paraId="4D8DEE16" w14:textId="77777777" w:rsidR="00465964" w:rsidRPr="00465964" w:rsidRDefault="00465964" w:rsidP="00465964">
            <w:r w:rsidRPr="00465964">
              <w:t>1.</w:t>
            </w:r>
          </w:p>
        </w:tc>
        <w:tc>
          <w:tcPr>
            <w:tcW w:w="0" w:type="auto"/>
            <w:shd w:val="clear" w:color="auto" w:fill="auto"/>
            <w:hideMark/>
          </w:tcPr>
          <w:p w14:paraId="58F3A4D2" w14:textId="77777777" w:rsidR="00465964" w:rsidRPr="00465964" w:rsidRDefault="00465964" w:rsidP="00465964">
            <w:pPr>
              <w:rPr>
                <w:lang w:val="pt-PT"/>
              </w:rPr>
            </w:pPr>
            <w:r w:rsidRPr="00465964">
              <w:rPr>
                <w:lang w:val="pt-PT"/>
              </w:rPr>
              <w:t xml:space="preserve">Descrição dos riscos associados ao emitente da </w:t>
            </w:r>
            <w:proofErr w:type="spellStart"/>
            <w:r w:rsidRPr="00465964">
              <w:rPr>
                <w:lang w:val="pt-PT"/>
              </w:rPr>
              <w:t>criptoficha</w:t>
            </w:r>
            <w:proofErr w:type="spellEnd"/>
            <w:r w:rsidRPr="00465964">
              <w:rPr>
                <w:lang w:val="pt-PT"/>
              </w:rPr>
              <w:t xml:space="preserve"> de moeda eletrónica;</w:t>
            </w:r>
          </w:p>
        </w:tc>
      </w:tr>
    </w:tbl>
    <w:p w14:paraId="2512CAFE"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248"/>
        <w:gridCol w:w="8778"/>
      </w:tblGrid>
      <w:tr w:rsidR="00465964" w:rsidRPr="00465964" w14:paraId="0D0901F9" w14:textId="77777777" w:rsidTr="00465964">
        <w:tc>
          <w:tcPr>
            <w:tcW w:w="0" w:type="auto"/>
            <w:shd w:val="clear" w:color="auto" w:fill="auto"/>
            <w:hideMark/>
          </w:tcPr>
          <w:p w14:paraId="5D024717" w14:textId="77777777" w:rsidR="00465964" w:rsidRPr="00465964" w:rsidRDefault="00465964" w:rsidP="00465964">
            <w:r w:rsidRPr="00465964">
              <w:t>2.</w:t>
            </w:r>
          </w:p>
        </w:tc>
        <w:tc>
          <w:tcPr>
            <w:tcW w:w="0" w:type="auto"/>
            <w:shd w:val="clear" w:color="auto" w:fill="auto"/>
            <w:hideMark/>
          </w:tcPr>
          <w:p w14:paraId="3B6E2EDF" w14:textId="77777777" w:rsidR="00465964" w:rsidRPr="00465964" w:rsidRDefault="00465964" w:rsidP="00465964">
            <w:pPr>
              <w:rPr>
                <w:lang w:val="pt-PT"/>
              </w:rPr>
            </w:pPr>
            <w:r w:rsidRPr="00465964">
              <w:rPr>
                <w:lang w:val="pt-PT"/>
              </w:rPr>
              <w:t xml:space="preserve">Descrição dos riscos associados à </w:t>
            </w:r>
            <w:proofErr w:type="spellStart"/>
            <w:r w:rsidRPr="00465964">
              <w:rPr>
                <w:lang w:val="pt-PT"/>
              </w:rPr>
              <w:t>criptoficha</w:t>
            </w:r>
            <w:proofErr w:type="spellEnd"/>
            <w:r w:rsidRPr="00465964">
              <w:rPr>
                <w:lang w:val="pt-PT"/>
              </w:rPr>
              <w:t xml:space="preserve"> de moeda eletrónica;</w:t>
            </w:r>
          </w:p>
        </w:tc>
      </w:tr>
    </w:tbl>
    <w:p w14:paraId="2D9D6295"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181"/>
        <w:gridCol w:w="8845"/>
      </w:tblGrid>
      <w:tr w:rsidR="00465964" w:rsidRPr="00465964" w14:paraId="0F86BCBB" w14:textId="77777777" w:rsidTr="00465964">
        <w:tc>
          <w:tcPr>
            <w:tcW w:w="0" w:type="auto"/>
            <w:shd w:val="clear" w:color="auto" w:fill="auto"/>
            <w:hideMark/>
          </w:tcPr>
          <w:p w14:paraId="09DBBFA8" w14:textId="77777777" w:rsidR="00465964" w:rsidRPr="00465964" w:rsidRDefault="00465964" w:rsidP="00465964">
            <w:r w:rsidRPr="00465964">
              <w:t>3.</w:t>
            </w:r>
          </w:p>
        </w:tc>
        <w:tc>
          <w:tcPr>
            <w:tcW w:w="0" w:type="auto"/>
            <w:shd w:val="clear" w:color="auto" w:fill="auto"/>
            <w:hideMark/>
          </w:tcPr>
          <w:p w14:paraId="4E54351F" w14:textId="77777777" w:rsidR="00465964" w:rsidRPr="00465964" w:rsidRDefault="00465964" w:rsidP="00465964">
            <w:pPr>
              <w:rPr>
                <w:lang w:val="pt-PT"/>
              </w:rPr>
            </w:pPr>
            <w:r w:rsidRPr="00465964">
              <w:rPr>
                <w:lang w:val="pt-PT"/>
              </w:rPr>
              <w:t>Descrição dos riscos associados à tecnologia utilizada, bem como das eventuais medidas de atenuação.</w:t>
            </w:r>
          </w:p>
        </w:tc>
      </w:tr>
    </w:tbl>
    <w:p w14:paraId="3F031CF0" w14:textId="77777777" w:rsidR="00465964" w:rsidRPr="00465964" w:rsidRDefault="00465964" w:rsidP="00465964">
      <w:r w:rsidRPr="00465964">
        <w:pict w14:anchorId="7C7F49D5">
          <v:rect id="_x0000_i1071" style="width:65.45pt;height:.75pt" o:hrpct="0" o:hralign="center" o:hrstd="t" o:hrnoshade="t" o:hr="t" fillcolor="black" stroked="f"/>
        </w:pict>
      </w:r>
    </w:p>
    <w:p w14:paraId="7579F635" w14:textId="77777777" w:rsidR="00465964" w:rsidRPr="00465964" w:rsidRDefault="00465964" w:rsidP="00465964">
      <w:pPr>
        <w:rPr>
          <w:b/>
          <w:bCs/>
          <w:lang w:val="pt-PT"/>
        </w:rPr>
      </w:pPr>
      <w:r w:rsidRPr="00465964">
        <w:rPr>
          <w:b/>
          <w:bCs/>
          <w:lang w:val="pt-PT"/>
        </w:rPr>
        <w:t>ANEXO IV</w:t>
      </w:r>
    </w:p>
    <w:p w14:paraId="62E732FB" w14:textId="77777777" w:rsidR="00465964" w:rsidRPr="00465964" w:rsidRDefault="00465964" w:rsidP="00465964">
      <w:pPr>
        <w:rPr>
          <w:b/>
          <w:bCs/>
          <w:lang w:val="pt-PT"/>
        </w:rPr>
      </w:pPr>
      <w:r w:rsidRPr="00465964">
        <w:rPr>
          <w:b/>
          <w:bCs/>
          <w:lang w:val="pt-PT"/>
        </w:rPr>
        <w:t>REQUISITOS MÍNIMOS DE FUNDOS PRÓPRIOS APLICÁVEIS AOS PRESTADORES DE SERVIÇOS DE CRIPTOATIVOS</w:t>
      </w:r>
    </w:p>
    <w:tbl>
      <w:tblPr>
        <w:tblW w:w="5000" w:type="pct"/>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1896"/>
        <w:gridCol w:w="4211"/>
        <w:gridCol w:w="2903"/>
      </w:tblGrid>
      <w:tr w:rsidR="00465964" w:rsidRPr="00465964" w14:paraId="3DD0E034" w14:textId="77777777" w:rsidTr="00465964">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5A9BBE65" w14:textId="77777777" w:rsidR="00465964" w:rsidRPr="00465964" w:rsidRDefault="00465964" w:rsidP="00465964">
            <w:pPr>
              <w:rPr>
                <w:b/>
                <w:bCs/>
                <w:lang w:val="pt-PT"/>
              </w:rPr>
            </w:pPr>
            <w:r w:rsidRPr="00465964">
              <w:rPr>
                <w:b/>
                <w:bCs/>
                <w:lang w:val="pt-PT"/>
              </w:rPr>
              <w:t>Prestadores de serviços de criptoativos</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23E40228" w14:textId="77777777" w:rsidR="00465964" w:rsidRPr="00465964" w:rsidRDefault="00465964" w:rsidP="00465964">
            <w:pPr>
              <w:rPr>
                <w:b/>
                <w:bCs/>
                <w:lang w:val="pt-PT"/>
              </w:rPr>
            </w:pPr>
            <w:r w:rsidRPr="00465964">
              <w:rPr>
                <w:b/>
                <w:bCs/>
                <w:lang w:val="pt-PT"/>
              </w:rPr>
              <w:t>Tipo de serviços de criptoativos</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7D338DB9" w14:textId="77777777" w:rsidR="00465964" w:rsidRPr="00465964" w:rsidRDefault="00465964" w:rsidP="00465964">
            <w:pPr>
              <w:rPr>
                <w:b/>
                <w:bCs/>
                <w:lang w:val="pt-PT"/>
              </w:rPr>
            </w:pPr>
            <w:r w:rsidRPr="00465964">
              <w:rPr>
                <w:b/>
                <w:bCs/>
                <w:lang w:val="pt-PT"/>
              </w:rPr>
              <w:t>Requisitos mínimos de fundos próprios nos termos do artigo 67.</w:t>
            </w:r>
            <w:r w:rsidRPr="00465964">
              <w:rPr>
                <w:b/>
                <w:bCs/>
                <w:vertAlign w:val="superscript"/>
                <w:lang w:val="pt-PT"/>
              </w:rPr>
              <w:t>o</w:t>
            </w:r>
            <w:r w:rsidRPr="00465964">
              <w:rPr>
                <w:b/>
                <w:bCs/>
                <w:lang w:val="pt-PT"/>
              </w:rPr>
              <w:t xml:space="preserve">, </w:t>
            </w:r>
            <w:proofErr w:type="spellStart"/>
            <w:r w:rsidRPr="00465964">
              <w:rPr>
                <w:b/>
                <w:bCs/>
                <w:lang w:val="pt-PT"/>
              </w:rPr>
              <w:t>n.</w:t>
            </w:r>
            <w:r w:rsidRPr="00465964">
              <w:rPr>
                <w:b/>
                <w:bCs/>
                <w:vertAlign w:val="superscript"/>
                <w:lang w:val="pt-PT"/>
              </w:rPr>
              <w:t>o</w:t>
            </w:r>
            <w:proofErr w:type="spellEnd"/>
            <w:r w:rsidRPr="00465964">
              <w:rPr>
                <w:b/>
                <w:bCs/>
                <w:lang w:val="pt-PT"/>
              </w:rPr>
              <w:t> 1, alínea a)</w:t>
            </w:r>
          </w:p>
        </w:tc>
      </w:tr>
      <w:tr w:rsidR="00465964" w:rsidRPr="00465964" w14:paraId="1445685C" w14:textId="77777777" w:rsidTr="00465964">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1135F73F" w14:textId="77777777" w:rsidR="00465964" w:rsidRPr="00465964" w:rsidRDefault="00465964" w:rsidP="00465964">
            <w:proofErr w:type="spellStart"/>
            <w:r w:rsidRPr="00465964">
              <w:lastRenderedPageBreak/>
              <w:t>Classe</w:t>
            </w:r>
            <w:proofErr w:type="spellEnd"/>
            <w:r w:rsidRPr="00465964">
              <w:t xml:space="preserve"> 1</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5E5AE2E2" w14:textId="77777777" w:rsidR="00465964" w:rsidRPr="00465964" w:rsidRDefault="00465964" w:rsidP="00465964">
            <w:pPr>
              <w:rPr>
                <w:lang w:val="pt-PT"/>
              </w:rPr>
            </w:pPr>
            <w:r w:rsidRPr="00465964">
              <w:rPr>
                <w:lang w:val="pt-PT"/>
              </w:rPr>
              <w:t>Prestador de serviços de criptoativos autorizado para os seguintes serviços de criptoativos:</w:t>
            </w:r>
          </w:p>
          <w:tbl>
            <w:tblPr>
              <w:tblW w:w="5000" w:type="pct"/>
              <w:tblCellMar>
                <w:left w:w="0" w:type="dxa"/>
                <w:right w:w="0" w:type="dxa"/>
              </w:tblCellMar>
              <w:tblLook w:val="04A0" w:firstRow="1" w:lastRow="0" w:firstColumn="1" w:lastColumn="0" w:noHBand="0" w:noVBand="1"/>
            </w:tblPr>
            <w:tblGrid>
              <w:gridCol w:w="203"/>
              <w:gridCol w:w="3993"/>
            </w:tblGrid>
            <w:tr w:rsidR="00465964" w:rsidRPr="00465964" w14:paraId="3D1DF9F2" w14:textId="77777777">
              <w:tc>
                <w:tcPr>
                  <w:tcW w:w="0" w:type="auto"/>
                  <w:shd w:val="clear" w:color="auto" w:fill="auto"/>
                  <w:hideMark/>
                </w:tcPr>
                <w:p w14:paraId="5FBEDE61" w14:textId="77777777" w:rsidR="00465964" w:rsidRPr="00465964" w:rsidRDefault="00465964" w:rsidP="00465964">
                  <w:r w:rsidRPr="00465964">
                    <w:t>—</w:t>
                  </w:r>
                </w:p>
              </w:tc>
              <w:tc>
                <w:tcPr>
                  <w:tcW w:w="0" w:type="auto"/>
                  <w:shd w:val="clear" w:color="auto" w:fill="auto"/>
                  <w:hideMark/>
                </w:tcPr>
                <w:p w14:paraId="386606C1" w14:textId="77777777" w:rsidR="00465964" w:rsidRPr="00465964" w:rsidRDefault="00465964" w:rsidP="00465964">
                  <w:pPr>
                    <w:rPr>
                      <w:lang w:val="pt-PT"/>
                    </w:rPr>
                  </w:pPr>
                  <w:r w:rsidRPr="00465964">
                    <w:rPr>
                      <w:lang w:val="pt-PT"/>
                    </w:rPr>
                    <w:t>execução de ordens em nome de clientes;</w:t>
                  </w:r>
                </w:p>
              </w:tc>
            </w:tr>
          </w:tbl>
          <w:p w14:paraId="420A9EF7"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314"/>
              <w:gridCol w:w="3882"/>
            </w:tblGrid>
            <w:tr w:rsidR="00465964" w:rsidRPr="00465964" w14:paraId="7DB2F26B" w14:textId="77777777">
              <w:tc>
                <w:tcPr>
                  <w:tcW w:w="0" w:type="auto"/>
                  <w:shd w:val="clear" w:color="auto" w:fill="auto"/>
                  <w:hideMark/>
                </w:tcPr>
                <w:p w14:paraId="2C8152B5" w14:textId="77777777" w:rsidR="00465964" w:rsidRPr="00465964" w:rsidRDefault="00465964" w:rsidP="00465964">
                  <w:r w:rsidRPr="00465964">
                    <w:t>—</w:t>
                  </w:r>
                </w:p>
              </w:tc>
              <w:tc>
                <w:tcPr>
                  <w:tcW w:w="0" w:type="auto"/>
                  <w:shd w:val="clear" w:color="auto" w:fill="auto"/>
                  <w:hideMark/>
                </w:tcPr>
                <w:p w14:paraId="784EAF95" w14:textId="77777777" w:rsidR="00465964" w:rsidRPr="00465964" w:rsidRDefault="00465964" w:rsidP="00465964">
                  <w:proofErr w:type="spellStart"/>
                  <w:r w:rsidRPr="00465964">
                    <w:t>colocação</w:t>
                  </w:r>
                  <w:proofErr w:type="spellEnd"/>
                  <w:r w:rsidRPr="00465964">
                    <w:t xml:space="preserve"> de criptoativos;</w:t>
                  </w:r>
                </w:p>
              </w:tc>
            </w:tr>
          </w:tbl>
          <w:p w14:paraId="550AE67C"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203"/>
              <w:gridCol w:w="3993"/>
            </w:tblGrid>
            <w:tr w:rsidR="00465964" w:rsidRPr="00465964" w14:paraId="0E259ACD" w14:textId="77777777">
              <w:tc>
                <w:tcPr>
                  <w:tcW w:w="0" w:type="auto"/>
                  <w:shd w:val="clear" w:color="auto" w:fill="auto"/>
                  <w:hideMark/>
                </w:tcPr>
                <w:p w14:paraId="1E390761" w14:textId="77777777" w:rsidR="00465964" w:rsidRPr="00465964" w:rsidRDefault="00465964" w:rsidP="00465964">
                  <w:r w:rsidRPr="00465964">
                    <w:t>—</w:t>
                  </w:r>
                </w:p>
              </w:tc>
              <w:tc>
                <w:tcPr>
                  <w:tcW w:w="0" w:type="auto"/>
                  <w:shd w:val="clear" w:color="auto" w:fill="auto"/>
                  <w:hideMark/>
                </w:tcPr>
                <w:p w14:paraId="0CDCD009" w14:textId="77777777" w:rsidR="00465964" w:rsidRPr="00465964" w:rsidRDefault="00465964" w:rsidP="00465964">
                  <w:pPr>
                    <w:rPr>
                      <w:lang w:val="pt-PT"/>
                    </w:rPr>
                  </w:pPr>
                  <w:r w:rsidRPr="00465964">
                    <w:rPr>
                      <w:lang w:val="pt-PT"/>
                    </w:rPr>
                    <w:t>serviços de transferência de criptoativos em nome de clientes;</w:t>
                  </w:r>
                </w:p>
              </w:tc>
            </w:tr>
          </w:tbl>
          <w:p w14:paraId="53B0606C"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203"/>
              <w:gridCol w:w="3993"/>
            </w:tblGrid>
            <w:tr w:rsidR="00465964" w:rsidRPr="00465964" w14:paraId="0224400B" w14:textId="77777777">
              <w:tc>
                <w:tcPr>
                  <w:tcW w:w="0" w:type="auto"/>
                  <w:shd w:val="clear" w:color="auto" w:fill="auto"/>
                  <w:hideMark/>
                </w:tcPr>
                <w:p w14:paraId="306FE0AF" w14:textId="77777777" w:rsidR="00465964" w:rsidRPr="00465964" w:rsidRDefault="00465964" w:rsidP="00465964">
                  <w:r w:rsidRPr="00465964">
                    <w:t>—</w:t>
                  </w:r>
                </w:p>
              </w:tc>
              <w:tc>
                <w:tcPr>
                  <w:tcW w:w="0" w:type="auto"/>
                  <w:shd w:val="clear" w:color="auto" w:fill="auto"/>
                  <w:hideMark/>
                </w:tcPr>
                <w:p w14:paraId="4F0B5E0F" w14:textId="77777777" w:rsidR="00465964" w:rsidRPr="00465964" w:rsidRDefault="00465964" w:rsidP="00465964">
                  <w:pPr>
                    <w:rPr>
                      <w:lang w:val="pt-PT"/>
                    </w:rPr>
                  </w:pPr>
                  <w:r w:rsidRPr="00465964">
                    <w:rPr>
                      <w:lang w:val="pt-PT"/>
                    </w:rPr>
                    <w:t>receção e transmissão de ordens relativas a criptoativos em nome de clientes;</w:t>
                  </w:r>
                </w:p>
              </w:tc>
            </w:tr>
          </w:tbl>
          <w:p w14:paraId="43B98A43"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240"/>
              <w:gridCol w:w="3956"/>
            </w:tblGrid>
            <w:tr w:rsidR="00465964" w:rsidRPr="00465964" w14:paraId="395DA219" w14:textId="77777777">
              <w:tc>
                <w:tcPr>
                  <w:tcW w:w="0" w:type="auto"/>
                  <w:shd w:val="clear" w:color="auto" w:fill="auto"/>
                  <w:hideMark/>
                </w:tcPr>
                <w:p w14:paraId="3FFA02E2" w14:textId="77777777" w:rsidR="00465964" w:rsidRPr="00465964" w:rsidRDefault="00465964" w:rsidP="00465964">
                  <w:r w:rsidRPr="00465964">
                    <w:t>—</w:t>
                  </w:r>
                </w:p>
              </w:tc>
              <w:tc>
                <w:tcPr>
                  <w:tcW w:w="0" w:type="auto"/>
                  <w:shd w:val="clear" w:color="auto" w:fill="auto"/>
                  <w:hideMark/>
                </w:tcPr>
                <w:p w14:paraId="754D8113" w14:textId="77777777" w:rsidR="00465964" w:rsidRPr="00465964" w:rsidRDefault="00465964" w:rsidP="00465964">
                  <w:pPr>
                    <w:rPr>
                      <w:lang w:val="pt-PT"/>
                    </w:rPr>
                  </w:pPr>
                  <w:r w:rsidRPr="00465964">
                    <w:rPr>
                      <w:lang w:val="pt-PT"/>
                    </w:rPr>
                    <w:t>consultoria sobre criptoativos; e/ou</w:t>
                  </w:r>
                </w:p>
              </w:tc>
            </w:tr>
          </w:tbl>
          <w:p w14:paraId="58207E02"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243"/>
              <w:gridCol w:w="3953"/>
            </w:tblGrid>
            <w:tr w:rsidR="00465964" w:rsidRPr="00465964" w14:paraId="193A384C" w14:textId="77777777">
              <w:tc>
                <w:tcPr>
                  <w:tcW w:w="0" w:type="auto"/>
                  <w:shd w:val="clear" w:color="auto" w:fill="auto"/>
                  <w:hideMark/>
                </w:tcPr>
                <w:p w14:paraId="718F0643" w14:textId="77777777" w:rsidR="00465964" w:rsidRPr="00465964" w:rsidRDefault="00465964" w:rsidP="00465964">
                  <w:r w:rsidRPr="00465964">
                    <w:t>—</w:t>
                  </w:r>
                </w:p>
              </w:tc>
              <w:tc>
                <w:tcPr>
                  <w:tcW w:w="0" w:type="auto"/>
                  <w:shd w:val="clear" w:color="auto" w:fill="auto"/>
                  <w:hideMark/>
                </w:tcPr>
                <w:p w14:paraId="16F03BFE" w14:textId="77777777" w:rsidR="00465964" w:rsidRPr="00465964" w:rsidRDefault="00465964" w:rsidP="00465964">
                  <w:pPr>
                    <w:rPr>
                      <w:lang w:val="pt-PT"/>
                    </w:rPr>
                  </w:pPr>
                  <w:r w:rsidRPr="00465964">
                    <w:rPr>
                      <w:lang w:val="pt-PT"/>
                    </w:rPr>
                    <w:t>gestão de carteiras de criptoativos.</w:t>
                  </w:r>
                </w:p>
              </w:tc>
            </w:tr>
          </w:tbl>
          <w:p w14:paraId="698E77D9" w14:textId="77777777" w:rsidR="00465964" w:rsidRPr="00465964" w:rsidRDefault="00465964" w:rsidP="00465964">
            <w:pPr>
              <w:rPr>
                <w:lang w:val="pt-PT"/>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1998C189" w14:textId="77777777" w:rsidR="00465964" w:rsidRPr="00465964" w:rsidRDefault="00465964" w:rsidP="00465964">
            <w:r w:rsidRPr="00465964">
              <w:t>50 </w:t>
            </w:r>
            <w:proofErr w:type="gramStart"/>
            <w:r w:rsidRPr="00465964">
              <w:t>000  EUR</w:t>
            </w:r>
            <w:proofErr w:type="gramEnd"/>
          </w:p>
        </w:tc>
      </w:tr>
      <w:tr w:rsidR="00465964" w:rsidRPr="00465964" w14:paraId="61C6861F" w14:textId="77777777" w:rsidTr="00465964">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45C13EC1" w14:textId="77777777" w:rsidR="00465964" w:rsidRPr="00465964" w:rsidRDefault="00465964" w:rsidP="00465964">
            <w:proofErr w:type="spellStart"/>
            <w:r w:rsidRPr="00465964">
              <w:t>Classe</w:t>
            </w:r>
            <w:proofErr w:type="spellEnd"/>
            <w:r w:rsidRPr="00465964">
              <w:t xml:space="preserve"> 2</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219147D5" w14:textId="77777777" w:rsidR="00465964" w:rsidRPr="00465964" w:rsidRDefault="00465964" w:rsidP="00465964">
            <w:pPr>
              <w:rPr>
                <w:lang w:val="pt-PT"/>
              </w:rPr>
            </w:pPr>
            <w:r w:rsidRPr="00465964">
              <w:rPr>
                <w:lang w:val="pt-PT"/>
              </w:rPr>
              <w:t>Prestador de serviços de criptoativos autorizado para quaisquer serviços de criptoativos abrangidos pela classe 1 e também para:</w:t>
            </w:r>
          </w:p>
          <w:tbl>
            <w:tblPr>
              <w:tblW w:w="5000" w:type="pct"/>
              <w:tblCellMar>
                <w:left w:w="0" w:type="dxa"/>
                <w:right w:w="0" w:type="dxa"/>
              </w:tblCellMar>
              <w:tblLook w:val="04A0" w:firstRow="1" w:lastRow="0" w:firstColumn="1" w:lastColumn="0" w:noHBand="0" w:noVBand="1"/>
            </w:tblPr>
            <w:tblGrid>
              <w:gridCol w:w="203"/>
              <w:gridCol w:w="3993"/>
            </w:tblGrid>
            <w:tr w:rsidR="00465964" w:rsidRPr="00465964" w14:paraId="56111C36" w14:textId="77777777">
              <w:tc>
                <w:tcPr>
                  <w:tcW w:w="0" w:type="auto"/>
                  <w:shd w:val="clear" w:color="auto" w:fill="auto"/>
                  <w:hideMark/>
                </w:tcPr>
                <w:p w14:paraId="5D7D886D" w14:textId="77777777" w:rsidR="00465964" w:rsidRPr="00465964" w:rsidRDefault="00465964" w:rsidP="00465964">
                  <w:r w:rsidRPr="00465964">
                    <w:t>—</w:t>
                  </w:r>
                </w:p>
              </w:tc>
              <w:tc>
                <w:tcPr>
                  <w:tcW w:w="0" w:type="auto"/>
                  <w:shd w:val="clear" w:color="auto" w:fill="auto"/>
                  <w:hideMark/>
                </w:tcPr>
                <w:p w14:paraId="33E79377" w14:textId="77777777" w:rsidR="00465964" w:rsidRPr="00465964" w:rsidRDefault="00465964" w:rsidP="00465964">
                  <w:pPr>
                    <w:rPr>
                      <w:lang w:val="pt-PT"/>
                    </w:rPr>
                  </w:pPr>
                  <w:r w:rsidRPr="00465964">
                    <w:rPr>
                      <w:lang w:val="pt-PT"/>
                    </w:rPr>
                    <w:t>custódia e administração de criptoativos em nome de clientes;</w:t>
                  </w:r>
                </w:p>
              </w:tc>
            </w:tr>
          </w:tbl>
          <w:p w14:paraId="6974379B"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228"/>
              <w:gridCol w:w="3968"/>
            </w:tblGrid>
            <w:tr w:rsidR="00465964" w:rsidRPr="00465964" w14:paraId="5EED8DA6" w14:textId="77777777">
              <w:tc>
                <w:tcPr>
                  <w:tcW w:w="0" w:type="auto"/>
                  <w:shd w:val="clear" w:color="auto" w:fill="auto"/>
                  <w:hideMark/>
                </w:tcPr>
                <w:p w14:paraId="2A86160B" w14:textId="77777777" w:rsidR="00465964" w:rsidRPr="00465964" w:rsidRDefault="00465964" w:rsidP="00465964">
                  <w:r w:rsidRPr="00465964">
                    <w:t>—</w:t>
                  </w:r>
                </w:p>
              </w:tc>
              <w:tc>
                <w:tcPr>
                  <w:tcW w:w="0" w:type="auto"/>
                  <w:shd w:val="clear" w:color="auto" w:fill="auto"/>
                  <w:hideMark/>
                </w:tcPr>
                <w:p w14:paraId="75086A93" w14:textId="77777777" w:rsidR="00465964" w:rsidRPr="00465964" w:rsidRDefault="00465964" w:rsidP="00465964">
                  <w:pPr>
                    <w:rPr>
                      <w:lang w:val="pt-PT"/>
                    </w:rPr>
                  </w:pPr>
                  <w:r w:rsidRPr="00465964">
                    <w:rPr>
                      <w:lang w:val="pt-PT"/>
                    </w:rPr>
                    <w:t>troca de criptoativos por fundos; e/ou</w:t>
                  </w:r>
                </w:p>
              </w:tc>
            </w:tr>
          </w:tbl>
          <w:p w14:paraId="5A600A12" w14:textId="77777777" w:rsidR="00465964" w:rsidRPr="00465964" w:rsidRDefault="00465964" w:rsidP="00465964">
            <w:pPr>
              <w:rPr>
                <w:vanish/>
              </w:rPr>
            </w:pPr>
          </w:p>
          <w:tbl>
            <w:tblPr>
              <w:tblW w:w="5000" w:type="pct"/>
              <w:tblCellMar>
                <w:left w:w="0" w:type="dxa"/>
                <w:right w:w="0" w:type="dxa"/>
              </w:tblCellMar>
              <w:tblLook w:val="04A0" w:firstRow="1" w:lastRow="0" w:firstColumn="1" w:lastColumn="0" w:noHBand="0" w:noVBand="1"/>
            </w:tblPr>
            <w:tblGrid>
              <w:gridCol w:w="203"/>
              <w:gridCol w:w="3993"/>
            </w:tblGrid>
            <w:tr w:rsidR="00465964" w:rsidRPr="00465964" w14:paraId="24B8C15F" w14:textId="77777777">
              <w:tc>
                <w:tcPr>
                  <w:tcW w:w="0" w:type="auto"/>
                  <w:shd w:val="clear" w:color="auto" w:fill="auto"/>
                  <w:hideMark/>
                </w:tcPr>
                <w:p w14:paraId="316F3C8A" w14:textId="77777777" w:rsidR="00465964" w:rsidRPr="00465964" w:rsidRDefault="00465964" w:rsidP="00465964">
                  <w:r w:rsidRPr="00465964">
                    <w:t>—</w:t>
                  </w:r>
                </w:p>
              </w:tc>
              <w:tc>
                <w:tcPr>
                  <w:tcW w:w="0" w:type="auto"/>
                  <w:shd w:val="clear" w:color="auto" w:fill="auto"/>
                  <w:hideMark/>
                </w:tcPr>
                <w:p w14:paraId="13725878" w14:textId="77777777" w:rsidR="00465964" w:rsidRPr="00465964" w:rsidRDefault="00465964" w:rsidP="00465964">
                  <w:pPr>
                    <w:rPr>
                      <w:lang w:val="pt-PT"/>
                    </w:rPr>
                  </w:pPr>
                  <w:r w:rsidRPr="00465964">
                    <w:rPr>
                      <w:lang w:val="pt-PT"/>
                    </w:rPr>
                    <w:t>troca de criptoativos por outros criptoativos.</w:t>
                  </w:r>
                </w:p>
              </w:tc>
            </w:tr>
          </w:tbl>
          <w:p w14:paraId="5EDF21D1" w14:textId="77777777" w:rsidR="00465964" w:rsidRPr="00465964" w:rsidRDefault="00465964" w:rsidP="00465964">
            <w:pPr>
              <w:rPr>
                <w:lang w:val="pt-PT"/>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312133A1" w14:textId="77777777" w:rsidR="00465964" w:rsidRPr="00465964" w:rsidRDefault="00465964" w:rsidP="00465964">
            <w:r w:rsidRPr="00465964">
              <w:t>125 </w:t>
            </w:r>
            <w:proofErr w:type="gramStart"/>
            <w:r w:rsidRPr="00465964">
              <w:t>000  EUR</w:t>
            </w:r>
            <w:proofErr w:type="gramEnd"/>
          </w:p>
        </w:tc>
      </w:tr>
      <w:tr w:rsidR="00465964" w:rsidRPr="00465964" w14:paraId="22714D30" w14:textId="77777777" w:rsidTr="00465964">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18143CEA" w14:textId="77777777" w:rsidR="00465964" w:rsidRPr="00465964" w:rsidRDefault="00465964" w:rsidP="00465964">
            <w:proofErr w:type="spellStart"/>
            <w:r w:rsidRPr="00465964">
              <w:t>Classe</w:t>
            </w:r>
            <w:proofErr w:type="spellEnd"/>
            <w:r w:rsidRPr="00465964">
              <w:t xml:space="preserve"> 3</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5B7194D4" w14:textId="77777777" w:rsidR="00465964" w:rsidRPr="00465964" w:rsidRDefault="00465964" w:rsidP="00465964">
            <w:pPr>
              <w:rPr>
                <w:lang w:val="pt-PT"/>
              </w:rPr>
            </w:pPr>
            <w:r w:rsidRPr="00465964">
              <w:rPr>
                <w:lang w:val="pt-PT"/>
              </w:rPr>
              <w:t>Prestador de serviços de criptoativos autorizado para quaisquer serviços de criptoativos abrangidos pela classe 2 e também para:</w:t>
            </w:r>
          </w:p>
          <w:tbl>
            <w:tblPr>
              <w:tblW w:w="5000" w:type="pct"/>
              <w:tblCellMar>
                <w:left w:w="0" w:type="dxa"/>
                <w:right w:w="0" w:type="dxa"/>
              </w:tblCellMar>
              <w:tblLook w:val="04A0" w:firstRow="1" w:lastRow="0" w:firstColumn="1" w:lastColumn="0" w:noHBand="0" w:noVBand="1"/>
            </w:tblPr>
            <w:tblGrid>
              <w:gridCol w:w="203"/>
              <w:gridCol w:w="3993"/>
            </w:tblGrid>
            <w:tr w:rsidR="00465964" w:rsidRPr="00465964" w14:paraId="7DC419C7" w14:textId="77777777">
              <w:tc>
                <w:tcPr>
                  <w:tcW w:w="0" w:type="auto"/>
                  <w:shd w:val="clear" w:color="auto" w:fill="auto"/>
                  <w:hideMark/>
                </w:tcPr>
                <w:p w14:paraId="2F676F38" w14:textId="77777777" w:rsidR="00465964" w:rsidRPr="00465964" w:rsidRDefault="00465964" w:rsidP="00465964">
                  <w:r w:rsidRPr="00465964">
                    <w:t>—</w:t>
                  </w:r>
                </w:p>
              </w:tc>
              <w:tc>
                <w:tcPr>
                  <w:tcW w:w="0" w:type="auto"/>
                  <w:shd w:val="clear" w:color="auto" w:fill="auto"/>
                  <w:hideMark/>
                </w:tcPr>
                <w:p w14:paraId="2E2287E5" w14:textId="77777777" w:rsidR="00465964" w:rsidRPr="00465964" w:rsidRDefault="00465964" w:rsidP="00465964">
                  <w:pPr>
                    <w:rPr>
                      <w:lang w:val="pt-PT"/>
                    </w:rPr>
                  </w:pPr>
                  <w:r w:rsidRPr="00465964">
                    <w:rPr>
                      <w:lang w:val="pt-PT"/>
                    </w:rPr>
                    <w:t>operação de uma plataforma de negociação de criptoativos.</w:t>
                  </w:r>
                </w:p>
              </w:tc>
            </w:tr>
          </w:tbl>
          <w:p w14:paraId="671DF355" w14:textId="77777777" w:rsidR="00465964" w:rsidRPr="00465964" w:rsidRDefault="00465964" w:rsidP="00465964">
            <w:pPr>
              <w:rPr>
                <w:lang w:val="pt-PT"/>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030CF074" w14:textId="77777777" w:rsidR="00465964" w:rsidRPr="00465964" w:rsidRDefault="00465964" w:rsidP="00465964">
            <w:r w:rsidRPr="00465964">
              <w:t>150 </w:t>
            </w:r>
            <w:proofErr w:type="gramStart"/>
            <w:r w:rsidRPr="00465964">
              <w:t>000  EUR</w:t>
            </w:r>
            <w:proofErr w:type="gramEnd"/>
          </w:p>
        </w:tc>
      </w:tr>
    </w:tbl>
    <w:p w14:paraId="6FAAE302" w14:textId="77777777" w:rsidR="00465964" w:rsidRPr="00465964" w:rsidRDefault="00465964" w:rsidP="00465964">
      <w:r w:rsidRPr="00465964">
        <w:pict w14:anchorId="3A406A10">
          <v:rect id="_x0000_i1072" style="width:65.45pt;height:.75pt" o:hrpct="0" o:hralign="center" o:hrstd="t" o:hrnoshade="t" o:hr="t" fillcolor="black" stroked="f"/>
        </w:pict>
      </w:r>
    </w:p>
    <w:p w14:paraId="09D3B9E4" w14:textId="77777777" w:rsidR="00465964" w:rsidRPr="00465964" w:rsidRDefault="00465964" w:rsidP="00465964">
      <w:pPr>
        <w:rPr>
          <w:b/>
          <w:bCs/>
          <w:lang w:val="pt-PT"/>
        </w:rPr>
      </w:pPr>
      <w:r w:rsidRPr="00465964">
        <w:rPr>
          <w:b/>
          <w:bCs/>
          <w:lang w:val="pt-PT"/>
        </w:rPr>
        <w:t>ANEXO V</w:t>
      </w:r>
    </w:p>
    <w:p w14:paraId="1A8F248A" w14:textId="2DE393B2" w:rsidR="00465964" w:rsidRPr="00465964" w:rsidRDefault="00465964" w:rsidP="00465964">
      <w:pPr>
        <w:rPr>
          <w:b/>
          <w:bCs/>
          <w:lang w:val="pt-PT"/>
        </w:rPr>
      </w:pPr>
      <w:r w:rsidRPr="00465964">
        <w:rPr>
          <w:b/>
          <w:bCs/>
          <w:lang w:val="pt-PT"/>
        </w:rPr>
        <w:t xml:space="preserve">LISTA DE INFRAÇÕES REFERIDAS NOS TÍTULOS III E VI NO QUE RESPEITA AOS EMITENTES DE </w:t>
      </w:r>
      <w:r>
        <w:rPr>
          <w:b/>
          <w:bCs/>
          <w:lang w:val="pt-PT"/>
        </w:rPr>
        <w:t>CRIPTOMOEDAS</w:t>
      </w:r>
      <w:r w:rsidRPr="00465964">
        <w:rPr>
          <w:b/>
          <w:bCs/>
          <w:lang w:val="pt-PT"/>
        </w:rPr>
        <w:t xml:space="preserve"> REFERENCIADAS A ATIVOS SIGNIFICATIVAS</w:t>
      </w:r>
    </w:p>
    <w:tbl>
      <w:tblPr>
        <w:tblW w:w="5000" w:type="pct"/>
        <w:tblCellMar>
          <w:left w:w="0" w:type="dxa"/>
          <w:right w:w="0" w:type="dxa"/>
        </w:tblCellMar>
        <w:tblLook w:val="04A0" w:firstRow="1" w:lastRow="0" w:firstColumn="1" w:lastColumn="0" w:noHBand="0" w:noVBand="1"/>
      </w:tblPr>
      <w:tblGrid>
        <w:gridCol w:w="6"/>
        <w:gridCol w:w="181"/>
        <w:gridCol w:w="8839"/>
      </w:tblGrid>
      <w:tr w:rsidR="00465964" w:rsidRPr="00465964" w14:paraId="3528FDB6" w14:textId="77777777" w:rsidTr="00465964">
        <w:tc>
          <w:tcPr>
            <w:tcW w:w="0" w:type="auto"/>
            <w:shd w:val="clear" w:color="auto" w:fill="auto"/>
            <w:hideMark/>
          </w:tcPr>
          <w:p w14:paraId="00798B44" w14:textId="77777777" w:rsidR="00465964" w:rsidRPr="00465964" w:rsidRDefault="00465964" w:rsidP="00465964">
            <w:pPr>
              <w:rPr>
                <w:b/>
                <w:bCs/>
                <w:lang w:val="pt-PT"/>
              </w:rPr>
            </w:pPr>
          </w:p>
        </w:tc>
        <w:tc>
          <w:tcPr>
            <w:tcW w:w="0" w:type="auto"/>
            <w:shd w:val="clear" w:color="auto" w:fill="auto"/>
            <w:hideMark/>
          </w:tcPr>
          <w:p w14:paraId="51E06DF8" w14:textId="77777777" w:rsidR="00465964" w:rsidRPr="00465964" w:rsidRDefault="00465964" w:rsidP="00465964">
            <w:r w:rsidRPr="00465964">
              <w:t>1.</w:t>
            </w:r>
          </w:p>
        </w:tc>
        <w:tc>
          <w:tcPr>
            <w:tcW w:w="0" w:type="auto"/>
            <w:shd w:val="clear" w:color="auto" w:fill="auto"/>
            <w:hideMark/>
          </w:tcPr>
          <w:p w14:paraId="29E79AC3" w14:textId="77777777" w:rsidR="00465964" w:rsidRPr="00465964" w:rsidRDefault="00465964" w:rsidP="00465964">
            <w:pPr>
              <w:rPr>
                <w:lang w:val="pt-PT"/>
              </w:rPr>
            </w:pPr>
            <w:r w:rsidRPr="00465964">
              <w:rPr>
                <w:lang w:val="pt-PT"/>
              </w:rPr>
              <w:t>O emitente infringe o artigo 22.</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xml:space="preserve"> 1, se não comunicar trimestralmente à EBA as informações a que se refere o primeiro parágrafo, alíneas a) a d), do referido número, relativamente a cada </w:t>
            </w:r>
            <w:proofErr w:type="spellStart"/>
            <w:r w:rsidRPr="00465964">
              <w:rPr>
                <w:lang w:val="pt-PT"/>
              </w:rPr>
              <w:t>criptoficha</w:t>
            </w:r>
            <w:proofErr w:type="spellEnd"/>
            <w:r w:rsidRPr="00465964">
              <w:rPr>
                <w:lang w:val="pt-PT"/>
              </w:rPr>
              <w:t xml:space="preserve"> referenciada a ativos significativa cujo valor de emissão seja superior a 100 000 000 de EUR.</w:t>
            </w:r>
          </w:p>
        </w:tc>
      </w:tr>
    </w:tbl>
    <w:p w14:paraId="009A04EA" w14:textId="77777777" w:rsidR="00465964" w:rsidRPr="00465964" w:rsidRDefault="00465964" w:rsidP="00465964">
      <w:pPr>
        <w:rPr>
          <w:vanish/>
          <w:lang w:val="pt-PT"/>
        </w:rPr>
      </w:pPr>
    </w:p>
    <w:tbl>
      <w:tblPr>
        <w:tblW w:w="5000" w:type="pct"/>
        <w:tblCellMar>
          <w:left w:w="0" w:type="dxa"/>
          <w:right w:w="0" w:type="dxa"/>
        </w:tblCellMar>
        <w:tblLook w:val="04A0" w:firstRow="1" w:lastRow="0" w:firstColumn="1" w:lastColumn="0" w:noHBand="0" w:noVBand="1"/>
      </w:tblPr>
      <w:tblGrid>
        <w:gridCol w:w="6"/>
        <w:gridCol w:w="181"/>
        <w:gridCol w:w="8839"/>
      </w:tblGrid>
      <w:tr w:rsidR="00465964" w:rsidRPr="00465964" w14:paraId="449BFFE7" w14:textId="77777777" w:rsidTr="00465964">
        <w:tc>
          <w:tcPr>
            <w:tcW w:w="0" w:type="auto"/>
            <w:shd w:val="clear" w:color="auto" w:fill="auto"/>
            <w:hideMark/>
          </w:tcPr>
          <w:p w14:paraId="2FBB37A9" w14:textId="77777777" w:rsidR="00465964" w:rsidRPr="00465964" w:rsidRDefault="00465964" w:rsidP="00465964">
            <w:pPr>
              <w:rPr>
                <w:lang w:val="pt-PT"/>
              </w:rPr>
            </w:pPr>
          </w:p>
        </w:tc>
        <w:tc>
          <w:tcPr>
            <w:tcW w:w="0" w:type="auto"/>
            <w:shd w:val="clear" w:color="auto" w:fill="auto"/>
            <w:hideMark/>
          </w:tcPr>
          <w:p w14:paraId="3C532025" w14:textId="77777777" w:rsidR="00465964" w:rsidRPr="00465964" w:rsidRDefault="00465964" w:rsidP="00465964">
            <w:r w:rsidRPr="00465964">
              <w:t>2.</w:t>
            </w:r>
          </w:p>
        </w:tc>
        <w:tc>
          <w:tcPr>
            <w:tcW w:w="0" w:type="auto"/>
            <w:shd w:val="clear" w:color="auto" w:fill="auto"/>
            <w:hideMark/>
          </w:tcPr>
          <w:p w14:paraId="5C04F0F0" w14:textId="77777777" w:rsidR="00465964" w:rsidRPr="00465964" w:rsidRDefault="00465964" w:rsidP="00465964">
            <w:pPr>
              <w:rPr>
                <w:lang w:val="pt-PT"/>
              </w:rPr>
            </w:pPr>
            <w:r w:rsidRPr="00465964">
              <w:rPr>
                <w:lang w:val="pt-PT"/>
              </w:rPr>
              <w:t>O emitente infringe o artigo 23.</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xml:space="preserve"> 1, se não cessar a emissão de uma </w:t>
            </w:r>
            <w:proofErr w:type="spellStart"/>
            <w:r w:rsidRPr="00465964">
              <w:rPr>
                <w:lang w:val="pt-PT"/>
              </w:rPr>
              <w:t>criptoficha</w:t>
            </w:r>
            <w:proofErr w:type="spellEnd"/>
            <w:r w:rsidRPr="00465964">
              <w:rPr>
                <w:lang w:val="pt-PT"/>
              </w:rPr>
              <w:t xml:space="preserve"> referenciada a ativos significativa ao atingir os limiares previstos no referido número ou se não apresentar à EBA, no prazo de 40 dias úteis após ter atingido esses limiares, um plano </w:t>
            </w:r>
            <w:r w:rsidRPr="00465964">
              <w:rPr>
                <w:lang w:val="pt-PT"/>
              </w:rPr>
              <w:lastRenderedPageBreak/>
              <w:t>para assegurar que a média trimestral estimada do número e do valor agregado das transações diárias é mantida abaixo desses limiares.</w:t>
            </w:r>
          </w:p>
        </w:tc>
      </w:tr>
    </w:tbl>
    <w:p w14:paraId="2FB51D28" w14:textId="77777777" w:rsidR="00465964" w:rsidRPr="00465964" w:rsidRDefault="00465964" w:rsidP="00465964">
      <w:pPr>
        <w:rPr>
          <w:vanish/>
          <w:lang w:val="pt-PT"/>
        </w:rPr>
      </w:pPr>
    </w:p>
    <w:tbl>
      <w:tblPr>
        <w:tblW w:w="5000" w:type="pct"/>
        <w:tblCellMar>
          <w:left w:w="0" w:type="dxa"/>
          <w:right w:w="0" w:type="dxa"/>
        </w:tblCellMar>
        <w:tblLook w:val="04A0" w:firstRow="1" w:lastRow="0" w:firstColumn="1" w:lastColumn="0" w:noHBand="0" w:noVBand="1"/>
      </w:tblPr>
      <w:tblGrid>
        <w:gridCol w:w="6"/>
        <w:gridCol w:w="181"/>
        <w:gridCol w:w="8839"/>
      </w:tblGrid>
      <w:tr w:rsidR="00465964" w:rsidRPr="00465964" w14:paraId="2E4E20E4" w14:textId="77777777" w:rsidTr="00465964">
        <w:tc>
          <w:tcPr>
            <w:tcW w:w="0" w:type="auto"/>
            <w:shd w:val="clear" w:color="auto" w:fill="auto"/>
            <w:hideMark/>
          </w:tcPr>
          <w:p w14:paraId="522C5202" w14:textId="77777777" w:rsidR="00465964" w:rsidRPr="00465964" w:rsidRDefault="00465964" w:rsidP="00465964">
            <w:pPr>
              <w:rPr>
                <w:lang w:val="pt-PT"/>
              </w:rPr>
            </w:pPr>
          </w:p>
        </w:tc>
        <w:tc>
          <w:tcPr>
            <w:tcW w:w="0" w:type="auto"/>
            <w:shd w:val="clear" w:color="auto" w:fill="auto"/>
            <w:hideMark/>
          </w:tcPr>
          <w:p w14:paraId="095305B3" w14:textId="77777777" w:rsidR="00465964" w:rsidRPr="00465964" w:rsidRDefault="00465964" w:rsidP="00465964">
            <w:r w:rsidRPr="00465964">
              <w:t>3.</w:t>
            </w:r>
          </w:p>
        </w:tc>
        <w:tc>
          <w:tcPr>
            <w:tcW w:w="0" w:type="auto"/>
            <w:shd w:val="clear" w:color="auto" w:fill="auto"/>
            <w:hideMark/>
          </w:tcPr>
          <w:p w14:paraId="510E57E1" w14:textId="77777777" w:rsidR="00465964" w:rsidRPr="00465964" w:rsidRDefault="00465964" w:rsidP="00465964">
            <w:pPr>
              <w:rPr>
                <w:lang w:val="pt-PT"/>
              </w:rPr>
            </w:pPr>
            <w:r w:rsidRPr="00465964">
              <w:rPr>
                <w:lang w:val="pt-PT"/>
              </w:rPr>
              <w:t>O emitente infringe o artigo 23.</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xml:space="preserve"> 4, se não proceder às modificações do plano referido no </w:t>
            </w:r>
            <w:proofErr w:type="spellStart"/>
            <w:r w:rsidRPr="00465964">
              <w:rPr>
                <w:lang w:val="pt-PT"/>
              </w:rPr>
              <w:t>n.</w:t>
            </w:r>
            <w:r w:rsidRPr="00465964">
              <w:rPr>
                <w:vertAlign w:val="superscript"/>
                <w:lang w:val="pt-PT"/>
              </w:rPr>
              <w:t>o</w:t>
            </w:r>
            <w:proofErr w:type="spellEnd"/>
            <w:r w:rsidRPr="00465964">
              <w:rPr>
                <w:lang w:val="pt-PT"/>
              </w:rPr>
              <w:t> 1, alínea b), do mesmo artigo exigidas pela EBA.</w:t>
            </w:r>
          </w:p>
        </w:tc>
      </w:tr>
    </w:tbl>
    <w:p w14:paraId="06508F9E" w14:textId="77777777" w:rsidR="00465964" w:rsidRPr="00465964" w:rsidRDefault="00465964" w:rsidP="00465964">
      <w:pPr>
        <w:rPr>
          <w:vanish/>
          <w:lang w:val="pt-PT"/>
        </w:rPr>
      </w:pPr>
    </w:p>
    <w:tbl>
      <w:tblPr>
        <w:tblW w:w="5000" w:type="pct"/>
        <w:tblCellMar>
          <w:left w:w="0" w:type="dxa"/>
          <w:right w:w="0" w:type="dxa"/>
        </w:tblCellMar>
        <w:tblLook w:val="04A0" w:firstRow="1" w:lastRow="0" w:firstColumn="1" w:lastColumn="0" w:noHBand="0" w:noVBand="1"/>
      </w:tblPr>
      <w:tblGrid>
        <w:gridCol w:w="6"/>
        <w:gridCol w:w="181"/>
        <w:gridCol w:w="8839"/>
      </w:tblGrid>
      <w:tr w:rsidR="00465964" w:rsidRPr="00465964" w14:paraId="66BF24B0" w14:textId="77777777" w:rsidTr="00465964">
        <w:tc>
          <w:tcPr>
            <w:tcW w:w="0" w:type="auto"/>
            <w:shd w:val="clear" w:color="auto" w:fill="auto"/>
            <w:hideMark/>
          </w:tcPr>
          <w:p w14:paraId="5BA24A22" w14:textId="77777777" w:rsidR="00465964" w:rsidRPr="00465964" w:rsidRDefault="00465964" w:rsidP="00465964">
            <w:pPr>
              <w:rPr>
                <w:lang w:val="pt-PT"/>
              </w:rPr>
            </w:pPr>
          </w:p>
        </w:tc>
        <w:tc>
          <w:tcPr>
            <w:tcW w:w="0" w:type="auto"/>
            <w:shd w:val="clear" w:color="auto" w:fill="auto"/>
            <w:hideMark/>
          </w:tcPr>
          <w:p w14:paraId="7C02DADB" w14:textId="77777777" w:rsidR="00465964" w:rsidRPr="00465964" w:rsidRDefault="00465964" w:rsidP="00465964">
            <w:r w:rsidRPr="00465964">
              <w:t>4.</w:t>
            </w:r>
          </w:p>
        </w:tc>
        <w:tc>
          <w:tcPr>
            <w:tcW w:w="0" w:type="auto"/>
            <w:shd w:val="clear" w:color="auto" w:fill="auto"/>
            <w:hideMark/>
          </w:tcPr>
          <w:p w14:paraId="149301F7" w14:textId="0B67C423" w:rsidR="00465964" w:rsidRPr="00465964" w:rsidRDefault="00465964" w:rsidP="00465964">
            <w:pPr>
              <w:rPr>
                <w:lang w:val="pt-PT"/>
              </w:rPr>
            </w:pPr>
            <w:r w:rsidRPr="00465964">
              <w:rPr>
                <w:lang w:val="pt-PT"/>
              </w:rPr>
              <w:t>O emitente infringe o artigo 25.</w:t>
            </w:r>
            <w:r w:rsidRPr="00465964">
              <w:rPr>
                <w:vertAlign w:val="superscript"/>
                <w:lang w:val="pt-PT"/>
              </w:rPr>
              <w:t>o</w:t>
            </w:r>
            <w:r w:rsidRPr="00465964">
              <w:rPr>
                <w:lang w:val="pt-PT"/>
              </w:rPr>
              <w:t xml:space="preserve"> se não comunicar à EBA qualquer alteração prevista do seu modelo de negócios suscetível de ter uma influência significativa na decisão de compra de quaisquer detentores ou potenciais detentores de </w:t>
            </w:r>
            <w:r>
              <w:rPr>
                <w:lang w:val="pt-PT"/>
              </w:rPr>
              <w:t>criptomoedas</w:t>
            </w:r>
            <w:r w:rsidRPr="00465964">
              <w:rPr>
                <w:lang w:val="pt-PT"/>
              </w:rPr>
              <w:t xml:space="preserve"> referenciadas a ativos significativas, ou se não descrever essa alteração num livrete do criptoativo.</w:t>
            </w:r>
          </w:p>
        </w:tc>
      </w:tr>
    </w:tbl>
    <w:p w14:paraId="4DEF6A79" w14:textId="77777777" w:rsidR="00465964" w:rsidRPr="00465964" w:rsidRDefault="00465964" w:rsidP="00465964">
      <w:pPr>
        <w:rPr>
          <w:vanish/>
          <w:lang w:val="pt-PT"/>
        </w:rPr>
      </w:pPr>
    </w:p>
    <w:tbl>
      <w:tblPr>
        <w:tblW w:w="5000" w:type="pct"/>
        <w:tblCellMar>
          <w:left w:w="0" w:type="dxa"/>
          <w:right w:w="0" w:type="dxa"/>
        </w:tblCellMar>
        <w:tblLook w:val="04A0" w:firstRow="1" w:lastRow="0" w:firstColumn="1" w:lastColumn="0" w:noHBand="0" w:noVBand="1"/>
      </w:tblPr>
      <w:tblGrid>
        <w:gridCol w:w="6"/>
        <w:gridCol w:w="181"/>
        <w:gridCol w:w="8839"/>
      </w:tblGrid>
      <w:tr w:rsidR="00465964" w:rsidRPr="00465964" w14:paraId="3800157D" w14:textId="77777777" w:rsidTr="00465964">
        <w:tc>
          <w:tcPr>
            <w:tcW w:w="0" w:type="auto"/>
            <w:shd w:val="clear" w:color="auto" w:fill="auto"/>
            <w:hideMark/>
          </w:tcPr>
          <w:p w14:paraId="74D48B6E" w14:textId="77777777" w:rsidR="00465964" w:rsidRPr="00465964" w:rsidRDefault="00465964" w:rsidP="00465964">
            <w:pPr>
              <w:rPr>
                <w:lang w:val="pt-PT"/>
              </w:rPr>
            </w:pPr>
          </w:p>
        </w:tc>
        <w:tc>
          <w:tcPr>
            <w:tcW w:w="0" w:type="auto"/>
            <w:shd w:val="clear" w:color="auto" w:fill="auto"/>
            <w:hideMark/>
          </w:tcPr>
          <w:p w14:paraId="18F5F53F" w14:textId="77777777" w:rsidR="00465964" w:rsidRPr="00465964" w:rsidRDefault="00465964" w:rsidP="00465964">
            <w:r w:rsidRPr="00465964">
              <w:t>5.</w:t>
            </w:r>
          </w:p>
        </w:tc>
        <w:tc>
          <w:tcPr>
            <w:tcW w:w="0" w:type="auto"/>
            <w:shd w:val="clear" w:color="auto" w:fill="auto"/>
            <w:hideMark/>
          </w:tcPr>
          <w:p w14:paraId="2ECE3626" w14:textId="77777777" w:rsidR="00465964" w:rsidRPr="00465964" w:rsidRDefault="00465964" w:rsidP="00465964">
            <w:pPr>
              <w:rPr>
                <w:lang w:val="pt-PT"/>
              </w:rPr>
            </w:pPr>
            <w:r w:rsidRPr="00465964">
              <w:rPr>
                <w:lang w:val="pt-PT"/>
              </w:rPr>
              <w:t>O emitente infringe o artigo 25.</w:t>
            </w:r>
            <w:r w:rsidRPr="00465964">
              <w:rPr>
                <w:vertAlign w:val="superscript"/>
                <w:lang w:val="pt-PT"/>
              </w:rPr>
              <w:t>o</w:t>
            </w:r>
            <w:r w:rsidRPr="00465964">
              <w:rPr>
                <w:lang w:val="pt-PT"/>
              </w:rPr>
              <w:t> se não adotar uma medida solicitada pela EBA em conformidade com o artigo 25.</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4.</w:t>
            </w:r>
          </w:p>
        </w:tc>
      </w:tr>
    </w:tbl>
    <w:p w14:paraId="76453366" w14:textId="77777777" w:rsidR="00465964" w:rsidRPr="00465964" w:rsidRDefault="00465964" w:rsidP="00465964">
      <w:pPr>
        <w:rPr>
          <w:vanish/>
          <w:lang w:val="pt-PT"/>
        </w:rPr>
      </w:pPr>
    </w:p>
    <w:tbl>
      <w:tblPr>
        <w:tblW w:w="5000" w:type="pct"/>
        <w:tblCellMar>
          <w:left w:w="0" w:type="dxa"/>
          <w:right w:w="0" w:type="dxa"/>
        </w:tblCellMar>
        <w:tblLook w:val="04A0" w:firstRow="1" w:lastRow="0" w:firstColumn="1" w:lastColumn="0" w:noHBand="0" w:noVBand="1"/>
      </w:tblPr>
      <w:tblGrid>
        <w:gridCol w:w="6"/>
        <w:gridCol w:w="192"/>
        <w:gridCol w:w="8828"/>
      </w:tblGrid>
      <w:tr w:rsidR="00465964" w:rsidRPr="00465964" w14:paraId="73C960EC" w14:textId="77777777" w:rsidTr="00465964">
        <w:tc>
          <w:tcPr>
            <w:tcW w:w="0" w:type="auto"/>
            <w:shd w:val="clear" w:color="auto" w:fill="auto"/>
            <w:hideMark/>
          </w:tcPr>
          <w:p w14:paraId="57D1CBD6" w14:textId="77777777" w:rsidR="00465964" w:rsidRPr="00465964" w:rsidRDefault="00465964" w:rsidP="00465964">
            <w:pPr>
              <w:rPr>
                <w:lang w:val="pt-PT"/>
              </w:rPr>
            </w:pPr>
          </w:p>
        </w:tc>
        <w:tc>
          <w:tcPr>
            <w:tcW w:w="0" w:type="auto"/>
            <w:shd w:val="clear" w:color="auto" w:fill="auto"/>
            <w:hideMark/>
          </w:tcPr>
          <w:p w14:paraId="2685AD48" w14:textId="77777777" w:rsidR="00465964" w:rsidRPr="00465964" w:rsidRDefault="00465964" w:rsidP="00465964">
            <w:r w:rsidRPr="00465964">
              <w:t>6.</w:t>
            </w:r>
          </w:p>
        </w:tc>
        <w:tc>
          <w:tcPr>
            <w:tcW w:w="0" w:type="auto"/>
            <w:shd w:val="clear" w:color="auto" w:fill="auto"/>
            <w:hideMark/>
          </w:tcPr>
          <w:p w14:paraId="71556324" w14:textId="77777777" w:rsidR="00465964" w:rsidRPr="00465964" w:rsidRDefault="00465964" w:rsidP="00465964">
            <w:pPr>
              <w:rPr>
                <w:lang w:val="pt-PT"/>
              </w:rPr>
            </w:pPr>
            <w:r w:rsidRPr="00465964">
              <w:rPr>
                <w:lang w:val="pt-PT"/>
              </w:rPr>
              <w:t>O emitente infringe o artigo 27.</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1, se não atuar de forma honesta, leal e profissional.</w:t>
            </w:r>
          </w:p>
        </w:tc>
      </w:tr>
    </w:tbl>
    <w:p w14:paraId="0F983FE3" w14:textId="77777777" w:rsidR="00465964" w:rsidRPr="00465964" w:rsidRDefault="00465964" w:rsidP="00465964">
      <w:pPr>
        <w:rPr>
          <w:vanish/>
          <w:lang w:val="pt-PT"/>
        </w:rPr>
      </w:pPr>
    </w:p>
    <w:tbl>
      <w:tblPr>
        <w:tblW w:w="5000" w:type="pct"/>
        <w:tblCellMar>
          <w:left w:w="0" w:type="dxa"/>
          <w:right w:w="0" w:type="dxa"/>
        </w:tblCellMar>
        <w:tblLook w:val="04A0" w:firstRow="1" w:lastRow="0" w:firstColumn="1" w:lastColumn="0" w:noHBand="0" w:noVBand="1"/>
      </w:tblPr>
      <w:tblGrid>
        <w:gridCol w:w="6"/>
        <w:gridCol w:w="181"/>
        <w:gridCol w:w="8839"/>
      </w:tblGrid>
      <w:tr w:rsidR="00465964" w:rsidRPr="00465964" w14:paraId="022C9F70" w14:textId="77777777" w:rsidTr="00465964">
        <w:tc>
          <w:tcPr>
            <w:tcW w:w="0" w:type="auto"/>
            <w:shd w:val="clear" w:color="auto" w:fill="auto"/>
            <w:hideMark/>
          </w:tcPr>
          <w:p w14:paraId="5ED7AE92" w14:textId="77777777" w:rsidR="00465964" w:rsidRPr="00465964" w:rsidRDefault="00465964" w:rsidP="00465964">
            <w:pPr>
              <w:rPr>
                <w:lang w:val="pt-PT"/>
              </w:rPr>
            </w:pPr>
          </w:p>
        </w:tc>
        <w:tc>
          <w:tcPr>
            <w:tcW w:w="0" w:type="auto"/>
            <w:shd w:val="clear" w:color="auto" w:fill="auto"/>
            <w:hideMark/>
          </w:tcPr>
          <w:p w14:paraId="1350FF58" w14:textId="77777777" w:rsidR="00465964" w:rsidRPr="00465964" w:rsidRDefault="00465964" w:rsidP="00465964">
            <w:r w:rsidRPr="00465964">
              <w:t>7.</w:t>
            </w:r>
          </w:p>
        </w:tc>
        <w:tc>
          <w:tcPr>
            <w:tcW w:w="0" w:type="auto"/>
            <w:shd w:val="clear" w:color="auto" w:fill="auto"/>
            <w:hideMark/>
          </w:tcPr>
          <w:p w14:paraId="25608074" w14:textId="77777777" w:rsidR="00465964" w:rsidRPr="00465964" w:rsidRDefault="00465964" w:rsidP="00465964">
            <w:pPr>
              <w:rPr>
                <w:lang w:val="pt-PT"/>
              </w:rPr>
            </w:pPr>
            <w:r w:rsidRPr="00465964">
              <w:rPr>
                <w:lang w:val="pt-PT"/>
              </w:rPr>
              <w:t>O emitente infringe o artigo 27.</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xml:space="preserve"> 1, se não comunicar com os detentores e potenciais detentores da </w:t>
            </w:r>
            <w:proofErr w:type="spellStart"/>
            <w:r w:rsidRPr="00465964">
              <w:rPr>
                <w:lang w:val="pt-PT"/>
              </w:rPr>
              <w:t>criptoficha</w:t>
            </w:r>
            <w:proofErr w:type="spellEnd"/>
            <w:r w:rsidRPr="00465964">
              <w:rPr>
                <w:lang w:val="pt-PT"/>
              </w:rPr>
              <w:t xml:space="preserve"> referenciada a ativos significativa de forma leal, clara e que não induza em erro.</w:t>
            </w:r>
          </w:p>
        </w:tc>
      </w:tr>
    </w:tbl>
    <w:p w14:paraId="04ED2F22" w14:textId="77777777" w:rsidR="00465964" w:rsidRPr="00465964" w:rsidRDefault="00465964" w:rsidP="00465964">
      <w:pPr>
        <w:rPr>
          <w:vanish/>
          <w:lang w:val="pt-PT"/>
        </w:rPr>
      </w:pPr>
    </w:p>
    <w:tbl>
      <w:tblPr>
        <w:tblW w:w="5000" w:type="pct"/>
        <w:tblCellMar>
          <w:left w:w="0" w:type="dxa"/>
          <w:right w:w="0" w:type="dxa"/>
        </w:tblCellMar>
        <w:tblLook w:val="04A0" w:firstRow="1" w:lastRow="0" w:firstColumn="1" w:lastColumn="0" w:noHBand="0" w:noVBand="1"/>
      </w:tblPr>
      <w:tblGrid>
        <w:gridCol w:w="6"/>
        <w:gridCol w:w="181"/>
        <w:gridCol w:w="8839"/>
      </w:tblGrid>
      <w:tr w:rsidR="00465964" w:rsidRPr="00465964" w14:paraId="2AE34834" w14:textId="77777777" w:rsidTr="00465964">
        <w:tc>
          <w:tcPr>
            <w:tcW w:w="0" w:type="auto"/>
            <w:shd w:val="clear" w:color="auto" w:fill="auto"/>
            <w:hideMark/>
          </w:tcPr>
          <w:p w14:paraId="1A35DB9C" w14:textId="77777777" w:rsidR="00465964" w:rsidRPr="00465964" w:rsidRDefault="00465964" w:rsidP="00465964">
            <w:pPr>
              <w:rPr>
                <w:lang w:val="pt-PT"/>
              </w:rPr>
            </w:pPr>
          </w:p>
        </w:tc>
        <w:tc>
          <w:tcPr>
            <w:tcW w:w="0" w:type="auto"/>
            <w:shd w:val="clear" w:color="auto" w:fill="auto"/>
            <w:hideMark/>
          </w:tcPr>
          <w:p w14:paraId="1F36B93F" w14:textId="77777777" w:rsidR="00465964" w:rsidRPr="00465964" w:rsidRDefault="00465964" w:rsidP="00465964">
            <w:r w:rsidRPr="00465964">
              <w:t>8.</w:t>
            </w:r>
          </w:p>
        </w:tc>
        <w:tc>
          <w:tcPr>
            <w:tcW w:w="0" w:type="auto"/>
            <w:shd w:val="clear" w:color="auto" w:fill="auto"/>
            <w:hideMark/>
          </w:tcPr>
          <w:p w14:paraId="116D585B" w14:textId="77777777" w:rsidR="00465964" w:rsidRPr="00465964" w:rsidRDefault="00465964" w:rsidP="00465964">
            <w:pPr>
              <w:rPr>
                <w:lang w:val="pt-PT"/>
              </w:rPr>
            </w:pPr>
            <w:r w:rsidRPr="00465964">
              <w:rPr>
                <w:lang w:val="pt-PT"/>
              </w:rPr>
              <w:t>O emitente infringe o artigo 27.</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xml:space="preserve"> 2, se não agir no melhor interesse dos detentores da </w:t>
            </w:r>
            <w:proofErr w:type="spellStart"/>
            <w:r w:rsidRPr="00465964">
              <w:rPr>
                <w:lang w:val="pt-PT"/>
              </w:rPr>
              <w:t>criptoficha</w:t>
            </w:r>
            <w:proofErr w:type="spellEnd"/>
            <w:r w:rsidRPr="00465964">
              <w:rPr>
                <w:lang w:val="pt-PT"/>
              </w:rPr>
              <w:t xml:space="preserve"> referenciada a ativos significativa, ou se der tratamento preferencial a detentores específicos sem que tal tratamento seja comunicado no livrete do criptoativo do emitente ou, se for caso disso, nas comunicações comerciais.</w:t>
            </w:r>
          </w:p>
        </w:tc>
      </w:tr>
    </w:tbl>
    <w:p w14:paraId="6C55CA5E" w14:textId="77777777" w:rsidR="00465964" w:rsidRPr="00465964" w:rsidRDefault="00465964" w:rsidP="00465964">
      <w:pPr>
        <w:rPr>
          <w:vanish/>
          <w:lang w:val="pt-PT"/>
        </w:rPr>
      </w:pPr>
    </w:p>
    <w:tbl>
      <w:tblPr>
        <w:tblW w:w="5000" w:type="pct"/>
        <w:tblCellMar>
          <w:left w:w="0" w:type="dxa"/>
          <w:right w:w="0" w:type="dxa"/>
        </w:tblCellMar>
        <w:tblLook w:val="04A0" w:firstRow="1" w:lastRow="0" w:firstColumn="1" w:lastColumn="0" w:noHBand="0" w:noVBand="1"/>
      </w:tblPr>
      <w:tblGrid>
        <w:gridCol w:w="6"/>
        <w:gridCol w:w="181"/>
        <w:gridCol w:w="8839"/>
      </w:tblGrid>
      <w:tr w:rsidR="00465964" w:rsidRPr="00465964" w14:paraId="693ECF14" w14:textId="77777777" w:rsidTr="00465964">
        <w:tc>
          <w:tcPr>
            <w:tcW w:w="0" w:type="auto"/>
            <w:shd w:val="clear" w:color="auto" w:fill="auto"/>
            <w:hideMark/>
          </w:tcPr>
          <w:p w14:paraId="324167AE" w14:textId="77777777" w:rsidR="00465964" w:rsidRPr="00465964" w:rsidRDefault="00465964" w:rsidP="00465964">
            <w:pPr>
              <w:rPr>
                <w:lang w:val="pt-PT"/>
              </w:rPr>
            </w:pPr>
          </w:p>
        </w:tc>
        <w:tc>
          <w:tcPr>
            <w:tcW w:w="0" w:type="auto"/>
            <w:shd w:val="clear" w:color="auto" w:fill="auto"/>
            <w:hideMark/>
          </w:tcPr>
          <w:p w14:paraId="12335342" w14:textId="77777777" w:rsidR="00465964" w:rsidRPr="00465964" w:rsidRDefault="00465964" w:rsidP="00465964">
            <w:r w:rsidRPr="00465964">
              <w:t>9.</w:t>
            </w:r>
          </w:p>
        </w:tc>
        <w:tc>
          <w:tcPr>
            <w:tcW w:w="0" w:type="auto"/>
            <w:shd w:val="clear" w:color="auto" w:fill="auto"/>
            <w:hideMark/>
          </w:tcPr>
          <w:p w14:paraId="560DC4AC" w14:textId="77777777" w:rsidR="00465964" w:rsidRPr="00465964" w:rsidRDefault="00465964" w:rsidP="00465964">
            <w:pPr>
              <w:rPr>
                <w:lang w:val="pt-PT"/>
              </w:rPr>
            </w:pPr>
            <w:r w:rsidRPr="00465964">
              <w:rPr>
                <w:lang w:val="pt-PT"/>
              </w:rPr>
              <w:t>O emitente infringe o artigo 28.</w:t>
            </w:r>
            <w:r w:rsidRPr="00465964">
              <w:rPr>
                <w:vertAlign w:val="superscript"/>
                <w:lang w:val="pt-PT"/>
              </w:rPr>
              <w:t>o</w:t>
            </w:r>
            <w:r w:rsidRPr="00465964">
              <w:rPr>
                <w:lang w:val="pt-PT"/>
              </w:rPr>
              <w:t> se não publicar no respetivo sítio Web o livrete do criptoativo aprovado a que se refere o artigo 21.</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xml:space="preserve"> 1, e, se for caso disso, o livrete do criptoativo modificado a que se refere o artigo </w:t>
            </w:r>
            <w:proofErr w:type="gramStart"/>
            <w:r w:rsidRPr="00465964">
              <w:rPr>
                <w:lang w:val="pt-PT"/>
              </w:rPr>
              <w:t>25.</w:t>
            </w:r>
            <w:r w:rsidRPr="00465964">
              <w:rPr>
                <w:vertAlign w:val="superscript"/>
                <w:lang w:val="pt-PT"/>
              </w:rPr>
              <w:t>o</w:t>
            </w:r>
            <w:r w:rsidRPr="00465964">
              <w:rPr>
                <w:lang w:val="pt-PT"/>
              </w:rPr>
              <w:t>.</w:t>
            </w:r>
            <w:proofErr w:type="gramEnd"/>
          </w:p>
        </w:tc>
      </w:tr>
    </w:tbl>
    <w:p w14:paraId="299B0EE1" w14:textId="77777777" w:rsidR="00465964" w:rsidRPr="00465964" w:rsidRDefault="00465964" w:rsidP="00465964">
      <w:pPr>
        <w:rPr>
          <w:vanish/>
          <w:lang w:val="pt-PT"/>
        </w:rPr>
      </w:pPr>
    </w:p>
    <w:tbl>
      <w:tblPr>
        <w:tblW w:w="5000" w:type="pct"/>
        <w:tblCellMar>
          <w:left w:w="0" w:type="dxa"/>
          <w:right w:w="0" w:type="dxa"/>
        </w:tblCellMar>
        <w:tblLook w:val="04A0" w:firstRow="1" w:lastRow="0" w:firstColumn="1" w:lastColumn="0" w:noHBand="0" w:noVBand="1"/>
      </w:tblPr>
      <w:tblGrid>
        <w:gridCol w:w="6"/>
        <w:gridCol w:w="298"/>
        <w:gridCol w:w="8722"/>
      </w:tblGrid>
      <w:tr w:rsidR="00465964" w:rsidRPr="00465964" w14:paraId="07E72E79" w14:textId="77777777" w:rsidTr="00465964">
        <w:tc>
          <w:tcPr>
            <w:tcW w:w="0" w:type="auto"/>
            <w:shd w:val="clear" w:color="auto" w:fill="auto"/>
            <w:hideMark/>
          </w:tcPr>
          <w:p w14:paraId="3C9694B2" w14:textId="77777777" w:rsidR="00465964" w:rsidRPr="00465964" w:rsidRDefault="00465964" w:rsidP="00465964">
            <w:pPr>
              <w:rPr>
                <w:lang w:val="pt-PT"/>
              </w:rPr>
            </w:pPr>
          </w:p>
        </w:tc>
        <w:tc>
          <w:tcPr>
            <w:tcW w:w="0" w:type="auto"/>
            <w:shd w:val="clear" w:color="auto" w:fill="auto"/>
            <w:hideMark/>
          </w:tcPr>
          <w:p w14:paraId="77D34B06" w14:textId="77777777" w:rsidR="00465964" w:rsidRPr="00465964" w:rsidRDefault="00465964" w:rsidP="00465964">
            <w:r w:rsidRPr="00465964">
              <w:t>10.</w:t>
            </w:r>
          </w:p>
        </w:tc>
        <w:tc>
          <w:tcPr>
            <w:tcW w:w="0" w:type="auto"/>
            <w:shd w:val="clear" w:color="auto" w:fill="auto"/>
            <w:hideMark/>
          </w:tcPr>
          <w:p w14:paraId="7FF227A0" w14:textId="77777777" w:rsidR="00465964" w:rsidRPr="00465964" w:rsidRDefault="00465964" w:rsidP="00465964">
            <w:pPr>
              <w:rPr>
                <w:lang w:val="pt-PT"/>
              </w:rPr>
            </w:pPr>
            <w:r w:rsidRPr="00465964">
              <w:rPr>
                <w:lang w:val="pt-PT"/>
              </w:rPr>
              <w:t>O emitente infringe o artigo 28.</w:t>
            </w:r>
            <w:r w:rsidRPr="00465964">
              <w:rPr>
                <w:vertAlign w:val="superscript"/>
                <w:lang w:val="pt-PT"/>
              </w:rPr>
              <w:t>o</w:t>
            </w:r>
            <w:r w:rsidRPr="00465964">
              <w:rPr>
                <w:lang w:val="pt-PT"/>
              </w:rPr>
              <w:t xml:space="preserve"> se não tornar o livrete do criptoativo acessível ao público até à data de início da oferta pública da </w:t>
            </w:r>
            <w:proofErr w:type="spellStart"/>
            <w:r w:rsidRPr="00465964">
              <w:rPr>
                <w:lang w:val="pt-PT"/>
              </w:rPr>
              <w:t>criptoficha</w:t>
            </w:r>
            <w:proofErr w:type="spellEnd"/>
            <w:r w:rsidRPr="00465964">
              <w:rPr>
                <w:lang w:val="pt-PT"/>
              </w:rPr>
              <w:t xml:space="preserve"> referenciada a ativos significativa ou à admissão dessa </w:t>
            </w:r>
            <w:proofErr w:type="spellStart"/>
            <w:r w:rsidRPr="00465964">
              <w:rPr>
                <w:lang w:val="pt-PT"/>
              </w:rPr>
              <w:t>criptoficha</w:t>
            </w:r>
            <w:proofErr w:type="spellEnd"/>
            <w:r w:rsidRPr="00465964">
              <w:rPr>
                <w:lang w:val="pt-PT"/>
              </w:rPr>
              <w:t xml:space="preserve"> à negociação.</w:t>
            </w:r>
          </w:p>
        </w:tc>
      </w:tr>
    </w:tbl>
    <w:p w14:paraId="4AEE897C" w14:textId="77777777" w:rsidR="00465964" w:rsidRPr="00465964" w:rsidRDefault="00465964" w:rsidP="00465964">
      <w:pPr>
        <w:rPr>
          <w:vanish/>
          <w:lang w:val="pt-PT"/>
        </w:rPr>
      </w:pPr>
    </w:p>
    <w:tbl>
      <w:tblPr>
        <w:tblW w:w="5000" w:type="pct"/>
        <w:tblCellMar>
          <w:left w:w="0" w:type="dxa"/>
          <w:right w:w="0" w:type="dxa"/>
        </w:tblCellMar>
        <w:tblLook w:val="04A0" w:firstRow="1" w:lastRow="0" w:firstColumn="1" w:lastColumn="0" w:noHBand="0" w:noVBand="1"/>
      </w:tblPr>
      <w:tblGrid>
        <w:gridCol w:w="6"/>
        <w:gridCol w:w="298"/>
        <w:gridCol w:w="8722"/>
      </w:tblGrid>
      <w:tr w:rsidR="00465964" w:rsidRPr="00465964" w14:paraId="2837EDBA" w14:textId="77777777" w:rsidTr="00465964">
        <w:tc>
          <w:tcPr>
            <w:tcW w:w="0" w:type="auto"/>
            <w:shd w:val="clear" w:color="auto" w:fill="auto"/>
            <w:hideMark/>
          </w:tcPr>
          <w:p w14:paraId="3C1D365C" w14:textId="77777777" w:rsidR="00465964" w:rsidRPr="00465964" w:rsidRDefault="00465964" w:rsidP="00465964">
            <w:pPr>
              <w:rPr>
                <w:lang w:val="pt-PT"/>
              </w:rPr>
            </w:pPr>
          </w:p>
        </w:tc>
        <w:tc>
          <w:tcPr>
            <w:tcW w:w="0" w:type="auto"/>
            <w:shd w:val="clear" w:color="auto" w:fill="auto"/>
            <w:hideMark/>
          </w:tcPr>
          <w:p w14:paraId="47BB38DE" w14:textId="77777777" w:rsidR="00465964" w:rsidRPr="00465964" w:rsidRDefault="00465964" w:rsidP="00465964">
            <w:r w:rsidRPr="00465964">
              <w:t>11.</w:t>
            </w:r>
          </w:p>
        </w:tc>
        <w:tc>
          <w:tcPr>
            <w:tcW w:w="0" w:type="auto"/>
            <w:shd w:val="clear" w:color="auto" w:fill="auto"/>
            <w:hideMark/>
          </w:tcPr>
          <w:p w14:paraId="7481877E" w14:textId="77777777" w:rsidR="00465964" w:rsidRPr="00465964" w:rsidRDefault="00465964" w:rsidP="00465964">
            <w:pPr>
              <w:rPr>
                <w:lang w:val="pt-PT"/>
              </w:rPr>
            </w:pPr>
            <w:r w:rsidRPr="00465964">
              <w:rPr>
                <w:lang w:val="pt-PT"/>
              </w:rPr>
              <w:t>O emitente infringe o artigo 28.</w:t>
            </w:r>
            <w:r w:rsidRPr="00465964">
              <w:rPr>
                <w:vertAlign w:val="superscript"/>
                <w:lang w:val="pt-PT"/>
              </w:rPr>
              <w:t>o</w:t>
            </w:r>
            <w:r w:rsidRPr="00465964">
              <w:rPr>
                <w:lang w:val="pt-PT"/>
              </w:rPr>
              <w:t xml:space="preserve"> se não assegurar que o livrete do criptoativo e, se for caso disso, o livrete do criptoativo modificado permaneçam disponíveis no seu sítio Web enquanto a </w:t>
            </w:r>
            <w:proofErr w:type="spellStart"/>
            <w:r w:rsidRPr="00465964">
              <w:rPr>
                <w:lang w:val="pt-PT"/>
              </w:rPr>
              <w:t>criptoficha</w:t>
            </w:r>
            <w:proofErr w:type="spellEnd"/>
            <w:r w:rsidRPr="00465964">
              <w:rPr>
                <w:lang w:val="pt-PT"/>
              </w:rPr>
              <w:t xml:space="preserve"> referenciada a ativos significativa for detida pelo público.</w:t>
            </w:r>
          </w:p>
        </w:tc>
      </w:tr>
    </w:tbl>
    <w:p w14:paraId="04A7C347" w14:textId="77777777" w:rsidR="00465964" w:rsidRPr="00465964" w:rsidRDefault="00465964" w:rsidP="00465964">
      <w:pPr>
        <w:rPr>
          <w:vanish/>
          <w:lang w:val="pt-PT"/>
        </w:rPr>
      </w:pPr>
    </w:p>
    <w:tbl>
      <w:tblPr>
        <w:tblW w:w="5000" w:type="pct"/>
        <w:tblCellMar>
          <w:left w:w="0" w:type="dxa"/>
          <w:right w:w="0" w:type="dxa"/>
        </w:tblCellMar>
        <w:tblLook w:val="04A0" w:firstRow="1" w:lastRow="0" w:firstColumn="1" w:lastColumn="0" w:noHBand="0" w:noVBand="1"/>
      </w:tblPr>
      <w:tblGrid>
        <w:gridCol w:w="6"/>
        <w:gridCol w:w="298"/>
        <w:gridCol w:w="8722"/>
      </w:tblGrid>
      <w:tr w:rsidR="00465964" w:rsidRPr="00465964" w14:paraId="11B564E3" w14:textId="77777777" w:rsidTr="00465964">
        <w:tc>
          <w:tcPr>
            <w:tcW w:w="0" w:type="auto"/>
            <w:shd w:val="clear" w:color="auto" w:fill="auto"/>
            <w:hideMark/>
          </w:tcPr>
          <w:p w14:paraId="32FB31F1" w14:textId="77777777" w:rsidR="00465964" w:rsidRPr="00465964" w:rsidRDefault="00465964" w:rsidP="00465964">
            <w:pPr>
              <w:rPr>
                <w:lang w:val="pt-PT"/>
              </w:rPr>
            </w:pPr>
          </w:p>
        </w:tc>
        <w:tc>
          <w:tcPr>
            <w:tcW w:w="0" w:type="auto"/>
            <w:shd w:val="clear" w:color="auto" w:fill="auto"/>
            <w:hideMark/>
          </w:tcPr>
          <w:p w14:paraId="69B7B866" w14:textId="77777777" w:rsidR="00465964" w:rsidRPr="00465964" w:rsidRDefault="00465964" w:rsidP="00465964">
            <w:r w:rsidRPr="00465964">
              <w:t>12.</w:t>
            </w:r>
          </w:p>
        </w:tc>
        <w:tc>
          <w:tcPr>
            <w:tcW w:w="0" w:type="auto"/>
            <w:shd w:val="clear" w:color="auto" w:fill="auto"/>
            <w:hideMark/>
          </w:tcPr>
          <w:p w14:paraId="482A16B1" w14:textId="77777777" w:rsidR="00465964" w:rsidRPr="00465964" w:rsidRDefault="00465964" w:rsidP="00465964">
            <w:pPr>
              <w:rPr>
                <w:lang w:val="pt-PT"/>
              </w:rPr>
            </w:pPr>
            <w:r w:rsidRPr="00465964">
              <w:rPr>
                <w:lang w:val="pt-PT"/>
              </w:rPr>
              <w:t xml:space="preserve">O emitente infringe o artigo </w:t>
            </w:r>
            <w:proofErr w:type="gramStart"/>
            <w:r w:rsidRPr="00465964">
              <w:rPr>
                <w:lang w:val="pt-PT"/>
              </w:rPr>
              <w:t>29.</w:t>
            </w:r>
            <w:r w:rsidRPr="00465964">
              <w:rPr>
                <w:vertAlign w:val="superscript"/>
                <w:lang w:val="pt-PT"/>
              </w:rPr>
              <w:t>o</w:t>
            </w:r>
            <w:proofErr w:type="gramEnd"/>
            <w:r w:rsidRPr="00465964">
              <w:rPr>
                <w:lang w:val="pt-PT"/>
              </w:rPr>
              <w:t xml:space="preserve">, </w:t>
            </w:r>
            <w:proofErr w:type="spellStart"/>
            <w:r w:rsidRPr="00465964">
              <w:rPr>
                <w:lang w:val="pt-PT"/>
              </w:rPr>
              <w:t>n.</w:t>
            </w:r>
            <w:r w:rsidRPr="00465964">
              <w:rPr>
                <w:vertAlign w:val="superscript"/>
                <w:lang w:val="pt-PT"/>
              </w:rPr>
              <w:t>os</w:t>
            </w:r>
            <w:proofErr w:type="spellEnd"/>
            <w:r w:rsidRPr="00465964">
              <w:rPr>
                <w:lang w:val="pt-PT"/>
              </w:rPr>
              <w:t xml:space="preserve"> 1 e 2, se publicar comunicações comerciais relacionadas com uma oferta pública de uma </w:t>
            </w:r>
            <w:proofErr w:type="spellStart"/>
            <w:r w:rsidRPr="00465964">
              <w:rPr>
                <w:lang w:val="pt-PT"/>
              </w:rPr>
              <w:t>criptoficha</w:t>
            </w:r>
            <w:proofErr w:type="spellEnd"/>
            <w:r w:rsidRPr="00465964">
              <w:rPr>
                <w:lang w:val="pt-PT"/>
              </w:rPr>
              <w:t xml:space="preserve"> referenciada a ativos significativa ou com a admissão à negociação dessa </w:t>
            </w:r>
            <w:proofErr w:type="spellStart"/>
            <w:r w:rsidRPr="00465964">
              <w:rPr>
                <w:lang w:val="pt-PT"/>
              </w:rPr>
              <w:t>criptoficha</w:t>
            </w:r>
            <w:proofErr w:type="spellEnd"/>
            <w:r w:rsidRPr="00465964">
              <w:rPr>
                <w:lang w:val="pt-PT"/>
              </w:rPr>
              <w:t xml:space="preserve"> referenciada a ativos significativa que não cumpram os requisitos estabelecidos no </w:t>
            </w:r>
            <w:proofErr w:type="spellStart"/>
            <w:r w:rsidRPr="00465964">
              <w:rPr>
                <w:lang w:val="pt-PT"/>
              </w:rPr>
              <w:t>n.</w:t>
            </w:r>
            <w:r w:rsidRPr="00465964">
              <w:rPr>
                <w:vertAlign w:val="superscript"/>
                <w:lang w:val="pt-PT"/>
              </w:rPr>
              <w:t>o</w:t>
            </w:r>
            <w:proofErr w:type="spellEnd"/>
            <w:r w:rsidRPr="00465964">
              <w:rPr>
                <w:lang w:val="pt-PT"/>
              </w:rPr>
              <w:t xml:space="preserve"> 1, alíneas a) a d), e no </w:t>
            </w:r>
            <w:proofErr w:type="spellStart"/>
            <w:r w:rsidRPr="00465964">
              <w:rPr>
                <w:lang w:val="pt-PT"/>
              </w:rPr>
              <w:t>n.</w:t>
            </w:r>
            <w:r w:rsidRPr="00465964">
              <w:rPr>
                <w:vertAlign w:val="superscript"/>
                <w:lang w:val="pt-PT"/>
              </w:rPr>
              <w:t>o</w:t>
            </w:r>
            <w:proofErr w:type="spellEnd"/>
            <w:r w:rsidRPr="00465964">
              <w:rPr>
                <w:lang w:val="pt-PT"/>
              </w:rPr>
              <w:t> 2 do referido artigo.</w:t>
            </w:r>
          </w:p>
        </w:tc>
      </w:tr>
    </w:tbl>
    <w:p w14:paraId="76EC111C" w14:textId="77777777" w:rsidR="00465964" w:rsidRPr="00465964" w:rsidRDefault="00465964" w:rsidP="00465964">
      <w:pPr>
        <w:rPr>
          <w:vanish/>
          <w:lang w:val="pt-PT"/>
        </w:rPr>
      </w:pPr>
    </w:p>
    <w:tbl>
      <w:tblPr>
        <w:tblW w:w="5000" w:type="pct"/>
        <w:tblCellMar>
          <w:left w:w="0" w:type="dxa"/>
          <w:right w:w="0" w:type="dxa"/>
        </w:tblCellMar>
        <w:tblLook w:val="04A0" w:firstRow="1" w:lastRow="0" w:firstColumn="1" w:lastColumn="0" w:noHBand="0" w:noVBand="1"/>
      </w:tblPr>
      <w:tblGrid>
        <w:gridCol w:w="6"/>
        <w:gridCol w:w="298"/>
        <w:gridCol w:w="8722"/>
      </w:tblGrid>
      <w:tr w:rsidR="00465964" w:rsidRPr="00465964" w14:paraId="76187BCD" w14:textId="77777777" w:rsidTr="00465964">
        <w:tc>
          <w:tcPr>
            <w:tcW w:w="0" w:type="auto"/>
            <w:shd w:val="clear" w:color="auto" w:fill="auto"/>
            <w:hideMark/>
          </w:tcPr>
          <w:p w14:paraId="5959454C" w14:textId="77777777" w:rsidR="00465964" w:rsidRPr="00465964" w:rsidRDefault="00465964" w:rsidP="00465964">
            <w:pPr>
              <w:rPr>
                <w:lang w:val="pt-PT"/>
              </w:rPr>
            </w:pPr>
          </w:p>
        </w:tc>
        <w:tc>
          <w:tcPr>
            <w:tcW w:w="0" w:type="auto"/>
            <w:shd w:val="clear" w:color="auto" w:fill="auto"/>
            <w:hideMark/>
          </w:tcPr>
          <w:p w14:paraId="50C464A0" w14:textId="77777777" w:rsidR="00465964" w:rsidRPr="00465964" w:rsidRDefault="00465964" w:rsidP="00465964">
            <w:r w:rsidRPr="00465964">
              <w:t>13.</w:t>
            </w:r>
          </w:p>
        </w:tc>
        <w:tc>
          <w:tcPr>
            <w:tcW w:w="0" w:type="auto"/>
            <w:shd w:val="clear" w:color="auto" w:fill="auto"/>
            <w:hideMark/>
          </w:tcPr>
          <w:p w14:paraId="19553D2C" w14:textId="77777777" w:rsidR="00465964" w:rsidRPr="00465964" w:rsidRDefault="00465964" w:rsidP="00465964">
            <w:pPr>
              <w:rPr>
                <w:lang w:val="pt-PT"/>
              </w:rPr>
            </w:pPr>
            <w:r w:rsidRPr="00465964">
              <w:rPr>
                <w:lang w:val="pt-PT"/>
              </w:rPr>
              <w:t>O emitente infringe o artigo 29.</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3, se não publicar as comunicações comerciais e as suas eventuais modificações no seu sítio Web.</w:t>
            </w:r>
          </w:p>
        </w:tc>
      </w:tr>
    </w:tbl>
    <w:p w14:paraId="245257DE" w14:textId="77777777" w:rsidR="00465964" w:rsidRPr="00465964" w:rsidRDefault="00465964" w:rsidP="00465964">
      <w:pPr>
        <w:rPr>
          <w:vanish/>
          <w:lang w:val="pt-PT"/>
        </w:rPr>
      </w:pPr>
    </w:p>
    <w:tbl>
      <w:tblPr>
        <w:tblW w:w="5000" w:type="pct"/>
        <w:tblCellMar>
          <w:left w:w="0" w:type="dxa"/>
          <w:right w:w="0" w:type="dxa"/>
        </w:tblCellMar>
        <w:tblLook w:val="04A0" w:firstRow="1" w:lastRow="0" w:firstColumn="1" w:lastColumn="0" w:noHBand="0" w:noVBand="1"/>
      </w:tblPr>
      <w:tblGrid>
        <w:gridCol w:w="6"/>
        <w:gridCol w:w="298"/>
        <w:gridCol w:w="8722"/>
      </w:tblGrid>
      <w:tr w:rsidR="00465964" w:rsidRPr="00465964" w14:paraId="7CE00B13" w14:textId="77777777" w:rsidTr="00465964">
        <w:tc>
          <w:tcPr>
            <w:tcW w:w="0" w:type="auto"/>
            <w:shd w:val="clear" w:color="auto" w:fill="auto"/>
            <w:hideMark/>
          </w:tcPr>
          <w:p w14:paraId="0601A4D0" w14:textId="77777777" w:rsidR="00465964" w:rsidRPr="00465964" w:rsidRDefault="00465964" w:rsidP="00465964">
            <w:pPr>
              <w:rPr>
                <w:lang w:val="pt-PT"/>
              </w:rPr>
            </w:pPr>
          </w:p>
        </w:tc>
        <w:tc>
          <w:tcPr>
            <w:tcW w:w="0" w:type="auto"/>
            <w:shd w:val="clear" w:color="auto" w:fill="auto"/>
            <w:hideMark/>
          </w:tcPr>
          <w:p w14:paraId="081C65C8" w14:textId="77777777" w:rsidR="00465964" w:rsidRPr="00465964" w:rsidRDefault="00465964" w:rsidP="00465964">
            <w:r w:rsidRPr="00465964">
              <w:t>14.</w:t>
            </w:r>
          </w:p>
        </w:tc>
        <w:tc>
          <w:tcPr>
            <w:tcW w:w="0" w:type="auto"/>
            <w:shd w:val="clear" w:color="auto" w:fill="auto"/>
            <w:hideMark/>
          </w:tcPr>
          <w:p w14:paraId="44794F32" w14:textId="77777777" w:rsidR="00465964" w:rsidRPr="00465964" w:rsidRDefault="00465964" w:rsidP="00465964">
            <w:pPr>
              <w:rPr>
                <w:lang w:val="pt-PT"/>
              </w:rPr>
            </w:pPr>
            <w:r w:rsidRPr="00465964">
              <w:rPr>
                <w:lang w:val="pt-PT"/>
              </w:rPr>
              <w:t>O emitente infringe o artigo 29.</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xml:space="preserve"> 5, se não comunicar comunicações comerciais </w:t>
            </w:r>
            <w:proofErr w:type="gramStart"/>
            <w:r w:rsidRPr="00465964">
              <w:rPr>
                <w:lang w:val="pt-PT"/>
              </w:rPr>
              <w:t>s</w:t>
            </w:r>
            <w:proofErr w:type="gramEnd"/>
            <w:r w:rsidRPr="00465964">
              <w:rPr>
                <w:lang w:val="pt-PT"/>
              </w:rPr>
              <w:t xml:space="preserve"> que lhe sejam pedidas pela EBA.</w:t>
            </w:r>
          </w:p>
        </w:tc>
      </w:tr>
    </w:tbl>
    <w:p w14:paraId="3A15D6E8" w14:textId="77777777" w:rsidR="00465964" w:rsidRPr="00465964" w:rsidRDefault="00465964" w:rsidP="00465964">
      <w:pPr>
        <w:rPr>
          <w:vanish/>
          <w:lang w:val="pt-PT"/>
        </w:rPr>
      </w:pPr>
    </w:p>
    <w:tbl>
      <w:tblPr>
        <w:tblW w:w="5000" w:type="pct"/>
        <w:tblCellMar>
          <w:left w:w="0" w:type="dxa"/>
          <w:right w:w="0" w:type="dxa"/>
        </w:tblCellMar>
        <w:tblLook w:val="04A0" w:firstRow="1" w:lastRow="0" w:firstColumn="1" w:lastColumn="0" w:noHBand="0" w:noVBand="1"/>
      </w:tblPr>
      <w:tblGrid>
        <w:gridCol w:w="6"/>
        <w:gridCol w:w="298"/>
        <w:gridCol w:w="8722"/>
      </w:tblGrid>
      <w:tr w:rsidR="00465964" w:rsidRPr="00465964" w14:paraId="084133DC" w14:textId="77777777" w:rsidTr="00465964">
        <w:tc>
          <w:tcPr>
            <w:tcW w:w="0" w:type="auto"/>
            <w:shd w:val="clear" w:color="auto" w:fill="auto"/>
            <w:hideMark/>
          </w:tcPr>
          <w:p w14:paraId="72E2579F" w14:textId="77777777" w:rsidR="00465964" w:rsidRPr="00465964" w:rsidRDefault="00465964" w:rsidP="00465964">
            <w:pPr>
              <w:rPr>
                <w:lang w:val="pt-PT"/>
              </w:rPr>
            </w:pPr>
          </w:p>
        </w:tc>
        <w:tc>
          <w:tcPr>
            <w:tcW w:w="0" w:type="auto"/>
            <w:shd w:val="clear" w:color="auto" w:fill="auto"/>
            <w:hideMark/>
          </w:tcPr>
          <w:p w14:paraId="70486AB1" w14:textId="77777777" w:rsidR="00465964" w:rsidRPr="00465964" w:rsidRDefault="00465964" w:rsidP="00465964">
            <w:r w:rsidRPr="00465964">
              <w:t>15.</w:t>
            </w:r>
          </w:p>
        </w:tc>
        <w:tc>
          <w:tcPr>
            <w:tcW w:w="0" w:type="auto"/>
            <w:shd w:val="clear" w:color="auto" w:fill="auto"/>
            <w:hideMark/>
          </w:tcPr>
          <w:p w14:paraId="2531F2ED" w14:textId="77777777" w:rsidR="00465964" w:rsidRPr="00465964" w:rsidRDefault="00465964" w:rsidP="00465964">
            <w:pPr>
              <w:rPr>
                <w:lang w:val="pt-PT"/>
              </w:rPr>
            </w:pPr>
            <w:r w:rsidRPr="00465964">
              <w:rPr>
                <w:lang w:val="pt-PT"/>
              </w:rPr>
              <w:t>O emitente infringe o artigo 29.</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6, se difundir comunicações comerciais antes da publicação do livrete do criptoativo.</w:t>
            </w:r>
          </w:p>
        </w:tc>
      </w:tr>
    </w:tbl>
    <w:p w14:paraId="486F3685" w14:textId="77777777" w:rsidR="00465964" w:rsidRPr="00465964" w:rsidRDefault="00465964" w:rsidP="00465964">
      <w:pPr>
        <w:rPr>
          <w:vanish/>
          <w:lang w:val="pt-PT"/>
        </w:rPr>
      </w:pPr>
    </w:p>
    <w:tbl>
      <w:tblPr>
        <w:tblW w:w="5000" w:type="pct"/>
        <w:tblCellMar>
          <w:left w:w="0" w:type="dxa"/>
          <w:right w:w="0" w:type="dxa"/>
        </w:tblCellMar>
        <w:tblLook w:val="04A0" w:firstRow="1" w:lastRow="0" w:firstColumn="1" w:lastColumn="0" w:noHBand="0" w:noVBand="1"/>
      </w:tblPr>
      <w:tblGrid>
        <w:gridCol w:w="6"/>
        <w:gridCol w:w="298"/>
        <w:gridCol w:w="8722"/>
      </w:tblGrid>
      <w:tr w:rsidR="00465964" w:rsidRPr="00465964" w14:paraId="7CB1C343" w14:textId="77777777" w:rsidTr="00465964">
        <w:tc>
          <w:tcPr>
            <w:tcW w:w="0" w:type="auto"/>
            <w:shd w:val="clear" w:color="auto" w:fill="auto"/>
            <w:hideMark/>
          </w:tcPr>
          <w:p w14:paraId="6D8B5D9C" w14:textId="77777777" w:rsidR="00465964" w:rsidRPr="00465964" w:rsidRDefault="00465964" w:rsidP="00465964">
            <w:pPr>
              <w:rPr>
                <w:lang w:val="pt-PT"/>
              </w:rPr>
            </w:pPr>
          </w:p>
        </w:tc>
        <w:tc>
          <w:tcPr>
            <w:tcW w:w="0" w:type="auto"/>
            <w:shd w:val="clear" w:color="auto" w:fill="auto"/>
            <w:hideMark/>
          </w:tcPr>
          <w:p w14:paraId="16932CF3" w14:textId="77777777" w:rsidR="00465964" w:rsidRPr="00465964" w:rsidRDefault="00465964" w:rsidP="00465964">
            <w:r w:rsidRPr="00465964">
              <w:t>16.</w:t>
            </w:r>
          </w:p>
        </w:tc>
        <w:tc>
          <w:tcPr>
            <w:tcW w:w="0" w:type="auto"/>
            <w:shd w:val="clear" w:color="auto" w:fill="auto"/>
            <w:hideMark/>
          </w:tcPr>
          <w:p w14:paraId="273022BF" w14:textId="77777777" w:rsidR="00465964" w:rsidRPr="00465964" w:rsidRDefault="00465964" w:rsidP="00465964">
            <w:pPr>
              <w:rPr>
                <w:lang w:val="pt-PT"/>
              </w:rPr>
            </w:pPr>
            <w:r w:rsidRPr="00465964">
              <w:rPr>
                <w:lang w:val="pt-PT"/>
              </w:rPr>
              <w:t>O emitente infringe o artigo 30.</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xml:space="preserve"> 1, se não divulgar num local público e facilmente acessível, no seu sítio Web, de forma clara, exata e transparente, o montante da </w:t>
            </w:r>
            <w:proofErr w:type="spellStart"/>
            <w:r w:rsidRPr="00465964">
              <w:rPr>
                <w:lang w:val="pt-PT"/>
              </w:rPr>
              <w:t>criptoficha</w:t>
            </w:r>
            <w:proofErr w:type="spellEnd"/>
            <w:r w:rsidRPr="00465964">
              <w:rPr>
                <w:lang w:val="pt-PT"/>
              </w:rPr>
              <w:t xml:space="preserve"> </w:t>
            </w:r>
            <w:r w:rsidRPr="00465964">
              <w:rPr>
                <w:lang w:val="pt-PT"/>
              </w:rPr>
              <w:lastRenderedPageBreak/>
              <w:t>referenciada a ativos significativa em circulação e o valor e composição da reserva de ativos a que se refere o artigo 36.</w:t>
            </w:r>
            <w:r w:rsidRPr="00465964">
              <w:rPr>
                <w:vertAlign w:val="superscript"/>
                <w:lang w:val="pt-PT"/>
              </w:rPr>
              <w:t>o</w:t>
            </w:r>
            <w:r w:rsidRPr="00465964">
              <w:rPr>
                <w:lang w:val="pt-PT"/>
              </w:rPr>
              <w:t>, ou se não atualizar as informações exigidas pelo menos mensalmente.</w:t>
            </w:r>
          </w:p>
        </w:tc>
      </w:tr>
    </w:tbl>
    <w:p w14:paraId="4A9CE54A" w14:textId="77777777" w:rsidR="00465964" w:rsidRPr="00465964" w:rsidRDefault="00465964" w:rsidP="00465964">
      <w:pPr>
        <w:rPr>
          <w:vanish/>
          <w:lang w:val="pt-PT"/>
        </w:rPr>
      </w:pPr>
    </w:p>
    <w:tbl>
      <w:tblPr>
        <w:tblW w:w="5000" w:type="pct"/>
        <w:tblCellMar>
          <w:left w:w="0" w:type="dxa"/>
          <w:right w:w="0" w:type="dxa"/>
        </w:tblCellMar>
        <w:tblLook w:val="04A0" w:firstRow="1" w:lastRow="0" w:firstColumn="1" w:lastColumn="0" w:noHBand="0" w:noVBand="1"/>
      </w:tblPr>
      <w:tblGrid>
        <w:gridCol w:w="6"/>
        <w:gridCol w:w="298"/>
        <w:gridCol w:w="8722"/>
      </w:tblGrid>
      <w:tr w:rsidR="00465964" w:rsidRPr="00465964" w14:paraId="76BDCC77" w14:textId="77777777" w:rsidTr="00465964">
        <w:tc>
          <w:tcPr>
            <w:tcW w:w="0" w:type="auto"/>
            <w:shd w:val="clear" w:color="auto" w:fill="auto"/>
            <w:hideMark/>
          </w:tcPr>
          <w:p w14:paraId="00151CC8" w14:textId="77777777" w:rsidR="00465964" w:rsidRPr="00465964" w:rsidRDefault="00465964" w:rsidP="00465964">
            <w:pPr>
              <w:rPr>
                <w:lang w:val="pt-PT"/>
              </w:rPr>
            </w:pPr>
          </w:p>
        </w:tc>
        <w:tc>
          <w:tcPr>
            <w:tcW w:w="0" w:type="auto"/>
            <w:shd w:val="clear" w:color="auto" w:fill="auto"/>
            <w:hideMark/>
          </w:tcPr>
          <w:p w14:paraId="44FDD06A" w14:textId="77777777" w:rsidR="00465964" w:rsidRPr="00465964" w:rsidRDefault="00465964" w:rsidP="00465964">
            <w:r w:rsidRPr="00465964">
              <w:t>17.</w:t>
            </w:r>
          </w:p>
        </w:tc>
        <w:tc>
          <w:tcPr>
            <w:tcW w:w="0" w:type="auto"/>
            <w:shd w:val="clear" w:color="auto" w:fill="auto"/>
            <w:hideMark/>
          </w:tcPr>
          <w:p w14:paraId="58314F58" w14:textId="77777777" w:rsidR="00465964" w:rsidRPr="00465964" w:rsidRDefault="00465964" w:rsidP="00465964">
            <w:pPr>
              <w:rPr>
                <w:lang w:val="pt-PT"/>
              </w:rPr>
            </w:pPr>
            <w:r w:rsidRPr="00465964">
              <w:rPr>
                <w:lang w:val="pt-PT"/>
              </w:rPr>
              <w:t>O emitente infringe o artigo 30.</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xml:space="preserve"> 2, se não publicar num local público e facilmente acessível, no seu sítio Web, com a maior brevidade possível, um resumo sucinto, claro, exato e transparente do relatório de auditoria, bem como a versão integral e inalterada do relatório de auditoria, relativo à reserva de ativos a que se refere o artigo </w:t>
            </w:r>
            <w:proofErr w:type="gramStart"/>
            <w:r w:rsidRPr="00465964">
              <w:rPr>
                <w:lang w:val="pt-PT"/>
              </w:rPr>
              <w:t>36.</w:t>
            </w:r>
            <w:r w:rsidRPr="00465964">
              <w:rPr>
                <w:vertAlign w:val="superscript"/>
                <w:lang w:val="pt-PT"/>
              </w:rPr>
              <w:t>o</w:t>
            </w:r>
            <w:r w:rsidRPr="00465964">
              <w:rPr>
                <w:lang w:val="pt-PT"/>
              </w:rPr>
              <w:t>.</w:t>
            </w:r>
            <w:proofErr w:type="gramEnd"/>
          </w:p>
        </w:tc>
      </w:tr>
    </w:tbl>
    <w:p w14:paraId="6A59E7D7" w14:textId="77777777" w:rsidR="00465964" w:rsidRPr="00465964" w:rsidRDefault="00465964" w:rsidP="00465964">
      <w:pPr>
        <w:rPr>
          <w:vanish/>
          <w:lang w:val="pt-PT"/>
        </w:rPr>
      </w:pPr>
    </w:p>
    <w:tbl>
      <w:tblPr>
        <w:tblW w:w="5000" w:type="pct"/>
        <w:tblCellMar>
          <w:left w:w="0" w:type="dxa"/>
          <w:right w:w="0" w:type="dxa"/>
        </w:tblCellMar>
        <w:tblLook w:val="04A0" w:firstRow="1" w:lastRow="0" w:firstColumn="1" w:lastColumn="0" w:noHBand="0" w:noVBand="1"/>
      </w:tblPr>
      <w:tblGrid>
        <w:gridCol w:w="6"/>
        <w:gridCol w:w="298"/>
        <w:gridCol w:w="8722"/>
      </w:tblGrid>
      <w:tr w:rsidR="00465964" w:rsidRPr="00465964" w14:paraId="2426B44B" w14:textId="77777777" w:rsidTr="00465964">
        <w:tc>
          <w:tcPr>
            <w:tcW w:w="0" w:type="auto"/>
            <w:shd w:val="clear" w:color="auto" w:fill="auto"/>
            <w:hideMark/>
          </w:tcPr>
          <w:p w14:paraId="162011A1" w14:textId="77777777" w:rsidR="00465964" w:rsidRPr="00465964" w:rsidRDefault="00465964" w:rsidP="00465964">
            <w:pPr>
              <w:rPr>
                <w:lang w:val="pt-PT"/>
              </w:rPr>
            </w:pPr>
          </w:p>
        </w:tc>
        <w:tc>
          <w:tcPr>
            <w:tcW w:w="0" w:type="auto"/>
            <w:shd w:val="clear" w:color="auto" w:fill="auto"/>
            <w:hideMark/>
          </w:tcPr>
          <w:p w14:paraId="6750FDE4" w14:textId="77777777" w:rsidR="00465964" w:rsidRPr="00465964" w:rsidRDefault="00465964" w:rsidP="00465964">
            <w:r w:rsidRPr="00465964">
              <w:t>18.</w:t>
            </w:r>
          </w:p>
        </w:tc>
        <w:tc>
          <w:tcPr>
            <w:tcW w:w="0" w:type="auto"/>
            <w:shd w:val="clear" w:color="auto" w:fill="auto"/>
            <w:hideMark/>
          </w:tcPr>
          <w:p w14:paraId="2928FAB5" w14:textId="77777777" w:rsidR="00465964" w:rsidRPr="00465964" w:rsidRDefault="00465964" w:rsidP="00465964">
            <w:pPr>
              <w:rPr>
                <w:lang w:val="pt-PT"/>
              </w:rPr>
            </w:pPr>
            <w:r w:rsidRPr="00465964">
              <w:rPr>
                <w:lang w:val="pt-PT"/>
              </w:rPr>
              <w:t>O emitente infringe o artigo 30.</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xml:space="preserve"> 3, se não divulgar num lugar facilmente acessível ao público no seu sítio Web, com a maior brevidade possível e de forma clara, exata e transparente, qualquer evento que tenha ou possa ter um efeito significativo sobre o valor da </w:t>
            </w:r>
            <w:proofErr w:type="spellStart"/>
            <w:r w:rsidRPr="00465964">
              <w:rPr>
                <w:lang w:val="pt-PT"/>
              </w:rPr>
              <w:t>criptoficha</w:t>
            </w:r>
            <w:proofErr w:type="spellEnd"/>
            <w:r w:rsidRPr="00465964">
              <w:rPr>
                <w:lang w:val="pt-PT"/>
              </w:rPr>
              <w:t xml:space="preserve"> referenciada a ativos significativa ou sobre os ativos de reserva a que se refere o artigo </w:t>
            </w:r>
            <w:proofErr w:type="gramStart"/>
            <w:r w:rsidRPr="00465964">
              <w:rPr>
                <w:lang w:val="pt-PT"/>
              </w:rPr>
              <w:t>36.</w:t>
            </w:r>
            <w:r w:rsidRPr="00465964">
              <w:rPr>
                <w:vertAlign w:val="superscript"/>
                <w:lang w:val="pt-PT"/>
              </w:rPr>
              <w:t>o</w:t>
            </w:r>
            <w:r w:rsidRPr="00465964">
              <w:rPr>
                <w:lang w:val="pt-PT"/>
              </w:rPr>
              <w:t>.</w:t>
            </w:r>
            <w:proofErr w:type="gramEnd"/>
          </w:p>
        </w:tc>
      </w:tr>
    </w:tbl>
    <w:p w14:paraId="7BDF601C" w14:textId="77777777" w:rsidR="00465964" w:rsidRPr="00465964" w:rsidRDefault="00465964" w:rsidP="00465964">
      <w:pPr>
        <w:rPr>
          <w:vanish/>
          <w:lang w:val="pt-PT"/>
        </w:rPr>
      </w:pPr>
    </w:p>
    <w:tbl>
      <w:tblPr>
        <w:tblW w:w="5000" w:type="pct"/>
        <w:tblCellMar>
          <w:left w:w="0" w:type="dxa"/>
          <w:right w:w="0" w:type="dxa"/>
        </w:tblCellMar>
        <w:tblLook w:val="04A0" w:firstRow="1" w:lastRow="0" w:firstColumn="1" w:lastColumn="0" w:noHBand="0" w:noVBand="1"/>
      </w:tblPr>
      <w:tblGrid>
        <w:gridCol w:w="6"/>
        <w:gridCol w:w="298"/>
        <w:gridCol w:w="8722"/>
      </w:tblGrid>
      <w:tr w:rsidR="00465964" w:rsidRPr="00465964" w14:paraId="346B9C9A" w14:textId="77777777" w:rsidTr="00465964">
        <w:tc>
          <w:tcPr>
            <w:tcW w:w="0" w:type="auto"/>
            <w:shd w:val="clear" w:color="auto" w:fill="auto"/>
            <w:hideMark/>
          </w:tcPr>
          <w:p w14:paraId="4376FB39" w14:textId="77777777" w:rsidR="00465964" w:rsidRPr="00465964" w:rsidRDefault="00465964" w:rsidP="00465964">
            <w:pPr>
              <w:rPr>
                <w:lang w:val="pt-PT"/>
              </w:rPr>
            </w:pPr>
          </w:p>
        </w:tc>
        <w:tc>
          <w:tcPr>
            <w:tcW w:w="0" w:type="auto"/>
            <w:shd w:val="clear" w:color="auto" w:fill="auto"/>
            <w:hideMark/>
          </w:tcPr>
          <w:p w14:paraId="469086A9" w14:textId="77777777" w:rsidR="00465964" w:rsidRPr="00465964" w:rsidRDefault="00465964" w:rsidP="00465964">
            <w:r w:rsidRPr="00465964">
              <w:t>19.</w:t>
            </w:r>
          </w:p>
        </w:tc>
        <w:tc>
          <w:tcPr>
            <w:tcW w:w="0" w:type="auto"/>
            <w:shd w:val="clear" w:color="auto" w:fill="auto"/>
            <w:hideMark/>
          </w:tcPr>
          <w:p w14:paraId="318AC9C7" w14:textId="77777777" w:rsidR="00465964" w:rsidRPr="00465964" w:rsidRDefault="00465964" w:rsidP="00465964">
            <w:pPr>
              <w:rPr>
                <w:lang w:val="pt-PT"/>
              </w:rPr>
            </w:pPr>
            <w:r w:rsidRPr="00465964">
              <w:rPr>
                <w:lang w:val="pt-PT"/>
              </w:rPr>
              <w:t>O emitente infringe o artigo 31.</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xml:space="preserve"> 1, se não estabelecer e mantiver procedimentos eficazes e transparentes com vista ao tratamento expedito, leal e coerente das reclamações recebidas de detentores da </w:t>
            </w:r>
            <w:proofErr w:type="spellStart"/>
            <w:r w:rsidRPr="00465964">
              <w:rPr>
                <w:lang w:val="pt-PT"/>
              </w:rPr>
              <w:t>criptoficha</w:t>
            </w:r>
            <w:proofErr w:type="spellEnd"/>
            <w:r w:rsidRPr="00465964">
              <w:rPr>
                <w:lang w:val="pt-PT"/>
              </w:rPr>
              <w:t xml:space="preserve"> referenciada a ativos significativa e de outras partes interessadas, nomeadamente associações de consumidores que representem detentores da </w:t>
            </w:r>
            <w:proofErr w:type="spellStart"/>
            <w:r w:rsidRPr="00465964">
              <w:rPr>
                <w:lang w:val="pt-PT"/>
              </w:rPr>
              <w:t>criptoficha</w:t>
            </w:r>
            <w:proofErr w:type="spellEnd"/>
            <w:r w:rsidRPr="00465964">
              <w:rPr>
                <w:lang w:val="pt-PT"/>
              </w:rPr>
              <w:t xml:space="preserve"> referenciada a ativos significativa e se não publicar descrições destes procedimentos, ou, se a </w:t>
            </w:r>
            <w:proofErr w:type="spellStart"/>
            <w:r w:rsidRPr="00465964">
              <w:rPr>
                <w:lang w:val="pt-PT"/>
              </w:rPr>
              <w:t>criptoficha</w:t>
            </w:r>
            <w:proofErr w:type="spellEnd"/>
            <w:r w:rsidRPr="00465964">
              <w:rPr>
                <w:lang w:val="pt-PT"/>
              </w:rPr>
              <w:t xml:space="preserve"> referenciada a ativos significativa for distribuída total ou parcialmente por entidades terceiras, se não estabelecer procedimentos para facilitar igualmente o tratamento das reclamações entre os detentores e as entidades terceiras referidas no artigo 34.</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5, primeiro parágrafo, alínea h).</w:t>
            </w:r>
          </w:p>
        </w:tc>
      </w:tr>
    </w:tbl>
    <w:p w14:paraId="1F639A76" w14:textId="77777777" w:rsidR="00465964" w:rsidRPr="00465964" w:rsidRDefault="00465964" w:rsidP="00465964">
      <w:pPr>
        <w:rPr>
          <w:vanish/>
          <w:lang w:val="pt-PT"/>
        </w:rPr>
      </w:pPr>
    </w:p>
    <w:tbl>
      <w:tblPr>
        <w:tblW w:w="5000" w:type="pct"/>
        <w:tblCellMar>
          <w:left w:w="0" w:type="dxa"/>
          <w:right w:w="0" w:type="dxa"/>
        </w:tblCellMar>
        <w:tblLook w:val="04A0" w:firstRow="1" w:lastRow="0" w:firstColumn="1" w:lastColumn="0" w:noHBand="0" w:noVBand="1"/>
      </w:tblPr>
      <w:tblGrid>
        <w:gridCol w:w="6"/>
        <w:gridCol w:w="298"/>
        <w:gridCol w:w="8722"/>
      </w:tblGrid>
      <w:tr w:rsidR="00465964" w:rsidRPr="00465964" w14:paraId="04CC4D1F" w14:textId="77777777" w:rsidTr="00465964">
        <w:tc>
          <w:tcPr>
            <w:tcW w:w="0" w:type="auto"/>
            <w:shd w:val="clear" w:color="auto" w:fill="auto"/>
            <w:hideMark/>
          </w:tcPr>
          <w:p w14:paraId="4B296487" w14:textId="77777777" w:rsidR="00465964" w:rsidRPr="00465964" w:rsidRDefault="00465964" w:rsidP="00465964">
            <w:pPr>
              <w:rPr>
                <w:lang w:val="pt-PT"/>
              </w:rPr>
            </w:pPr>
          </w:p>
        </w:tc>
        <w:tc>
          <w:tcPr>
            <w:tcW w:w="0" w:type="auto"/>
            <w:shd w:val="clear" w:color="auto" w:fill="auto"/>
            <w:hideMark/>
          </w:tcPr>
          <w:p w14:paraId="0E0269B6" w14:textId="77777777" w:rsidR="00465964" w:rsidRPr="00465964" w:rsidRDefault="00465964" w:rsidP="00465964">
            <w:r w:rsidRPr="00465964">
              <w:t>20.</w:t>
            </w:r>
          </w:p>
        </w:tc>
        <w:tc>
          <w:tcPr>
            <w:tcW w:w="0" w:type="auto"/>
            <w:shd w:val="clear" w:color="auto" w:fill="auto"/>
            <w:hideMark/>
          </w:tcPr>
          <w:p w14:paraId="0D9E165B" w14:textId="77777777" w:rsidR="00465964" w:rsidRPr="00465964" w:rsidRDefault="00465964" w:rsidP="00465964">
            <w:pPr>
              <w:rPr>
                <w:lang w:val="pt-PT"/>
              </w:rPr>
            </w:pPr>
            <w:r w:rsidRPr="00465964">
              <w:rPr>
                <w:lang w:val="pt-PT"/>
              </w:rPr>
              <w:t>O emitente infringe o artigo 31.</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xml:space="preserve"> 2, se não permitir que os detentores da </w:t>
            </w:r>
            <w:proofErr w:type="spellStart"/>
            <w:r w:rsidRPr="00465964">
              <w:rPr>
                <w:lang w:val="pt-PT"/>
              </w:rPr>
              <w:t>criptoficha</w:t>
            </w:r>
            <w:proofErr w:type="spellEnd"/>
            <w:r w:rsidRPr="00465964">
              <w:rPr>
                <w:lang w:val="pt-PT"/>
              </w:rPr>
              <w:t xml:space="preserve"> referenciada a ativos significativa possam apresentar reclamações de forma gratuita.</w:t>
            </w:r>
          </w:p>
        </w:tc>
      </w:tr>
    </w:tbl>
    <w:p w14:paraId="2CB74A3F" w14:textId="77777777" w:rsidR="00465964" w:rsidRPr="00465964" w:rsidRDefault="00465964" w:rsidP="00465964">
      <w:pPr>
        <w:rPr>
          <w:vanish/>
          <w:lang w:val="pt-PT"/>
        </w:rPr>
      </w:pPr>
    </w:p>
    <w:tbl>
      <w:tblPr>
        <w:tblW w:w="5000" w:type="pct"/>
        <w:tblCellMar>
          <w:left w:w="0" w:type="dxa"/>
          <w:right w:w="0" w:type="dxa"/>
        </w:tblCellMar>
        <w:tblLook w:val="04A0" w:firstRow="1" w:lastRow="0" w:firstColumn="1" w:lastColumn="0" w:noHBand="0" w:noVBand="1"/>
      </w:tblPr>
      <w:tblGrid>
        <w:gridCol w:w="6"/>
        <w:gridCol w:w="298"/>
        <w:gridCol w:w="8722"/>
      </w:tblGrid>
      <w:tr w:rsidR="00465964" w:rsidRPr="00465964" w14:paraId="1B2CF41A" w14:textId="77777777" w:rsidTr="00465964">
        <w:tc>
          <w:tcPr>
            <w:tcW w:w="0" w:type="auto"/>
            <w:shd w:val="clear" w:color="auto" w:fill="auto"/>
            <w:hideMark/>
          </w:tcPr>
          <w:p w14:paraId="0EA81E45" w14:textId="77777777" w:rsidR="00465964" w:rsidRPr="00465964" w:rsidRDefault="00465964" w:rsidP="00465964">
            <w:pPr>
              <w:rPr>
                <w:lang w:val="pt-PT"/>
              </w:rPr>
            </w:pPr>
          </w:p>
        </w:tc>
        <w:tc>
          <w:tcPr>
            <w:tcW w:w="0" w:type="auto"/>
            <w:shd w:val="clear" w:color="auto" w:fill="auto"/>
            <w:hideMark/>
          </w:tcPr>
          <w:p w14:paraId="629DE633" w14:textId="77777777" w:rsidR="00465964" w:rsidRPr="00465964" w:rsidRDefault="00465964" w:rsidP="00465964">
            <w:r w:rsidRPr="00465964">
              <w:t>21.</w:t>
            </w:r>
          </w:p>
        </w:tc>
        <w:tc>
          <w:tcPr>
            <w:tcW w:w="0" w:type="auto"/>
            <w:shd w:val="clear" w:color="auto" w:fill="auto"/>
            <w:hideMark/>
          </w:tcPr>
          <w:p w14:paraId="5E952803" w14:textId="77777777" w:rsidR="00465964" w:rsidRPr="00465964" w:rsidRDefault="00465964" w:rsidP="00465964">
            <w:pPr>
              <w:rPr>
                <w:lang w:val="pt-PT"/>
              </w:rPr>
            </w:pPr>
            <w:r w:rsidRPr="00465964">
              <w:rPr>
                <w:lang w:val="pt-PT"/>
              </w:rPr>
              <w:t>O emitente infringe o artigo 31.</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xml:space="preserve"> 3, se não elaborar e disponibilizar aos detentores da </w:t>
            </w:r>
            <w:proofErr w:type="spellStart"/>
            <w:r w:rsidRPr="00465964">
              <w:rPr>
                <w:lang w:val="pt-PT"/>
              </w:rPr>
              <w:t>criptoficha</w:t>
            </w:r>
            <w:proofErr w:type="spellEnd"/>
            <w:r w:rsidRPr="00465964">
              <w:rPr>
                <w:lang w:val="pt-PT"/>
              </w:rPr>
              <w:t xml:space="preserve"> referenciada a ativos significativa um modelo para a apresentação das reclamações e se não mantiver um registo de todas as reclamações recebidas e de todas as medidas adotadas para dar resposta a essas mesmas reclamações.</w:t>
            </w:r>
          </w:p>
        </w:tc>
      </w:tr>
    </w:tbl>
    <w:p w14:paraId="269D4A56" w14:textId="77777777" w:rsidR="00465964" w:rsidRPr="00465964" w:rsidRDefault="00465964" w:rsidP="00465964">
      <w:pPr>
        <w:rPr>
          <w:vanish/>
          <w:lang w:val="pt-PT"/>
        </w:rPr>
      </w:pPr>
    </w:p>
    <w:tbl>
      <w:tblPr>
        <w:tblW w:w="5000" w:type="pct"/>
        <w:tblCellMar>
          <w:left w:w="0" w:type="dxa"/>
          <w:right w:w="0" w:type="dxa"/>
        </w:tblCellMar>
        <w:tblLook w:val="04A0" w:firstRow="1" w:lastRow="0" w:firstColumn="1" w:lastColumn="0" w:noHBand="0" w:noVBand="1"/>
      </w:tblPr>
      <w:tblGrid>
        <w:gridCol w:w="6"/>
        <w:gridCol w:w="298"/>
        <w:gridCol w:w="8722"/>
      </w:tblGrid>
      <w:tr w:rsidR="00465964" w:rsidRPr="00465964" w14:paraId="402C966C" w14:textId="77777777" w:rsidTr="00465964">
        <w:tc>
          <w:tcPr>
            <w:tcW w:w="0" w:type="auto"/>
            <w:shd w:val="clear" w:color="auto" w:fill="auto"/>
            <w:hideMark/>
          </w:tcPr>
          <w:p w14:paraId="7B398441" w14:textId="77777777" w:rsidR="00465964" w:rsidRPr="00465964" w:rsidRDefault="00465964" w:rsidP="00465964">
            <w:pPr>
              <w:rPr>
                <w:lang w:val="pt-PT"/>
              </w:rPr>
            </w:pPr>
          </w:p>
        </w:tc>
        <w:tc>
          <w:tcPr>
            <w:tcW w:w="0" w:type="auto"/>
            <w:shd w:val="clear" w:color="auto" w:fill="auto"/>
            <w:hideMark/>
          </w:tcPr>
          <w:p w14:paraId="6893A899" w14:textId="77777777" w:rsidR="00465964" w:rsidRPr="00465964" w:rsidRDefault="00465964" w:rsidP="00465964">
            <w:r w:rsidRPr="00465964">
              <w:t>22.</w:t>
            </w:r>
          </w:p>
        </w:tc>
        <w:tc>
          <w:tcPr>
            <w:tcW w:w="0" w:type="auto"/>
            <w:shd w:val="clear" w:color="auto" w:fill="auto"/>
            <w:hideMark/>
          </w:tcPr>
          <w:p w14:paraId="03B7E082" w14:textId="77777777" w:rsidR="00465964" w:rsidRPr="00465964" w:rsidRDefault="00465964" w:rsidP="00465964">
            <w:pPr>
              <w:rPr>
                <w:lang w:val="pt-PT"/>
              </w:rPr>
            </w:pPr>
            <w:r w:rsidRPr="00465964">
              <w:rPr>
                <w:lang w:val="pt-PT"/>
              </w:rPr>
              <w:t>O emitente infringe o artigo 31.</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xml:space="preserve"> 4, se não investigar todas as reclamações de forma atempada e leal ou se não comunicar as conclusões dessas investigações aos detentores da sua </w:t>
            </w:r>
            <w:proofErr w:type="spellStart"/>
            <w:r w:rsidRPr="00465964">
              <w:rPr>
                <w:lang w:val="pt-PT"/>
              </w:rPr>
              <w:t>criptoficha</w:t>
            </w:r>
            <w:proofErr w:type="spellEnd"/>
            <w:r w:rsidRPr="00465964">
              <w:rPr>
                <w:lang w:val="pt-PT"/>
              </w:rPr>
              <w:t xml:space="preserve"> referenciada a ativos significativa dentro de um prazo razoável.</w:t>
            </w:r>
          </w:p>
        </w:tc>
      </w:tr>
    </w:tbl>
    <w:p w14:paraId="099373BF" w14:textId="77777777" w:rsidR="00465964" w:rsidRPr="00465964" w:rsidRDefault="00465964" w:rsidP="00465964">
      <w:pPr>
        <w:rPr>
          <w:vanish/>
          <w:lang w:val="pt-PT"/>
        </w:rPr>
      </w:pPr>
    </w:p>
    <w:tbl>
      <w:tblPr>
        <w:tblW w:w="5000" w:type="pct"/>
        <w:tblCellMar>
          <w:left w:w="0" w:type="dxa"/>
          <w:right w:w="0" w:type="dxa"/>
        </w:tblCellMar>
        <w:tblLook w:val="04A0" w:firstRow="1" w:lastRow="0" w:firstColumn="1" w:lastColumn="0" w:noHBand="0" w:noVBand="1"/>
      </w:tblPr>
      <w:tblGrid>
        <w:gridCol w:w="6"/>
        <w:gridCol w:w="298"/>
        <w:gridCol w:w="8722"/>
      </w:tblGrid>
      <w:tr w:rsidR="00465964" w:rsidRPr="00465964" w14:paraId="52E80CE1" w14:textId="77777777" w:rsidTr="00465964">
        <w:tc>
          <w:tcPr>
            <w:tcW w:w="0" w:type="auto"/>
            <w:shd w:val="clear" w:color="auto" w:fill="auto"/>
            <w:hideMark/>
          </w:tcPr>
          <w:p w14:paraId="78CC16F0" w14:textId="77777777" w:rsidR="00465964" w:rsidRPr="00465964" w:rsidRDefault="00465964" w:rsidP="00465964">
            <w:pPr>
              <w:rPr>
                <w:lang w:val="pt-PT"/>
              </w:rPr>
            </w:pPr>
          </w:p>
        </w:tc>
        <w:tc>
          <w:tcPr>
            <w:tcW w:w="0" w:type="auto"/>
            <w:shd w:val="clear" w:color="auto" w:fill="auto"/>
            <w:hideMark/>
          </w:tcPr>
          <w:p w14:paraId="4898EA00" w14:textId="77777777" w:rsidR="00465964" w:rsidRPr="00465964" w:rsidRDefault="00465964" w:rsidP="00465964">
            <w:r w:rsidRPr="00465964">
              <w:t>23.</w:t>
            </w:r>
          </w:p>
        </w:tc>
        <w:tc>
          <w:tcPr>
            <w:tcW w:w="0" w:type="auto"/>
            <w:shd w:val="clear" w:color="auto" w:fill="auto"/>
            <w:hideMark/>
          </w:tcPr>
          <w:p w14:paraId="2D55E2BC" w14:textId="77777777" w:rsidR="00465964" w:rsidRPr="00465964" w:rsidRDefault="00465964" w:rsidP="00465964">
            <w:pPr>
              <w:rPr>
                <w:lang w:val="pt-PT"/>
              </w:rPr>
            </w:pPr>
            <w:r w:rsidRPr="00465964">
              <w:rPr>
                <w:lang w:val="pt-PT"/>
              </w:rPr>
              <w:t>O emitente infringe o artigo 32.</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xml:space="preserve"> 1, se não puser em prática e mantiver políticas e procedimentos eficazes para identificar, prevenir, gerir e divulgar conflitos de interesses entre si próprio e os seus acionistas ou sócios, entre si próprio e qualquer acionista ou sócio, direto ou indireto, que detenha uma participação qualificada no emitente, entre si próprio e os membros do seu órgão de administração, entre si próprio e os seus trabalhadores, entre si próprio e os detentores da </w:t>
            </w:r>
            <w:proofErr w:type="spellStart"/>
            <w:r w:rsidRPr="00465964">
              <w:rPr>
                <w:lang w:val="pt-PT"/>
              </w:rPr>
              <w:t>criptoficha</w:t>
            </w:r>
            <w:proofErr w:type="spellEnd"/>
            <w:r w:rsidRPr="00465964">
              <w:rPr>
                <w:lang w:val="pt-PT"/>
              </w:rPr>
              <w:t xml:space="preserve"> referenciada a ativos significativa ou entre si próprio e qualquer terceiro que desempenhe uma das funções referidas no artigo 34.</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5, primeiro parágrafo, alínea h).</w:t>
            </w:r>
          </w:p>
        </w:tc>
      </w:tr>
    </w:tbl>
    <w:p w14:paraId="2B42F1A0" w14:textId="77777777" w:rsidR="00465964" w:rsidRPr="00465964" w:rsidRDefault="00465964" w:rsidP="00465964">
      <w:pPr>
        <w:rPr>
          <w:vanish/>
          <w:lang w:val="pt-PT"/>
        </w:rPr>
      </w:pPr>
    </w:p>
    <w:tbl>
      <w:tblPr>
        <w:tblW w:w="5000" w:type="pct"/>
        <w:tblCellMar>
          <w:left w:w="0" w:type="dxa"/>
          <w:right w:w="0" w:type="dxa"/>
        </w:tblCellMar>
        <w:tblLook w:val="04A0" w:firstRow="1" w:lastRow="0" w:firstColumn="1" w:lastColumn="0" w:noHBand="0" w:noVBand="1"/>
      </w:tblPr>
      <w:tblGrid>
        <w:gridCol w:w="6"/>
        <w:gridCol w:w="298"/>
        <w:gridCol w:w="8722"/>
      </w:tblGrid>
      <w:tr w:rsidR="00465964" w:rsidRPr="00465964" w14:paraId="21FC3E74" w14:textId="77777777" w:rsidTr="00465964">
        <w:tc>
          <w:tcPr>
            <w:tcW w:w="0" w:type="auto"/>
            <w:shd w:val="clear" w:color="auto" w:fill="auto"/>
            <w:hideMark/>
          </w:tcPr>
          <w:p w14:paraId="423C5174" w14:textId="77777777" w:rsidR="00465964" w:rsidRPr="00465964" w:rsidRDefault="00465964" w:rsidP="00465964">
            <w:pPr>
              <w:rPr>
                <w:lang w:val="pt-PT"/>
              </w:rPr>
            </w:pPr>
          </w:p>
        </w:tc>
        <w:tc>
          <w:tcPr>
            <w:tcW w:w="0" w:type="auto"/>
            <w:shd w:val="clear" w:color="auto" w:fill="auto"/>
            <w:hideMark/>
          </w:tcPr>
          <w:p w14:paraId="1F0DB02D" w14:textId="77777777" w:rsidR="00465964" w:rsidRPr="00465964" w:rsidRDefault="00465964" w:rsidP="00465964">
            <w:r w:rsidRPr="00465964">
              <w:t>24.</w:t>
            </w:r>
          </w:p>
        </w:tc>
        <w:tc>
          <w:tcPr>
            <w:tcW w:w="0" w:type="auto"/>
            <w:shd w:val="clear" w:color="auto" w:fill="auto"/>
            <w:hideMark/>
          </w:tcPr>
          <w:p w14:paraId="6B2C6A70" w14:textId="77777777" w:rsidR="00465964" w:rsidRPr="00465964" w:rsidRDefault="00465964" w:rsidP="00465964">
            <w:pPr>
              <w:rPr>
                <w:lang w:val="pt-PT"/>
              </w:rPr>
            </w:pPr>
            <w:r w:rsidRPr="00465964">
              <w:rPr>
                <w:lang w:val="pt-PT"/>
              </w:rPr>
              <w:t>O emitente infringe o artigo 32.</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xml:space="preserve"> 2, se não tomar todas as medidas adequadas para identificar, prevenir, gerir e divulgar conflitos de interesses decorrentes da gestão e do investimento da reserva de ativos a que se refere o artigo </w:t>
            </w:r>
            <w:proofErr w:type="gramStart"/>
            <w:r w:rsidRPr="00465964">
              <w:rPr>
                <w:lang w:val="pt-PT"/>
              </w:rPr>
              <w:t>36.</w:t>
            </w:r>
            <w:r w:rsidRPr="00465964">
              <w:rPr>
                <w:vertAlign w:val="superscript"/>
                <w:lang w:val="pt-PT"/>
              </w:rPr>
              <w:t>o</w:t>
            </w:r>
            <w:r w:rsidRPr="00465964">
              <w:rPr>
                <w:lang w:val="pt-PT"/>
              </w:rPr>
              <w:t>.</w:t>
            </w:r>
            <w:proofErr w:type="gramEnd"/>
          </w:p>
        </w:tc>
      </w:tr>
    </w:tbl>
    <w:p w14:paraId="64F4B40B" w14:textId="77777777" w:rsidR="00465964" w:rsidRPr="00465964" w:rsidRDefault="00465964" w:rsidP="00465964">
      <w:pPr>
        <w:rPr>
          <w:vanish/>
          <w:lang w:val="pt-PT"/>
        </w:rPr>
      </w:pPr>
    </w:p>
    <w:tbl>
      <w:tblPr>
        <w:tblW w:w="5000" w:type="pct"/>
        <w:tblCellMar>
          <w:left w:w="0" w:type="dxa"/>
          <w:right w:w="0" w:type="dxa"/>
        </w:tblCellMar>
        <w:tblLook w:val="04A0" w:firstRow="1" w:lastRow="0" w:firstColumn="1" w:lastColumn="0" w:noHBand="0" w:noVBand="1"/>
      </w:tblPr>
      <w:tblGrid>
        <w:gridCol w:w="6"/>
        <w:gridCol w:w="298"/>
        <w:gridCol w:w="8722"/>
      </w:tblGrid>
      <w:tr w:rsidR="00465964" w:rsidRPr="00465964" w14:paraId="7A362EFB" w14:textId="77777777" w:rsidTr="00465964">
        <w:tc>
          <w:tcPr>
            <w:tcW w:w="0" w:type="auto"/>
            <w:shd w:val="clear" w:color="auto" w:fill="auto"/>
            <w:hideMark/>
          </w:tcPr>
          <w:p w14:paraId="1AABE3EA" w14:textId="77777777" w:rsidR="00465964" w:rsidRPr="00465964" w:rsidRDefault="00465964" w:rsidP="00465964">
            <w:pPr>
              <w:rPr>
                <w:lang w:val="pt-PT"/>
              </w:rPr>
            </w:pPr>
          </w:p>
        </w:tc>
        <w:tc>
          <w:tcPr>
            <w:tcW w:w="0" w:type="auto"/>
            <w:shd w:val="clear" w:color="auto" w:fill="auto"/>
            <w:hideMark/>
          </w:tcPr>
          <w:p w14:paraId="4F533A49" w14:textId="77777777" w:rsidR="00465964" w:rsidRPr="00465964" w:rsidRDefault="00465964" w:rsidP="00465964">
            <w:r w:rsidRPr="00465964">
              <w:t>25.</w:t>
            </w:r>
          </w:p>
        </w:tc>
        <w:tc>
          <w:tcPr>
            <w:tcW w:w="0" w:type="auto"/>
            <w:shd w:val="clear" w:color="auto" w:fill="auto"/>
            <w:hideMark/>
          </w:tcPr>
          <w:p w14:paraId="46EFD7CA" w14:textId="77777777" w:rsidR="00465964" w:rsidRPr="00465964" w:rsidRDefault="00465964" w:rsidP="00465964">
            <w:pPr>
              <w:rPr>
                <w:lang w:val="pt-PT"/>
              </w:rPr>
            </w:pPr>
            <w:r w:rsidRPr="00465964">
              <w:rPr>
                <w:lang w:val="pt-PT"/>
              </w:rPr>
              <w:t xml:space="preserve">O emitente infringe o artigo </w:t>
            </w:r>
            <w:proofErr w:type="gramStart"/>
            <w:r w:rsidRPr="00465964">
              <w:rPr>
                <w:lang w:val="pt-PT"/>
              </w:rPr>
              <w:t>32.</w:t>
            </w:r>
            <w:r w:rsidRPr="00465964">
              <w:rPr>
                <w:vertAlign w:val="superscript"/>
                <w:lang w:val="pt-PT"/>
              </w:rPr>
              <w:t>o</w:t>
            </w:r>
            <w:proofErr w:type="gramEnd"/>
            <w:r w:rsidRPr="00465964">
              <w:rPr>
                <w:lang w:val="pt-PT"/>
              </w:rPr>
              <w:t xml:space="preserve">, </w:t>
            </w:r>
            <w:proofErr w:type="spellStart"/>
            <w:r w:rsidRPr="00465964">
              <w:rPr>
                <w:lang w:val="pt-PT"/>
              </w:rPr>
              <w:t>n.</w:t>
            </w:r>
            <w:r w:rsidRPr="00465964">
              <w:rPr>
                <w:vertAlign w:val="superscript"/>
                <w:lang w:val="pt-PT"/>
              </w:rPr>
              <w:t>os</w:t>
            </w:r>
            <w:proofErr w:type="spellEnd"/>
            <w:r w:rsidRPr="00465964">
              <w:rPr>
                <w:lang w:val="pt-PT"/>
              </w:rPr>
              <w:t xml:space="preserve"> 3 e 4, se não divulgar, num lugar de destaque do seu sítio Web, aos detentores da </w:t>
            </w:r>
            <w:proofErr w:type="spellStart"/>
            <w:r w:rsidRPr="00465964">
              <w:rPr>
                <w:lang w:val="pt-PT"/>
              </w:rPr>
              <w:t>criptoficha</w:t>
            </w:r>
            <w:proofErr w:type="spellEnd"/>
            <w:r w:rsidRPr="00465964">
              <w:rPr>
                <w:lang w:val="pt-PT"/>
              </w:rPr>
              <w:t xml:space="preserve"> referenciada a ativos significativa a natureza geral e </w:t>
            </w:r>
            <w:r w:rsidRPr="00465964">
              <w:rPr>
                <w:lang w:val="pt-PT"/>
              </w:rPr>
              <w:lastRenderedPageBreak/>
              <w:t xml:space="preserve">as fontes dos conflitos de interesses e as medidas tomadas para atenuar esses riscos, ou se a divulgação não for suficientemente precisa para permitir que os detentores potenciais da </w:t>
            </w:r>
            <w:proofErr w:type="spellStart"/>
            <w:r w:rsidRPr="00465964">
              <w:rPr>
                <w:lang w:val="pt-PT"/>
              </w:rPr>
              <w:t>criptoficha</w:t>
            </w:r>
            <w:proofErr w:type="spellEnd"/>
            <w:r w:rsidRPr="00465964">
              <w:rPr>
                <w:lang w:val="pt-PT"/>
              </w:rPr>
              <w:t xml:space="preserve"> referenciada a ativos significativa tomem uma decisão de compra informada quanto a essa </w:t>
            </w:r>
            <w:proofErr w:type="spellStart"/>
            <w:r w:rsidRPr="00465964">
              <w:rPr>
                <w:lang w:val="pt-PT"/>
              </w:rPr>
              <w:t>criptoficha</w:t>
            </w:r>
            <w:proofErr w:type="spellEnd"/>
            <w:r w:rsidRPr="00465964">
              <w:rPr>
                <w:lang w:val="pt-PT"/>
              </w:rPr>
              <w:t>.</w:t>
            </w:r>
          </w:p>
        </w:tc>
      </w:tr>
    </w:tbl>
    <w:p w14:paraId="0BB541C8" w14:textId="77777777" w:rsidR="00465964" w:rsidRPr="00465964" w:rsidRDefault="00465964" w:rsidP="00465964">
      <w:pPr>
        <w:rPr>
          <w:vanish/>
          <w:lang w:val="pt-PT"/>
        </w:rPr>
      </w:pPr>
    </w:p>
    <w:tbl>
      <w:tblPr>
        <w:tblW w:w="5000" w:type="pct"/>
        <w:tblCellMar>
          <w:left w:w="0" w:type="dxa"/>
          <w:right w:w="0" w:type="dxa"/>
        </w:tblCellMar>
        <w:tblLook w:val="04A0" w:firstRow="1" w:lastRow="0" w:firstColumn="1" w:lastColumn="0" w:noHBand="0" w:noVBand="1"/>
      </w:tblPr>
      <w:tblGrid>
        <w:gridCol w:w="6"/>
        <w:gridCol w:w="298"/>
        <w:gridCol w:w="8722"/>
      </w:tblGrid>
      <w:tr w:rsidR="00465964" w:rsidRPr="00465964" w14:paraId="742483CE" w14:textId="77777777" w:rsidTr="00465964">
        <w:tc>
          <w:tcPr>
            <w:tcW w:w="0" w:type="auto"/>
            <w:shd w:val="clear" w:color="auto" w:fill="auto"/>
            <w:hideMark/>
          </w:tcPr>
          <w:p w14:paraId="43A94D07" w14:textId="77777777" w:rsidR="00465964" w:rsidRPr="00465964" w:rsidRDefault="00465964" w:rsidP="00465964">
            <w:pPr>
              <w:rPr>
                <w:lang w:val="pt-PT"/>
              </w:rPr>
            </w:pPr>
          </w:p>
        </w:tc>
        <w:tc>
          <w:tcPr>
            <w:tcW w:w="0" w:type="auto"/>
            <w:shd w:val="clear" w:color="auto" w:fill="auto"/>
            <w:hideMark/>
          </w:tcPr>
          <w:p w14:paraId="50FCE84C" w14:textId="77777777" w:rsidR="00465964" w:rsidRPr="00465964" w:rsidRDefault="00465964" w:rsidP="00465964">
            <w:r w:rsidRPr="00465964">
              <w:t>26.</w:t>
            </w:r>
          </w:p>
        </w:tc>
        <w:tc>
          <w:tcPr>
            <w:tcW w:w="0" w:type="auto"/>
            <w:shd w:val="clear" w:color="auto" w:fill="auto"/>
            <w:hideMark/>
          </w:tcPr>
          <w:p w14:paraId="116894E3" w14:textId="77777777" w:rsidR="00465964" w:rsidRPr="00465964" w:rsidRDefault="00465964" w:rsidP="00465964">
            <w:pPr>
              <w:rPr>
                <w:lang w:val="pt-PT"/>
              </w:rPr>
            </w:pPr>
            <w:r w:rsidRPr="00465964">
              <w:rPr>
                <w:lang w:val="pt-PT"/>
              </w:rPr>
              <w:t>O emitente infringe o artigo 33.</w:t>
            </w:r>
            <w:r w:rsidRPr="00465964">
              <w:rPr>
                <w:vertAlign w:val="superscript"/>
                <w:lang w:val="pt-PT"/>
              </w:rPr>
              <w:t>o</w:t>
            </w:r>
            <w:r w:rsidRPr="00465964">
              <w:rPr>
                <w:lang w:val="pt-PT"/>
              </w:rPr>
              <w:t> se não comunicar imediatamente à EBA quaisquer alterações ao seu órgão de administração ou se não prestar à EBA todas as informações necessárias para avaliar o cumprimento do disposto no artigo 34.</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2.</w:t>
            </w:r>
          </w:p>
        </w:tc>
      </w:tr>
    </w:tbl>
    <w:p w14:paraId="37E170A5" w14:textId="77777777" w:rsidR="00465964" w:rsidRPr="00465964" w:rsidRDefault="00465964" w:rsidP="00465964">
      <w:pPr>
        <w:rPr>
          <w:vanish/>
          <w:lang w:val="pt-PT"/>
        </w:rPr>
      </w:pPr>
    </w:p>
    <w:tbl>
      <w:tblPr>
        <w:tblW w:w="5000" w:type="pct"/>
        <w:tblCellMar>
          <w:left w:w="0" w:type="dxa"/>
          <w:right w:w="0" w:type="dxa"/>
        </w:tblCellMar>
        <w:tblLook w:val="04A0" w:firstRow="1" w:lastRow="0" w:firstColumn="1" w:lastColumn="0" w:noHBand="0" w:noVBand="1"/>
      </w:tblPr>
      <w:tblGrid>
        <w:gridCol w:w="6"/>
        <w:gridCol w:w="298"/>
        <w:gridCol w:w="8722"/>
      </w:tblGrid>
      <w:tr w:rsidR="00465964" w:rsidRPr="00465964" w14:paraId="5233707F" w14:textId="77777777" w:rsidTr="00465964">
        <w:tc>
          <w:tcPr>
            <w:tcW w:w="0" w:type="auto"/>
            <w:shd w:val="clear" w:color="auto" w:fill="auto"/>
            <w:hideMark/>
          </w:tcPr>
          <w:p w14:paraId="5EAB38B1" w14:textId="77777777" w:rsidR="00465964" w:rsidRPr="00465964" w:rsidRDefault="00465964" w:rsidP="00465964">
            <w:pPr>
              <w:rPr>
                <w:lang w:val="pt-PT"/>
              </w:rPr>
            </w:pPr>
          </w:p>
        </w:tc>
        <w:tc>
          <w:tcPr>
            <w:tcW w:w="0" w:type="auto"/>
            <w:shd w:val="clear" w:color="auto" w:fill="auto"/>
            <w:hideMark/>
          </w:tcPr>
          <w:p w14:paraId="69AAB477" w14:textId="77777777" w:rsidR="00465964" w:rsidRPr="00465964" w:rsidRDefault="00465964" w:rsidP="00465964">
            <w:r w:rsidRPr="00465964">
              <w:t>27.</w:t>
            </w:r>
          </w:p>
        </w:tc>
        <w:tc>
          <w:tcPr>
            <w:tcW w:w="0" w:type="auto"/>
            <w:shd w:val="clear" w:color="auto" w:fill="auto"/>
            <w:hideMark/>
          </w:tcPr>
          <w:p w14:paraId="54DA3516" w14:textId="77777777" w:rsidR="00465964" w:rsidRPr="00465964" w:rsidRDefault="00465964" w:rsidP="00465964">
            <w:pPr>
              <w:rPr>
                <w:lang w:val="pt-PT"/>
              </w:rPr>
            </w:pPr>
            <w:r w:rsidRPr="00465964">
              <w:rPr>
                <w:lang w:val="pt-PT"/>
              </w:rPr>
              <w:t>O emitente infringe o artigo 34.</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1, se não possuir mecanismos de governação sólidos, nomeadamente uma estrutura organizativa clara, com linhas de responsabilidade bem definidas, transparentes e uniformes, processos eficazes de identificação, gestão, controlo e comunicação dos riscos a que esteja ou possa vir a estar exposto, e mecanismos adequados de controlo interno, incluindo procedimentos administrativos e contabilísticos sólidos.</w:t>
            </w:r>
          </w:p>
        </w:tc>
      </w:tr>
    </w:tbl>
    <w:p w14:paraId="1A6F9A5F" w14:textId="77777777" w:rsidR="00465964" w:rsidRPr="00465964" w:rsidRDefault="00465964" w:rsidP="00465964">
      <w:pPr>
        <w:rPr>
          <w:vanish/>
          <w:lang w:val="pt-PT"/>
        </w:rPr>
      </w:pPr>
    </w:p>
    <w:tbl>
      <w:tblPr>
        <w:tblW w:w="5000" w:type="pct"/>
        <w:tblCellMar>
          <w:left w:w="0" w:type="dxa"/>
          <w:right w:w="0" w:type="dxa"/>
        </w:tblCellMar>
        <w:tblLook w:val="04A0" w:firstRow="1" w:lastRow="0" w:firstColumn="1" w:lastColumn="0" w:noHBand="0" w:noVBand="1"/>
      </w:tblPr>
      <w:tblGrid>
        <w:gridCol w:w="6"/>
        <w:gridCol w:w="298"/>
        <w:gridCol w:w="8722"/>
      </w:tblGrid>
      <w:tr w:rsidR="00465964" w:rsidRPr="00465964" w14:paraId="2BC44B21" w14:textId="77777777" w:rsidTr="00465964">
        <w:tc>
          <w:tcPr>
            <w:tcW w:w="0" w:type="auto"/>
            <w:shd w:val="clear" w:color="auto" w:fill="auto"/>
            <w:hideMark/>
          </w:tcPr>
          <w:p w14:paraId="4681E702" w14:textId="77777777" w:rsidR="00465964" w:rsidRPr="00465964" w:rsidRDefault="00465964" w:rsidP="00465964">
            <w:pPr>
              <w:rPr>
                <w:lang w:val="pt-PT"/>
              </w:rPr>
            </w:pPr>
          </w:p>
        </w:tc>
        <w:tc>
          <w:tcPr>
            <w:tcW w:w="0" w:type="auto"/>
            <w:shd w:val="clear" w:color="auto" w:fill="auto"/>
            <w:hideMark/>
          </w:tcPr>
          <w:p w14:paraId="00880FEC" w14:textId="77777777" w:rsidR="00465964" w:rsidRPr="00465964" w:rsidRDefault="00465964" w:rsidP="00465964">
            <w:r w:rsidRPr="00465964">
              <w:t>28.</w:t>
            </w:r>
          </w:p>
        </w:tc>
        <w:tc>
          <w:tcPr>
            <w:tcW w:w="0" w:type="auto"/>
            <w:shd w:val="clear" w:color="auto" w:fill="auto"/>
            <w:hideMark/>
          </w:tcPr>
          <w:p w14:paraId="7ED77C30" w14:textId="77777777" w:rsidR="00465964" w:rsidRPr="00465964" w:rsidRDefault="00465964" w:rsidP="00465964">
            <w:pPr>
              <w:rPr>
                <w:lang w:val="pt-PT"/>
              </w:rPr>
            </w:pPr>
            <w:r w:rsidRPr="00465964">
              <w:rPr>
                <w:lang w:val="pt-PT"/>
              </w:rPr>
              <w:t>O emitente infringe o artigo 34.</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2, se os membros do seu órgão de administração não possuírem a idoneidade suficiente ou os conhecimentos, competências e experiência, tanto a nível individual como no seu conjunto, adequados para desempenharem as suas funções ou não demonstrarem que estão em condições de dedicar tempo suficiente ao exercício efetivo das suas funções.</w:t>
            </w:r>
          </w:p>
        </w:tc>
      </w:tr>
    </w:tbl>
    <w:p w14:paraId="24830296" w14:textId="77777777" w:rsidR="00465964" w:rsidRPr="00465964" w:rsidRDefault="00465964" w:rsidP="00465964">
      <w:pPr>
        <w:rPr>
          <w:vanish/>
          <w:lang w:val="pt-PT"/>
        </w:rPr>
      </w:pPr>
    </w:p>
    <w:tbl>
      <w:tblPr>
        <w:tblW w:w="5000" w:type="pct"/>
        <w:tblCellMar>
          <w:left w:w="0" w:type="dxa"/>
          <w:right w:w="0" w:type="dxa"/>
        </w:tblCellMar>
        <w:tblLook w:val="04A0" w:firstRow="1" w:lastRow="0" w:firstColumn="1" w:lastColumn="0" w:noHBand="0" w:noVBand="1"/>
      </w:tblPr>
      <w:tblGrid>
        <w:gridCol w:w="6"/>
        <w:gridCol w:w="298"/>
        <w:gridCol w:w="8722"/>
      </w:tblGrid>
      <w:tr w:rsidR="00465964" w:rsidRPr="00465964" w14:paraId="740EE72F" w14:textId="77777777" w:rsidTr="00465964">
        <w:tc>
          <w:tcPr>
            <w:tcW w:w="0" w:type="auto"/>
            <w:shd w:val="clear" w:color="auto" w:fill="auto"/>
            <w:hideMark/>
          </w:tcPr>
          <w:p w14:paraId="510706EA" w14:textId="77777777" w:rsidR="00465964" w:rsidRPr="00465964" w:rsidRDefault="00465964" w:rsidP="00465964">
            <w:pPr>
              <w:rPr>
                <w:lang w:val="pt-PT"/>
              </w:rPr>
            </w:pPr>
          </w:p>
        </w:tc>
        <w:tc>
          <w:tcPr>
            <w:tcW w:w="0" w:type="auto"/>
            <w:shd w:val="clear" w:color="auto" w:fill="auto"/>
            <w:hideMark/>
          </w:tcPr>
          <w:p w14:paraId="15A1115B" w14:textId="77777777" w:rsidR="00465964" w:rsidRPr="00465964" w:rsidRDefault="00465964" w:rsidP="00465964">
            <w:r w:rsidRPr="00465964">
              <w:t>29.</w:t>
            </w:r>
          </w:p>
        </w:tc>
        <w:tc>
          <w:tcPr>
            <w:tcW w:w="0" w:type="auto"/>
            <w:shd w:val="clear" w:color="auto" w:fill="auto"/>
            <w:hideMark/>
          </w:tcPr>
          <w:p w14:paraId="5F239B6F" w14:textId="77777777" w:rsidR="00465964" w:rsidRPr="00465964" w:rsidRDefault="00465964" w:rsidP="00465964">
            <w:pPr>
              <w:rPr>
                <w:lang w:val="pt-PT"/>
              </w:rPr>
            </w:pPr>
            <w:r w:rsidRPr="00465964">
              <w:rPr>
                <w:lang w:val="pt-PT"/>
              </w:rPr>
              <w:t>O emitente infringe o artigo 34.</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3, se o seu órgão de administração não avaliar nem reanalisar periodicamente a eficácia das disposições e procedimentos em matéria das políticas executadas tendo em vista o cumprimento do disposto nos capítulos 2, 3, 5 e 6 do título III ou não tomar as medidas adequadas para resolver quaisquer lacunas a este respeito.</w:t>
            </w:r>
          </w:p>
        </w:tc>
      </w:tr>
    </w:tbl>
    <w:p w14:paraId="7AC7EB8F" w14:textId="77777777" w:rsidR="00465964" w:rsidRPr="00465964" w:rsidRDefault="00465964" w:rsidP="00465964">
      <w:pPr>
        <w:rPr>
          <w:vanish/>
          <w:lang w:val="pt-PT"/>
        </w:rPr>
      </w:pPr>
    </w:p>
    <w:tbl>
      <w:tblPr>
        <w:tblW w:w="5000" w:type="pct"/>
        <w:tblCellMar>
          <w:left w:w="0" w:type="dxa"/>
          <w:right w:w="0" w:type="dxa"/>
        </w:tblCellMar>
        <w:tblLook w:val="04A0" w:firstRow="1" w:lastRow="0" w:firstColumn="1" w:lastColumn="0" w:noHBand="0" w:noVBand="1"/>
      </w:tblPr>
      <w:tblGrid>
        <w:gridCol w:w="6"/>
        <w:gridCol w:w="298"/>
        <w:gridCol w:w="8722"/>
      </w:tblGrid>
      <w:tr w:rsidR="00465964" w:rsidRPr="00465964" w14:paraId="20790BCA" w14:textId="77777777" w:rsidTr="00465964">
        <w:tc>
          <w:tcPr>
            <w:tcW w:w="0" w:type="auto"/>
            <w:shd w:val="clear" w:color="auto" w:fill="auto"/>
            <w:hideMark/>
          </w:tcPr>
          <w:p w14:paraId="62A4C5F5" w14:textId="77777777" w:rsidR="00465964" w:rsidRPr="00465964" w:rsidRDefault="00465964" w:rsidP="00465964">
            <w:pPr>
              <w:rPr>
                <w:lang w:val="pt-PT"/>
              </w:rPr>
            </w:pPr>
          </w:p>
        </w:tc>
        <w:tc>
          <w:tcPr>
            <w:tcW w:w="0" w:type="auto"/>
            <w:shd w:val="clear" w:color="auto" w:fill="auto"/>
            <w:hideMark/>
          </w:tcPr>
          <w:p w14:paraId="664B2F54" w14:textId="77777777" w:rsidR="00465964" w:rsidRPr="00465964" w:rsidRDefault="00465964" w:rsidP="00465964">
            <w:r w:rsidRPr="00465964">
              <w:t>30.</w:t>
            </w:r>
          </w:p>
        </w:tc>
        <w:tc>
          <w:tcPr>
            <w:tcW w:w="0" w:type="auto"/>
            <w:shd w:val="clear" w:color="auto" w:fill="auto"/>
            <w:hideMark/>
          </w:tcPr>
          <w:p w14:paraId="6D6395DC" w14:textId="77777777" w:rsidR="00465964" w:rsidRPr="00465964" w:rsidRDefault="00465964" w:rsidP="00465964">
            <w:pPr>
              <w:rPr>
                <w:lang w:val="pt-PT"/>
              </w:rPr>
            </w:pPr>
            <w:r w:rsidRPr="00465964">
              <w:rPr>
                <w:lang w:val="pt-PT"/>
              </w:rPr>
              <w:t>O emitente infringe o artigo 34.</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4, se qualquer acionista ou sócio, direto ou indireto, sem a idoneidade suficiente nele detiver uma participação qualificada.</w:t>
            </w:r>
          </w:p>
        </w:tc>
      </w:tr>
    </w:tbl>
    <w:p w14:paraId="5EC60964" w14:textId="77777777" w:rsidR="00465964" w:rsidRPr="00465964" w:rsidRDefault="00465964" w:rsidP="00465964">
      <w:pPr>
        <w:rPr>
          <w:vanish/>
          <w:lang w:val="pt-PT"/>
        </w:rPr>
      </w:pPr>
    </w:p>
    <w:tbl>
      <w:tblPr>
        <w:tblW w:w="5000" w:type="pct"/>
        <w:tblCellMar>
          <w:left w:w="0" w:type="dxa"/>
          <w:right w:w="0" w:type="dxa"/>
        </w:tblCellMar>
        <w:tblLook w:val="04A0" w:firstRow="1" w:lastRow="0" w:firstColumn="1" w:lastColumn="0" w:noHBand="0" w:noVBand="1"/>
      </w:tblPr>
      <w:tblGrid>
        <w:gridCol w:w="6"/>
        <w:gridCol w:w="298"/>
        <w:gridCol w:w="8722"/>
      </w:tblGrid>
      <w:tr w:rsidR="00465964" w:rsidRPr="00465964" w14:paraId="3F34E999" w14:textId="77777777" w:rsidTr="00465964">
        <w:tc>
          <w:tcPr>
            <w:tcW w:w="0" w:type="auto"/>
            <w:shd w:val="clear" w:color="auto" w:fill="auto"/>
            <w:hideMark/>
          </w:tcPr>
          <w:p w14:paraId="6E632654" w14:textId="77777777" w:rsidR="00465964" w:rsidRPr="00465964" w:rsidRDefault="00465964" w:rsidP="00465964">
            <w:pPr>
              <w:rPr>
                <w:lang w:val="pt-PT"/>
              </w:rPr>
            </w:pPr>
          </w:p>
        </w:tc>
        <w:tc>
          <w:tcPr>
            <w:tcW w:w="0" w:type="auto"/>
            <w:shd w:val="clear" w:color="auto" w:fill="auto"/>
            <w:hideMark/>
          </w:tcPr>
          <w:p w14:paraId="6CC25F05" w14:textId="77777777" w:rsidR="00465964" w:rsidRPr="00465964" w:rsidRDefault="00465964" w:rsidP="00465964">
            <w:r w:rsidRPr="00465964">
              <w:t>31.</w:t>
            </w:r>
          </w:p>
        </w:tc>
        <w:tc>
          <w:tcPr>
            <w:tcW w:w="0" w:type="auto"/>
            <w:shd w:val="clear" w:color="auto" w:fill="auto"/>
            <w:hideMark/>
          </w:tcPr>
          <w:p w14:paraId="77C4426B" w14:textId="77777777" w:rsidR="00465964" w:rsidRPr="00465964" w:rsidRDefault="00465964" w:rsidP="00465964">
            <w:pPr>
              <w:rPr>
                <w:lang w:val="pt-PT"/>
              </w:rPr>
            </w:pPr>
            <w:r w:rsidRPr="00465964">
              <w:rPr>
                <w:lang w:val="pt-PT"/>
              </w:rPr>
              <w:t>O emitente infringe o artigo 34.</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5, se não adotar políticas e procedimentos suficientemente eficazes para garantir o cumprimento do presente regulamento, nomeadamente se não estabelecer, mantiver e aplicar quaisquer das políticas e procedimentos referidos no primeiro parágrafo, alíneas a) a k), do referido número.</w:t>
            </w:r>
          </w:p>
        </w:tc>
      </w:tr>
    </w:tbl>
    <w:p w14:paraId="6BF26D9E" w14:textId="77777777" w:rsidR="00465964" w:rsidRPr="00465964" w:rsidRDefault="00465964" w:rsidP="00465964">
      <w:pPr>
        <w:rPr>
          <w:vanish/>
          <w:lang w:val="pt-PT"/>
        </w:rPr>
      </w:pPr>
    </w:p>
    <w:tbl>
      <w:tblPr>
        <w:tblW w:w="5000" w:type="pct"/>
        <w:tblCellMar>
          <w:left w:w="0" w:type="dxa"/>
          <w:right w:w="0" w:type="dxa"/>
        </w:tblCellMar>
        <w:tblLook w:val="04A0" w:firstRow="1" w:lastRow="0" w:firstColumn="1" w:lastColumn="0" w:noHBand="0" w:noVBand="1"/>
      </w:tblPr>
      <w:tblGrid>
        <w:gridCol w:w="6"/>
        <w:gridCol w:w="298"/>
        <w:gridCol w:w="8722"/>
      </w:tblGrid>
      <w:tr w:rsidR="00465964" w:rsidRPr="00465964" w14:paraId="74F890B4" w14:textId="77777777" w:rsidTr="00465964">
        <w:tc>
          <w:tcPr>
            <w:tcW w:w="0" w:type="auto"/>
            <w:shd w:val="clear" w:color="auto" w:fill="auto"/>
            <w:hideMark/>
          </w:tcPr>
          <w:p w14:paraId="4E643AD6" w14:textId="77777777" w:rsidR="00465964" w:rsidRPr="00465964" w:rsidRDefault="00465964" w:rsidP="00465964">
            <w:pPr>
              <w:rPr>
                <w:lang w:val="pt-PT"/>
              </w:rPr>
            </w:pPr>
          </w:p>
        </w:tc>
        <w:tc>
          <w:tcPr>
            <w:tcW w:w="0" w:type="auto"/>
            <w:shd w:val="clear" w:color="auto" w:fill="auto"/>
            <w:hideMark/>
          </w:tcPr>
          <w:p w14:paraId="76320811" w14:textId="77777777" w:rsidR="00465964" w:rsidRPr="00465964" w:rsidRDefault="00465964" w:rsidP="00465964">
            <w:r w:rsidRPr="00465964">
              <w:t>32.</w:t>
            </w:r>
          </w:p>
        </w:tc>
        <w:tc>
          <w:tcPr>
            <w:tcW w:w="0" w:type="auto"/>
            <w:shd w:val="clear" w:color="auto" w:fill="auto"/>
            <w:hideMark/>
          </w:tcPr>
          <w:p w14:paraId="786C7CB1" w14:textId="77777777" w:rsidR="00465964" w:rsidRPr="00465964" w:rsidRDefault="00465964" w:rsidP="00465964">
            <w:pPr>
              <w:rPr>
                <w:lang w:val="pt-PT"/>
              </w:rPr>
            </w:pPr>
            <w:r w:rsidRPr="00465964">
              <w:rPr>
                <w:lang w:val="pt-PT"/>
              </w:rPr>
              <w:t>O emitente infringe o artigo 34.</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5, se não acordar disposições contratuais com entidades terceiras nos termos referidos no primeiro parágrafo, alínea h), do referido número que definam as funções, as responsabilidades, os direitos e as obrigações tanto do emitente como da entidade terceira em causa, ou se não previr a escolha inequívoca da lei aplicável.</w:t>
            </w:r>
          </w:p>
        </w:tc>
      </w:tr>
    </w:tbl>
    <w:p w14:paraId="7ED433B6" w14:textId="77777777" w:rsidR="00465964" w:rsidRPr="00465964" w:rsidRDefault="00465964" w:rsidP="00465964">
      <w:pPr>
        <w:rPr>
          <w:vanish/>
          <w:lang w:val="pt-PT"/>
        </w:rPr>
      </w:pPr>
    </w:p>
    <w:tbl>
      <w:tblPr>
        <w:tblW w:w="5000" w:type="pct"/>
        <w:tblCellMar>
          <w:left w:w="0" w:type="dxa"/>
          <w:right w:w="0" w:type="dxa"/>
        </w:tblCellMar>
        <w:tblLook w:val="04A0" w:firstRow="1" w:lastRow="0" w:firstColumn="1" w:lastColumn="0" w:noHBand="0" w:noVBand="1"/>
      </w:tblPr>
      <w:tblGrid>
        <w:gridCol w:w="6"/>
        <w:gridCol w:w="298"/>
        <w:gridCol w:w="8722"/>
      </w:tblGrid>
      <w:tr w:rsidR="00465964" w:rsidRPr="00465964" w14:paraId="365D9E24" w14:textId="77777777" w:rsidTr="00465964">
        <w:tc>
          <w:tcPr>
            <w:tcW w:w="0" w:type="auto"/>
            <w:shd w:val="clear" w:color="auto" w:fill="auto"/>
            <w:hideMark/>
          </w:tcPr>
          <w:p w14:paraId="2DD0C3BB" w14:textId="77777777" w:rsidR="00465964" w:rsidRPr="00465964" w:rsidRDefault="00465964" w:rsidP="00465964">
            <w:pPr>
              <w:rPr>
                <w:lang w:val="pt-PT"/>
              </w:rPr>
            </w:pPr>
          </w:p>
        </w:tc>
        <w:tc>
          <w:tcPr>
            <w:tcW w:w="0" w:type="auto"/>
            <w:shd w:val="clear" w:color="auto" w:fill="auto"/>
            <w:hideMark/>
          </w:tcPr>
          <w:p w14:paraId="3CF1A517" w14:textId="77777777" w:rsidR="00465964" w:rsidRPr="00465964" w:rsidRDefault="00465964" w:rsidP="00465964">
            <w:r w:rsidRPr="00465964">
              <w:t>33.</w:t>
            </w:r>
          </w:p>
        </w:tc>
        <w:tc>
          <w:tcPr>
            <w:tcW w:w="0" w:type="auto"/>
            <w:shd w:val="clear" w:color="auto" w:fill="auto"/>
            <w:hideMark/>
          </w:tcPr>
          <w:p w14:paraId="1D573A20" w14:textId="77777777" w:rsidR="00465964" w:rsidRPr="00465964" w:rsidRDefault="00465964" w:rsidP="00465964">
            <w:pPr>
              <w:rPr>
                <w:lang w:val="pt-PT"/>
              </w:rPr>
            </w:pPr>
            <w:r w:rsidRPr="00465964">
              <w:rPr>
                <w:lang w:val="pt-PT"/>
              </w:rPr>
              <w:t>O emitente infringe o artigo 34.</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6, a menos que tenha iniciado um plano nos termos referidos no artigo 47.</w:t>
            </w:r>
            <w:r w:rsidRPr="00465964">
              <w:rPr>
                <w:vertAlign w:val="superscript"/>
                <w:lang w:val="pt-PT"/>
              </w:rPr>
              <w:t>o</w:t>
            </w:r>
            <w:r w:rsidRPr="00465964">
              <w:rPr>
                <w:lang w:val="pt-PT"/>
              </w:rPr>
              <w:t>, se não utilizar sistemas, recursos ou procedimentos adequados e proporcionados para assegurar a continuidade e a regularidade da execução dos seus serviços e atividades, e se não mantiver todos os seus sistemas e protocolos de acesso de segurança em conformidade com as normas aplicáveis da União.</w:t>
            </w:r>
          </w:p>
        </w:tc>
      </w:tr>
    </w:tbl>
    <w:p w14:paraId="40888D9D" w14:textId="77777777" w:rsidR="00465964" w:rsidRPr="00465964" w:rsidRDefault="00465964" w:rsidP="00465964">
      <w:pPr>
        <w:rPr>
          <w:vanish/>
          <w:lang w:val="pt-PT"/>
        </w:rPr>
      </w:pPr>
    </w:p>
    <w:tbl>
      <w:tblPr>
        <w:tblW w:w="5000" w:type="pct"/>
        <w:tblCellMar>
          <w:left w:w="0" w:type="dxa"/>
          <w:right w:w="0" w:type="dxa"/>
        </w:tblCellMar>
        <w:tblLook w:val="04A0" w:firstRow="1" w:lastRow="0" w:firstColumn="1" w:lastColumn="0" w:noHBand="0" w:noVBand="1"/>
      </w:tblPr>
      <w:tblGrid>
        <w:gridCol w:w="6"/>
        <w:gridCol w:w="298"/>
        <w:gridCol w:w="8722"/>
      </w:tblGrid>
      <w:tr w:rsidR="00465964" w:rsidRPr="00465964" w14:paraId="57B7DBCB" w14:textId="77777777" w:rsidTr="00465964">
        <w:tc>
          <w:tcPr>
            <w:tcW w:w="0" w:type="auto"/>
            <w:shd w:val="clear" w:color="auto" w:fill="auto"/>
            <w:hideMark/>
          </w:tcPr>
          <w:p w14:paraId="51ADA543" w14:textId="77777777" w:rsidR="00465964" w:rsidRPr="00465964" w:rsidRDefault="00465964" w:rsidP="00465964">
            <w:pPr>
              <w:rPr>
                <w:lang w:val="pt-PT"/>
              </w:rPr>
            </w:pPr>
          </w:p>
        </w:tc>
        <w:tc>
          <w:tcPr>
            <w:tcW w:w="0" w:type="auto"/>
            <w:shd w:val="clear" w:color="auto" w:fill="auto"/>
            <w:hideMark/>
          </w:tcPr>
          <w:p w14:paraId="0DA9E465" w14:textId="77777777" w:rsidR="00465964" w:rsidRPr="00465964" w:rsidRDefault="00465964" w:rsidP="00465964">
            <w:r w:rsidRPr="00465964">
              <w:t>34.</w:t>
            </w:r>
          </w:p>
        </w:tc>
        <w:tc>
          <w:tcPr>
            <w:tcW w:w="0" w:type="auto"/>
            <w:shd w:val="clear" w:color="auto" w:fill="auto"/>
            <w:hideMark/>
          </w:tcPr>
          <w:p w14:paraId="49AB9D21" w14:textId="77777777" w:rsidR="00465964" w:rsidRPr="00465964" w:rsidRDefault="00465964" w:rsidP="00465964">
            <w:pPr>
              <w:rPr>
                <w:lang w:val="pt-PT"/>
              </w:rPr>
            </w:pPr>
            <w:r w:rsidRPr="00465964">
              <w:rPr>
                <w:lang w:val="pt-PT"/>
              </w:rPr>
              <w:t>O emitente infringe o artigo 34.</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7, se não apresentar à EBA um plano para a descontinuação da prestação de serviços e de atividades, para aprovação de tal descontinuação.</w:t>
            </w:r>
          </w:p>
        </w:tc>
      </w:tr>
    </w:tbl>
    <w:p w14:paraId="4377EEA9" w14:textId="77777777" w:rsidR="00465964" w:rsidRPr="00465964" w:rsidRDefault="00465964" w:rsidP="00465964">
      <w:pPr>
        <w:rPr>
          <w:vanish/>
          <w:lang w:val="pt-PT"/>
        </w:rPr>
      </w:pPr>
    </w:p>
    <w:tbl>
      <w:tblPr>
        <w:tblW w:w="5000" w:type="pct"/>
        <w:tblCellMar>
          <w:left w:w="0" w:type="dxa"/>
          <w:right w:w="0" w:type="dxa"/>
        </w:tblCellMar>
        <w:tblLook w:val="04A0" w:firstRow="1" w:lastRow="0" w:firstColumn="1" w:lastColumn="0" w:noHBand="0" w:noVBand="1"/>
      </w:tblPr>
      <w:tblGrid>
        <w:gridCol w:w="6"/>
        <w:gridCol w:w="298"/>
        <w:gridCol w:w="8722"/>
      </w:tblGrid>
      <w:tr w:rsidR="00465964" w:rsidRPr="00465964" w14:paraId="5C18DB70" w14:textId="77777777" w:rsidTr="00465964">
        <w:tc>
          <w:tcPr>
            <w:tcW w:w="0" w:type="auto"/>
            <w:shd w:val="clear" w:color="auto" w:fill="auto"/>
            <w:hideMark/>
          </w:tcPr>
          <w:p w14:paraId="6B0BA328" w14:textId="77777777" w:rsidR="00465964" w:rsidRPr="00465964" w:rsidRDefault="00465964" w:rsidP="00465964">
            <w:pPr>
              <w:rPr>
                <w:lang w:val="pt-PT"/>
              </w:rPr>
            </w:pPr>
          </w:p>
        </w:tc>
        <w:tc>
          <w:tcPr>
            <w:tcW w:w="0" w:type="auto"/>
            <w:shd w:val="clear" w:color="auto" w:fill="auto"/>
            <w:hideMark/>
          </w:tcPr>
          <w:p w14:paraId="387F2699" w14:textId="77777777" w:rsidR="00465964" w:rsidRPr="00465964" w:rsidRDefault="00465964" w:rsidP="00465964">
            <w:r w:rsidRPr="00465964">
              <w:t>35.</w:t>
            </w:r>
          </w:p>
        </w:tc>
        <w:tc>
          <w:tcPr>
            <w:tcW w:w="0" w:type="auto"/>
            <w:shd w:val="clear" w:color="auto" w:fill="auto"/>
            <w:hideMark/>
          </w:tcPr>
          <w:p w14:paraId="00F8992C" w14:textId="77777777" w:rsidR="00465964" w:rsidRPr="00465964" w:rsidRDefault="00465964" w:rsidP="00465964">
            <w:pPr>
              <w:rPr>
                <w:lang w:val="pt-PT"/>
              </w:rPr>
            </w:pPr>
            <w:r w:rsidRPr="00465964">
              <w:rPr>
                <w:lang w:val="pt-PT"/>
              </w:rPr>
              <w:t>O emitente infringe o artigo 34.</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8, se não identificar as fontes de riscos operacionais e se não minimizar esses riscos através do desenvolvimento de sistemas, controlos e procedimentos adequados.</w:t>
            </w:r>
          </w:p>
        </w:tc>
      </w:tr>
    </w:tbl>
    <w:p w14:paraId="40A74935" w14:textId="77777777" w:rsidR="00465964" w:rsidRPr="00465964" w:rsidRDefault="00465964" w:rsidP="00465964">
      <w:pPr>
        <w:rPr>
          <w:vanish/>
          <w:lang w:val="pt-PT"/>
        </w:rPr>
      </w:pPr>
    </w:p>
    <w:tbl>
      <w:tblPr>
        <w:tblW w:w="5000" w:type="pct"/>
        <w:tblCellMar>
          <w:left w:w="0" w:type="dxa"/>
          <w:right w:w="0" w:type="dxa"/>
        </w:tblCellMar>
        <w:tblLook w:val="04A0" w:firstRow="1" w:lastRow="0" w:firstColumn="1" w:lastColumn="0" w:noHBand="0" w:noVBand="1"/>
      </w:tblPr>
      <w:tblGrid>
        <w:gridCol w:w="6"/>
        <w:gridCol w:w="298"/>
        <w:gridCol w:w="8722"/>
      </w:tblGrid>
      <w:tr w:rsidR="00465964" w:rsidRPr="00465964" w14:paraId="714C9647" w14:textId="77777777" w:rsidTr="00465964">
        <w:tc>
          <w:tcPr>
            <w:tcW w:w="0" w:type="auto"/>
            <w:shd w:val="clear" w:color="auto" w:fill="auto"/>
            <w:hideMark/>
          </w:tcPr>
          <w:p w14:paraId="6CB03C4F" w14:textId="77777777" w:rsidR="00465964" w:rsidRPr="00465964" w:rsidRDefault="00465964" w:rsidP="00465964">
            <w:pPr>
              <w:rPr>
                <w:lang w:val="pt-PT"/>
              </w:rPr>
            </w:pPr>
          </w:p>
        </w:tc>
        <w:tc>
          <w:tcPr>
            <w:tcW w:w="0" w:type="auto"/>
            <w:shd w:val="clear" w:color="auto" w:fill="auto"/>
            <w:hideMark/>
          </w:tcPr>
          <w:p w14:paraId="40069C88" w14:textId="77777777" w:rsidR="00465964" w:rsidRPr="00465964" w:rsidRDefault="00465964" w:rsidP="00465964">
            <w:r w:rsidRPr="00465964">
              <w:t>36.</w:t>
            </w:r>
          </w:p>
        </w:tc>
        <w:tc>
          <w:tcPr>
            <w:tcW w:w="0" w:type="auto"/>
            <w:shd w:val="clear" w:color="auto" w:fill="auto"/>
            <w:hideMark/>
          </w:tcPr>
          <w:p w14:paraId="58AFF4BB" w14:textId="77777777" w:rsidR="00465964" w:rsidRPr="00465964" w:rsidRDefault="00465964" w:rsidP="00465964">
            <w:pPr>
              <w:rPr>
                <w:lang w:val="pt-PT"/>
              </w:rPr>
            </w:pPr>
            <w:r w:rsidRPr="00465964">
              <w:rPr>
                <w:lang w:val="pt-PT"/>
              </w:rPr>
              <w:t>O emitente infringe o artigo 34.</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9, se não estabelecer uma política e planos de continuidade das atividades para garantir, no caso de uma interrupção dos seus sistemas e procedimentos de TIC, a preservação de dados e funções essenciais e a prossecução das suas atividades ou, se tal não for possível, a rápida recuperação desses dados e funções e o rápido reatamento das suas atividades.</w:t>
            </w:r>
          </w:p>
        </w:tc>
      </w:tr>
    </w:tbl>
    <w:p w14:paraId="222E14A9" w14:textId="77777777" w:rsidR="00465964" w:rsidRPr="00465964" w:rsidRDefault="00465964" w:rsidP="00465964">
      <w:pPr>
        <w:rPr>
          <w:vanish/>
          <w:lang w:val="pt-PT"/>
        </w:rPr>
      </w:pPr>
    </w:p>
    <w:tbl>
      <w:tblPr>
        <w:tblW w:w="5000" w:type="pct"/>
        <w:tblCellMar>
          <w:left w:w="0" w:type="dxa"/>
          <w:right w:w="0" w:type="dxa"/>
        </w:tblCellMar>
        <w:tblLook w:val="04A0" w:firstRow="1" w:lastRow="0" w:firstColumn="1" w:lastColumn="0" w:noHBand="0" w:noVBand="1"/>
      </w:tblPr>
      <w:tblGrid>
        <w:gridCol w:w="6"/>
        <w:gridCol w:w="298"/>
        <w:gridCol w:w="8722"/>
      </w:tblGrid>
      <w:tr w:rsidR="00465964" w:rsidRPr="00465964" w14:paraId="26823968" w14:textId="77777777" w:rsidTr="00465964">
        <w:tc>
          <w:tcPr>
            <w:tcW w:w="0" w:type="auto"/>
            <w:shd w:val="clear" w:color="auto" w:fill="auto"/>
            <w:hideMark/>
          </w:tcPr>
          <w:p w14:paraId="5CDB5C67" w14:textId="77777777" w:rsidR="00465964" w:rsidRPr="00465964" w:rsidRDefault="00465964" w:rsidP="00465964">
            <w:pPr>
              <w:rPr>
                <w:lang w:val="pt-PT"/>
              </w:rPr>
            </w:pPr>
          </w:p>
        </w:tc>
        <w:tc>
          <w:tcPr>
            <w:tcW w:w="0" w:type="auto"/>
            <w:shd w:val="clear" w:color="auto" w:fill="auto"/>
            <w:hideMark/>
          </w:tcPr>
          <w:p w14:paraId="6674C06B" w14:textId="77777777" w:rsidR="00465964" w:rsidRPr="00465964" w:rsidRDefault="00465964" w:rsidP="00465964">
            <w:r w:rsidRPr="00465964">
              <w:t>37.</w:t>
            </w:r>
          </w:p>
        </w:tc>
        <w:tc>
          <w:tcPr>
            <w:tcW w:w="0" w:type="auto"/>
            <w:shd w:val="clear" w:color="auto" w:fill="auto"/>
            <w:hideMark/>
          </w:tcPr>
          <w:p w14:paraId="2806C361" w14:textId="77777777" w:rsidR="00465964" w:rsidRPr="00465964" w:rsidRDefault="00465964" w:rsidP="00465964">
            <w:pPr>
              <w:rPr>
                <w:lang w:val="pt-PT"/>
              </w:rPr>
            </w:pPr>
            <w:r w:rsidRPr="00465964">
              <w:rPr>
                <w:lang w:val="pt-PT"/>
              </w:rPr>
              <w:t>O emitente infringe o artigo 34.</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10, se não dispuser de mecanismos de controlo interno e de procedimentos eficazes para a gestão dos riscos, nomeadamente mecanismos eficazes de controlo e salvaguarda para a gestão dos sistemas de TIC, conforme exigido pelo Regulamento (UE) 2022/2554.</w:t>
            </w:r>
          </w:p>
        </w:tc>
      </w:tr>
    </w:tbl>
    <w:p w14:paraId="6CE10419" w14:textId="77777777" w:rsidR="00465964" w:rsidRPr="00465964" w:rsidRDefault="00465964" w:rsidP="00465964">
      <w:pPr>
        <w:rPr>
          <w:vanish/>
          <w:lang w:val="pt-PT"/>
        </w:rPr>
      </w:pPr>
    </w:p>
    <w:tbl>
      <w:tblPr>
        <w:tblW w:w="5000" w:type="pct"/>
        <w:tblCellMar>
          <w:left w:w="0" w:type="dxa"/>
          <w:right w:w="0" w:type="dxa"/>
        </w:tblCellMar>
        <w:tblLook w:val="04A0" w:firstRow="1" w:lastRow="0" w:firstColumn="1" w:lastColumn="0" w:noHBand="0" w:noVBand="1"/>
      </w:tblPr>
      <w:tblGrid>
        <w:gridCol w:w="6"/>
        <w:gridCol w:w="298"/>
        <w:gridCol w:w="8722"/>
      </w:tblGrid>
      <w:tr w:rsidR="00465964" w:rsidRPr="00465964" w14:paraId="28920F5D" w14:textId="77777777" w:rsidTr="00465964">
        <w:tc>
          <w:tcPr>
            <w:tcW w:w="0" w:type="auto"/>
            <w:shd w:val="clear" w:color="auto" w:fill="auto"/>
            <w:hideMark/>
          </w:tcPr>
          <w:p w14:paraId="0F673190" w14:textId="77777777" w:rsidR="00465964" w:rsidRPr="00465964" w:rsidRDefault="00465964" w:rsidP="00465964">
            <w:pPr>
              <w:rPr>
                <w:lang w:val="pt-PT"/>
              </w:rPr>
            </w:pPr>
          </w:p>
        </w:tc>
        <w:tc>
          <w:tcPr>
            <w:tcW w:w="0" w:type="auto"/>
            <w:shd w:val="clear" w:color="auto" w:fill="auto"/>
            <w:hideMark/>
          </w:tcPr>
          <w:p w14:paraId="04E52C2B" w14:textId="77777777" w:rsidR="00465964" w:rsidRPr="00465964" w:rsidRDefault="00465964" w:rsidP="00465964">
            <w:r w:rsidRPr="00465964">
              <w:t>38.</w:t>
            </w:r>
          </w:p>
        </w:tc>
        <w:tc>
          <w:tcPr>
            <w:tcW w:w="0" w:type="auto"/>
            <w:shd w:val="clear" w:color="auto" w:fill="auto"/>
            <w:hideMark/>
          </w:tcPr>
          <w:p w14:paraId="66DC32B4" w14:textId="77777777" w:rsidR="00465964" w:rsidRPr="00465964" w:rsidRDefault="00465964" w:rsidP="00465964">
            <w:pPr>
              <w:rPr>
                <w:lang w:val="pt-PT"/>
              </w:rPr>
            </w:pPr>
            <w:r w:rsidRPr="00465964">
              <w:rPr>
                <w:lang w:val="pt-PT"/>
              </w:rPr>
              <w:t>O emitente infringe o artigo 34.</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11, se não dispuser de sistemas e procedimentos adequados para salvaguardar a disponibilidade, autenticidade, integridade e confidencialidade dos dados, conforme exigido pelo Regulamento (UE) 2022/2554 e em conformidade com o Regulamento (UE) 2016/679.</w:t>
            </w:r>
          </w:p>
        </w:tc>
      </w:tr>
    </w:tbl>
    <w:p w14:paraId="066432D0" w14:textId="77777777" w:rsidR="00465964" w:rsidRPr="00465964" w:rsidRDefault="00465964" w:rsidP="00465964">
      <w:pPr>
        <w:rPr>
          <w:vanish/>
          <w:lang w:val="pt-PT"/>
        </w:rPr>
      </w:pPr>
    </w:p>
    <w:tbl>
      <w:tblPr>
        <w:tblW w:w="5000" w:type="pct"/>
        <w:tblCellMar>
          <w:left w:w="0" w:type="dxa"/>
          <w:right w:w="0" w:type="dxa"/>
        </w:tblCellMar>
        <w:tblLook w:val="04A0" w:firstRow="1" w:lastRow="0" w:firstColumn="1" w:lastColumn="0" w:noHBand="0" w:noVBand="1"/>
      </w:tblPr>
      <w:tblGrid>
        <w:gridCol w:w="6"/>
        <w:gridCol w:w="298"/>
        <w:gridCol w:w="8722"/>
      </w:tblGrid>
      <w:tr w:rsidR="00465964" w:rsidRPr="00465964" w14:paraId="2C3FF7FC" w14:textId="77777777" w:rsidTr="00465964">
        <w:tc>
          <w:tcPr>
            <w:tcW w:w="0" w:type="auto"/>
            <w:shd w:val="clear" w:color="auto" w:fill="auto"/>
            <w:hideMark/>
          </w:tcPr>
          <w:p w14:paraId="4CFE08BD" w14:textId="77777777" w:rsidR="00465964" w:rsidRPr="00465964" w:rsidRDefault="00465964" w:rsidP="00465964">
            <w:pPr>
              <w:rPr>
                <w:lang w:val="pt-PT"/>
              </w:rPr>
            </w:pPr>
          </w:p>
        </w:tc>
        <w:tc>
          <w:tcPr>
            <w:tcW w:w="0" w:type="auto"/>
            <w:shd w:val="clear" w:color="auto" w:fill="auto"/>
            <w:hideMark/>
          </w:tcPr>
          <w:p w14:paraId="48A216D2" w14:textId="77777777" w:rsidR="00465964" w:rsidRPr="00465964" w:rsidRDefault="00465964" w:rsidP="00465964">
            <w:r w:rsidRPr="00465964">
              <w:t>39.</w:t>
            </w:r>
          </w:p>
        </w:tc>
        <w:tc>
          <w:tcPr>
            <w:tcW w:w="0" w:type="auto"/>
            <w:shd w:val="clear" w:color="auto" w:fill="auto"/>
            <w:hideMark/>
          </w:tcPr>
          <w:p w14:paraId="0D52602B" w14:textId="77777777" w:rsidR="00465964" w:rsidRPr="00465964" w:rsidRDefault="00465964" w:rsidP="00465964">
            <w:pPr>
              <w:rPr>
                <w:lang w:val="pt-PT"/>
              </w:rPr>
            </w:pPr>
            <w:r w:rsidRPr="00465964">
              <w:rPr>
                <w:lang w:val="pt-PT"/>
              </w:rPr>
              <w:t>O emitente infringe o artigo 34.</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12, se não assegurar que o emitente seja auditado regularmente por auditores independentes.</w:t>
            </w:r>
          </w:p>
        </w:tc>
      </w:tr>
    </w:tbl>
    <w:p w14:paraId="2D195863" w14:textId="77777777" w:rsidR="00465964" w:rsidRPr="00465964" w:rsidRDefault="00465964" w:rsidP="00465964">
      <w:pPr>
        <w:rPr>
          <w:vanish/>
          <w:lang w:val="pt-PT"/>
        </w:rPr>
      </w:pPr>
    </w:p>
    <w:tbl>
      <w:tblPr>
        <w:tblW w:w="5000" w:type="pct"/>
        <w:tblCellMar>
          <w:left w:w="0" w:type="dxa"/>
          <w:right w:w="0" w:type="dxa"/>
        </w:tblCellMar>
        <w:tblLook w:val="04A0" w:firstRow="1" w:lastRow="0" w:firstColumn="1" w:lastColumn="0" w:noHBand="0" w:noVBand="1"/>
      </w:tblPr>
      <w:tblGrid>
        <w:gridCol w:w="6"/>
        <w:gridCol w:w="298"/>
        <w:gridCol w:w="8722"/>
      </w:tblGrid>
      <w:tr w:rsidR="00465964" w:rsidRPr="00465964" w14:paraId="2A754C86" w14:textId="77777777" w:rsidTr="00465964">
        <w:tc>
          <w:tcPr>
            <w:tcW w:w="0" w:type="auto"/>
            <w:shd w:val="clear" w:color="auto" w:fill="auto"/>
            <w:hideMark/>
          </w:tcPr>
          <w:p w14:paraId="40609FA3" w14:textId="77777777" w:rsidR="00465964" w:rsidRPr="00465964" w:rsidRDefault="00465964" w:rsidP="00465964">
            <w:pPr>
              <w:rPr>
                <w:lang w:val="pt-PT"/>
              </w:rPr>
            </w:pPr>
          </w:p>
        </w:tc>
        <w:tc>
          <w:tcPr>
            <w:tcW w:w="0" w:type="auto"/>
            <w:shd w:val="clear" w:color="auto" w:fill="auto"/>
            <w:hideMark/>
          </w:tcPr>
          <w:p w14:paraId="55D9099A" w14:textId="77777777" w:rsidR="00465964" w:rsidRPr="00465964" w:rsidRDefault="00465964" w:rsidP="00465964">
            <w:r w:rsidRPr="00465964">
              <w:t>40.</w:t>
            </w:r>
          </w:p>
        </w:tc>
        <w:tc>
          <w:tcPr>
            <w:tcW w:w="0" w:type="auto"/>
            <w:shd w:val="clear" w:color="auto" w:fill="auto"/>
            <w:hideMark/>
          </w:tcPr>
          <w:p w14:paraId="02524D8A" w14:textId="77777777" w:rsidR="00465964" w:rsidRPr="00465964" w:rsidRDefault="00465964" w:rsidP="00465964">
            <w:pPr>
              <w:rPr>
                <w:lang w:val="pt-PT"/>
              </w:rPr>
            </w:pPr>
            <w:r w:rsidRPr="00465964">
              <w:rPr>
                <w:lang w:val="pt-PT"/>
              </w:rPr>
              <w:t>O emitente infringe o artigo 35.</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1, se não possuir, em qualquer momento, fundos próprios de montante pelo menos igual ao mais elevado dos montantes fixados na alínea a) ou c) do referido número, ou no artigo 45.</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5.</w:t>
            </w:r>
          </w:p>
        </w:tc>
      </w:tr>
    </w:tbl>
    <w:p w14:paraId="71057CA8" w14:textId="77777777" w:rsidR="00465964" w:rsidRPr="00465964" w:rsidRDefault="00465964" w:rsidP="00465964">
      <w:pPr>
        <w:rPr>
          <w:vanish/>
          <w:lang w:val="pt-PT"/>
        </w:rPr>
      </w:pPr>
    </w:p>
    <w:tbl>
      <w:tblPr>
        <w:tblW w:w="5000" w:type="pct"/>
        <w:tblCellMar>
          <w:left w:w="0" w:type="dxa"/>
          <w:right w:w="0" w:type="dxa"/>
        </w:tblCellMar>
        <w:tblLook w:val="04A0" w:firstRow="1" w:lastRow="0" w:firstColumn="1" w:lastColumn="0" w:noHBand="0" w:noVBand="1"/>
      </w:tblPr>
      <w:tblGrid>
        <w:gridCol w:w="6"/>
        <w:gridCol w:w="298"/>
        <w:gridCol w:w="8722"/>
      </w:tblGrid>
      <w:tr w:rsidR="00465964" w:rsidRPr="00465964" w14:paraId="56015336" w14:textId="77777777" w:rsidTr="00465964">
        <w:tc>
          <w:tcPr>
            <w:tcW w:w="0" w:type="auto"/>
            <w:shd w:val="clear" w:color="auto" w:fill="auto"/>
            <w:hideMark/>
          </w:tcPr>
          <w:p w14:paraId="7A8C30EA" w14:textId="77777777" w:rsidR="00465964" w:rsidRPr="00465964" w:rsidRDefault="00465964" w:rsidP="00465964">
            <w:pPr>
              <w:rPr>
                <w:lang w:val="pt-PT"/>
              </w:rPr>
            </w:pPr>
          </w:p>
        </w:tc>
        <w:tc>
          <w:tcPr>
            <w:tcW w:w="0" w:type="auto"/>
            <w:shd w:val="clear" w:color="auto" w:fill="auto"/>
            <w:hideMark/>
          </w:tcPr>
          <w:p w14:paraId="6F3D72D2" w14:textId="77777777" w:rsidR="00465964" w:rsidRPr="00465964" w:rsidRDefault="00465964" w:rsidP="00465964">
            <w:r w:rsidRPr="00465964">
              <w:t>41.</w:t>
            </w:r>
          </w:p>
        </w:tc>
        <w:tc>
          <w:tcPr>
            <w:tcW w:w="0" w:type="auto"/>
            <w:shd w:val="clear" w:color="auto" w:fill="auto"/>
            <w:hideMark/>
          </w:tcPr>
          <w:p w14:paraId="236ADF32" w14:textId="77777777" w:rsidR="00465964" w:rsidRPr="00465964" w:rsidRDefault="00465964" w:rsidP="00465964">
            <w:pPr>
              <w:rPr>
                <w:lang w:val="pt-PT"/>
              </w:rPr>
            </w:pPr>
            <w:r w:rsidRPr="00465964">
              <w:rPr>
                <w:lang w:val="pt-PT"/>
              </w:rPr>
              <w:t>O emitente infringe o artigo 35.</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2, do presente regulamento se os seus fundos próprios não consistirem nos elementos de fundos próprios principais de nível 1 mencionados nos artigos 26.</w:t>
            </w:r>
            <w:r w:rsidRPr="00465964">
              <w:rPr>
                <w:vertAlign w:val="superscript"/>
                <w:lang w:val="pt-PT"/>
              </w:rPr>
              <w:t>o</w:t>
            </w:r>
            <w:r w:rsidRPr="00465964">
              <w:rPr>
                <w:lang w:val="pt-PT"/>
              </w:rPr>
              <w:t> a 30.</w:t>
            </w:r>
            <w:r w:rsidRPr="00465964">
              <w:rPr>
                <w:vertAlign w:val="superscript"/>
                <w:lang w:val="pt-PT"/>
              </w:rPr>
              <w:t>o</w:t>
            </w:r>
            <w:r w:rsidRPr="00465964">
              <w:rPr>
                <w:lang w:val="pt-PT"/>
              </w:rPr>
              <w:t xml:space="preserve"> do Regulamento (UE) </w:t>
            </w:r>
            <w:proofErr w:type="spellStart"/>
            <w:r w:rsidRPr="00465964">
              <w:rPr>
                <w:lang w:val="pt-PT"/>
              </w:rPr>
              <w:t>n.</w:t>
            </w:r>
            <w:r w:rsidRPr="00465964">
              <w:rPr>
                <w:vertAlign w:val="superscript"/>
                <w:lang w:val="pt-PT"/>
              </w:rPr>
              <w:t>o</w:t>
            </w:r>
            <w:proofErr w:type="spellEnd"/>
            <w:r w:rsidRPr="00465964">
              <w:rPr>
                <w:lang w:val="pt-PT"/>
              </w:rPr>
              <w:t> 575/2013, após as deduções integrais dos elementos previstos no artigo 36.</w:t>
            </w:r>
            <w:r w:rsidRPr="00465964">
              <w:rPr>
                <w:vertAlign w:val="superscript"/>
                <w:lang w:val="pt-PT"/>
              </w:rPr>
              <w:t>o</w:t>
            </w:r>
            <w:r w:rsidRPr="00465964">
              <w:rPr>
                <w:lang w:val="pt-PT"/>
              </w:rPr>
              <w:t> do referido regulamento, sem aplicação dos limiares de isenção a que se referem o artigo 46.</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4, e o artigo 48.</w:t>
            </w:r>
            <w:r w:rsidRPr="00465964">
              <w:rPr>
                <w:vertAlign w:val="superscript"/>
                <w:lang w:val="pt-PT"/>
              </w:rPr>
              <w:t>o</w:t>
            </w:r>
            <w:r w:rsidRPr="00465964">
              <w:rPr>
                <w:lang w:val="pt-PT"/>
              </w:rPr>
              <w:t> desse regulamento.</w:t>
            </w:r>
          </w:p>
        </w:tc>
      </w:tr>
    </w:tbl>
    <w:p w14:paraId="0BE2147D" w14:textId="77777777" w:rsidR="00465964" w:rsidRPr="00465964" w:rsidRDefault="00465964" w:rsidP="00465964">
      <w:pPr>
        <w:rPr>
          <w:vanish/>
          <w:lang w:val="pt-PT"/>
        </w:rPr>
      </w:pPr>
    </w:p>
    <w:tbl>
      <w:tblPr>
        <w:tblW w:w="5000" w:type="pct"/>
        <w:tblCellMar>
          <w:left w:w="0" w:type="dxa"/>
          <w:right w:w="0" w:type="dxa"/>
        </w:tblCellMar>
        <w:tblLook w:val="04A0" w:firstRow="1" w:lastRow="0" w:firstColumn="1" w:lastColumn="0" w:noHBand="0" w:noVBand="1"/>
      </w:tblPr>
      <w:tblGrid>
        <w:gridCol w:w="6"/>
        <w:gridCol w:w="298"/>
        <w:gridCol w:w="8722"/>
      </w:tblGrid>
      <w:tr w:rsidR="00465964" w:rsidRPr="00465964" w14:paraId="2D94C2A9" w14:textId="77777777" w:rsidTr="00465964">
        <w:tc>
          <w:tcPr>
            <w:tcW w:w="0" w:type="auto"/>
            <w:shd w:val="clear" w:color="auto" w:fill="auto"/>
            <w:hideMark/>
          </w:tcPr>
          <w:p w14:paraId="7B38B907" w14:textId="77777777" w:rsidR="00465964" w:rsidRPr="00465964" w:rsidRDefault="00465964" w:rsidP="00465964">
            <w:pPr>
              <w:rPr>
                <w:lang w:val="pt-PT"/>
              </w:rPr>
            </w:pPr>
          </w:p>
        </w:tc>
        <w:tc>
          <w:tcPr>
            <w:tcW w:w="0" w:type="auto"/>
            <w:shd w:val="clear" w:color="auto" w:fill="auto"/>
            <w:hideMark/>
          </w:tcPr>
          <w:p w14:paraId="4A1F3588" w14:textId="77777777" w:rsidR="00465964" w:rsidRPr="00465964" w:rsidRDefault="00465964" w:rsidP="00465964">
            <w:r w:rsidRPr="00465964">
              <w:t>42.</w:t>
            </w:r>
          </w:p>
        </w:tc>
        <w:tc>
          <w:tcPr>
            <w:tcW w:w="0" w:type="auto"/>
            <w:shd w:val="clear" w:color="auto" w:fill="auto"/>
            <w:hideMark/>
          </w:tcPr>
          <w:p w14:paraId="2A558324" w14:textId="77777777" w:rsidR="00465964" w:rsidRPr="00465964" w:rsidRDefault="00465964" w:rsidP="00465964">
            <w:pPr>
              <w:rPr>
                <w:lang w:val="pt-PT"/>
              </w:rPr>
            </w:pPr>
            <w:r w:rsidRPr="00465964">
              <w:rPr>
                <w:lang w:val="pt-PT"/>
              </w:rPr>
              <w:t>O emitente infringe o artigo 35.</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3, se não respeitar o requisito da EBA de deter um montante mais elevado de fundos próprios, no seguimento de uma avaliação realizada nos termos das alíneas a) a g) do referido número.</w:t>
            </w:r>
          </w:p>
        </w:tc>
      </w:tr>
    </w:tbl>
    <w:p w14:paraId="3EFCAB48" w14:textId="77777777" w:rsidR="00465964" w:rsidRPr="00465964" w:rsidRDefault="00465964" w:rsidP="00465964">
      <w:pPr>
        <w:rPr>
          <w:vanish/>
          <w:lang w:val="pt-PT"/>
        </w:rPr>
      </w:pPr>
    </w:p>
    <w:tbl>
      <w:tblPr>
        <w:tblW w:w="5000" w:type="pct"/>
        <w:tblCellMar>
          <w:left w:w="0" w:type="dxa"/>
          <w:right w:w="0" w:type="dxa"/>
        </w:tblCellMar>
        <w:tblLook w:val="04A0" w:firstRow="1" w:lastRow="0" w:firstColumn="1" w:lastColumn="0" w:noHBand="0" w:noVBand="1"/>
      </w:tblPr>
      <w:tblGrid>
        <w:gridCol w:w="6"/>
        <w:gridCol w:w="298"/>
        <w:gridCol w:w="8722"/>
      </w:tblGrid>
      <w:tr w:rsidR="00465964" w:rsidRPr="00465964" w14:paraId="3F52487B" w14:textId="77777777" w:rsidTr="00465964">
        <w:tc>
          <w:tcPr>
            <w:tcW w:w="0" w:type="auto"/>
            <w:shd w:val="clear" w:color="auto" w:fill="auto"/>
            <w:hideMark/>
          </w:tcPr>
          <w:p w14:paraId="7E43B37B" w14:textId="77777777" w:rsidR="00465964" w:rsidRPr="00465964" w:rsidRDefault="00465964" w:rsidP="00465964">
            <w:pPr>
              <w:rPr>
                <w:lang w:val="pt-PT"/>
              </w:rPr>
            </w:pPr>
          </w:p>
        </w:tc>
        <w:tc>
          <w:tcPr>
            <w:tcW w:w="0" w:type="auto"/>
            <w:shd w:val="clear" w:color="auto" w:fill="auto"/>
            <w:hideMark/>
          </w:tcPr>
          <w:p w14:paraId="06497D15" w14:textId="77777777" w:rsidR="00465964" w:rsidRPr="00465964" w:rsidRDefault="00465964" w:rsidP="00465964">
            <w:r w:rsidRPr="00465964">
              <w:t>43.</w:t>
            </w:r>
          </w:p>
        </w:tc>
        <w:tc>
          <w:tcPr>
            <w:tcW w:w="0" w:type="auto"/>
            <w:shd w:val="clear" w:color="auto" w:fill="auto"/>
            <w:hideMark/>
          </w:tcPr>
          <w:p w14:paraId="4C504ACC" w14:textId="77777777" w:rsidR="00465964" w:rsidRPr="00465964" w:rsidRDefault="00465964" w:rsidP="00465964">
            <w:pPr>
              <w:rPr>
                <w:lang w:val="pt-PT"/>
              </w:rPr>
            </w:pPr>
            <w:r w:rsidRPr="00465964">
              <w:rPr>
                <w:lang w:val="pt-PT"/>
              </w:rPr>
              <w:t>O emitente infringe o artigo 35.</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5, se não realizar regularmente testes de esforço que tenham em conta cenários de esforço financeiro graves, mas plausíveis, tais como choques das taxas de juro, e cenários de esforço não financeiro, tais como o risco operacional.</w:t>
            </w:r>
          </w:p>
        </w:tc>
      </w:tr>
    </w:tbl>
    <w:p w14:paraId="52B35E64" w14:textId="77777777" w:rsidR="00465964" w:rsidRPr="00465964" w:rsidRDefault="00465964" w:rsidP="00465964">
      <w:pPr>
        <w:rPr>
          <w:vanish/>
          <w:lang w:val="pt-PT"/>
        </w:rPr>
      </w:pPr>
    </w:p>
    <w:tbl>
      <w:tblPr>
        <w:tblW w:w="5000" w:type="pct"/>
        <w:tblCellMar>
          <w:left w:w="0" w:type="dxa"/>
          <w:right w:w="0" w:type="dxa"/>
        </w:tblCellMar>
        <w:tblLook w:val="04A0" w:firstRow="1" w:lastRow="0" w:firstColumn="1" w:lastColumn="0" w:noHBand="0" w:noVBand="1"/>
      </w:tblPr>
      <w:tblGrid>
        <w:gridCol w:w="6"/>
        <w:gridCol w:w="298"/>
        <w:gridCol w:w="8722"/>
      </w:tblGrid>
      <w:tr w:rsidR="00465964" w:rsidRPr="00465964" w14:paraId="76CD7ECC" w14:textId="77777777" w:rsidTr="00465964">
        <w:tc>
          <w:tcPr>
            <w:tcW w:w="0" w:type="auto"/>
            <w:shd w:val="clear" w:color="auto" w:fill="auto"/>
            <w:hideMark/>
          </w:tcPr>
          <w:p w14:paraId="4638F5A6" w14:textId="77777777" w:rsidR="00465964" w:rsidRPr="00465964" w:rsidRDefault="00465964" w:rsidP="00465964">
            <w:pPr>
              <w:rPr>
                <w:lang w:val="pt-PT"/>
              </w:rPr>
            </w:pPr>
          </w:p>
        </w:tc>
        <w:tc>
          <w:tcPr>
            <w:tcW w:w="0" w:type="auto"/>
            <w:shd w:val="clear" w:color="auto" w:fill="auto"/>
            <w:hideMark/>
          </w:tcPr>
          <w:p w14:paraId="1234BA8C" w14:textId="77777777" w:rsidR="00465964" w:rsidRPr="00465964" w:rsidRDefault="00465964" w:rsidP="00465964">
            <w:r w:rsidRPr="00465964">
              <w:t>44.</w:t>
            </w:r>
          </w:p>
        </w:tc>
        <w:tc>
          <w:tcPr>
            <w:tcW w:w="0" w:type="auto"/>
            <w:shd w:val="clear" w:color="auto" w:fill="auto"/>
            <w:hideMark/>
          </w:tcPr>
          <w:p w14:paraId="0BE54D27" w14:textId="77777777" w:rsidR="00465964" w:rsidRPr="00465964" w:rsidRDefault="00465964" w:rsidP="00465964">
            <w:pPr>
              <w:rPr>
                <w:lang w:val="pt-PT"/>
              </w:rPr>
            </w:pPr>
            <w:r w:rsidRPr="00465964">
              <w:rPr>
                <w:lang w:val="pt-PT"/>
              </w:rPr>
              <w:t>O emitente infringe o artigo 35.</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5, se não respeitar o requisito da EBA de deter um montante mais elevado de fundos próprios com base nos resultados dos testes de esforço.</w:t>
            </w:r>
          </w:p>
        </w:tc>
      </w:tr>
    </w:tbl>
    <w:p w14:paraId="448649B3" w14:textId="77777777" w:rsidR="00465964" w:rsidRPr="00465964" w:rsidRDefault="00465964" w:rsidP="00465964">
      <w:pPr>
        <w:rPr>
          <w:vanish/>
          <w:lang w:val="pt-PT"/>
        </w:rPr>
      </w:pPr>
    </w:p>
    <w:tbl>
      <w:tblPr>
        <w:tblW w:w="5000" w:type="pct"/>
        <w:tblCellMar>
          <w:left w:w="0" w:type="dxa"/>
          <w:right w:w="0" w:type="dxa"/>
        </w:tblCellMar>
        <w:tblLook w:val="04A0" w:firstRow="1" w:lastRow="0" w:firstColumn="1" w:lastColumn="0" w:noHBand="0" w:noVBand="1"/>
      </w:tblPr>
      <w:tblGrid>
        <w:gridCol w:w="6"/>
        <w:gridCol w:w="298"/>
        <w:gridCol w:w="8722"/>
      </w:tblGrid>
      <w:tr w:rsidR="00465964" w:rsidRPr="00465964" w14:paraId="450C4ACC" w14:textId="77777777" w:rsidTr="00465964">
        <w:tc>
          <w:tcPr>
            <w:tcW w:w="0" w:type="auto"/>
            <w:shd w:val="clear" w:color="auto" w:fill="auto"/>
            <w:hideMark/>
          </w:tcPr>
          <w:p w14:paraId="6EC63FF3" w14:textId="77777777" w:rsidR="00465964" w:rsidRPr="00465964" w:rsidRDefault="00465964" w:rsidP="00465964">
            <w:pPr>
              <w:rPr>
                <w:lang w:val="pt-PT"/>
              </w:rPr>
            </w:pPr>
          </w:p>
        </w:tc>
        <w:tc>
          <w:tcPr>
            <w:tcW w:w="0" w:type="auto"/>
            <w:shd w:val="clear" w:color="auto" w:fill="auto"/>
            <w:hideMark/>
          </w:tcPr>
          <w:p w14:paraId="46904B02" w14:textId="77777777" w:rsidR="00465964" w:rsidRPr="00465964" w:rsidRDefault="00465964" w:rsidP="00465964">
            <w:r w:rsidRPr="00465964">
              <w:t>45.</w:t>
            </w:r>
          </w:p>
        </w:tc>
        <w:tc>
          <w:tcPr>
            <w:tcW w:w="0" w:type="auto"/>
            <w:shd w:val="clear" w:color="auto" w:fill="auto"/>
            <w:hideMark/>
          </w:tcPr>
          <w:p w14:paraId="289A5DC6" w14:textId="77777777" w:rsidR="00465964" w:rsidRPr="00465964" w:rsidRDefault="00465964" w:rsidP="00465964">
            <w:pPr>
              <w:rPr>
                <w:lang w:val="pt-PT"/>
              </w:rPr>
            </w:pPr>
            <w:r w:rsidRPr="00465964">
              <w:rPr>
                <w:lang w:val="pt-PT"/>
              </w:rPr>
              <w:t>O emitente infringe o artigo 36.</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1, se não constituir e mantiver, a todo o tempo, uma reserva de ativos.</w:t>
            </w:r>
          </w:p>
        </w:tc>
      </w:tr>
    </w:tbl>
    <w:p w14:paraId="039E5419" w14:textId="77777777" w:rsidR="00465964" w:rsidRPr="00465964" w:rsidRDefault="00465964" w:rsidP="00465964">
      <w:pPr>
        <w:rPr>
          <w:vanish/>
          <w:lang w:val="pt-PT"/>
        </w:rPr>
      </w:pPr>
    </w:p>
    <w:tbl>
      <w:tblPr>
        <w:tblW w:w="5000" w:type="pct"/>
        <w:tblCellMar>
          <w:left w:w="0" w:type="dxa"/>
          <w:right w:w="0" w:type="dxa"/>
        </w:tblCellMar>
        <w:tblLook w:val="04A0" w:firstRow="1" w:lastRow="0" w:firstColumn="1" w:lastColumn="0" w:noHBand="0" w:noVBand="1"/>
      </w:tblPr>
      <w:tblGrid>
        <w:gridCol w:w="6"/>
        <w:gridCol w:w="298"/>
        <w:gridCol w:w="8722"/>
      </w:tblGrid>
      <w:tr w:rsidR="00465964" w:rsidRPr="00465964" w14:paraId="65569336" w14:textId="77777777" w:rsidTr="00465964">
        <w:tc>
          <w:tcPr>
            <w:tcW w:w="0" w:type="auto"/>
            <w:shd w:val="clear" w:color="auto" w:fill="auto"/>
            <w:hideMark/>
          </w:tcPr>
          <w:p w14:paraId="6C0CEA58" w14:textId="77777777" w:rsidR="00465964" w:rsidRPr="00465964" w:rsidRDefault="00465964" w:rsidP="00465964">
            <w:pPr>
              <w:rPr>
                <w:lang w:val="pt-PT"/>
              </w:rPr>
            </w:pPr>
          </w:p>
        </w:tc>
        <w:tc>
          <w:tcPr>
            <w:tcW w:w="0" w:type="auto"/>
            <w:shd w:val="clear" w:color="auto" w:fill="auto"/>
            <w:hideMark/>
          </w:tcPr>
          <w:p w14:paraId="468712B3" w14:textId="77777777" w:rsidR="00465964" w:rsidRPr="00465964" w:rsidRDefault="00465964" w:rsidP="00465964">
            <w:r w:rsidRPr="00465964">
              <w:t>46.</w:t>
            </w:r>
          </w:p>
        </w:tc>
        <w:tc>
          <w:tcPr>
            <w:tcW w:w="0" w:type="auto"/>
            <w:shd w:val="clear" w:color="auto" w:fill="auto"/>
            <w:hideMark/>
          </w:tcPr>
          <w:p w14:paraId="46E54A0C" w14:textId="77777777" w:rsidR="00465964" w:rsidRPr="00465964" w:rsidRDefault="00465964" w:rsidP="00465964">
            <w:pPr>
              <w:rPr>
                <w:lang w:val="pt-PT"/>
              </w:rPr>
            </w:pPr>
            <w:r w:rsidRPr="00465964">
              <w:rPr>
                <w:lang w:val="pt-PT"/>
              </w:rPr>
              <w:t>O emitente infringe o artigo 36.</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xml:space="preserve"> 1, se não assegurar que a reserva de ativos seja composta e gerida de modo a cobrir os riscos associados aos ativos referenciados pela </w:t>
            </w:r>
            <w:proofErr w:type="spellStart"/>
            <w:r w:rsidRPr="00465964">
              <w:rPr>
                <w:lang w:val="pt-PT"/>
              </w:rPr>
              <w:t>criptoficha</w:t>
            </w:r>
            <w:proofErr w:type="spellEnd"/>
            <w:r w:rsidRPr="00465964">
              <w:rPr>
                <w:lang w:val="pt-PT"/>
              </w:rPr>
              <w:t xml:space="preserve"> referenciada a ativos significativa.</w:t>
            </w:r>
          </w:p>
        </w:tc>
      </w:tr>
    </w:tbl>
    <w:p w14:paraId="455A6B30" w14:textId="77777777" w:rsidR="00465964" w:rsidRPr="00465964" w:rsidRDefault="00465964" w:rsidP="00465964">
      <w:pPr>
        <w:rPr>
          <w:vanish/>
          <w:lang w:val="pt-PT"/>
        </w:rPr>
      </w:pPr>
    </w:p>
    <w:tbl>
      <w:tblPr>
        <w:tblW w:w="5000" w:type="pct"/>
        <w:tblCellMar>
          <w:left w:w="0" w:type="dxa"/>
          <w:right w:w="0" w:type="dxa"/>
        </w:tblCellMar>
        <w:tblLook w:val="04A0" w:firstRow="1" w:lastRow="0" w:firstColumn="1" w:lastColumn="0" w:noHBand="0" w:noVBand="1"/>
      </w:tblPr>
      <w:tblGrid>
        <w:gridCol w:w="6"/>
        <w:gridCol w:w="298"/>
        <w:gridCol w:w="8722"/>
      </w:tblGrid>
      <w:tr w:rsidR="00465964" w:rsidRPr="00465964" w14:paraId="52DFEB9E" w14:textId="77777777" w:rsidTr="00465964">
        <w:tc>
          <w:tcPr>
            <w:tcW w:w="0" w:type="auto"/>
            <w:shd w:val="clear" w:color="auto" w:fill="auto"/>
            <w:hideMark/>
          </w:tcPr>
          <w:p w14:paraId="38CEF1D8" w14:textId="77777777" w:rsidR="00465964" w:rsidRPr="00465964" w:rsidRDefault="00465964" w:rsidP="00465964">
            <w:pPr>
              <w:rPr>
                <w:lang w:val="pt-PT"/>
              </w:rPr>
            </w:pPr>
          </w:p>
        </w:tc>
        <w:tc>
          <w:tcPr>
            <w:tcW w:w="0" w:type="auto"/>
            <w:shd w:val="clear" w:color="auto" w:fill="auto"/>
            <w:hideMark/>
          </w:tcPr>
          <w:p w14:paraId="7620CA66" w14:textId="77777777" w:rsidR="00465964" w:rsidRPr="00465964" w:rsidRDefault="00465964" w:rsidP="00465964">
            <w:r w:rsidRPr="00465964">
              <w:t>47.</w:t>
            </w:r>
          </w:p>
        </w:tc>
        <w:tc>
          <w:tcPr>
            <w:tcW w:w="0" w:type="auto"/>
            <w:shd w:val="clear" w:color="auto" w:fill="auto"/>
            <w:hideMark/>
          </w:tcPr>
          <w:p w14:paraId="6301B093" w14:textId="77777777" w:rsidR="00465964" w:rsidRPr="00465964" w:rsidRDefault="00465964" w:rsidP="00465964">
            <w:pPr>
              <w:rPr>
                <w:lang w:val="pt-PT"/>
              </w:rPr>
            </w:pPr>
            <w:r w:rsidRPr="00465964">
              <w:rPr>
                <w:lang w:val="pt-PT"/>
              </w:rPr>
              <w:t>O emitente infringe o artigo 36.</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1, se não assegurar que a reserva de ativos seja composta e gerida de modo a cobrir os riscos de liquidez associados aos direitos de reembolso permanentes dos detentores.</w:t>
            </w:r>
          </w:p>
        </w:tc>
      </w:tr>
    </w:tbl>
    <w:p w14:paraId="735EDBAB" w14:textId="77777777" w:rsidR="00465964" w:rsidRPr="00465964" w:rsidRDefault="00465964" w:rsidP="00465964">
      <w:pPr>
        <w:rPr>
          <w:vanish/>
          <w:lang w:val="pt-PT"/>
        </w:rPr>
      </w:pPr>
    </w:p>
    <w:tbl>
      <w:tblPr>
        <w:tblW w:w="5000" w:type="pct"/>
        <w:tblCellMar>
          <w:left w:w="0" w:type="dxa"/>
          <w:right w:w="0" w:type="dxa"/>
        </w:tblCellMar>
        <w:tblLook w:val="04A0" w:firstRow="1" w:lastRow="0" w:firstColumn="1" w:lastColumn="0" w:noHBand="0" w:noVBand="1"/>
      </w:tblPr>
      <w:tblGrid>
        <w:gridCol w:w="6"/>
        <w:gridCol w:w="298"/>
        <w:gridCol w:w="8722"/>
      </w:tblGrid>
      <w:tr w:rsidR="00465964" w:rsidRPr="00465964" w14:paraId="65409C5C" w14:textId="77777777" w:rsidTr="00465964">
        <w:tc>
          <w:tcPr>
            <w:tcW w:w="0" w:type="auto"/>
            <w:shd w:val="clear" w:color="auto" w:fill="auto"/>
            <w:hideMark/>
          </w:tcPr>
          <w:p w14:paraId="191E3612" w14:textId="77777777" w:rsidR="00465964" w:rsidRPr="00465964" w:rsidRDefault="00465964" w:rsidP="00465964">
            <w:pPr>
              <w:rPr>
                <w:lang w:val="pt-PT"/>
              </w:rPr>
            </w:pPr>
          </w:p>
        </w:tc>
        <w:tc>
          <w:tcPr>
            <w:tcW w:w="0" w:type="auto"/>
            <w:shd w:val="clear" w:color="auto" w:fill="auto"/>
            <w:hideMark/>
          </w:tcPr>
          <w:p w14:paraId="370D0943" w14:textId="77777777" w:rsidR="00465964" w:rsidRPr="00465964" w:rsidRDefault="00465964" w:rsidP="00465964">
            <w:r w:rsidRPr="00465964">
              <w:t>48.</w:t>
            </w:r>
          </w:p>
        </w:tc>
        <w:tc>
          <w:tcPr>
            <w:tcW w:w="0" w:type="auto"/>
            <w:shd w:val="clear" w:color="auto" w:fill="auto"/>
            <w:hideMark/>
          </w:tcPr>
          <w:p w14:paraId="0A291613" w14:textId="68EDFDBC" w:rsidR="00465964" w:rsidRPr="00465964" w:rsidRDefault="00465964" w:rsidP="00465964">
            <w:pPr>
              <w:rPr>
                <w:lang w:val="pt-PT"/>
              </w:rPr>
            </w:pPr>
            <w:r w:rsidRPr="00465964">
              <w:rPr>
                <w:lang w:val="pt-PT"/>
              </w:rPr>
              <w:t>O emitente infringe o artigo 36.</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xml:space="preserve"> 3, se não assegurar que a reserva de ativos seja operacionalmente separada do património do emitente e da reserva de ativos de outras </w:t>
            </w:r>
            <w:r>
              <w:rPr>
                <w:lang w:val="pt-PT"/>
              </w:rPr>
              <w:t>criptomoedas</w:t>
            </w:r>
            <w:r w:rsidRPr="00465964">
              <w:rPr>
                <w:lang w:val="pt-PT"/>
              </w:rPr>
              <w:t xml:space="preserve"> referenciadas a ativos.</w:t>
            </w:r>
          </w:p>
        </w:tc>
      </w:tr>
    </w:tbl>
    <w:p w14:paraId="7ABB5DDE" w14:textId="77777777" w:rsidR="00465964" w:rsidRPr="00465964" w:rsidRDefault="00465964" w:rsidP="00465964">
      <w:pPr>
        <w:rPr>
          <w:vanish/>
          <w:lang w:val="pt-PT"/>
        </w:rPr>
      </w:pPr>
    </w:p>
    <w:tbl>
      <w:tblPr>
        <w:tblW w:w="5000" w:type="pct"/>
        <w:tblCellMar>
          <w:left w:w="0" w:type="dxa"/>
          <w:right w:w="0" w:type="dxa"/>
        </w:tblCellMar>
        <w:tblLook w:val="04A0" w:firstRow="1" w:lastRow="0" w:firstColumn="1" w:lastColumn="0" w:noHBand="0" w:noVBand="1"/>
      </w:tblPr>
      <w:tblGrid>
        <w:gridCol w:w="6"/>
        <w:gridCol w:w="298"/>
        <w:gridCol w:w="8722"/>
      </w:tblGrid>
      <w:tr w:rsidR="00465964" w:rsidRPr="00465964" w14:paraId="7CCE7BC7" w14:textId="77777777" w:rsidTr="00465964">
        <w:tc>
          <w:tcPr>
            <w:tcW w:w="0" w:type="auto"/>
            <w:shd w:val="clear" w:color="auto" w:fill="auto"/>
            <w:hideMark/>
          </w:tcPr>
          <w:p w14:paraId="010D15CC" w14:textId="77777777" w:rsidR="00465964" w:rsidRPr="00465964" w:rsidRDefault="00465964" w:rsidP="00465964">
            <w:pPr>
              <w:rPr>
                <w:lang w:val="pt-PT"/>
              </w:rPr>
            </w:pPr>
          </w:p>
        </w:tc>
        <w:tc>
          <w:tcPr>
            <w:tcW w:w="0" w:type="auto"/>
            <w:shd w:val="clear" w:color="auto" w:fill="auto"/>
            <w:hideMark/>
          </w:tcPr>
          <w:p w14:paraId="6E09E83B" w14:textId="77777777" w:rsidR="00465964" w:rsidRPr="00465964" w:rsidRDefault="00465964" w:rsidP="00465964">
            <w:r w:rsidRPr="00465964">
              <w:t>49.</w:t>
            </w:r>
          </w:p>
        </w:tc>
        <w:tc>
          <w:tcPr>
            <w:tcW w:w="0" w:type="auto"/>
            <w:shd w:val="clear" w:color="auto" w:fill="auto"/>
            <w:hideMark/>
          </w:tcPr>
          <w:p w14:paraId="0D1F1753" w14:textId="77777777" w:rsidR="00465964" w:rsidRPr="00465964" w:rsidRDefault="00465964" w:rsidP="00465964">
            <w:pPr>
              <w:rPr>
                <w:lang w:val="pt-PT"/>
              </w:rPr>
            </w:pPr>
            <w:r w:rsidRPr="00465964">
              <w:rPr>
                <w:lang w:val="pt-PT"/>
              </w:rPr>
              <w:t>O emitente infringe o artigo 36.</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6, se o seu órgão de administração não assegurar uma gestão eficaz e prudente da reserva de ativos.</w:t>
            </w:r>
          </w:p>
        </w:tc>
      </w:tr>
    </w:tbl>
    <w:p w14:paraId="186F7D14" w14:textId="77777777" w:rsidR="00465964" w:rsidRPr="00465964" w:rsidRDefault="00465964" w:rsidP="00465964">
      <w:pPr>
        <w:rPr>
          <w:vanish/>
          <w:lang w:val="pt-PT"/>
        </w:rPr>
      </w:pPr>
    </w:p>
    <w:tbl>
      <w:tblPr>
        <w:tblW w:w="5000" w:type="pct"/>
        <w:tblCellMar>
          <w:left w:w="0" w:type="dxa"/>
          <w:right w:w="0" w:type="dxa"/>
        </w:tblCellMar>
        <w:tblLook w:val="04A0" w:firstRow="1" w:lastRow="0" w:firstColumn="1" w:lastColumn="0" w:noHBand="0" w:noVBand="1"/>
      </w:tblPr>
      <w:tblGrid>
        <w:gridCol w:w="6"/>
        <w:gridCol w:w="298"/>
        <w:gridCol w:w="8722"/>
      </w:tblGrid>
      <w:tr w:rsidR="00465964" w:rsidRPr="00465964" w14:paraId="40C57D9C" w14:textId="77777777" w:rsidTr="00465964">
        <w:tc>
          <w:tcPr>
            <w:tcW w:w="0" w:type="auto"/>
            <w:shd w:val="clear" w:color="auto" w:fill="auto"/>
            <w:hideMark/>
          </w:tcPr>
          <w:p w14:paraId="081E1E71" w14:textId="77777777" w:rsidR="00465964" w:rsidRPr="00465964" w:rsidRDefault="00465964" w:rsidP="00465964">
            <w:pPr>
              <w:rPr>
                <w:lang w:val="pt-PT"/>
              </w:rPr>
            </w:pPr>
          </w:p>
        </w:tc>
        <w:tc>
          <w:tcPr>
            <w:tcW w:w="0" w:type="auto"/>
            <w:shd w:val="clear" w:color="auto" w:fill="auto"/>
            <w:hideMark/>
          </w:tcPr>
          <w:p w14:paraId="0682950B" w14:textId="77777777" w:rsidR="00465964" w:rsidRPr="00465964" w:rsidRDefault="00465964" w:rsidP="00465964">
            <w:r w:rsidRPr="00465964">
              <w:t>50.</w:t>
            </w:r>
          </w:p>
        </w:tc>
        <w:tc>
          <w:tcPr>
            <w:tcW w:w="0" w:type="auto"/>
            <w:shd w:val="clear" w:color="auto" w:fill="auto"/>
            <w:hideMark/>
          </w:tcPr>
          <w:p w14:paraId="5A9C7F1E" w14:textId="77777777" w:rsidR="00465964" w:rsidRPr="00465964" w:rsidRDefault="00465964" w:rsidP="00465964">
            <w:pPr>
              <w:rPr>
                <w:lang w:val="pt-PT"/>
              </w:rPr>
            </w:pPr>
            <w:r w:rsidRPr="00465964">
              <w:rPr>
                <w:lang w:val="pt-PT"/>
              </w:rPr>
              <w:t>O emitente infringe o artigo 36.</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xml:space="preserve"> 6, se não assegurar que a emissão e o reembolso da </w:t>
            </w:r>
            <w:proofErr w:type="spellStart"/>
            <w:r w:rsidRPr="00465964">
              <w:rPr>
                <w:lang w:val="pt-PT"/>
              </w:rPr>
              <w:t>criptoficha</w:t>
            </w:r>
            <w:proofErr w:type="spellEnd"/>
            <w:r w:rsidRPr="00465964">
              <w:rPr>
                <w:lang w:val="pt-PT"/>
              </w:rPr>
              <w:t xml:space="preserve"> referenciada a ativos significativa sejam sempre acompanhados por um aumento ou uma diminuição correspondente da reserva de ativos.</w:t>
            </w:r>
          </w:p>
        </w:tc>
      </w:tr>
    </w:tbl>
    <w:p w14:paraId="7370B019" w14:textId="77777777" w:rsidR="00465964" w:rsidRPr="00465964" w:rsidRDefault="00465964" w:rsidP="00465964">
      <w:pPr>
        <w:rPr>
          <w:vanish/>
          <w:lang w:val="pt-PT"/>
        </w:rPr>
      </w:pPr>
    </w:p>
    <w:tbl>
      <w:tblPr>
        <w:tblW w:w="5000" w:type="pct"/>
        <w:tblCellMar>
          <w:left w:w="0" w:type="dxa"/>
          <w:right w:w="0" w:type="dxa"/>
        </w:tblCellMar>
        <w:tblLook w:val="04A0" w:firstRow="1" w:lastRow="0" w:firstColumn="1" w:lastColumn="0" w:noHBand="0" w:noVBand="1"/>
      </w:tblPr>
      <w:tblGrid>
        <w:gridCol w:w="6"/>
        <w:gridCol w:w="298"/>
        <w:gridCol w:w="8722"/>
      </w:tblGrid>
      <w:tr w:rsidR="00465964" w:rsidRPr="00465964" w14:paraId="610DAB6B" w14:textId="77777777" w:rsidTr="00465964">
        <w:tc>
          <w:tcPr>
            <w:tcW w:w="0" w:type="auto"/>
            <w:shd w:val="clear" w:color="auto" w:fill="auto"/>
            <w:hideMark/>
          </w:tcPr>
          <w:p w14:paraId="45209489" w14:textId="77777777" w:rsidR="00465964" w:rsidRPr="00465964" w:rsidRDefault="00465964" w:rsidP="00465964">
            <w:pPr>
              <w:rPr>
                <w:lang w:val="pt-PT"/>
              </w:rPr>
            </w:pPr>
          </w:p>
        </w:tc>
        <w:tc>
          <w:tcPr>
            <w:tcW w:w="0" w:type="auto"/>
            <w:shd w:val="clear" w:color="auto" w:fill="auto"/>
            <w:hideMark/>
          </w:tcPr>
          <w:p w14:paraId="0DEF2384" w14:textId="77777777" w:rsidR="00465964" w:rsidRPr="00465964" w:rsidRDefault="00465964" w:rsidP="00465964">
            <w:r w:rsidRPr="00465964">
              <w:t>51.</w:t>
            </w:r>
          </w:p>
        </w:tc>
        <w:tc>
          <w:tcPr>
            <w:tcW w:w="0" w:type="auto"/>
            <w:shd w:val="clear" w:color="auto" w:fill="auto"/>
            <w:hideMark/>
          </w:tcPr>
          <w:p w14:paraId="2A3226F7" w14:textId="77777777" w:rsidR="00465964" w:rsidRPr="00465964" w:rsidRDefault="00465964" w:rsidP="00465964">
            <w:pPr>
              <w:rPr>
                <w:lang w:val="pt-PT"/>
              </w:rPr>
            </w:pPr>
            <w:r w:rsidRPr="00465964">
              <w:rPr>
                <w:lang w:val="pt-PT"/>
              </w:rPr>
              <w:t>O emitente infringe o artigo 36.</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xml:space="preserve"> 7, se não determinar o valor agregado da reserva de ativos utilizando os preços de mercado e se o seu valor agregado não for sempre pelo menos igual ao valor agregado dos créditos sobre o emitente por parte dos detentores da </w:t>
            </w:r>
            <w:proofErr w:type="spellStart"/>
            <w:r w:rsidRPr="00465964">
              <w:rPr>
                <w:lang w:val="pt-PT"/>
              </w:rPr>
              <w:t>criptoficha</w:t>
            </w:r>
            <w:proofErr w:type="spellEnd"/>
            <w:r w:rsidRPr="00465964">
              <w:rPr>
                <w:lang w:val="pt-PT"/>
              </w:rPr>
              <w:t xml:space="preserve"> referenciada a ativos significativa em circulação.</w:t>
            </w:r>
          </w:p>
        </w:tc>
      </w:tr>
    </w:tbl>
    <w:p w14:paraId="647611F8" w14:textId="77777777" w:rsidR="00465964" w:rsidRPr="00465964" w:rsidRDefault="00465964" w:rsidP="00465964">
      <w:pPr>
        <w:rPr>
          <w:vanish/>
          <w:lang w:val="pt-PT"/>
        </w:rPr>
      </w:pPr>
    </w:p>
    <w:tbl>
      <w:tblPr>
        <w:tblW w:w="5000" w:type="pct"/>
        <w:tblCellMar>
          <w:left w:w="0" w:type="dxa"/>
          <w:right w:w="0" w:type="dxa"/>
        </w:tblCellMar>
        <w:tblLook w:val="04A0" w:firstRow="1" w:lastRow="0" w:firstColumn="1" w:lastColumn="0" w:noHBand="0" w:noVBand="1"/>
      </w:tblPr>
      <w:tblGrid>
        <w:gridCol w:w="6"/>
        <w:gridCol w:w="298"/>
        <w:gridCol w:w="8722"/>
      </w:tblGrid>
      <w:tr w:rsidR="00465964" w:rsidRPr="00465964" w14:paraId="5F727D5B" w14:textId="77777777" w:rsidTr="00465964">
        <w:tc>
          <w:tcPr>
            <w:tcW w:w="0" w:type="auto"/>
            <w:shd w:val="clear" w:color="auto" w:fill="auto"/>
            <w:hideMark/>
          </w:tcPr>
          <w:p w14:paraId="209C38BA" w14:textId="77777777" w:rsidR="00465964" w:rsidRPr="00465964" w:rsidRDefault="00465964" w:rsidP="00465964">
            <w:pPr>
              <w:rPr>
                <w:lang w:val="pt-PT"/>
              </w:rPr>
            </w:pPr>
          </w:p>
        </w:tc>
        <w:tc>
          <w:tcPr>
            <w:tcW w:w="0" w:type="auto"/>
            <w:shd w:val="clear" w:color="auto" w:fill="auto"/>
            <w:hideMark/>
          </w:tcPr>
          <w:p w14:paraId="2439050C" w14:textId="77777777" w:rsidR="00465964" w:rsidRPr="00465964" w:rsidRDefault="00465964" w:rsidP="00465964">
            <w:r w:rsidRPr="00465964">
              <w:t>52.</w:t>
            </w:r>
          </w:p>
        </w:tc>
        <w:tc>
          <w:tcPr>
            <w:tcW w:w="0" w:type="auto"/>
            <w:shd w:val="clear" w:color="auto" w:fill="auto"/>
            <w:hideMark/>
          </w:tcPr>
          <w:p w14:paraId="3A837028" w14:textId="77777777" w:rsidR="00465964" w:rsidRPr="00465964" w:rsidRDefault="00465964" w:rsidP="00465964">
            <w:pPr>
              <w:rPr>
                <w:lang w:val="pt-PT"/>
              </w:rPr>
            </w:pPr>
            <w:r w:rsidRPr="00465964">
              <w:rPr>
                <w:lang w:val="pt-PT"/>
              </w:rPr>
              <w:t>O emitente infringe o artigo 36.</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xml:space="preserve"> 8, se não possuir uma política clara e pormenorizada que descreva o mecanismo de estabilização da </w:t>
            </w:r>
            <w:proofErr w:type="spellStart"/>
            <w:r w:rsidRPr="00465964">
              <w:rPr>
                <w:lang w:val="pt-PT"/>
              </w:rPr>
              <w:t>criptoficha</w:t>
            </w:r>
            <w:proofErr w:type="spellEnd"/>
            <w:r w:rsidRPr="00465964">
              <w:rPr>
                <w:lang w:val="pt-PT"/>
              </w:rPr>
              <w:t xml:space="preserve"> referenciada a ativos significativa que cumpra as condições estabelecidas nas alíneas a) a g) do referido número.</w:t>
            </w:r>
          </w:p>
        </w:tc>
      </w:tr>
    </w:tbl>
    <w:p w14:paraId="463FE932" w14:textId="77777777" w:rsidR="00465964" w:rsidRPr="00465964" w:rsidRDefault="00465964" w:rsidP="00465964">
      <w:pPr>
        <w:rPr>
          <w:vanish/>
          <w:lang w:val="pt-PT"/>
        </w:rPr>
      </w:pPr>
    </w:p>
    <w:tbl>
      <w:tblPr>
        <w:tblW w:w="5000" w:type="pct"/>
        <w:tblCellMar>
          <w:left w:w="0" w:type="dxa"/>
          <w:right w:w="0" w:type="dxa"/>
        </w:tblCellMar>
        <w:tblLook w:val="04A0" w:firstRow="1" w:lastRow="0" w:firstColumn="1" w:lastColumn="0" w:noHBand="0" w:noVBand="1"/>
      </w:tblPr>
      <w:tblGrid>
        <w:gridCol w:w="6"/>
        <w:gridCol w:w="298"/>
        <w:gridCol w:w="8722"/>
      </w:tblGrid>
      <w:tr w:rsidR="00465964" w:rsidRPr="00465964" w14:paraId="13638DB6" w14:textId="77777777" w:rsidTr="00465964">
        <w:tc>
          <w:tcPr>
            <w:tcW w:w="0" w:type="auto"/>
            <w:shd w:val="clear" w:color="auto" w:fill="auto"/>
            <w:hideMark/>
          </w:tcPr>
          <w:p w14:paraId="1CE1F48A" w14:textId="77777777" w:rsidR="00465964" w:rsidRPr="00465964" w:rsidRDefault="00465964" w:rsidP="00465964">
            <w:pPr>
              <w:rPr>
                <w:lang w:val="pt-PT"/>
              </w:rPr>
            </w:pPr>
          </w:p>
        </w:tc>
        <w:tc>
          <w:tcPr>
            <w:tcW w:w="0" w:type="auto"/>
            <w:shd w:val="clear" w:color="auto" w:fill="auto"/>
            <w:hideMark/>
          </w:tcPr>
          <w:p w14:paraId="236F0FA7" w14:textId="77777777" w:rsidR="00465964" w:rsidRPr="00465964" w:rsidRDefault="00465964" w:rsidP="00465964">
            <w:r w:rsidRPr="00465964">
              <w:t>53.</w:t>
            </w:r>
          </w:p>
        </w:tc>
        <w:tc>
          <w:tcPr>
            <w:tcW w:w="0" w:type="auto"/>
            <w:shd w:val="clear" w:color="auto" w:fill="auto"/>
            <w:hideMark/>
          </w:tcPr>
          <w:p w14:paraId="76B83203" w14:textId="77777777" w:rsidR="00465964" w:rsidRPr="00465964" w:rsidRDefault="00465964" w:rsidP="00465964">
            <w:pPr>
              <w:rPr>
                <w:lang w:val="pt-PT"/>
              </w:rPr>
            </w:pPr>
            <w:r w:rsidRPr="00465964">
              <w:rPr>
                <w:lang w:val="pt-PT"/>
              </w:rPr>
              <w:t>O emitente infringe o artigo 36.</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xml:space="preserve"> 9, se não ordenar a realização de uma auditoria independente da reserva de ativos de seis em seis meses a partir da data da sua autorização ou a partir da data de aprovação do livrete do criptoativo nos termos do artigo </w:t>
            </w:r>
            <w:proofErr w:type="gramStart"/>
            <w:r w:rsidRPr="00465964">
              <w:rPr>
                <w:lang w:val="pt-PT"/>
              </w:rPr>
              <w:t>17.</w:t>
            </w:r>
            <w:r w:rsidRPr="00465964">
              <w:rPr>
                <w:vertAlign w:val="superscript"/>
                <w:lang w:val="pt-PT"/>
              </w:rPr>
              <w:t>o</w:t>
            </w:r>
            <w:r w:rsidRPr="00465964">
              <w:rPr>
                <w:lang w:val="pt-PT"/>
              </w:rPr>
              <w:t>.</w:t>
            </w:r>
            <w:proofErr w:type="gramEnd"/>
          </w:p>
        </w:tc>
      </w:tr>
    </w:tbl>
    <w:p w14:paraId="6D4032E4" w14:textId="77777777" w:rsidR="00465964" w:rsidRPr="00465964" w:rsidRDefault="00465964" w:rsidP="00465964">
      <w:pPr>
        <w:rPr>
          <w:vanish/>
          <w:lang w:val="pt-PT"/>
        </w:rPr>
      </w:pPr>
    </w:p>
    <w:tbl>
      <w:tblPr>
        <w:tblW w:w="5000" w:type="pct"/>
        <w:tblCellMar>
          <w:left w:w="0" w:type="dxa"/>
          <w:right w:w="0" w:type="dxa"/>
        </w:tblCellMar>
        <w:tblLook w:val="04A0" w:firstRow="1" w:lastRow="0" w:firstColumn="1" w:lastColumn="0" w:noHBand="0" w:noVBand="1"/>
      </w:tblPr>
      <w:tblGrid>
        <w:gridCol w:w="6"/>
        <w:gridCol w:w="298"/>
        <w:gridCol w:w="8722"/>
      </w:tblGrid>
      <w:tr w:rsidR="00465964" w:rsidRPr="00465964" w14:paraId="7C28F632" w14:textId="77777777" w:rsidTr="00465964">
        <w:tc>
          <w:tcPr>
            <w:tcW w:w="0" w:type="auto"/>
            <w:shd w:val="clear" w:color="auto" w:fill="auto"/>
            <w:hideMark/>
          </w:tcPr>
          <w:p w14:paraId="52ED425F" w14:textId="77777777" w:rsidR="00465964" w:rsidRPr="00465964" w:rsidRDefault="00465964" w:rsidP="00465964">
            <w:pPr>
              <w:rPr>
                <w:lang w:val="pt-PT"/>
              </w:rPr>
            </w:pPr>
          </w:p>
        </w:tc>
        <w:tc>
          <w:tcPr>
            <w:tcW w:w="0" w:type="auto"/>
            <w:shd w:val="clear" w:color="auto" w:fill="auto"/>
            <w:hideMark/>
          </w:tcPr>
          <w:p w14:paraId="731825ED" w14:textId="77777777" w:rsidR="00465964" w:rsidRPr="00465964" w:rsidRDefault="00465964" w:rsidP="00465964">
            <w:r w:rsidRPr="00465964">
              <w:t>54.</w:t>
            </w:r>
          </w:p>
        </w:tc>
        <w:tc>
          <w:tcPr>
            <w:tcW w:w="0" w:type="auto"/>
            <w:shd w:val="clear" w:color="auto" w:fill="auto"/>
            <w:hideMark/>
          </w:tcPr>
          <w:p w14:paraId="0073F920" w14:textId="77777777" w:rsidR="00465964" w:rsidRPr="00465964" w:rsidRDefault="00465964" w:rsidP="00465964">
            <w:pPr>
              <w:rPr>
                <w:lang w:val="pt-PT"/>
              </w:rPr>
            </w:pPr>
            <w:r w:rsidRPr="00465964">
              <w:rPr>
                <w:lang w:val="pt-PT"/>
              </w:rPr>
              <w:t>O emitente infringe o artigo 36.</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10, se não comunicar à EBA o resultado da auditoria nos termos do desse número, ou se não publicar o resultado da auditoria no prazo de duas semanas a contar da data de comunicação à EBA.</w:t>
            </w:r>
          </w:p>
        </w:tc>
      </w:tr>
    </w:tbl>
    <w:p w14:paraId="4A79D77F" w14:textId="77777777" w:rsidR="00465964" w:rsidRPr="00465964" w:rsidRDefault="00465964" w:rsidP="00465964">
      <w:pPr>
        <w:rPr>
          <w:vanish/>
          <w:lang w:val="pt-PT"/>
        </w:rPr>
      </w:pPr>
    </w:p>
    <w:tbl>
      <w:tblPr>
        <w:tblW w:w="5000" w:type="pct"/>
        <w:tblCellMar>
          <w:left w:w="0" w:type="dxa"/>
          <w:right w:w="0" w:type="dxa"/>
        </w:tblCellMar>
        <w:tblLook w:val="04A0" w:firstRow="1" w:lastRow="0" w:firstColumn="1" w:lastColumn="0" w:noHBand="0" w:noVBand="1"/>
      </w:tblPr>
      <w:tblGrid>
        <w:gridCol w:w="6"/>
        <w:gridCol w:w="298"/>
        <w:gridCol w:w="8722"/>
      </w:tblGrid>
      <w:tr w:rsidR="00465964" w:rsidRPr="00465964" w14:paraId="4D4C99AE" w14:textId="77777777" w:rsidTr="00465964">
        <w:tc>
          <w:tcPr>
            <w:tcW w:w="0" w:type="auto"/>
            <w:shd w:val="clear" w:color="auto" w:fill="auto"/>
            <w:hideMark/>
          </w:tcPr>
          <w:p w14:paraId="3F4D07C4" w14:textId="77777777" w:rsidR="00465964" w:rsidRPr="00465964" w:rsidRDefault="00465964" w:rsidP="00465964">
            <w:pPr>
              <w:rPr>
                <w:lang w:val="pt-PT"/>
              </w:rPr>
            </w:pPr>
          </w:p>
        </w:tc>
        <w:tc>
          <w:tcPr>
            <w:tcW w:w="0" w:type="auto"/>
            <w:shd w:val="clear" w:color="auto" w:fill="auto"/>
            <w:hideMark/>
          </w:tcPr>
          <w:p w14:paraId="092FC1DF" w14:textId="77777777" w:rsidR="00465964" w:rsidRPr="00465964" w:rsidRDefault="00465964" w:rsidP="00465964">
            <w:r w:rsidRPr="00465964">
              <w:t>55.</w:t>
            </w:r>
          </w:p>
        </w:tc>
        <w:tc>
          <w:tcPr>
            <w:tcW w:w="0" w:type="auto"/>
            <w:shd w:val="clear" w:color="auto" w:fill="auto"/>
            <w:hideMark/>
          </w:tcPr>
          <w:p w14:paraId="082D4F6C" w14:textId="77777777" w:rsidR="00465964" w:rsidRPr="00465964" w:rsidRDefault="00465964" w:rsidP="00465964">
            <w:pPr>
              <w:rPr>
                <w:lang w:val="pt-PT"/>
              </w:rPr>
            </w:pPr>
            <w:r w:rsidRPr="00465964">
              <w:rPr>
                <w:lang w:val="pt-PT"/>
              </w:rPr>
              <w:t>O emitente infringe o artigo 37.</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1, se não estabelecer, mantiver ou aplicar políticas, procedimentos e disposições contratuais em matéria de custódia que assegurem, a todo o tempo, o cumprimento das condições enumeradas no primeiro parágrafo, alíneas a) a e), do referido número.</w:t>
            </w:r>
          </w:p>
        </w:tc>
      </w:tr>
    </w:tbl>
    <w:p w14:paraId="0EB091F0" w14:textId="77777777" w:rsidR="00465964" w:rsidRPr="00465964" w:rsidRDefault="00465964" w:rsidP="00465964">
      <w:pPr>
        <w:rPr>
          <w:vanish/>
          <w:lang w:val="pt-PT"/>
        </w:rPr>
      </w:pPr>
    </w:p>
    <w:tbl>
      <w:tblPr>
        <w:tblW w:w="5000" w:type="pct"/>
        <w:tblCellMar>
          <w:left w:w="0" w:type="dxa"/>
          <w:right w:w="0" w:type="dxa"/>
        </w:tblCellMar>
        <w:tblLook w:val="04A0" w:firstRow="1" w:lastRow="0" w:firstColumn="1" w:lastColumn="0" w:noHBand="0" w:noVBand="1"/>
      </w:tblPr>
      <w:tblGrid>
        <w:gridCol w:w="6"/>
        <w:gridCol w:w="298"/>
        <w:gridCol w:w="8722"/>
      </w:tblGrid>
      <w:tr w:rsidR="00465964" w:rsidRPr="00465964" w14:paraId="2014108A" w14:textId="77777777" w:rsidTr="00465964">
        <w:tc>
          <w:tcPr>
            <w:tcW w:w="0" w:type="auto"/>
            <w:shd w:val="clear" w:color="auto" w:fill="auto"/>
            <w:hideMark/>
          </w:tcPr>
          <w:p w14:paraId="26DB62FB" w14:textId="77777777" w:rsidR="00465964" w:rsidRPr="00465964" w:rsidRDefault="00465964" w:rsidP="00465964">
            <w:pPr>
              <w:rPr>
                <w:lang w:val="pt-PT"/>
              </w:rPr>
            </w:pPr>
          </w:p>
        </w:tc>
        <w:tc>
          <w:tcPr>
            <w:tcW w:w="0" w:type="auto"/>
            <w:shd w:val="clear" w:color="auto" w:fill="auto"/>
            <w:hideMark/>
          </w:tcPr>
          <w:p w14:paraId="4970F2E7" w14:textId="77777777" w:rsidR="00465964" w:rsidRPr="00465964" w:rsidRDefault="00465964" w:rsidP="00465964">
            <w:r w:rsidRPr="00465964">
              <w:t>56.</w:t>
            </w:r>
          </w:p>
        </w:tc>
        <w:tc>
          <w:tcPr>
            <w:tcW w:w="0" w:type="auto"/>
            <w:shd w:val="clear" w:color="auto" w:fill="auto"/>
            <w:hideMark/>
          </w:tcPr>
          <w:p w14:paraId="0D2358D8" w14:textId="77777777" w:rsidR="00465964" w:rsidRPr="00465964" w:rsidRDefault="00465964" w:rsidP="00465964">
            <w:pPr>
              <w:rPr>
                <w:lang w:val="pt-PT"/>
              </w:rPr>
            </w:pPr>
            <w:r w:rsidRPr="00465964">
              <w:rPr>
                <w:lang w:val="pt-PT"/>
              </w:rPr>
              <w:t>O emitente infringe o artigo 37.</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xml:space="preserve"> 2, se não dispuser, quando emite duas ou mais </w:t>
            </w:r>
            <w:proofErr w:type="spellStart"/>
            <w:r w:rsidRPr="00465964">
              <w:rPr>
                <w:lang w:val="pt-PT"/>
              </w:rPr>
              <w:t>criptoficha</w:t>
            </w:r>
            <w:proofErr w:type="spellEnd"/>
            <w:r w:rsidRPr="00465964">
              <w:rPr>
                <w:lang w:val="pt-PT"/>
              </w:rPr>
              <w:t xml:space="preserve"> referenciada a ativos significativa, de uma política de custódia para cada conjunto de reserva de ativos.</w:t>
            </w:r>
          </w:p>
        </w:tc>
      </w:tr>
    </w:tbl>
    <w:p w14:paraId="3CCB4F35" w14:textId="77777777" w:rsidR="00465964" w:rsidRPr="00465964" w:rsidRDefault="00465964" w:rsidP="00465964">
      <w:pPr>
        <w:rPr>
          <w:vanish/>
          <w:lang w:val="pt-PT"/>
        </w:rPr>
      </w:pPr>
    </w:p>
    <w:tbl>
      <w:tblPr>
        <w:tblW w:w="5000" w:type="pct"/>
        <w:tblCellMar>
          <w:left w:w="0" w:type="dxa"/>
          <w:right w:w="0" w:type="dxa"/>
        </w:tblCellMar>
        <w:tblLook w:val="04A0" w:firstRow="1" w:lastRow="0" w:firstColumn="1" w:lastColumn="0" w:noHBand="0" w:noVBand="1"/>
      </w:tblPr>
      <w:tblGrid>
        <w:gridCol w:w="6"/>
        <w:gridCol w:w="298"/>
        <w:gridCol w:w="8722"/>
      </w:tblGrid>
      <w:tr w:rsidR="00465964" w:rsidRPr="00465964" w14:paraId="5ED9E1CF" w14:textId="77777777" w:rsidTr="00465964">
        <w:tc>
          <w:tcPr>
            <w:tcW w:w="0" w:type="auto"/>
            <w:shd w:val="clear" w:color="auto" w:fill="auto"/>
            <w:hideMark/>
          </w:tcPr>
          <w:p w14:paraId="5EAA6C42" w14:textId="77777777" w:rsidR="00465964" w:rsidRPr="00465964" w:rsidRDefault="00465964" w:rsidP="00465964">
            <w:pPr>
              <w:rPr>
                <w:lang w:val="pt-PT"/>
              </w:rPr>
            </w:pPr>
          </w:p>
        </w:tc>
        <w:tc>
          <w:tcPr>
            <w:tcW w:w="0" w:type="auto"/>
            <w:shd w:val="clear" w:color="auto" w:fill="auto"/>
            <w:hideMark/>
          </w:tcPr>
          <w:p w14:paraId="4B080F2B" w14:textId="77777777" w:rsidR="00465964" w:rsidRPr="00465964" w:rsidRDefault="00465964" w:rsidP="00465964">
            <w:r w:rsidRPr="00465964">
              <w:t>57.</w:t>
            </w:r>
          </w:p>
        </w:tc>
        <w:tc>
          <w:tcPr>
            <w:tcW w:w="0" w:type="auto"/>
            <w:shd w:val="clear" w:color="auto" w:fill="auto"/>
            <w:hideMark/>
          </w:tcPr>
          <w:p w14:paraId="0F3AD3BE" w14:textId="77777777" w:rsidR="00465964" w:rsidRPr="00465964" w:rsidRDefault="00465964" w:rsidP="00465964">
            <w:pPr>
              <w:rPr>
                <w:lang w:val="pt-PT"/>
              </w:rPr>
            </w:pPr>
            <w:r w:rsidRPr="00465964">
              <w:rPr>
                <w:lang w:val="pt-PT"/>
              </w:rPr>
              <w:t>O emitente infringe o artigo 37.</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xml:space="preserve"> 3, se não assegurar que os ativos de reserva estejam sob a custódia de um prestador de serviços de criptoativos que presta serviços de custódia e administração de criptoativos em nome de clientes, de uma instituição de crédito ou de uma empresa de investimento o mais tardar cinco dias úteis após a data de emissão da </w:t>
            </w:r>
            <w:proofErr w:type="spellStart"/>
            <w:r w:rsidRPr="00465964">
              <w:rPr>
                <w:lang w:val="pt-PT"/>
              </w:rPr>
              <w:t>criptoficha</w:t>
            </w:r>
            <w:proofErr w:type="spellEnd"/>
            <w:r w:rsidRPr="00465964">
              <w:rPr>
                <w:lang w:val="pt-PT"/>
              </w:rPr>
              <w:t xml:space="preserve"> referenciada a ativos significativa.</w:t>
            </w:r>
          </w:p>
        </w:tc>
      </w:tr>
    </w:tbl>
    <w:p w14:paraId="67B8AE78" w14:textId="77777777" w:rsidR="00465964" w:rsidRPr="00465964" w:rsidRDefault="00465964" w:rsidP="00465964">
      <w:pPr>
        <w:rPr>
          <w:vanish/>
          <w:lang w:val="pt-PT"/>
        </w:rPr>
      </w:pPr>
    </w:p>
    <w:tbl>
      <w:tblPr>
        <w:tblW w:w="5000" w:type="pct"/>
        <w:tblCellMar>
          <w:left w:w="0" w:type="dxa"/>
          <w:right w:w="0" w:type="dxa"/>
        </w:tblCellMar>
        <w:tblLook w:val="04A0" w:firstRow="1" w:lastRow="0" w:firstColumn="1" w:lastColumn="0" w:noHBand="0" w:noVBand="1"/>
      </w:tblPr>
      <w:tblGrid>
        <w:gridCol w:w="6"/>
        <w:gridCol w:w="298"/>
        <w:gridCol w:w="8722"/>
      </w:tblGrid>
      <w:tr w:rsidR="00465964" w:rsidRPr="00465964" w14:paraId="69A2ADA2" w14:textId="77777777" w:rsidTr="00465964">
        <w:tc>
          <w:tcPr>
            <w:tcW w:w="0" w:type="auto"/>
            <w:shd w:val="clear" w:color="auto" w:fill="auto"/>
            <w:hideMark/>
          </w:tcPr>
          <w:p w14:paraId="330A1D7E" w14:textId="77777777" w:rsidR="00465964" w:rsidRPr="00465964" w:rsidRDefault="00465964" w:rsidP="00465964">
            <w:pPr>
              <w:rPr>
                <w:lang w:val="pt-PT"/>
              </w:rPr>
            </w:pPr>
          </w:p>
        </w:tc>
        <w:tc>
          <w:tcPr>
            <w:tcW w:w="0" w:type="auto"/>
            <w:shd w:val="clear" w:color="auto" w:fill="auto"/>
            <w:hideMark/>
          </w:tcPr>
          <w:p w14:paraId="261A33D5" w14:textId="77777777" w:rsidR="00465964" w:rsidRPr="00465964" w:rsidRDefault="00465964" w:rsidP="00465964">
            <w:r w:rsidRPr="00465964">
              <w:t>58.</w:t>
            </w:r>
          </w:p>
        </w:tc>
        <w:tc>
          <w:tcPr>
            <w:tcW w:w="0" w:type="auto"/>
            <w:shd w:val="clear" w:color="auto" w:fill="auto"/>
            <w:hideMark/>
          </w:tcPr>
          <w:p w14:paraId="564329AD" w14:textId="77777777" w:rsidR="00465964" w:rsidRPr="00465964" w:rsidRDefault="00465964" w:rsidP="00465964">
            <w:pPr>
              <w:rPr>
                <w:lang w:val="pt-PT"/>
              </w:rPr>
            </w:pPr>
            <w:r w:rsidRPr="00465964">
              <w:rPr>
                <w:lang w:val="pt-PT"/>
              </w:rPr>
              <w:t>O emitente infringe o artigo 37.</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4, se não atuar com as devidas competência, zelo e diligência na seleção, nomeação e avaliação dos prestadores de serviços de criptoativos, das instituições de crédito e das empresas de investimento nomeados como entidades de custódia dos ativos de reserva, ou se não assegurar que a entidade responsável pela custódia seja uma pessoa coletiva diferente do emitente.</w:t>
            </w:r>
          </w:p>
        </w:tc>
      </w:tr>
    </w:tbl>
    <w:p w14:paraId="20EC0D40" w14:textId="77777777" w:rsidR="00465964" w:rsidRPr="00465964" w:rsidRDefault="00465964" w:rsidP="00465964">
      <w:pPr>
        <w:rPr>
          <w:vanish/>
          <w:lang w:val="pt-PT"/>
        </w:rPr>
      </w:pPr>
    </w:p>
    <w:tbl>
      <w:tblPr>
        <w:tblW w:w="5000" w:type="pct"/>
        <w:tblCellMar>
          <w:left w:w="0" w:type="dxa"/>
          <w:right w:w="0" w:type="dxa"/>
        </w:tblCellMar>
        <w:tblLook w:val="04A0" w:firstRow="1" w:lastRow="0" w:firstColumn="1" w:lastColumn="0" w:noHBand="0" w:noVBand="1"/>
      </w:tblPr>
      <w:tblGrid>
        <w:gridCol w:w="6"/>
        <w:gridCol w:w="298"/>
        <w:gridCol w:w="8722"/>
      </w:tblGrid>
      <w:tr w:rsidR="00465964" w:rsidRPr="00465964" w14:paraId="5B0CF282" w14:textId="77777777" w:rsidTr="00465964">
        <w:tc>
          <w:tcPr>
            <w:tcW w:w="0" w:type="auto"/>
            <w:shd w:val="clear" w:color="auto" w:fill="auto"/>
            <w:hideMark/>
          </w:tcPr>
          <w:p w14:paraId="1AC50B39" w14:textId="77777777" w:rsidR="00465964" w:rsidRPr="00465964" w:rsidRDefault="00465964" w:rsidP="00465964">
            <w:pPr>
              <w:rPr>
                <w:lang w:val="pt-PT"/>
              </w:rPr>
            </w:pPr>
          </w:p>
        </w:tc>
        <w:tc>
          <w:tcPr>
            <w:tcW w:w="0" w:type="auto"/>
            <w:shd w:val="clear" w:color="auto" w:fill="auto"/>
            <w:hideMark/>
          </w:tcPr>
          <w:p w14:paraId="144C3B50" w14:textId="77777777" w:rsidR="00465964" w:rsidRPr="00465964" w:rsidRDefault="00465964" w:rsidP="00465964">
            <w:r w:rsidRPr="00465964">
              <w:t>59.</w:t>
            </w:r>
          </w:p>
        </w:tc>
        <w:tc>
          <w:tcPr>
            <w:tcW w:w="0" w:type="auto"/>
            <w:shd w:val="clear" w:color="auto" w:fill="auto"/>
            <w:hideMark/>
          </w:tcPr>
          <w:p w14:paraId="4B8C28FB" w14:textId="77777777" w:rsidR="00465964" w:rsidRPr="00465964" w:rsidRDefault="00465964" w:rsidP="00465964">
            <w:pPr>
              <w:rPr>
                <w:lang w:val="pt-PT"/>
              </w:rPr>
            </w:pPr>
            <w:r w:rsidRPr="00465964">
              <w:rPr>
                <w:lang w:val="pt-PT"/>
              </w:rPr>
              <w:t>O emitente infringe o artigo 37.</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4, se não assegurar que os prestadores de serviços de criptoativos, as instituições de crédito e as empresas de investimento nomeados como entidades de custódia dos ativos de reserva possuem os conhecimentos especializados e a reputação no mercado necessários para atuarem nessa qualidade.</w:t>
            </w:r>
          </w:p>
        </w:tc>
      </w:tr>
    </w:tbl>
    <w:p w14:paraId="1AC05074" w14:textId="77777777" w:rsidR="00465964" w:rsidRPr="00465964" w:rsidRDefault="00465964" w:rsidP="00465964">
      <w:pPr>
        <w:rPr>
          <w:vanish/>
          <w:lang w:val="pt-PT"/>
        </w:rPr>
      </w:pPr>
    </w:p>
    <w:tbl>
      <w:tblPr>
        <w:tblW w:w="5000" w:type="pct"/>
        <w:tblCellMar>
          <w:left w:w="0" w:type="dxa"/>
          <w:right w:w="0" w:type="dxa"/>
        </w:tblCellMar>
        <w:tblLook w:val="04A0" w:firstRow="1" w:lastRow="0" w:firstColumn="1" w:lastColumn="0" w:noHBand="0" w:noVBand="1"/>
      </w:tblPr>
      <w:tblGrid>
        <w:gridCol w:w="6"/>
        <w:gridCol w:w="298"/>
        <w:gridCol w:w="8722"/>
      </w:tblGrid>
      <w:tr w:rsidR="00465964" w:rsidRPr="00465964" w14:paraId="550AD02F" w14:textId="77777777" w:rsidTr="00465964">
        <w:tc>
          <w:tcPr>
            <w:tcW w:w="0" w:type="auto"/>
            <w:shd w:val="clear" w:color="auto" w:fill="auto"/>
            <w:hideMark/>
          </w:tcPr>
          <w:p w14:paraId="5EDB22D8" w14:textId="77777777" w:rsidR="00465964" w:rsidRPr="00465964" w:rsidRDefault="00465964" w:rsidP="00465964">
            <w:pPr>
              <w:rPr>
                <w:lang w:val="pt-PT"/>
              </w:rPr>
            </w:pPr>
          </w:p>
        </w:tc>
        <w:tc>
          <w:tcPr>
            <w:tcW w:w="0" w:type="auto"/>
            <w:shd w:val="clear" w:color="auto" w:fill="auto"/>
            <w:hideMark/>
          </w:tcPr>
          <w:p w14:paraId="17D494DC" w14:textId="77777777" w:rsidR="00465964" w:rsidRPr="00465964" w:rsidRDefault="00465964" w:rsidP="00465964">
            <w:r w:rsidRPr="00465964">
              <w:t>60.</w:t>
            </w:r>
          </w:p>
        </w:tc>
        <w:tc>
          <w:tcPr>
            <w:tcW w:w="0" w:type="auto"/>
            <w:shd w:val="clear" w:color="auto" w:fill="auto"/>
            <w:hideMark/>
          </w:tcPr>
          <w:p w14:paraId="515F6DF9" w14:textId="77777777" w:rsidR="00465964" w:rsidRPr="00465964" w:rsidRDefault="00465964" w:rsidP="00465964">
            <w:pPr>
              <w:rPr>
                <w:lang w:val="pt-PT"/>
              </w:rPr>
            </w:pPr>
            <w:r w:rsidRPr="00465964">
              <w:rPr>
                <w:lang w:val="pt-PT"/>
              </w:rPr>
              <w:t>O emitente infringe o artigo 37.</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4, se não assegurar nas disposições contratuais acordadas com as entidades de custódia que os ativos de reserva detidos em custódia estejam protegidos contra créditos dos credores dessas entidades de custódia.</w:t>
            </w:r>
          </w:p>
        </w:tc>
      </w:tr>
    </w:tbl>
    <w:p w14:paraId="1AE1760A" w14:textId="77777777" w:rsidR="00465964" w:rsidRPr="00465964" w:rsidRDefault="00465964" w:rsidP="00465964">
      <w:pPr>
        <w:rPr>
          <w:vanish/>
          <w:lang w:val="pt-PT"/>
        </w:rPr>
      </w:pPr>
    </w:p>
    <w:tbl>
      <w:tblPr>
        <w:tblW w:w="5000" w:type="pct"/>
        <w:tblCellMar>
          <w:left w:w="0" w:type="dxa"/>
          <w:right w:w="0" w:type="dxa"/>
        </w:tblCellMar>
        <w:tblLook w:val="04A0" w:firstRow="1" w:lastRow="0" w:firstColumn="1" w:lastColumn="0" w:noHBand="0" w:noVBand="1"/>
      </w:tblPr>
      <w:tblGrid>
        <w:gridCol w:w="6"/>
        <w:gridCol w:w="298"/>
        <w:gridCol w:w="8722"/>
      </w:tblGrid>
      <w:tr w:rsidR="00465964" w:rsidRPr="00465964" w14:paraId="2E1B8646" w14:textId="77777777" w:rsidTr="00465964">
        <w:tc>
          <w:tcPr>
            <w:tcW w:w="0" w:type="auto"/>
            <w:shd w:val="clear" w:color="auto" w:fill="auto"/>
            <w:hideMark/>
          </w:tcPr>
          <w:p w14:paraId="567A24BD" w14:textId="77777777" w:rsidR="00465964" w:rsidRPr="00465964" w:rsidRDefault="00465964" w:rsidP="00465964">
            <w:pPr>
              <w:rPr>
                <w:lang w:val="pt-PT"/>
              </w:rPr>
            </w:pPr>
          </w:p>
        </w:tc>
        <w:tc>
          <w:tcPr>
            <w:tcW w:w="0" w:type="auto"/>
            <w:shd w:val="clear" w:color="auto" w:fill="auto"/>
            <w:hideMark/>
          </w:tcPr>
          <w:p w14:paraId="26E04EF6" w14:textId="77777777" w:rsidR="00465964" w:rsidRPr="00465964" w:rsidRDefault="00465964" w:rsidP="00465964">
            <w:r w:rsidRPr="00465964">
              <w:t>61.</w:t>
            </w:r>
          </w:p>
        </w:tc>
        <w:tc>
          <w:tcPr>
            <w:tcW w:w="0" w:type="auto"/>
            <w:shd w:val="clear" w:color="auto" w:fill="auto"/>
            <w:hideMark/>
          </w:tcPr>
          <w:p w14:paraId="06420737" w14:textId="77777777" w:rsidR="00465964" w:rsidRPr="00465964" w:rsidRDefault="00465964" w:rsidP="00465964">
            <w:pPr>
              <w:rPr>
                <w:lang w:val="pt-PT"/>
              </w:rPr>
            </w:pPr>
            <w:r w:rsidRPr="00465964">
              <w:rPr>
                <w:lang w:val="pt-PT"/>
              </w:rPr>
              <w:t>O emitente infringe o artigo 37.</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5, se não estabelecer nas políticas e procedimentos em matéria de custódia os critérios de seleção para a nomeação de prestadores de serviços de criptoativos, de instituições de crédito ou de empresas de investimento como entidades de custódia dos ativos de reserva ou se não estabelecer um procedimento de reapreciação dessa nomeação.</w:t>
            </w:r>
          </w:p>
        </w:tc>
      </w:tr>
    </w:tbl>
    <w:p w14:paraId="70FAF53B" w14:textId="77777777" w:rsidR="00465964" w:rsidRPr="00465964" w:rsidRDefault="00465964" w:rsidP="00465964">
      <w:pPr>
        <w:rPr>
          <w:vanish/>
          <w:lang w:val="pt-PT"/>
        </w:rPr>
      </w:pPr>
    </w:p>
    <w:tbl>
      <w:tblPr>
        <w:tblW w:w="5000" w:type="pct"/>
        <w:tblCellMar>
          <w:left w:w="0" w:type="dxa"/>
          <w:right w:w="0" w:type="dxa"/>
        </w:tblCellMar>
        <w:tblLook w:val="04A0" w:firstRow="1" w:lastRow="0" w:firstColumn="1" w:lastColumn="0" w:noHBand="0" w:noVBand="1"/>
      </w:tblPr>
      <w:tblGrid>
        <w:gridCol w:w="6"/>
        <w:gridCol w:w="298"/>
        <w:gridCol w:w="8722"/>
      </w:tblGrid>
      <w:tr w:rsidR="00465964" w:rsidRPr="00465964" w14:paraId="150E5638" w14:textId="77777777" w:rsidTr="00465964">
        <w:tc>
          <w:tcPr>
            <w:tcW w:w="0" w:type="auto"/>
            <w:shd w:val="clear" w:color="auto" w:fill="auto"/>
            <w:hideMark/>
          </w:tcPr>
          <w:p w14:paraId="669ED569" w14:textId="77777777" w:rsidR="00465964" w:rsidRPr="00465964" w:rsidRDefault="00465964" w:rsidP="00465964">
            <w:pPr>
              <w:rPr>
                <w:lang w:val="pt-PT"/>
              </w:rPr>
            </w:pPr>
          </w:p>
        </w:tc>
        <w:tc>
          <w:tcPr>
            <w:tcW w:w="0" w:type="auto"/>
            <w:shd w:val="clear" w:color="auto" w:fill="auto"/>
            <w:hideMark/>
          </w:tcPr>
          <w:p w14:paraId="766E1C72" w14:textId="77777777" w:rsidR="00465964" w:rsidRPr="00465964" w:rsidRDefault="00465964" w:rsidP="00465964">
            <w:r w:rsidRPr="00465964">
              <w:t>62.</w:t>
            </w:r>
          </w:p>
        </w:tc>
        <w:tc>
          <w:tcPr>
            <w:tcW w:w="0" w:type="auto"/>
            <w:shd w:val="clear" w:color="auto" w:fill="auto"/>
            <w:hideMark/>
          </w:tcPr>
          <w:p w14:paraId="7946328D" w14:textId="77777777" w:rsidR="00465964" w:rsidRPr="00465964" w:rsidRDefault="00465964" w:rsidP="00465964">
            <w:pPr>
              <w:rPr>
                <w:lang w:val="pt-PT"/>
              </w:rPr>
            </w:pPr>
            <w:r w:rsidRPr="00465964">
              <w:rPr>
                <w:lang w:val="pt-PT"/>
              </w:rPr>
              <w:t>O emitente infringe o artigo 37.</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5, se não proceder regularmente à reapreciação da nomeação de prestadores de serviços de criptoativos, de instituições de crédito ou de empresas de investimento como entidades de custódia dos ativos de reserva, se não avaliar as suas exposições a essas entidades ou se não acompanhar continuamente a situação financeira das mesmas.</w:t>
            </w:r>
          </w:p>
        </w:tc>
      </w:tr>
    </w:tbl>
    <w:p w14:paraId="620E53B8" w14:textId="77777777" w:rsidR="00465964" w:rsidRPr="00465964" w:rsidRDefault="00465964" w:rsidP="00465964">
      <w:pPr>
        <w:rPr>
          <w:vanish/>
          <w:lang w:val="pt-PT"/>
        </w:rPr>
      </w:pPr>
    </w:p>
    <w:tbl>
      <w:tblPr>
        <w:tblW w:w="5000" w:type="pct"/>
        <w:tblCellMar>
          <w:left w:w="0" w:type="dxa"/>
          <w:right w:w="0" w:type="dxa"/>
        </w:tblCellMar>
        <w:tblLook w:val="04A0" w:firstRow="1" w:lastRow="0" w:firstColumn="1" w:lastColumn="0" w:noHBand="0" w:noVBand="1"/>
      </w:tblPr>
      <w:tblGrid>
        <w:gridCol w:w="6"/>
        <w:gridCol w:w="298"/>
        <w:gridCol w:w="8722"/>
      </w:tblGrid>
      <w:tr w:rsidR="00465964" w:rsidRPr="00465964" w14:paraId="0C384ED1" w14:textId="77777777" w:rsidTr="00465964">
        <w:tc>
          <w:tcPr>
            <w:tcW w:w="0" w:type="auto"/>
            <w:shd w:val="clear" w:color="auto" w:fill="auto"/>
            <w:hideMark/>
          </w:tcPr>
          <w:p w14:paraId="5AAEAE95" w14:textId="77777777" w:rsidR="00465964" w:rsidRPr="00465964" w:rsidRDefault="00465964" w:rsidP="00465964">
            <w:pPr>
              <w:rPr>
                <w:lang w:val="pt-PT"/>
              </w:rPr>
            </w:pPr>
          </w:p>
        </w:tc>
        <w:tc>
          <w:tcPr>
            <w:tcW w:w="0" w:type="auto"/>
            <w:shd w:val="clear" w:color="auto" w:fill="auto"/>
            <w:hideMark/>
          </w:tcPr>
          <w:p w14:paraId="7A6C63D1" w14:textId="77777777" w:rsidR="00465964" w:rsidRPr="00465964" w:rsidRDefault="00465964" w:rsidP="00465964">
            <w:r w:rsidRPr="00465964">
              <w:t>63.</w:t>
            </w:r>
          </w:p>
        </w:tc>
        <w:tc>
          <w:tcPr>
            <w:tcW w:w="0" w:type="auto"/>
            <w:shd w:val="clear" w:color="auto" w:fill="auto"/>
            <w:hideMark/>
          </w:tcPr>
          <w:p w14:paraId="2B3E3307" w14:textId="77777777" w:rsidR="00465964" w:rsidRPr="00465964" w:rsidRDefault="00465964" w:rsidP="00465964">
            <w:pPr>
              <w:rPr>
                <w:lang w:val="pt-PT"/>
              </w:rPr>
            </w:pPr>
            <w:r w:rsidRPr="00465964">
              <w:rPr>
                <w:lang w:val="pt-PT"/>
              </w:rPr>
              <w:t>O emitente infringe o artigo 37.</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6, se não assegurar que a custódia dos ativos de reserva é efetuada em conformidade com o primeiro parágrafo, alíneas a) a d) do referido número.</w:t>
            </w:r>
          </w:p>
        </w:tc>
      </w:tr>
    </w:tbl>
    <w:p w14:paraId="67344F09" w14:textId="77777777" w:rsidR="00465964" w:rsidRPr="00465964" w:rsidRDefault="00465964" w:rsidP="00465964">
      <w:pPr>
        <w:rPr>
          <w:vanish/>
          <w:lang w:val="pt-PT"/>
        </w:rPr>
      </w:pPr>
    </w:p>
    <w:tbl>
      <w:tblPr>
        <w:tblW w:w="5000" w:type="pct"/>
        <w:tblCellMar>
          <w:left w:w="0" w:type="dxa"/>
          <w:right w:w="0" w:type="dxa"/>
        </w:tblCellMar>
        <w:tblLook w:val="04A0" w:firstRow="1" w:lastRow="0" w:firstColumn="1" w:lastColumn="0" w:noHBand="0" w:noVBand="1"/>
      </w:tblPr>
      <w:tblGrid>
        <w:gridCol w:w="6"/>
        <w:gridCol w:w="298"/>
        <w:gridCol w:w="8722"/>
      </w:tblGrid>
      <w:tr w:rsidR="00465964" w:rsidRPr="00465964" w14:paraId="758E8EE7" w14:textId="77777777" w:rsidTr="00465964">
        <w:tc>
          <w:tcPr>
            <w:tcW w:w="0" w:type="auto"/>
            <w:shd w:val="clear" w:color="auto" w:fill="auto"/>
            <w:hideMark/>
          </w:tcPr>
          <w:p w14:paraId="5CC9056D" w14:textId="77777777" w:rsidR="00465964" w:rsidRPr="00465964" w:rsidRDefault="00465964" w:rsidP="00465964">
            <w:pPr>
              <w:rPr>
                <w:lang w:val="pt-PT"/>
              </w:rPr>
            </w:pPr>
          </w:p>
        </w:tc>
        <w:tc>
          <w:tcPr>
            <w:tcW w:w="0" w:type="auto"/>
            <w:shd w:val="clear" w:color="auto" w:fill="auto"/>
            <w:hideMark/>
          </w:tcPr>
          <w:p w14:paraId="26E21BCA" w14:textId="77777777" w:rsidR="00465964" w:rsidRPr="00465964" w:rsidRDefault="00465964" w:rsidP="00465964">
            <w:r w:rsidRPr="00465964">
              <w:t>64.</w:t>
            </w:r>
          </w:p>
        </w:tc>
        <w:tc>
          <w:tcPr>
            <w:tcW w:w="0" w:type="auto"/>
            <w:shd w:val="clear" w:color="auto" w:fill="auto"/>
            <w:hideMark/>
          </w:tcPr>
          <w:p w14:paraId="4B50CB28" w14:textId="77777777" w:rsidR="00465964" w:rsidRPr="00465964" w:rsidRDefault="00465964" w:rsidP="00465964">
            <w:pPr>
              <w:rPr>
                <w:lang w:val="pt-PT"/>
              </w:rPr>
            </w:pPr>
            <w:r w:rsidRPr="00465964">
              <w:rPr>
                <w:lang w:val="pt-PT"/>
              </w:rPr>
              <w:t>O emitente infringe o artigo 37.</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xml:space="preserve"> 7, se a nomeação de um prestador de serviços de criptoativos, de uma instituição de crédito ou de uma empresa de investimento como entidade de custódia dos ativos de reserva não for comprovada por disposições contratuais, ou se não regular, através de tais disposições contratuais, o fluxo de informações necessárias para permitir que o emitente da </w:t>
            </w:r>
            <w:proofErr w:type="spellStart"/>
            <w:r w:rsidRPr="00465964">
              <w:rPr>
                <w:lang w:val="pt-PT"/>
              </w:rPr>
              <w:t>criptoficha</w:t>
            </w:r>
            <w:proofErr w:type="spellEnd"/>
            <w:r w:rsidRPr="00465964">
              <w:rPr>
                <w:lang w:val="pt-PT"/>
              </w:rPr>
              <w:t xml:space="preserve"> referenciada a ativos significativa, o prestador de serviços de criptoativos, a instituição de crédito e a empresa de investimento desempenhem as suas funções de entidades de custódia.</w:t>
            </w:r>
          </w:p>
        </w:tc>
      </w:tr>
    </w:tbl>
    <w:p w14:paraId="790D17CB" w14:textId="77777777" w:rsidR="00465964" w:rsidRPr="00465964" w:rsidRDefault="00465964" w:rsidP="00465964">
      <w:pPr>
        <w:rPr>
          <w:vanish/>
          <w:lang w:val="pt-PT"/>
        </w:rPr>
      </w:pPr>
    </w:p>
    <w:tbl>
      <w:tblPr>
        <w:tblW w:w="5000" w:type="pct"/>
        <w:tblCellMar>
          <w:left w:w="0" w:type="dxa"/>
          <w:right w:w="0" w:type="dxa"/>
        </w:tblCellMar>
        <w:tblLook w:val="04A0" w:firstRow="1" w:lastRow="0" w:firstColumn="1" w:lastColumn="0" w:noHBand="0" w:noVBand="1"/>
      </w:tblPr>
      <w:tblGrid>
        <w:gridCol w:w="6"/>
        <w:gridCol w:w="298"/>
        <w:gridCol w:w="8722"/>
      </w:tblGrid>
      <w:tr w:rsidR="00465964" w:rsidRPr="00465964" w14:paraId="67890D9E" w14:textId="77777777" w:rsidTr="00465964">
        <w:tc>
          <w:tcPr>
            <w:tcW w:w="0" w:type="auto"/>
            <w:shd w:val="clear" w:color="auto" w:fill="auto"/>
            <w:hideMark/>
          </w:tcPr>
          <w:p w14:paraId="0656CBE6" w14:textId="77777777" w:rsidR="00465964" w:rsidRPr="00465964" w:rsidRDefault="00465964" w:rsidP="00465964">
            <w:pPr>
              <w:rPr>
                <w:lang w:val="pt-PT"/>
              </w:rPr>
            </w:pPr>
          </w:p>
        </w:tc>
        <w:tc>
          <w:tcPr>
            <w:tcW w:w="0" w:type="auto"/>
            <w:shd w:val="clear" w:color="auto" w:fill="auto"/>
            <w:hideMark/>
          </w:tcPr>
          <w:p w14:paraId="4AD8E17D" w14:textId="77777777" w:rsidR="00465964" w:rsidRPr="00465964" w:rsidRDefault="00465964" w:rsidP="00465964">
            <w:r w:rsidRPr="00465964">
              <w:t>65.</w:t>
            </w:r>
          </w:p>
        </w:tc>
        <w:tc>
          <w:tcPr>
            <w:tcW w:w="0" w:type="auto"/>
            <w:shd w:val="clear" w:color="auto" w:fill="auto"/>
            <w:hideMark/>
          </w:tcPr>
          <w:p w14:paraId="7D4F5551" w14:textId="77777777" w:rsidR="00465964" w:rsidRPr="00465964" w:rsidRDefault="00465964" w:rsidP="00465964">
            <w:pPr>
              <w:rPr>
                <w:lang w:val="pt-PT"/>
              </w:rPr>
            </w:pPr>
            <w:r w:rsidRPr="00465964">
              <w:rPr>
                <w:lang w:val="pt-PT"/>
              </w:rPr>
              <w:t>O emitente infringe o artigo 38.</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1, se investir a reserva de ativos em quaisquer produtos que não sejam instrumentos financeiros de elevada liquidez com um risco de mercado, um risco de crédito e um risco de concentração mínimos, ou se esses investimentos não puderem ser rapidamente liquidados com efeitos mínimos sobre o preço.</w:t>
            </w:r>
          </w:p>
        </w:tc>
      </w:tr>
    </w:tbl>
    <w:p w14:paraId="0FDC56B8" w14:textId="77777777" w:rsidR="00465964" w:rsidRPr="00465964" w:rsidRDefault="00465964" w:rsidP="00465964">
      <w:pPr>
        <w:rPr>
          <w:vanish/>
          <w:lang w:val="pt-PT"/>
        </w:rPr>
      </w:pPr>
    </w:p>
    <w:tbl>
      <w:tblPr>
        <w:tblW w:w="5000" w:type="pct"/>
        <w:tblCellMar>
          <w:left w:w="0" w:type="dxa"/>
          <w:right w:w="0" w:type="dxa"/>
        </w:tblCellMar>
        <w:tblLook w:val="04A0" w:firstRow="1" w:lastRow="0" w:firstColumn="1" w:lastColumn="0" w:noHBand="0" w:noVBand="1"/>
      </w:tblPr>
      <w:tblGrid>
        <w:gridCol w:w="6"/>
        <w:gridCol w:w="298"/>
        <w:gridCol w:w="8722"/>
      </w:tblGrid>
      <w:tr w:rsidR="00465964" w:rsidRPr="00465964" w14:paraId="5399AE32" w14:textId="77777777" w:rsidTr="00465964">
        <w:tc>
          <w:tcPr>
            <w:tcW w:w="0" w:type="auto"/>
            <w:shd w:val="clear" w:color="auto" w:fill="auto"/>
            <w:hideMark/>
          </w:tcPr>
          <w:p w14:paraId="12F78F0A" w14:textId="77777777" w:rsidR="00465964" w:rsidRPr="00465964" w:rsidRDefault="00465964" w:rsidP="00465964">
            <w:pPr>
              <w:rPr>
                <w:lang w:val="pt-PT"/>
              </w:rPr>
            </w:pPr>
          </w:p>
        </w:tc>
        <w:tc>
          <w:tcPr>
            <w:tcW w:w="0" w:type="auto"/>
            <w:shd w:val="clear" w:color="auto" w:fill="auto"/>
            <w:hideMark/>
          </w:tcPr>
          <w:p w14:paraId="3E371CF8" w14:textId="77777777" w:rsidR="00465964" w:rsidRPr="00465964" w:rsidRDefault="00465964" w:rsidP="00465964">
            <w:r w:rsidRPr="00465964">
              <w:t>66.</w:t>
            </w:r>
          </w:p>
        </w:tc>
        <w:tc>
          <w:tcPr>
            <w:tcW w:w="0" w:type="auto"/>
            <w:shd w:val="clear" w:color="auto" w:fill="auto"/>
            <w:hideMark/>
          </w:tcPr>
          <w:p w14:paraId="635F219F" w14:textId="77777777" w:rsidR="00465964" w:rsidRPr="00465964" w:rsidRDefault="00465964" w:rsidP="00465964">
            <w:pPr>
              <w:rPr>
                <w:lang w:val="pt-PT"/>
              </w:rPr>
            </w:pPr>
            <w:r w:rsidRPr="00465964">
              <w:rPr>
                <w:lang w:val="pt-PT"/>
              </w:rPr>
              <w:t>O emitente infringe o artigo 38.</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3, se não detiver em custódia, em conformidade com o artigo 37.</w:t>
            </w:r>
            <w:r w:rsidRPr="00465964">
              <w:rPr>
                <w:vertAlign w:val="superscript"/>
                <w:lang w:val="pt-PT"/>
              </w:rPr>
              <w:t>o</w:t>
            </w:r>
            <w:r w:rsidRPr="00465964">
              <w:rPr>
                <w:lang w:val="pt-PT"/>
              </w:rPr>
              <w:t>, os instrumentos financeiros em que a reserva de ativos está investida.</w:t>
            </w:r>
          </w:p>
        </w:tc>
      </w:tr>
    </w:tbl>
    <w:p w14:paraId="49BCA169" w14:textId="77777777" w:rsidR="00465964" w:rsidRPr="00465964" w:rsidRDefault="00465964" w:rsidP="00465964">
      <w:pPr>
        <w:rPr>
          <w:vanish/>
          <w:lang w:val="pt-PT"/>
        </w:rPr>
      </w:pPr>
    </w:p>
    <w:tbl>
      <w:tblPr>
        <w:tblW w:w="5000" w:type="pct"/>
        <w:tblCellMar>
          <w:left w:w="0" w:type="dxa"/>
          <w:right w:w="0" w:type="dxa"/>
        </w:tblCellMar>
        <w:tblLook w:val="04A0" w:firstRow="1" w:lastRow="0" w:firstColumn="1" w:lastColumn="0" w:noHBand="0" w:noVBand="1"/>
      </w:tblPr>
      <w:tblGrid>
        <w:gridCol w:w="6"/>
        <w:gridCol w:w="298"/>
        <w:gridCol w:w="8722"/>
      </w:tblGrid>
      <w:tr w:rsidR="00465964" w:rsidRPr="00465964" w14:paraId="3DC08929" w14:textId="77777777" w:rsidTr="00465964">
        <w:tc>
          <w:tcPr>
            <w:tcW w:w="0" w:type="auto"/>
            <w:shd w:val="clear" w:color="auto" w:fill="auto"/>
            <w:hideMark/>
          </w:tcPr>
          <w:p w14:paraId="64890C8A" w14:textId="77777777" w:rsidR="00465964" w:rsidRPr="00465964" w:rsidRDefault="00465964" w:rsidP="00465964">
            <w:pPr>
              <w:rPr>
                <w:lang w:val="pt-PT"/>
              </w:rPr>
            </w:pPr>
          </w:p>
        </w:tc>
        <w:tc>
          <w:tcPr>
            <w:tcW w:w="0" w:type="auto"/>
            <w:shd w:val="clear" w:color="auto" w:fill="auto"/>
            <w:hideMark/>
          </w:tcPr>
          <w:p w14:paraId="78B2EA56" w14:textId="77777777" w:rsidR="00465964" w:rsidRPr="00465964" w:rsidRDefault="00465964" w:rsidP="00465964">
            <w:r w:rsidRPr="00465964">
              <w:t>67.</w:t>
            </w:r>
          </w:p>
        </w:tc>
        <w:tc>
          <w:tcPr>
            <w:tcW w:w="0" w:type="auto"/>
            <w:shd w:val="clear" w:color="auto" w:fill="auto"/>
            <w:hideMark/>
          </w:tcPr>
          <w:p w14:paraId="02D4EE24" w14:textId="77777777" w:rsidR="00465964" w:rsidRPr="00465964" w:rsidRDefault="00465964" w:rsidP="00465964">
            <w:pPr>
              <w:rPr>
                <w:lang w:val="pt-PT"/>
              </w:rPr>
            </w:pPr>
            <w:r w:rsidRPr="00465964">
              <w:rPr>
                <w:lang w:val="pt-PT"/>
              </w:rPr>
              <w:t>O emitente infringe o artigo 38.</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4, se não suportar todos os ganhos e perdas e quaisquer riscos de contraparte ou operacionais resultantes do investimento da reserva de ativos.</w:t>
            </w:r>
          </w:p>
        </w:tc>
      </w:tr>
    </w:tbl>
    <w:p w14:paraId="1E5AB893" w14:textId="77777777" w:rsidR="00465964" w:rsidRPr="00465964" w:rsidRDefault="00465964" w:rsidP="00465964">
      <w:pPr>
        <w:rPr>
          <w:vanish/>
          <w:lang w:val="pt-PT"/>
        </w:rPr>
      </w:pPr>
    </w:p>
    <w:tbl>
      <w:tblPr>
        <w:tblW w:w="5000" w:type="pct"/>
        <w:tblCellMar>
          <w:left w:w="0" w:type="dxa"/>
          <w:right w:w="0" w:type="dxa"/>
        </w:tblCellMar>
        <w:tblLook w:val="04A0" w:firstRow="1" w:lastRow="0" w:firstColumn="1" w:lastColumn="0" w:noHBand="0" w:noVBand="1"/>
      </w:tblPr>
      <w:tblGrid>
        <w:gridCol w:w="6"/>
        <w:gridCol w:w="298"/>
        <w:gridCol w:w="8722"/>
      </w:tblGrid>
      <w:tr w:rsidR="00465964" w:rsidRPr="00465964" w14:paraId="7B959373" w14:textId="77777777" w:rsidTr="00465964">
        <w:tc>
          <w:tcPr>
            <w:tcW w:w="0" w:type="auto"/>
            <w:shd w:val="clear" w:color="auto" w:fill="auto"/>
            <w:hideMark/>
          </w:tcPr>
          <w:p w14:paraId="19679F3E" w14:textId="77777777" w:rsidR="00465964" w:rsidRPr="00465964" w:rsidRDefault="00465964" w:rsidP="00465964">
            <w:pPr>
              <w:rPr>
                <w:lang w:val="pt-PT"/>
              </w:rPr>
            </w:pPr>
          </w:p>
        </w:tc>
        <w:tc>
          <w:tcPr>
            <w:tcW w:w="0" w:type="auto"/>
            <w:shd w:val="clear" w:color="auto" w:fill="auto"/>
            <w:hideMark/>
          </w:tcPr>
          <w:p w14:paraId="3754DE12" w14:textId="77777777" w:rsidR="00465964" w:rsidRPr="00465964" w:rsidRDefault="00465964" w:rsidP="00465964">
            <w:r w:rsidRPr="00465964">
              <w:t>68.</w:t>
            </w:r>
          </w:p>
        </w:tc>
        <w:tc>
          <w:tcPr>
            <w:tcW w:w="0" w:type="auto"/>
            <w:shd w:val="clear" w:color="auto" w:fill="auto"/>
            <w:hideMark/>
          </w:tcPr>
          <w:p w14:paraId="4DD83C7E" w14:textId="77777777" w:rsidR="00465964" w:rsidRPr="00465964" w:rsidRDefault="00465964" w:rsidP="00465964">
            <w:pPr>
              <w:rPr>
                <w:lang w:val="pt-PT"/>
              </w:rPr>
            </w:pPr>
            <w:r w:rsidRPr="00465964">
              <w:rPr>
                <w:lang w:val="pt-PT"/>
              </w:rPr>
              <w:t>O emitente infringe o artigo 39.</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xml:space="preserve"> 1, se não estabelecer, mantiver e aplicar políticas e procedimentos claros e pormenorizados no que respeita aos direitos de reembolso permanentes dos detentores da </w:t>
            </w:r>
            <w:proofErr w:type="spellStart"/>
            <w:r w:rsidRPr="00465964">
              <w:rPr>
                <w:lang w:val="pt-PT"/>
              </w:rPr>
              <w:t>criptoficha</w:t>
            </w:r>
            <w:proofErr w:type="spellEnd"/>
            <w:r w:rsidRPr="00465964">
              <w:rPr>
                <w:lang w:val="pt-PT"/>
              </w:rPr>
              <w:t xml:space="preserve"> referenciada a ativos significativa.</w:t>
            </w:r>
          </w:p>
        </w:tc>
      </w:tr>
    </w:tbl>
    <w:p w14:paraId="34468F46" w14:textId="77777777" w:rsidR="00465964" w:rsidRPr="00465964" w:rsidRDefault="00465964" w:rsidP="00465964">
      <w:pPr>
        <w:rPr>
          <w:vanish/>
          <w:lang w:val="pt-PT"/>
        </w:rPr>
      </w:pPr>
    </w:p>
    <w:tbl>
      <w:tblPr>
        <w:tblW w:w="5000" w:type="pct"/>
        <w:tblCellMar>
          <w:left w:w="0" w:type="dxa"/>
          <w:right w:w="0" w:type="dxa"/>
        </w:tblCellMar>
        <w:tblLook w:val="04A0" w:firstRow="1" w:lastRow="0" w:firstColumn="1" w:lastColumn="0" w:noHBand="0" w:noVBand="1"/>
      </w:tblPr>
      <w:tblGrid>
        <w:gridCol w:w="6"/>
        <w:gridCol w:w="298"/>
        <w:gridCol w:w="8722"/>
      </w:tblGrid>
      <w:tr w:rsidR="00465964" w:rsidRPr="00465964" w14:paraId="4F351892" w14:textId="77777777" w:rsidTr="00465964">
        <w:tc>
          <w:tcPr>
            <w:tcW w:w="0" w:type="auto"/>
            <w:shd w:val="clear" w:color="auto" w:fill="auto"/>
            <w:hideMark/>
          </w:tcPr>
          <w:p w14:paraId="11F34ADF" w14:textId="77777777" w:rsidR="00465964" w:rsidRPr="00465964" w:rsidRDefault="00465964" w:rsidP="00465964">
            <w:pPr>
              <w:rPr>
                <w:lang w:val="pt-PT"/>
              </w:rPr>
            </w:pPr>
          </w:p>
        </w:tc>
        <w:tc>
          <w:tcPr>
            <w:tcW w:w="0" w:type="auto"/>
            <w:shd w:val="clear" w:color="auto" w:fill="auto"/>
            <w:hideMark/>
          </w:tcPr>
          <w:p w14:paraId="3D8C09B4" w14:textId="77777777" w:rsidR="00465964" w:rsidRPr="00465964" w:rsidRDefault="00465964" w:rsidP="00465964">
            <w:r w:rsidRPr="00465964">
              <w:t>69.</w:t>
            </w:r>
          </w:p>
        </w:tc>
        <w:tc>
          <w:tcPr>
            <w:tcW w:w="0" w:type="auto"/>
            <w:shd w:val="clear" w:color="auto" w:fill="auto"/>
            <w:hideMark/>
          </w:tcPr>
          <w:p w14:paraId="405D1D2D" w14:textId="77777777" w:rsidR="00465964" w:rsidRPr="00465964" w:rsidRDefault="00465964" w:rsidP="00465964">
            <w:pPr>
              <w:rPr>
                <w:lang w:val="pt-PT"/>
              </w:rPr>
            </w:pPr>
            <w:r w:rsidRPr="00465964">
              <w:rPr>
                <w:lang w:val="pt-PT"/>
              </w:rPr>
              <w:t xml:space="preserve">O emitente infringe o artigo </w:t>
            </w:r>
            <w:proofErr w:type="gramStart"/>
            <w:r w:rsidRPr="00465964">
              <w:rPr>
                <w:lang w:val="pt-PT"/>
              </w:rPr>
              <w:t>39.</w:t>
            </w:r>
            <w:r w:rsidRPr="00465964">
              <w:rPr>
                <w:vertAlign w:val="superscript"/>
                <w:lang w:val="pt-PT"/>
              </w:rPr>
              <w:t>o</w:t>
            </w:r>
            <w:proofErr w:type="gramEnd"/>
            <w:r w:rsidRPr="00465964">
              <w:rPr>
                <w:lang w:val="pt-PT"/>
              </w:rPr>
              <w:t xml:space="preserve">, </w:t>
            </w:r>
            <w:proofErr w:type="spellStart"/>
            <w:r w:rsidRPr="00465964">
              <w:rPr>
                <w:lang w:val="pt-PT"/>
              </w:rPr>
              <w:t>n.</w:t>
            </w:r>
            <w:r w:rsidRPr="00465964">
              <w:rPr>
                <w:vertAlign w:val="superscript"/>
                <w:lang w:val="pt-PT"/>
              </w:rPr>
              <w:t>os</w:t>
            </w:r>
            <w:proofErr w:type="spellEnd"/>
            <w:r w:rsidRPr="00465964">
              <w:rPr>
                <w:lang w:val="pt-PT"/>
              </w:rPr>
              <w:t xml:space="preserve"> 1 e 2, se não assegurar aos detentores da </w:t>
            </w:r>
            <w:proofErr w:type="spellStart"/>
            <w:r w:rsidRPr="00465964">
              <w:rPr>
                <w:lang w:val="pt-PT"/>
              </w:rPr>
              <w:t>criptoficha</w:t>
            </w:r>
            <w:proofErr w:type="spellEnd"/>
            <w:r w:rsidRPr="00465964">
              <w:rPr>
                <w:lang w:val="pt-PT"/>
              </w:rPr>
              <w:t xml:space="preserve"> referenciada a ativos significativa direitos de reembolso permanente em conformidade com os números acima referidos, e se não estabelecer uma política em matéria destes direitos de reembolso permanente que satisfaça as condições enumeradas no artigo 39.</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2, primeiro parágrafo, alíneas a) a e).</w:t>
            </w:r>
          </w:p>
        </w:tc>
      </w:tr>
    </w:tbl>
    <w:p w14:paraId="42FC6EFB" w14:textId="77777777" w:rsidR="00465964" w:rsidRPr="00465964" w:rsidRDefault="00465964" w:rsidP="00465964">
      <w:pPr>
        <w:rPr>
          <w:vanish/>
          <w:lang w:val="pt-PT"/>
        </w:rPr>
      </w:pPr>
    </w:p>
    <w:tbl>
      <w:tblPr>
        <w:tblW w:w="5000" w:type="pct"/>
        <w:tblCellMar>
          <w:left w:w="0" w:type="dxa"/>
          <w:right w:w="0" w:type="dxa"/>
        </w:tblCellMar>
        <w:tblLook w:val="04A0" w:firstRow="1" w:lastRow="0" w:firstColumn="1" w:lastColumn="0" w:noHBand="0" w:noVBand="1"/>
      </w:tblPr>
      <w:tblGrid>
        <w:gridCol w:w="6"/>
        <w:gridCol w:w="298"/>
        <w:gridCol w:w="8722"/>
      </w:tblGrid>
      <w:tr w:rsidR="00465964" w:rsidRPr="00465964" w14:paraId="6E9AE033" w14:textId="77777777" w:rsidTr="00465964">
        <w:tc>
          <w:tcPr>
            <w:tcW w:w="0" w:type="auto"/>
            <w:shd w:val="clear" w:color="auto" w:fill="auto"/>
            <w:hideMark/>
          </w:tcPr>
          <w:p w14:paraId="693A7A22" w14:textId="77777777" w:rsidR="00465964" w:rsidRPr="00465964" w:rsidRDefault="00465964" w:rsidP="00465964">
            <w:pPr>
              <w:rPr>
                <w:lang w:val="pt-PT"/>
              </w:rPr>
            </w:pPr>
          </w:p>
        </w:tc>
        <w:tc>
          <w:tcPr>
            <w:tcW w:w="0" w:type="auto"/>
            <w:shd w:val="clear" w:color="auto" w:fill="auto"/>
            <w:hideMark/>
          </w:tcPr>
          <w:p w14:paraId="036C5A39" w14:textId="77777777" w:rsidR="00465964" w:rsidRPr="00465964" w:rsidRDefault="00465964" w:rsidP="00465964">
            <w:r w:rsidRPr="00465964">
              <w:t>70.</w:t>
            </w:r>
          </w:p>
        </w:tc>
        <w:tc>
          <w:tcPr>
            <w:tcW w:w="0" w:type="auto"/>
            <w:shd w:val="clear" w:color="auto" w:fill="auto"/>
            <w:hideMark/>
          </w:tcPr>
          <w:p w14:paraId="6ECDF773" w14:textId="77777777" w:rsidR="00465964" w:rsidRPr="00465964" w:rsidRDefault="00465964" w:rsidP="00465964">
            <w:pPr>
              <w:rPr>
                <w:lang w:val="pt-PT"/>
              </w:rPr>
            </w:pPr>
            <w:r w:rsidRPr="00465964">
              <w:rPr>
                <w:lang w:val="pt-PT"/>
              </w:rPr>
              <w:t>O emitente infringe o artigo 39.</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xml:space="preserve"> 3, se aplicar comissões em caso de reembolso da </w:t>
            </w:r>
            <w:proofErr w:type="spellStart"/>
            <w:r w:rsidRPr="00465964">
              <w:rPr>
                <w:lang w:val="pt-PT"/>
              </w:rPr>
              <w:t>criptoficha</w:t>
            </w:r>
            <w:proofErr w:type="spellEnd"/>
            <w:r w:rsidRPr="00465964">
              <w:rPr>
                <w:lang w:val="pt-PT"/>
              </w:rPr>
              <w:t xml:space="preserve"> referenciada a ativos significativa.</w:t>
            </w:r>
          </w:p>
        </w:tc>
      </w:tr>
    </w:tbl>
    <w:p w14:paraId="4697F43F" w14:textId="77777777" w:rsidR="00465964" w:rsidRPr="00465964" w:rsidRDefault="00465964" w:rsidP="00465964">
      <w:pPr>
        <w:rPr>
          <w:vanish/>
          <w:lang w:val="pt-PT"/>
        </w:rPr>
      </w:pPr>
    </w:p>
    <w:tbl>
      <w:tblPr>
        <w:tblW w:w="5000" w:type="pct"/>
        <w:tblCellMar>
          <w:left w:w="0" w:type="dxa"/>
          <w:right w:w="0" w:type="dxa"/>
        </w:tblCellMar>
        <w:tblLook w:val="04A0" w:firstRow="1" w:lastRow="0" w:firstColumn="1" w:lastColumn="0" w:noHBand="0" w:noVBand="1"/>
      </w:tblPr>
      <w:tblGrid>
        <w:gridCol w:w="6"/>
        <w:gridCol w:w="298"/>
        <w:gridCol w:w="8722"/>
      </w:tblGrid>
      <w:tr w:rsidR="00465964" w:rsidRPr="00465964" w14:paraId="3A4AA364" w14:textId="77777777" w:rsidTr="00465964">
        <w:tc>
          <w:tcPr>
            <w:tcW w:w="0" w:type="auto"/>
            <w:shd w:val="clear" w:color="auto" w:fill="auto"/>
            <w:hideMark/>
          </w:tcPr>
          <w:p w14:paraId="4E81E822" w14:textId="77777777" w:rsidR="00465964" w:rsidRPr="00465964" w:rsidRDefault="00465964" w:rsidP="00465964">
            <w:pPr>
              <w:rPr>
                <w:lang w:val="pt-PT"/>
              </w:rPr>
            </w:pPr>
          </w:p>
        </w:tc>
        <w:tc>
          <w:tcPr>
            <w:tcW w:w="0" w:type="auto"/>
            <w:shd w:val="clear" w:color="auto" w:fill="auto"/>
            <w:hideMark/>
          </w:tcPr>
          <w:p w14:paraId="68B3329F" w14:textId="77777777" w:rsidR="00465964" w:rsidRPr="00465964" w:rsidRDefault="00465964" w:rsidP="00465964">
            <w:r w:rsidRPr="00465964">
              <w:t>71.</w:t>
            </w:r>
          </w:p>
        </w:tc>
        <w:tc>
          <w:tcPr>
            <w:tcW w:w="0" w:type="auto"/>
            <w:shd w:val="clear" w:color="auto" w:fill="auto"/>
            <w:hideMark/>
          </w:tcPr>
          <w:p w14:paraId="3DA9E889" w14:textId="77777777" w:rsidR="00465964" w:rsidRPr="00465964" w:rsidRDefault="00465964" w:rsidP="00465964">
            <w:pPr>
              <w:rPr>
                <w:lang w:val="pt-PT"/>
              </w:rPr>
            </w:pPr>
            <w:r w:rsidRPr="00465964">
              <w:rPr>
                <w:lang w:val="pt-PT"/>
              </w:rPr>
              <w:t>O emitente infringe o artigo 40.</w:t>
            </w:r>
            <w:r w:rsidRPr="00465964">
              <w:rPr>
                <w:vertAlign w:val="superscript"/>
                <w:lang w:val="pt-PT"/>
              </w:rPr>
              <w:t>o</w:t>
            </w:r>
            <w:r w:rsidRPr="00465964">
              <w:rPr>
                <w:lang w:val="pt-PT"/>
              </w:rPr>
              <w:t xml:space="preserve"> se conceder juros em relação à </w:t>
            </w:r>
            <w:proofErr w:type="spellStart"/>
            <w:r w:rsidRPr="00465964">
              <w:rPr>
                <w:lang w:val="pt-PT"/>
              </w:rPr>
              <w:t>criptoficha</w:t>
            </w:r>
            <w:proofErr w:type="spellEnd"/>
            <w:r w:rsidRPr="00465964">
              <w:rPr>
                <w:lang w:val="pt-PT"/>
              </w:rPr>
              <w:t xml:space="preserve"> referenciada a ativos significativa.</w:t>
            </w:r>
          </w:p>
        </w:tc>
      </w:tr>
    </w:tbl>
    <w:p w14:paraId="5C6B0214" w14:textId="77777777" w:rsidR="00465964" w:rsidRPr="00465964" w:rsidRDefault="00465964" w:rsidP="00465964">
      <w:pPr>
        <w:rPr>
          <w:vanish/>
          <w:lang w:val="pt-PT"/>
        </w:rPr>
      </w:pPr>
    </w:p>
    <w:tbl>
      <w:tblPr>
        <w:tblW w:w="5000" w:type="pct"/>
        <w:tblCellMar>
          <w:left w:w="0" w:type="dxa"/>
          <w:right w:w="0" w:type="dxa"/>
        </w:tblCellMar>
        <w:tblLook w:val="04A0" w:firstRow="1" w:lastRow="0" w:firstColumn="1" w:lastColumn="0" w:noHBand="0" w:noVBand="1"/>
      </w:tblPr>
      <w:tblGrid>
        <w:gridCol w:w="6"/>
        <w:gridCol w:w="298"/>
        <w:gridCol w:w="8722"/>
      </w:tblGrid>
      <w:tr w:rsidR="00465964" w:rsidRPr="00465964" w14:paraId="13E9D932" w14:textId="77777777" w:rsidTr="00465964">
        <w:tc>
          <w:tcPr>
            <w:tcW w:w="0" w:type="auto"/>
            <w:shd w:val="clear" w:color="auto" w:fill="auto"/>
            <w:hideMark/>
          </w:tcPr>
          <w:p w14:paraId="103B8F70" w14:textId="77777777" w:rsidR="00465964" w:rsidRPr="00465964" w:rsidRDefault="00465964" w:rsidP="00465964">
            <w:pPr>
              <w:rPr>
                <w:lang w:val="pt-PT"/>
              </w:rPr>
            </w:pPr>
          </w:p>
        </w:tc>
        <w:tc>
          <w:tcPr>
            <w:tcW w:w="0" w:type="auto"/>
            <w:shd w:val="clear" w:color="auto" w:fill="auto"/>
            <w:hideMark/>
          </w:tcPr>
          <w:p w14:paraId="57FA6AD1" w14:textId="77777777" w:rsidR="00465964" w:rsidRPr="00465964" w:rsidRDefault="00465964" w:rsidP="00465964">
            <w:r w:rsidRPr="00465964">
              <w:t>72.</w:t>
            </w:r>
          </w:p>
        </w:tc>
        <w:tc>
          <w:tcPr>
            <w:tcW w:w="0" w:type="auto"/>
            <w:shd w:val="clear" w:color="auto" w:fill="auto"/>
            <w:hideMark/>
          </w:tcPr>
          <w:p w14:paraId="3CE0B76E" w14:textId="6D059AE8" w:rsidR="00465964" w:rsidRPr="00465964" w:rsidRDefault="00465964" w:rsidP="00465964">
            <w:pPr>
              <w:rPr>
                <w:lang w:val="pt-PT"/>
              </w:rPr>
            </w:pPr>
            <w:r w:rsidRPr="00465964">
              <w:rPr>
                <w:lang w:val="pt-PT"/>
              </w:rPr>
              <w:t>O emitente infringe o artigo 45.</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xml:space="preserve"> 1, se não adotar, aplicar e mantiver uma política de remunerações que promova uma gestão de riscos sólida e eficaz dos emitentes de </w:t>
            </w:r>
            <w:r>
              <w:rPr>
                <w:lang w:val="pt-PT"/>
              </w:rPr>
              <w:t>criptomoedas</w:t>
            </w:r>
            <w:r w:rsidRPr="00465964">
              <w:rPr>
                <w:lang w:val="pt-PT"/>
              </w:rPr>
              <w:t xml:space="preserve"> referenciadas a ativos significativas e que não crie incentivos à adoção de normas menos rigorosas em matéria de risco.</w:t>
            </w:r>
          </w:p>
        </w:tc>
      </w:tr>
    </w:tbl>
    <w:p w14:paraId="0D3E0BAA" w14:textId="77777777" w:rsidR="00465964" w:rsidRPr="00465964" w:rsidRDefault="00465964" w:rsidP="00465964">
      <w:pPr>
        <w:rPr>
          <w:vanish/>
          <w:lang w:val="pt-PT"/>
        </w:rPr>
      </w:pPr>
    </w:p>
    <w:tbl>
      <w:tblPr>
        <w:tblW w:w="5000" w:type="pct"/>
        <w:tblCellMar>
          <w:left w:w="0" w:type="dxa"/>
          <w:right w:w="0" w:type="dxa"/>
        </w:tblCellMar>
        <w:tblLook w:val="04A0" w:firstRow="1" w:lastRow="0" w:firstColumn="1" w:lastColumn="0" w:noHBand="0" w:noVBand="1"/>
      </w:tblPr>
      <w:tblGrid>
        <w:gridCol w:w="6"/>
        <w:gridCol w:w="298"/>
        <w:gridCol w:w="8722"/>
      </w:tblGrid>
      <w:tr w:rsidR="00465964" w:rsidRPr="00465964" w14:paraId="273C1450" w14:textId="77777777" w:rsidTr="00465964">
        <w:tc>
          <w:tcPr>
            <w:tcW w:w="0" w:type="auto"/>
            <w:shd w:val="clear" w:color="auto" w:fill="auto"/>
            <w:hideMark/>
          </w:tcPr>
          <w:p w14:paraId="20522A96" w14:textId="77777777" w:rsidR="00465964" w:rsidRPr="00465964" w:rsidRDefault="00465964" w:rsidP="00465964">
            <w:pPr>
              <w:rPr>
                <w:lang w:val="pt-PT"/>
              </w:rPr>
            </w:pPr>
          </w:p>
        </w:tc>
        <w:tc>
          <w:tcPr>
            <w:tcW w:w="0" w:type="auto"/>
            <w:shd w:val="clear" w:color="auto" w:fill="auto"/>
            <w:hideMark/>
          </w:tcPr>
          <w:p w14:paraId="0B388E51" w14:textId="77777777" w:rsidR="00465964" w:rsidRPr="00465964" w:rsidRDefault="00465964" w:rsidP="00465964">
            <w:r w:rsidRPr="00465964">
              <w:t>73.</w:t>
            </w:r>
          </w:p>
        </w:tc>
        <w:tc>
          <w:tcPr>
            <w:tcW w:w="0" w:type="auto"/>
            <w:shd w:val="clear" w:color="auto" w:fill="auto"/>
            <w:hideMark/>
          </w:tcPr>
          <w:p w14:paraId="13B87A64" w14:textId="31034EE7" w:rsidR="00465964" w:rsidRPr="00465964" w:rsidRDefault="00465964" w:rsidP="00465964">
            <w:pPr>
              <w:rPr>
                <w:lang w:val="pt-PT"/>
              </w:rPr>
            </w:pPr>
            <w:r w:rsidRPr="00465964">
              <w:rPr>
                <w:lang w:val="pt-PT"/>
              </w:rPr>
              <w:t>O emitente infringe o artigo 45.</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xml:space="preserve"> 2, se não assegurar que as suas </w:t>
            </w:r>
            <w:r>
              <w:rPr>
                <w:lang w:val="pt-PT"/>
              </w:rPr>
              <w:t>criptomoedas</w:t>
            </w:r>
            <w:r w:rsidRPr="00465964">
              <w:rPr>
                <w:lang w:val="pt-PT"/>
              </w:rPr>
              <w:t xml:space="preserve"> referenciadas a ativos significativas possam ser detidas em custódia por diferentes prestadores de serviços de criptoativos autorizados a prestar serviços de custódia e administração de criptoativos em nome de clientes, numa base equitativa, razoável e não discriminatória.</w:t>
            </w:r>
          </w:p>
        </w:tc>
      </w:tr>
    </w:tbl>
    <w:p w14:paraId="46E40D90" w14:textId="77777777" w:rsidR="00465964" w:rsidRPr="00465964" w:rsidRDefault="00465964" w:rsidP="00465964">
      <w:pPr>
        <w:rPr>
          <w:vanish/>
          <w:lang w:val="pt-PT"/>
        </w:rPr>
      </w:pPr>
    </w:p>
    <w:tbl>
      <w:tblPr>
        <w:tblW w:w="5000" w:type="pct"/>
        <w:tblCellMar>
          <w:left w:w="0" w:type="dxa"/>
          <w:right w:w="0" w:type="dxa"/>
        </w:tblCellMar>
        <w:tblLook w:val="04A0" w:firstRow="1" w:lastRow="0" w:firstColumn="1" w:lastColumn="0" w:noHBand="0" w:noVBand="1"/>
      </w:tblPr>
      <w:tblGrid>
        <w:gridCol w:w="6"/>
        <w:gridCol w:w="298"/>
        <w:gridCol w:w="8722"/>
      </w:tblGrid>
      <w:tr w:rsidR="00465964" w:rsidRPr="00465964" w14:paraId="23EB769C" w14:textId="77777777" w:rsidTr="00465964">
        <w:tc>
          <w:tcPr>
            <w:tcW w:w="0" w:type="auto"/>
            <w:shd w:val="clear" w:color="auto" w:fill="auto"/>
            <w:hideMark/>
          </w:tcPr>
          <w:p w14:paraId="35E9389C" w14:textId="77777777" w:rsidR="00465964" w:rsidRPr="00465964" w:rsidRDefault="00465964" w:rsidP="00465964">
            <w:pPr>
              <w:rPr>
                <w:lang w:val="pt-PT"/>
              </w:rPr>
            </w:pPr>
          </w:p>
        </w:tc>
        <w:tc>
          <w:tcPr>
            <w:tcW w:w="0" w:type="auto"/>
            <w:shd w:val="clear" w:color="auto" w:fill="auto"/>
            <w:hideMark/>
          </w:tcPr>
          <w:p w14:paraId="4F2D96B5" w14:textId="77777777" w:rsidR="00465964" w:rsidRPr="00465964" w:rsidRDefault="00465964" w:rsidP="00465964">
            <w:r w:rsidRPr="00465964">
              <w:t>74.</w:t>
            </w:r>
          </w:p>
        </w:tc>
        <w:tc>
          <w:tcPr>
            <w:tcW w:w="0" w:type="auto"/>
            <w:shd w:val="clear" w:color="auto" w:fill="auto"/>
            <w:hideMark/>
          </w:tcPr>
          <w:p w14:paraId="22FB7606" w14:textId="77777777" w:rsidR="00465964" w:rsidRPr="00465964" w:rsidRDefault="00465964" w:rsidP="00465964">
            <w:pPr>
              <w:rPr>
                <w:lang w:val="pt-PT"/>
              </w:rPr>
            </w:pPr>
            <w:r w:rsidRPr="00465964">
              <w:rPr>
                <w:lang w:val="pt-PT"/>
              </w:rPr>
              <w:t>O emitente infringe o artigo 45.</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xml:space="preserve"> 3, se não avaliar ou vigiar as necessidades de liquidez para satisfazer os pedidos de reembolso dos detentores da </w:t>
            </w:r>
            <w:proofErr w:type="spellStart"/>
            <w:r w:rsidRPr="00465964">
              <w:rPr>
                <w:lang w:val="pt-PT"/>
              </w:rPr>
              <w:t>criptoficha</w:t>
            </w:r>
            <w:proofErr w:type="spellEnd"/>
            <w:r w:rsidRPr="00465964">
              <w:rPr>
                <w:lang w:val="pt-PT"/>
              </w:rPr>
              <w:t xml:space="preserve"> referenciada a ativos significativa.</w:t>
            </w:r>
          </w:p>
        </w:tc>
      </w:tr>
    </w:tbl>
    <w:p w14:paraId="1B31FB84" w14:textId="77777777" w:rsidR="00465964" w:rsidRPr="00465964" w:rsidRDefault="00465964" w:rsidP="00465964">
      <w:pPr>
        <w:rPr>
          <w:vanish/>
          <w:lang w:val="pt-PT"/>
        </w:rPr>
      </w:pPr>
    </w:p>
    <w:tbl>
      <w:tblPr>
        <w:tblW w:w="5000" w:type="pct"/>
        <w:tblCellMar>
          <w:left w:w="0" w:type="dxa"/>
          <w:right w:w="0" w:type="dxa"/>
        </w:tblCellMar>
        <w:tblLook w:val="04A0" w:firstRow="1" w:lastRow="0" w:firstColumn="1" w:lastColumn="0" w:noHBand="0" w:noVBand="1"/>
      </w:tblPr>
      <w:tblGrid>
        <w:gridCol w:w="6"/>
        <w:gridCol w:w="298"/>
        <w:gridCol w:w="8722"/>
      </w:tblGrid>
      <w:tr w:rsidR="00465964" w:rsidRPr="00465964" w14:paraId="10D172D9" w14:textId="77777777" w:rsidTr="00465964">
        <w:tc>
          <w:tcPr>
            <w:tcW w:w="0" w:type="auto"/>
            <w:shd w:val="clear" w:color="auto" w:fill="auto"/>
            <w:hideMark/>
          </w:tcPr>
          <w:p w14:paraId="678ABD4F" w14:textId="77777777" w:rsidR="00465964" w:rsidRPr="00465964" w:rsidRDefault="00465964" w:rsidP="00465964">
            <w:pPr>
              <w:rPr>
                <w:lang w:val="pt-PT"/>
              </w:rPr>
            </w:pPr>
          </w:p>
        </w:tc>
        <w:tc>
          <w:tcPr>
            <w:tcW w:w="0" w:type="auto"/>
            <w:shd w:val="clear" w:color="auto" w:fill="auto"/>
            <w:hideMark/>
          </w:tcPr>
          <w:p w14:paraId="508D6F0B" w14:textId="77777777" w:rsidR="00465964" w:rsidRPr="00465964" w:rsidRDefault="00465964" w:rsidP="00465964">
            <w:r w:rsidRPr="00465964">
              <w:t>75.</w:t>
            </w:r>
          </w:p>
        </w:tc>
        <w:tc>
          <w:tcPr>
            <w:tcW w:w="0" w:type="auto"/>
            <w:shd w:val="clear" w:color="auto" w:fill="auto"/>
            <w:hideMark/>
          </w:tcPr>
          <w:p w14:paraId="5CE9CFB0" w14:textId="77777777" w:rsidR="00465964" w:rsidRPr="00465964" w:rsidRDefault="00465964" w:rsidP="00465964">
            <w:pPr>
              <w:rPr>
                <w:lang w:val="pt-PT"/>
              </w:rPr>
            </w:pPr>
            <w:r w:rsidRPr="00465964">
              <w:rPr>
                <w:lang w:val="pt-PT"/>
              </w:rPr>
              <w:t>O emitente infringe o artigo 45.</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xml:space="preserve"> 3, se não estabelecer, mantiver ou aplicar uma política e procedimentos de gestão da liquidez ou se não assegurar, com esta política e procedimentos, que os ativos de reserva tenham um perfil de liquidez resiliente que permita ao emitente da </w:t>
            </w:r>
            <w:proofErr w:type="spellStart"/>
            <w:r w:rsidRPr="00465964">
              <w:rPr>
                <w:lang w:val="pt-PT"/>
              </w:rPr>
              <w:t>criptoficha</w:t>
            </w:r>
            <w:proofErr w:type="spellEnd"/>
            <w:r w:rsidRPr="00465964">
              <w:rPr>
                <w:lang w:val="pt-PT"/>
              </w:rPr>
              <w:t xml:space="preserve"> referenciada a ativos significativa continuar a funcionar normalmente, inclusive em cenários de esforço de liquidez.</w:t>
            </w:r>
          </w:p>
        </w:tc>
      </w:tr>
    </w:tbl>
    <w:p w14:paraId="4E2FB57D" w14:textId="77777777" w:rsidR="00465964" w:rsidRPr="00465964" w:rsidRDefault="00465964" w:rsidP="00465964">
      <w:pPr>
        <w:rPr>
          <w:vanish/>
          <w:lang w:val="pt-PT"/>
        </w:rPr>
      </w:pPr>
    </w:p>
    <w:tbl>
      <w:tblPr>
        <w:tblW w:w="5000" w:type="pct"/>
        <w:tblCellMar>
          <w:left w:w="0" w:type="dxa"/>
          <w:right w:w="0" w:type="dxa"/>
        </w:tblCellMar>
        <w:tblLook w:val="04A0" w:firstRow="1" w:lastRow="0" w:firstColumn="1" w:lastColumn="0" w:noHBand="0" w:noVBand="1"/>
      </w:tblPr>
      <w:tblGrid>
        <w:gridCol w:w="6"/>
        <w:gridCol w:w="298"/>
        <w:gridCol w:w="8722"/>
      </w:tblGrid>
      <w:tr w:rsidR="00465964" w:rsidRPr="00465964" w14:paraId="19BCF8A9" w14:textId="77777777" w:rsidTr="00465964">
        <w:tc>
          <w:tcPr>
            <w:tcW w:w="0" w:type="auto"/>
            <w:shd w:val="clear" w:color="auto" w:fill="auto"/>
            <w:hideMark/>
          </w:tcPr>
          <w:p w14:paraId="17526144" w14:textId="77777777" w:rsidR="00465964" w:rsidRPr="00465964" w:rsidRDefault="00465964" w:rsidP="00465964">
            <w:pPr>
              <w:rPr>
                <w:lang w:val="pt-PT"/>
              </w:rPr>
            </w:pPr>
          </w:p>
        </w:tc>
        <w:tc>
          <w:tcPr>
            <w:tcW w:w="0" w:type="auto"/>
            <w:shd w:val="clear" w:color="auto" w:fill="auto"/>
            <w:hideMark/>
          </w:tcPr>
          <w:p w14:paraId="4E6A33E9" w14:textId="77777777" w:rsidR="00465964" w:rsidRPr="00465964" w:rsidRDefault="00465964" w:rsidP="00465964">
            <w:r w:rsidRPr="00465964">
              <w:t>76.</w:t>
            </w:r>
          </w:p>
        </w:tc>
        <w:tc>
          <w:tcPr>
            <w:tcW w:w="0" w:type="auto"/>
            <w:shd w:val="clear" w:color="auto" w:fill="auto"/>
            <w:hideMark/>
          </w:tcPr>
          <w:p w14:paraId="5B56530D" w14:textId="77777777" w:rsidR="00465964" w:rsidRPr="00465964" w:rsidRDefault="00465964" w:rsidP="00465964">
            <w:pPr>
              <w:rPr>
                <w:lang w:val="pt-PT"/>
              </w:rPr>
            </w:pPr>
            <w:r w:rsidRPr="00465964">
              <w:rPr>
                <w:lang w:val="pt-PT"/>
              </w:rPr>
              <w:t>O emitente infringe o artigo 45.</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4, se não realizar regularmente testes de esforço de liquidez ou se não reforçar os requisitos de liquidez, quando tal for solicitado pela EBA com base nos resultados dos referidos testes.</w:t>
            </w:r>
          </w:p>
        </w:tc>
      </w:tr>
    </w:tbl>
    <w:p w14:paraId="019C2432" w14:textId="77777777" w:rsidR="00465964" w:rsidRPr="00465964" w:rsidRDefault="00465964" w:rsidP="00465964">
      <w:pPr>
        <w:rPr>
          <w:vanish/>
          <w:lang w:val="pt-PT"/>
        </w:rPr>
      </w:pPr>
    </w:p>
    <w:tbl>
      <w:tblPr>
        <w:tblW w:w="5000" w:type="pct"/>
        <w:tblCellMar>
          <w:left w:w="0" w:type="dxa"/>
          <w:right w:w="0" w:type="dxa"/>
        </w:tblCellMar>
        <w:tblLook w:val="04A0" w:firstRow="1" w:lastRow="0" w:firstColumn="1" w:lastColumn="0" w:noHBand="0" w:noVBand="1"/>
      </w:tblPr>
      <w:tblGrid>
        <w:gridCol w:w="6"/>
        <w:gridCol w:w="298"/>
        <w:gridCol w:w="8722"/>
      </w:tblGrid>
      <w:tr w:rsidR="00465964" w:rsidRPr="00465964" w14:paraId="4CE8C32B" w14:textId="77777777" w:rsidTr="00465964">
        <w:tc>
          <w:tcPr>
            <w:tcW w:w="0" w:type="auto"/>
            <w:shd w:val="clear" w:color="auto" w:fill="auto"/>
            <w:hideMark/>
          </w:tcPr>
          <w:p w14:paraId="5E253980" w14:textId="77777777" w:rsidR="00465964" w:rsidRPr="00465964" w:rsidRDefault="00465964" w:rsidP="00465964">
            <w:pPr>
              <w:rPr>
                <w:lang w:val="pt-PT"/>
              </w:rPr>
            </w:pPr>
          </w:p>
        </w:tc>
        <w:tc>
          <w:tcPr>
            <w:tcW w:w="0" w:type="auto"/>
            <w:shd w:val="clear" w:color="auto" w:fill="auto"/>
            <w:hideMark/>
          </w:tcPr>
          <w:p w14:paraId="551BCB33" w14:textId="77777777" w:rsidR="00465964" w:rsidRPr="00465964" w:rsidRDefault="00465964" w:rsidP="00465964">
            <w:r w:rsidRPr="00465964">
              <w:t>77.</w:t>
            </w:r>
          </w:p>
        </w:tc>
        <w:tc>
          <w:tcPr>
            <w:tcW w:w="0" w:type="auto"/>
            <w:shd w:val="clear" w:color="auto" w:fill="auto"/>
            <w:hideMark/>
          </w:tcPr>
          <w:p w14:paraId="264F57D1" w14:textId="77777777" w:rsidR="00465964" w:rsidRPr="00465964" w:rsidRDefault="00465964" w:rsidP="00465964">
            <w:pPr>
              <w:rPr>
                <w:lang w:val="pt-PT"/>
              </w:rPr>
            </w:pPr>
            <w:r w:rsidRPr="00465964">
              <w:rPr>
                <w:lang w:val="pt-PT"/>
              </w:rPr>
              <w:t>O emitente infringe o artigo 46.</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xml:space="preserve"> 1, se não elaborar e mantiver um plano de recuperação que preveja medidas a tomar pelo emitente da </w:t>
            </w:r>
            <w:proofErr w:type="spellStart"/>
            <w:r w:rsidRPr="00465964">
              <w:rPr>
                <w:lang w:val="pt-PT"/>
              </w:rPr>
              <w:t>criptoficha</w:t>
            </w:r>
            <w:proofErr w:type="spellEnd"/>
            <w:r w:rsidRPr="00465964">
              <w:rPr>
                <w:lang w:val="pt-PT"/>
              </w:rPr>
              <w:t xml:space="preserve"> referenciada a ativos significativa para restabelecer o cumprimento dos requisitos aplicáveis à reserva de ativos caso o emitente não cumpra esses requisitos, incluindo a preservação dos seus serviços relacionados com a </w:t>
            </w:r>
            <w:proofErr w:type="spellStart"/>
            <w:r w:rsidRPr="00465964">
              <w:rPr>
                <w:lang w:val="pt-PT"/>
              </w:rPr>
              <w:t>criptoficha</w:t>
            </w:r>
            <w:proofErr w:type="spellEnd"/>
            <w:r w:rsidRPr="00465964">
              <w:rPr>
                <w:lang w:val="pt-PT"/>
              </w:rPr>
              <w:t xml:space="preserve"> referenciada a ativos significativa emitida, o restabelecimento atempado das operações e o cumprimento das obrigações do emitente caso haja acontecimentos que representem um risco significativo de perturbação das operações.</w:t>
            </w:r>
          </w:p>
        </w:tc>
      </w:tr>
    </w:tbl>
    <w:p w14:paraId="18942516" w14:textId="77777777" w:rsidR="00465964" w:rsidRPr="00465964" w:rsidRDefault="00465964" w:rsidP="00465964">
      <w:pPr>
        <w:rPr>
          <w:vanish/>
          <w:lang w:val="pt-PT"/>
        </w:rPr>
      </w:pPr>
    </w:p>
    <w:tbl>
      <w:tblPr>
        <w:tblW w:w="5000" w:type="pct"/>
        <w:tblCellMar>
          <w:left w:w="0" w:type="dxa"/>
          <w:right w:w="0" w:type="dxa"/>
        </w:tblCellMar>
        <w:tblLook w:val="04A0" w:firstRow="1" w:lastRow="0" w:firstColumn="1" w:lastColumn="0" w:noHBand="0" w:noVBand="1"/>
      </w:tblPr>
      <w:tblGrid>
        <w:gridCol w:w="6"/>
        <w:gridCol w:w="298"/>
        <w:gridCol w:w="8722"/>
      </w:tblGrid>
      <w:tr w:rsidR="00465964" w:rsidRPr="00465964" w14:paraId="4CDF5CF3" w14:textId="77777777" w:rsidTr="00465964">
        <w:tc>
          <w:tcPr>
            <w:tcW w:w="0" w:type="auto"/>
            <w:shd w:val="clear" w:color="auto" w:fill="auto"/>
            <w:hideMark/>
          </w:tcPr>
          <w:p w14:paraId="065F7604" w14:textId="77777777" w:rsidR="00465964" w:rsidRPr="00465964" w:rsidRDefault="00465964" w:rsidP="00465964">
            <w:pPr>
              <w:rPr>
                <w:lang w:val="pt-PT"/>
              </w:rPr>
            </w:pPr>
          </w:p>
        </w:tc>
        <w:tc>
          <w:tcPr>
            <w:tcW w:w="0" w:type="auto"/>
            <w:shd w:val="clear" w:color="auto" w:fill="auto"/>
            <w:hideMark/>
          </w:tcPr>
          <w:p w14:paraId="173F33B3" w14:textId="77777777" w:rsidR="00465964" w:rsidRPr="00465964" w:rsidRDefault="00465964" w:rsidP="00465964">
            <w:r w:rsidRPr="00465964">
              <w:t>78.</w:t>
            </w:r>
          </w:p>
        </w:tc>
        <w:tc>
          <w:tcPr>
            <w:tcW w:w="0" w:type="auto"/>
            <w:shd w:val="clear" w:color="auto" w:fill="auto"/>
            <w:hideMark/>
          </w:tcPr>
          <w:p w14:paraId="6EAF0F00" w14:textId="77777777" w:rsidR="00465964" w:rsidRPr="00465964" w:rsidRDefault="00465964" w:rsidP="00465964">
            <w:pPr>
              <w:rPr>
                <w:lang w:val="pt-PT"/>
              </w:rPr>
            </w:pPr>
            <w:r w:rsidRPr="00465964">
              <w:rPr>
                <w:lang w:val="pt-PT"/>
              </w:rPr>
              <w:t>O emitente infringe o artigo 46.</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1, se não elaborar e mantiver um plano de recuperação que inclua condições e procedimentos adequados para assegurar a execução atempada das medidas de restabelecimento, bem como um vasto leque de opções de restabelecimento, conforme previsto no terceiro parágrafo do referido número.</w:t>
            </w:r>
          </w:p>
        </w:tc>
      </w:tr>
    </w:tbl>
    <w:p w14:paraId="2FFDAA20" w14:textId="77777777" w:rsidR="00465964" w:rsidRPr="00465964" w:rsidRDefault="00465964" w:rsidP="00465964">
      <w:pPr>
        <w:rPr>
          <w:vanish/>
          <w:lang w:val="pt-PT"/>
        </w:rPr>
      </w:pPr>
    </w:p>
    <w:tbl>
      <w:tblPr>
        <w:tblW w:w="5000" w:type="pct"/>
        <w:tblCellMar>
          <w:left w:w="0" w:type="dxa"/>
          <w:right w:w="0" w:type="dxa"/>
        </w:tblCellMar>
        <w:tblLook w:val="04A0" w:firstRow="1" w:lastRow="0" w:firstColumn="1" w:lastColumn="0" w:noHBand="0" w:noVBand="1"/>
      </w:tblPr>
      <w:tblGrid>
        <w:gridCol w:w="6"/>
        <w:gridCol w:w="298"/>
        <w:gridCol w:w="8722"/>
      </w:tblGrid>
      <w:tr w:rsidR="00465964" w:rsidRPr="00465964" w14:paraId="30C9DBAC" w14:textId="77777777" w:rsidTr="00465964">
        <w:tc>
          <w:tcPr>
            <w:tcW w:w="0" w:type="auto"/>
            <w:shd w:val="clear" w:color="auto" w:fill="auto"/>
            <w:hideMark/>
          </w:tcPr>
          <w:p w14:paraId="31744AEB" w14:textId="77777777" w:rsidR="00465964" w:rsidRPr="00465964" w:rsidRDefault="00465964" w:rsidP="00465964">
            <w:pPr>
              <w:rPr>
                <w:lang w:val="pt-PT"/>
              </w:rPr>
            </w:pPr>
          </w:p>
        </w:tc>
        <w:tc>
          <w:tcPr>
            <w:tcW w:w="0" w:type="auto"/>
            <w:shd w:val="clear" w:color="auto" w:fill="auto"/>
            <w:hideMark/>
          </w:tcPr>
          <w:p w14:paraId="556AE32D" w14:textId="77777777" w:rsidR="00465964" w:rsidRPr="00465964" w:rsidRDefault="00465964" w:rsidP="00465964">
            <w:r w:rsidRPr="00465964">
              <w:t>79.</w:t>
            </w:r>
          </w:p>
        </w:tc>
        <w:tc>
          <w:tcPr>
            <w:tcW w:w="0" w:type="auto"/>
            <w:shd w:val="clear" w:color="auto" w:fill="auto"/>
            <w:hideMark/>
          </w:tcPr>
          <w:p w14:paraId="009A0BF8" w14:textId="77777777" w:rsidR="00465964" w:rsidRPr="00465964" w:rsidRDefault="00465964" w:rsidP="00465964">
            <w:pPr>
              <w:rPr>
                <w:lang w:val="pt-PT"/>
              </w:rPr>
            </w:pPr>
            <w:r w:rsidRPr="00465964">
              <w:rPr>
                <w:lang w:val="pt-PT"/>
              </w:rPr>
              <w:t>O emitente infringe o artigo 46.</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2, se não comunicar o plano de recuperação à EBA e, se for caso disso, às suas autoridades de resolução e de supervisão prudencial no prazo de seis meses a contar da data de autorização nos termos do artigo 21.</w:t>
            </w:r>
            <w:r w:rsidRPr="00465964">
              <w:rPr>
                <w:vertAlign w:val="superscript"/>
                <w:lang w:val="pt-PT"/>
              </w:rPr>
              <w:t>o</w:t>
            </w:r>
            <w:r w:rsidRPr="00465964">
              <w:rPr>
                <w:lang w:val="pt-PT"/>
              </w:rPr>
              <w:t xml:space="preserve"> ou da data de aprovação do livrete do criptoativo nos termos do artigo </w:t>
            </w:r>
            <w:proofErr w:type="gramStart"/>
            <w:r w:rsidRPr="00465964">
              <w:rPr>
                <w:lang w:val="pt-PT"/>
              </w:rPr>
              <w:t>17.</w:t>
            </w:r>
            <w:r w:rsidRPr="00465964">
              <w:rPr>
                <w:vertAlign w:val="superscript"/>
                <w:lang w:val="pt-PT"/>
              </w:rPr>
              <w:t>o</w:t>
            </w:r>
            <w:r w:rsidRPr="00465964">
              <w:rPr>
                <w:lang w:val="pt-PT"/>
              </w:rPr>
              <w:t>.</w:t>
            </w:r>
            <w:proofErr w:type="gramEnd"/>
          </w:p>
        </w:tc>
      </w:tr>
    </w:tbl>
    <w:p w14:paraId="4AFD2043" w14:textId="77777777" w:rsidR="00465964" w:rsidRPr="00465964" w:rsidRDefault="00465964" w:rsidP="00465964">
      <w:pPr>
        <w:rPr>
          <w:vanish/>
          <w:lang w:val="pt-PT"/>
        </w:rPr>
      </w:pPr>
    </w:p>
    <w:tbl>
      <w:tblPr>
        <w:tblW w:w="5000" w:type="pct"/>
        <w:tblCellMar>
          <w:left w:w="0" w:type="dxa"/>
          <w:right w:w="0" w:type="dxa"/>
        </w:tblCellMar>
        <w:tblLook w:val="04A0" w:firstRow="1" w:lastRow="0" w:firstColumn="1" w:lastColumn="0" w:noHBand="0" w:noVBand="1"/>
      </w:tblPr>
      <w:tblGrid>
        <w:gridCol w:w="6"/>
        <w:gridCol w:w="298"/>
        <w:gridCol w:w="8722"/>
      </w:tblGrid>
      <w:tr w:rsidR="00465964" w:rsidRPr="00465964" w14:paraId="500E8970" w14:textId="77777777" w:rsidTr="00465964">
        <w:tc>
          <w:tcPr>
            <w:tcW w:w="0" w:type="auto"/>
            <w:shd w:val="clear" w:color="auto" w:fill="auto"/>
            <w:hideMark/>
          </w:tcPr>
          <w:p w14:paraId="6BCB9A51" w14:textId="77777777" w:rsidR="00465964" w:rsidRPr="00465964" w:rsidRDefault="00465964" w:rsidP="00465964">
            <w:pPr>
              <w:rPr>
                <w:lang w:val="pt-PT"/>
              </w:rPr>
            </w:pPr>
          </w:p>
        </w:tc>
        <w:tc>
          <w:tcPr>
            <w:tcW w:w="0" w:type="auto"/>
            <w:shd w:val="clear" w:color="auto" w:fill="auto"/>
            <w:hideMark/>
          </w:tcPr>
          <w:p w14:paraId="7CEC1433" w14:textId="77777777" w:rsidR="00465964" w:rsidRPr="00465964" w:rsidRDefault="00465964" w:rsidP="00465964">
            <w:r w:rsidRPr="00465964">
              <w:t>80.</w:t>
            </w:r>
          </w:p>
        </w:tc>
        <w:tc>
          <w:tcPr>
            <w:tcW w:w="0" w:type="auto"/>
            <w:shd w:val="clear" w:color="auto" w:fill="auto"/>
            <w:hideMark/>
          </w:tcPr>
          <w:p w14:paraId="07CFF59F" w14:textId="77777777" w:rsidR="00465964" w:rsidRPr="00465964" w:rsidRDefault="00465964" w:rsidP="00465964">
            <w:pPr>
              <w:rPr>
                <w:lang w:val="pt-PT"/>
              </w:rPr>
            </w:pPr>
            <w:r w:rsidRPr="00465964">
              <w:rPr>
                <w:lang w:val="pt-PT"/>
              </w:rPr>
              <w:t>O emitente infringe o artigo 46.</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2, se não proceder regularmente à revisão ou atualização do plano de recuperação.</w:t>
            </w:r>
          </w:p>
        </w:tc>
      </w:tr>
    </w:tbl>
    <w:p w14:paraId="58BB5BC3" w14:textId="77777777" w:rsidR="00465964" w:rsidRPr="00465964" w:rsidRDefault="00465964" w:rsidP="00465964">
      <w:pPr>
        <w:rPr>
          <w:vanish/>
          <w:lang w:val="pt-PT"/>
        </w:rPr>
      </w:pPr>
    </w:p>
    <w:tbl>
      <w:tblPr>
        <w:tblW w:w="5000" w:type="pct"/>
        <w:tblCellMar>
          <w:left w:w="0" w:type="dxa"/>
          <w:right w:w="0" w:type="dxa"/>
        </w:tblCellMar>
        <w:tblLook w:val="04A0" w:firstRow="1" w:lastRow="0" w:firstColumn="1" w:lastColumn="0" w:noHBand="0" w:noVBand="1"/>
      </w:tblPr>
      <w:tblGrid>
        <w:gridCol w:w="6"/>
        <w:gridCol w:w="298"/>
        <w:gridCol w:w="8722"/>
      </w:tblGrid>
      <w:tr w:rsidR="00465964" w:rsidRPr="00465964" w14:paraId="43B70FFB" w14:textId="77777777" w:rsidTr="00465964">
        <w:tc>
          <w:tcPr>
            <w:tcW w:w="0" w:type="auto"/>
            <w:shd w:val="clear" w:color="auto" w:fill="auto"/>
            <w:hideMark/>
          </w:tcPr>
          <w:p w14:paraId="26BC2C05" w14:textId="77777777" w:rsidR="00465964" w:rsidRPr="00465964" w:rsidRDefault="00465964" w:rsidP="00465964">
            <w:pPr>
              <w:rPr>
                <w:lang w:val="pt-PT"/>
              </w:rPr>
            </w:pPr>
          </w:p>
        </w:tc>
        <w:tc>
          <w:tcPr>
            <w:tcW w:w="0" w:type="auto"/>
            <w:shd w:val="clear" w:color="auto" w:fill="auto"/>
            <w:hideMark/>
          </w:tcPr>
          <w:p w14:paraId="1BF1900A" w14:textId="77777777" w:rsidR="00465964" w:rsidRPr="00465964" w:rsidRDefault="00465964" w:rsidP="00465964">
            <w:r w:rsidRPr="00465964">
              <w:t>81.</w:t>
            </w:r>
          </w:p>
        </w:tc>
        <w:tc>
          <w:tcPr>
            <w:tcW w:w="0" w:type="auto"/>
            <w:shd w:val="clear" w:color="auto" w:fill="auto"/>
            <w:hideMark/>
          </w:tcPr>
          <w:p w14:paraId="1D2F8968" w14:textId="77777777" w:rsidR="00465964" w:rsidRPr="00465964" w:rsidRDefault="00465964" w:rsidP="00465964">
            <w:pPr>
              <w:rPr>
                <w:lang w:val="pt-PT"/>
              </w:rPr>
            </w:pPr>
            <w:r w:rsidRPr="00465964">
              <w:rPr>
                <w:lang w:val="pt-PT"/>
              </w:rPr>
              <w:t>O emitente infringe o artigo 47.</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xml:space="preserve"> 1, se não elaborar e mantiver um plano operacional para apoiar um resgate ordenado de cada </w:t>
            </w:r>
            <w:proofErr w:type="spellStart"/>
            <w:r w:rsidRPr="00465964">
              <w:rPr>
                <w:lang w:val="pt-PT"/>
              </w:rPr>
              <w:t>criptoficha</w:t>
            </w:r>
            <w:proofErr w:type="spellEnd"/>
            <w:r w:rsidRPr="00465964">
              <w:rPr>
                <w:lang w:val="pt-PT"/>
              </w:rPr>
              <w:t xml:space="preserve"> referenciada a ativos significativa.</w:t>
            </w:r>
          </w:p>
        </w:tc>
      </w:tr>
    </w:tbl>
    <w:p w14:paraId="60ECE8AC" w14:textId="77777777" w:rsidR="00465964" w:rsidRPr="00465964" w:rsidRDefault="00465964" w:rsidP="00465964">
      <w:pPr>
        <w:rPr>
          <w:vanish/>
          <w:lang w:val="pt-PT"/>
        </w:rPr>
      </w:pPr>
    </w:p>
    <w:tbl>
      <w:tblPr>
        <w:tblW w:w="5000" w:type="pct"/>
        <w:tblCellMar>
          <w:left w:w="0" w:type="dxa"/>
          <w:right w:w="0" w:type="dxa"/>
        </w:tblCellMar>
        <w:tblLook w:val="04A0" w:firstRow="1" w:lastRow="0" w:firstColumn="1" w:lastColumn="0" w:noHBand="0" w:noVBand="1"/>
      </w:tblPr>
      <w:tblGrid>
        <w:gridCol w:w="6"/>
        <w:gridCol w:w="298"/>
        <w:gridCol w:w="8722"/>
      </w:tblGrid>
      <w:tr w:rsidR="00465964" w:rsidRPr="00465964" w14:paraId="705B82D3" w14:textId="77777777" w:rsidTr="00465964">
        <w:tc>
          <w:tcPr>
            <w:tcW w:w="0" w:type="auto"/>
            <w:shd w:val="clear" w:color="auto" w:fill="auto"/>
            <w:hideMark/>
          </w:tcPr>
          <w:p w14:paraId="7BA6FC2D" w14:textId="77777777" w:rsidR="00465964" w:rsidRPr="00465964" w:rsidRDefault="00465964" w:rsidP="00465964">
            <w:pPr>
              <w:rPr>
                <w:lang w:val="pt-PT"/>
              </w:rPr>
            </w:pPr>
          </w:p>
        </w:tc>
        <w:tc>
          <w:tcPr>
            <w:tcW w:w="0" w:type="auto"/>
            <w:shd w:val="clear" w:color="auto" w:fill="auto"/>
            <w:hideMark/>
          </w:tcPr>
          <w:p w14:paraId="5025478D" w14:textId="77777777" w:rsidR="00465964" w:rsidRPr="00465964" w:rsidRDefault="00465964" w:rsidP="00465964">
            <w:r w:rsidRPr="00465964">
              <w:t>82.</w:t>
            </w:r>
          </w:p>
        </w:tc>
        <w:tc>
          <w:tcPr>
            <w:tcW w:w="0" w:type="auto"/>
            <w:shd w:val="clear" w:color="auto" w:fill="auto"/>
            <w:hideMark/>
          </w:tcPr>
          <w:p w14:paraId="4136DA25" w14:textId="77777777" w:rsidR="00465964" w:rsidRPr="00465964" w:rsidRDefault="00465964" w:rsidP="00465964">
            <w:pPr>
              <w:rPr>
                <w:lang w:val="pt-PT"/>
              </w:rPr>
            </w:pPr>
            <w:r w:rsidRPr="00465964">
              <w:rPr>
                <w:lang w:val="pt-PT"/>
              </w:rPr>
              <w:t>O emitente infringe o artigo 47.</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xml:space="preserve"> 2, se não possuir um plano de reembolso que demonstre a capacidade do emitente da </w:t>
            </w:r>
            <w:proofErr w:type="spellStart"/>
            <w:r w:rsidRPr="00465964">
              <w:rPr>
                <w:lang w:val="pt-PT"/>
              </w:rPr>
              <w:t>criptoficha</w:t>
            </w:r>
            <w:proofErr w:type="spellEnd"/>
            <w:r w:rsidRPr="00465964">
              <w:rPr>
                <w:lang w:val="pt-PT"/>
              </w:rPr>
              <w:t xml:space="preserve"> referenciada a ativos significativa para proceder ao reembolso da </w:t>
            </w:r>
            <w:proofErr w:type="spellStart"/>
            <w:r w:rsidRPr="00465964">
              <w:rPr>
                <w:lang w:val="pt-PT"/>
              </w:rPr>
              <w:t>criptoficha</w:t>
            </w:r>
            <w:proofErr w:type="spellEnd"/>
            <w:r w:rsidRPr="00465964">
              <w:rPr>
                <w:lang w:val="pt-PT"/>
              </w:rPr>
              <w:t xml:space="preserve"> referenciada a ativos significativa emitida sem causar prejuízos económicos indevidos aos seus detentores ou à estabilidade dos mercados dos ativos de reserva.</w:t>
            </w:r>
          </w:p>
        </w:tc>
      </w:tr>
    </w:tbl>
    <w:p w14:paraId="01B6BA23" w14:textId="77777777" w:rsidR="00465964" w:rsidRPr="00465964" w:rsidRDefault="00465964" w:rsidP="00465964">
      <w:pPr>
        <w:rPr>
          <w:vanish/>
          <w:lang w:val="pt-PT"/>
        </w:rPr>
      </w:pPr>
    </w:p>
    <w:tbl>
      <w:tblPr>
        <w:tblW w:w="5000" w:type="pct"/>
        <w:tblCellMar>
          <w:left w:w="0" w:type="dxa"/>
          <w:right w:w="0" w:type="dxa"/>
        </w:tblCellMar>
        <w:tblLook w:val="04A0" w:firstRow="1" w:lastRow="0" w:firstColumn="1" w:lastColumn="0" w:noHBand="0" w:noVBand="1"/>
      </w:tblPr>
      <w:tblGrid>
        <w:gridCol w:w="6"/>
        <w:gridCol w:w="298"/>
        <w:gridCol w:w="8722"/>
      </w:tblGrid>
      <w:tr w:rsidR="00465964" w:rsidRPr="00465964" w14:paraId="11E151B5" w14:textId="77777777" w:rsidTr="00465964">
        <w:tc>
          <w:tcPr>
            <w:tcW w:w="0" w:type="auto"/>
            <w:shd w:val="clear" w:color="auto" w:fill="auto"/>
            <w:hideMark/>
          </w:tcPr>
          <w:p w14:paraId="5A0F9054" w14:textId="77777777" w:rsidR="00465964" w:rsidRPr="00465964" w:rsidRDefault="00465964" w:rsidP="00465964">
            <w:pPr>
              <w:rPr>
                <w:lang w:val="pt-PT"/>
              </w:rPr>
            </w:pPr>
          </w:p>
        </w:tc>
        <w:tc>
          <w:tcPr>
            <w:tcW w:w="0" w:type="auto"/>
            <w:shd w:val="clear" w:color="auto" w:fill="auto"/>
            <w:hideMark/>
          </w:tcPr>
          <w:p w14:paraId="2220C887" w14:textId="77777777" w:rsidR="00465964" w:rsidRPr="00465964" w:rsidRDefault="00465964" w:rsidP="00465964">
            <w:r w:rsidRPr="00465964">
              <w:t>83.</w:t>
            </w:r>
          </w:p>
        </w:tc>
        <w:tc>
          <w:tcPr>
            <w:tcW w:w="0" w:type="auto"/>
            <w:shd w:val="clear" w:color="auto" w:fill="auto"/>
            <w:hideMark/>
          </w:tcPr>
          <w:p w14:paraId="5EB99DA3" w14:textId="77777777" w:rsidR="00465964" w:rsidRPr="00465964" w:rsidRDefault="00465964" w:rsidP="00465964">
            <w:pPr>
              <w:rPr>
                <w:lang w:val="pt-PT"/>
              </w:rPr>
            </w:pPr>
            <w:r w:rsidRPr="00465964">
              <w:rPr>
                <w:lang w:val="pt-PT"/>
              </w:rPr>
              <w:t>O emitente infringe o artigo 47.</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xml:space="preserve"> 2, se não possuir um plano de reembolso que inclua disposições contratuais, procedimentos ou sistemas, nomeadamente a designação de um administrador temporário, para assegurar o tratamento equitativo de todos os detentores da </w:t>
            </w:r>
            <w:proofErr w:type="spellStart"/>
            <w:r w:rsidRPr="00465964">
              <w:rPr>
                <w:lang w:val="pt-PT"/>
              </w:rPr>
              <w:t>criptoficha</w:t>
            </w:r>
            <w:proofErr w:type="spellEnd"/>
            <w:r w:rsidRPr="00465964">
              <w:rPr>
                <w:lang w:val="pt-PT"/>
              </w:rPr>
              <w:t xml:space="preserve"> referenciada a ativos significativa e para assegurar que os detentores da </w:t>
            </w:r>
            <w:proofErr w:type="spellStart"/>
            <w:r w:rsidRPr="00465964">
              <w:rPr>
                <w:lang w:val="pt-PT"/>
              </w:rPr>
              <w:t>criptoficha</w:t>
            </w:r>
            <w:proofErr w:type="spellEnd"/>
            <w:r w:rsidRPr="00465964">
              <w:rPr>
                <w:lang w:val="pt-PT"/>
              </w:rPr>
              <w:t xml:space="preserve"> referenciada a ativos significativa sejam pagos em tempo útil com o produto da venda dos restantes ativos de reserva.</w:t>
            </w:r>
          </w:p>
        </w:tc>
      </w:tr>
    </w:tbl>
    <w:p w14:paraId="0C0837EB" w14:textId="77777777" w:rsidR="00465964" w:rsidRPr="00465964" w:rsidRDefault="00465964" w:rsidP="00465964">
      <w:pPr>
        <w:rPr>
          <w:vanish/>
          <w:lang w:val="pt-PT"/>
        </w:rPr>
      </w:pPr>
    </w:p>
    <w:tbl>
      <w:tblPr>
        <w:tblW w:w="5000" w:type="pct"/>
        <w:tblCellMar>
          <w:left w:w="0" w:type="dxa"/>
          <w:right w:w="0" w:type="dxa"/>
        </w:tblCellMar>
        <w:tblLook w:val="04A0" w:firstRow="1" w:lastRow="0" w:firstColumn="1" w:lastColumn="0" w:noHBand="0" w:noVBand="1"/>
      </w:tblPr>
      <w:tblGrid>
        <w:gridCol w:w="6"/>
        <w:gridCol w:w="298"/>
        <w:gridCol w:w="8722"/>
      </w:tblGrid>
      <w:tr w:rsidR="00465964" w:rsidRPr="00465964" w14:paraId="120B19E9" w14:textId="77777777" w:rsidTr="00465964">
        <w:tc>
          <w:tcPr>
            <w:tcW w:w="0" w:type="auto"/>
            <w:shd w:val="clear" w:color="auto" w:fill="auto"/>
            <w:hideMark/>
          </w:tcPr>
          <w:p w14:paraId="3255D776" w14:textId="77777777" w:rsidR="00465964" w:rsidRPr="00465964" w:rsidRDefault="00465964" w:rsidP="00465964">
            <w:pPr>
              <w:rPr>
                <w:lang w:val="pt-PT"/>
              </w:rPr>
            </w:pPr>
          </w:p>
        </w:tc>
        <w:tc>
          <w:tcPr>
            <w:tcW w:w="0" w:type="auto"/>
            <w:shd w:val="clear" w:color="auto" w:fill="auto"/>
            <w:hideMark/>
          </w:tcPr>
          <w:p w14:paraId="2237A056" w14:textId="77777777" w:rsidR="00465964" w:rsidRPr="00465964" w:rsidRDefault="00465964" w:rsidP="00465964">
            <w:r w:rsidRPr="00465964">
              <w:t>84.</w:t>
            </w:r>
          </w:p>
        </w:tc>
        <w:tc>
          <w:tcPr>
            <w:tcW w:w="0" w:type="auto"/>
            <w:shd w:val="clear" w:color="auto" w:fill="auto"/>
            <w:hideMark/>
          </w:tcPr>
          <w:p w14:paraId="4B0ECE3F" w14:textId="77777777" w:rsidR="00465964" w:rsidRPr="00465964" w:rsidRDefault="00465964" w:rsidP="00465964">
            <w:pPr>
              <w:rPr>
                <w:lang w:val="pt-PT"/>
              </w:rPr>
            </w:pPr>
            <w:r w:rsidRPr="00465964">
              <w:rPr>
                <w:lang w:val="pt-PT"/>
              </w:rPr>
              <w:t>O emitente infringe o artigo 47.</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2, se não possuir um plano de reembolso que assegure a continuidade de quaisquer atividades críticas necessárias para o resgate ordenado e que sejam realizadas pelo emitente ou por qualquer entidade terceira.</w:t>
            </w:r>
          </w:p>
        </w:tc>
      </w:tr>
    </w:tbl>
    <w:p w14:paraId="4EEDBD03" w14:textId="77777777" w:rsidR="00465964" w:rsidRPr="00465964" w:rsidRDefault="00465964" w:rsidP="00465964">
      <w:pPr>
        <w:rPr>
          <w:vanish/>
          <w:lang w:val="pt-PT"/>
        </w:rPr>
      </w:pPr>
    </w:p>
    <w:tbl>
      <w:tblPr>
        <w:tblW w:w="5000" w:type="pct"/>
        <w:tblCellMar>
          <w:left w:w="0" w:type="dxa"/>
          <w:right w:w="0" w:type="dxa"/>
        </w:tblCellMar>
        <w:tblLook w:val="04A0" w:firstRow="1" w:lastRow="0" w:firstColumn="1" w:lastColumn="0" w:noHBand="0" w:noVBand="1"/>
      </w:tblPr>
      <w:tblGrid>
        <w:gridCol w:w="6"/>
        <w:gridCol w:w="298"/>
        <w:gridCol w:w="8722"/>
      </w:tblGrid>
      <w:tr w:rsidR="00465964" w:rsidRPr="00465964" w14:paraId="79C410B6" w14:textId="77777777" w:rsidTr="00465964">
        <w:tc>
          <w:tcPr>
            <w:tcW w:w="0" w:type="auto"/>
            <w:shd w:val="clear" w:color="auto" w:fill="auto"/>
            <w:hideMark/>
          </w:tcPr>
          <w:p w14:paraId="1178ECDE" w14:textId="77777777" w:rsidR="00465964" w:rsidRPr="00465964" w:rsidRDefault="00465964" w:rsidP="00465964">
            <w:pPr>
              <w:rPr>
                <w:lang w:val="pt-PT"/>
              </w:rPr>
            </w:pPr>
          </w:p>
        </w:tc>
        <w:tc>
          <w:tcPr>
            <w:tcW w:w="0" w:type="auto"/>
            <w:shd w:val="clear" w:color="auto" w:fill="auto"/>
            <w:hideMark/>
          </w:tcPr>
          <w:p w14:paraId="6723ACC7" w14:textId="77777777" w:rsidR="00465964" w:rsidRPr="00465964" w:rsidRDefault="00465964" w:rsidP="00465964">
            <w:r w:rsidRPr="00465964">
              <w:t>85.</w:t>
            </w:r>
          </w:p>
        </w:tc>
        <w:tc>
          <w:tcPr>
            <w:tcW w:w="0" w:type="auto"/>
            <w:shd w:val="clear" w:color="auto" w:fill="auto"/>
            <w:hideMark/>
          </w:tcPr>
          <w:p w14:paraId="5EA84DF8" w14:textId="77777777" w:rsidR="00465964" w:rsidRPr="00465964" w:rsidRDefault="00465964" w:rsidP="00465964">
            <w:pPr>
              <w:rPr>
                <w:lang w:val="pt-PT"/>
              </w:rPr>
            </w:pPr>
            <w:r w:rsidRPr="00465964">
              <w:rPr>
                <w:lang w:val="pt-PT"/>
              </w:rPr>
              <w:t>O emitente infringe o artigo 47.</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3, se não comunicar à EBA o plano de reembolso no prazo de seis meses a contar da data de autorização nos termos do artigo 21.</w:t>
            </w:r>
            <w:r w:rsidRPr="00465964">
              <w:rPr>
                <w:vertAlign w:val="superscript"/>
                <w:lang w:val="pt-PT"/>
              </w:rPr>
              <w:t>o</w:t>
            </w:r>
            <w:r w:rsidRPr="00465964">
              <w:rPr>
                <w:lang w:val="pt-PT"/>
              </w:rPr>
              <w:t xml:space="preserve"> ou da data de aprovação do livrete do criptoativo nos termos do artigo </w:t>
            </w:r>
            <w:proofErr w:type="gramStart"/>
            <w:r w:rsidRPr="00465964">
              <w:rPr>
                <w:lang w:val="pt-PT"/>
              </w:rPr>
              <w:t>17.</w:t>
            </w:r>
            <w:r w:rsidRPr="00465964">
              <w:rPr>
                <w:vertAlign w:val="superscript"/>
                <w:lang w:val="pt-PT"/>
              </w:rPr>
              <w:t>o</w:t>
            </w:r>
            <w:r w:rsidRPr="00465964">
              <w:rPr>
                <w:lang w:val="pt-PT"/>
              </w:rPr>
              <w:t>.</w:t>
            </w:r>
            <w:proofErr w:type="gramEnd"/>
          </w:p>
        </w:tc>
      </w:tr>
    </w:tbl>
    <w:p w14:paraId="71C20C5A" w14:textId="77777777" w:rsidR="00465964" w:rsidRPr="00465964" w:rsidRDefault="00465964" w:rsidP="00465964">
      <w:pPr>
        <w:rPr>
          <w:vanish/>
          <w:lang w:val="pt-PT"/>
        </w:rPr>
      </w:pPr>
    </w:p>
    <w:tbl>
      <w:tblPr>
        <w:tblW w:w="5000" w:type="pct"/>
        <w:tblCellMar>
          <w:left w:w="0" w:type="dxa"/>
          <w:right w:w="0" w:type="dxa"/>
        </w:tblCellMar>
        <w:tblLook w:val="04A0" w:firstRow="1" w:lastRow="0" w:firstColumn="1" w:lastColumn="0" w:noHBand="0" w:noVBand="1"/>
      </w:tblPr>
      <w:tblGrid>
        <w:gridCol w:w="6"/>
        <w:gridCol w:w="298"/>
        <w:gridCol w:w="8722"/>
      </w:tblGrid>
      <w:tr w:rsidR="00465964" w:rsidRPr="00465964" w14:paraId="3D52ABDD" w14:textId="77777777" w:rsidTr="00465964">
        <w:tc>
          <w:tcPr>
            <w:tcW w:w="0" w:type="auto"/>
            <w:shd w:val="clear" w:color="auto" w:fill="auto"/>
            <w:hideMark/>
          </w:tcPr>
          <w:p w14:paraId="3C60CAD0" w14:textId="77777777" w:rsidR="00465964" w:rsidRPr="00465964" w:rsidRDefault="00465964" w:rsidP="00465964">
            <w:pPr>
              <w:rPr>
                <w:lang w:val="pt-PT"/>
              </w:rPr>
            </w:pPr>
          </w:p>
        </w:tc>
        <w:tc>
          <w:tcPr>
            <w:tcW w:w="0" w:type="auto"/>
            <w:shd w:val="clear" w:color="auto" w:fill="auto"/>
            <w:hideMark/>
          </w:tcPr>
          <w:p w14:paraId="6851599D" w14:textId="77777777" w:rsidR="00465964" w:rsidRPr="00465964" w:rsidRDefault="00465964" w:rsidP="00465964">
            <w:r w:rsidRPr="00465964">
              <w:t>86.</w:t>
            </w:r>
          </w:p>
        </w:tc>
        <w:tc>
          <w:tcPr>
            <w:tcW w:w="0" w:type="auto"/>
            <w:shd w:val="clear" w:color="auto" w:fill="auto"/>
            <w:hideMark/>
          </w:tcPr>
          <w:p w14:paraId="13E7C3E4" w14:textId="77777777" w:rsidR="00465964" w:rsidRPr="00465964" w:rsidRDefault="00465964" w:rsidP="00465964">
            <w:pPr>
              <w:rPr>
                <w:lang w:val="pt-PT"/>
              </w:rPr>
            </w:pPr>
            <w:r w:rsidRPr="00465964">
              <w:rPr>
                <w:lang w:val="pt-PT"/>
              </w:rPr>
              <w:t>O emitente infringe o artigo 47.</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3, se não proceder regularmente à reapreciação ou à atualização do plano de reembolso.</w:t>
            </w:r>
          </w:p>
        </w:tc>
      </w:tr>
    </w:tbl>
    <w:p w14:paraId="2798134E" w14:textId="77777777" w:rsidR="00465964" w:rsidRPr="00465964" w:rsidRDefault="00465964" w:rsidP="00465964">
      <w:pPr>
        <w:rPr>
          <w:vanish/>
          <w:lang w:val="pt-PT"/>
        </w:rPr>
      </w:pPr>
    </w:p>
    <w:tbl>
      <w:tblPr>
        <w:tblW w:w="5000" w:type="pct"/>
        <w:tblCellMar>
          <w:left w:w="0" w:type="dxa"/>
          <w:right w:w="0" w:type="dxa"/>
        </w:tblCellMar>
        <w:tblLook w:val="04A0" w:firstRow="1" w:lastRow="0" w:firstColumn="1" w:lastColumn="0" w:noHBand="0" w:noVBand="1"/>
      </w:tblPr>
      <w:tblGrid>
        <w:gridCol w:w="6"/>
        <w:gridCol w:w="298"/>
        <w:gridCol w:w="8722"/>
      </w:tblGrid>
      <w:tr w:rsidR="00465964" w:rsidRPr="00465964" w14:paraId="46C22801" w14:textId="77777777" w:rsidTr="00465964">
        <w:tc>
          <w:tcPr>
            <w:tcW w:w="0" w:type="auto"/>
            <w:shd w:val="clear" w:color="auto" w:fill="auto"/>
            <w:hideMark/>
          </w:tcPr>
          <w:p w14:paraId="10295EE5" w14:textId="77777777" w:rsidR="00465964" w:rsidRPr="00465964" w:rsidRDefault="00465964" w:rsidP="00465964">
            <w:pPr>
              <w:rPr>
                <w:lang w:val="pt-PT"/>
              </w:rPr>
            </w:pPr>
          </w:p>
        </w:tc>
        <w:tc>
          <w:tcPr>
            <w:tcW w:w="0" w:type="auto"/>
            <w:shd w:val="clear" w:color="auto" w:fill="auto"/>
            <w:hideMark/>
          </w:tcPr>
          <w:p w14:paraId="1E2A3C94" w14:textId="77777777" w:rsidR="00465964" w:rsidRPr="00465964" w:rsidRDefault="00465964" w:rsidP="00465964">
            <w:r w:rsidRPr="00465964">
              <w:t>87.</w:t>
            </w:r>
          </w:p>
        </w:tc>
        <w:tc>
          <w:tcPr>
            <w:tcW w:w="0" w:type="auto"/>
            <w:shd w:val="clear" w:color="auto" w:fill="auto"/>
            <w:hideMark/>
          </w:tcPr>
          <w:p w14:paraId="5562B4E2" w14:textId="77777777" w:rsidR="00465964" w:rsidRPr="00465964" w:rsidRDefault="00465964" w:rsidP="00465964">
            <w:pPr>
              <w:rPr>
                <w:lang w:val="pt-PT"/>
              </w:rPr>
            </w:pPr>
            <w:r w:rsidRPr="00465964">
              <w:rPr>
                <w:lang w:val="pt-PT"/>
              </w:rPr>
              <w:t>O emitente infringe o artigo 88.</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1, salvo se as condições do artigo 88.</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2, se verificarem, se não informar o público, o mais rapidamente possível, da informação privilegiada referida no artigo 87.</w:t>
            </w:r>
            <w:r w:rsidRPr="00465964">
              <w:rPr>
                <w:vertAlign w:val="superscript"/>
                <w:lang w:val="pt-PT"/>
              </w:rPr>
              <w:t>o</w:t>
            </w:r>
            <w:r w:rsidRPr="00465964">
              <w:rPr>
                <w:lang w:val="pt-PT"/>
              </w:rPr>
              <w:t> que diga diretamente respeito ao referido emitente, de uma forma que permita um acesso rápido e uma avaliação completa, correta e atempada da informação pelo público.</w:t>
            </w:r>
          </w:p>
        </w:tc>
      </w:tr>
    </w:tbl>
    <w:p w14:paraId="21858967" w14:textId="77777777" w:rsidR="00465964" w:rsidRPr="00465964" w:rsidRDefault="00465964" w:rsidP="00465964">
      <w:r w:rsidRPr="00465964">
        <w:pict w14:anchorId="5431C10D">
          <v:rect id="_x0000_i1073" style="width:65.45pt;height:.75pt" o:hrpct="0" o:hralign="center" o:hrstd="t" o:hrnoshade="t" o:hr="t" fillcolor="black" stroked="f"/>
        </w:pict>
      </w:r>
    </w:p>
    <w:p w14:paraId="1AF5027F" w14:textId="77777777" w:rsidR="00465964" w:rsidRPr="00465964" w:rsidRDefault="00465964" w:rsidP="00465964">
      <w:pPr>
        <w:rPr>
          <w:b/>
          <w:bCs/>
          <w:lang w:val="pt-PT"/>
        </w:rPr>
      </w:pPr>
      <w:r w:rsidRPr="00465964">
        <w:rPr>
          <w:b/>
          <w:bCs/>
          <w:lang w:val="pt-PT"/>
        </w:rPr>
        <w:t>ANEXO VI</w:t>
      </w:r>
    </w:p>
    <w:p w14:paraId="446D7FF4" w14:textId="2104ADE8" w:rsidR="00465964" w:rsidRPr="00465964" w:rsidRDefault="00465964" w:rsidP="00465964">
      <w:pPr>
        <w:rPr>
          <w:b/>
          <w:bCs/>
          <w:lang w:val="pt-PT"/>
        </w:rPr>
      </w:pPr>
      <w:r w:rsidRPr="00465964">
        <w:rPr>
          <w:b/>
          <w:bCs/>
          <w:lang w:val="pt-PT"/>
        </w:rPr>
        <w:t xml:space="preserve">LISTA DE INFRAÇÕES ÀS DISPOSIÇÕES A QUE SE REFERE O TÍTULO IV EM CONJUGAÇÃO COM O TÍTULO III NO QUE RESPEITA AOS EMITENTES DE </w:t>
      </w:r>
      <w:r>
        <w:rPr>
          <w:b/>
          <w:bCs/>
          <w:lang w:val="pt-PT"/>
        </w:rPr>
        <w:t>CRIPTOMOEDAS</w:t>
      </w:r>
      <w:r w:rsidRPr="00465964">
        <w:rPr>
          <w:b/>
          <w:bCs/>
          <w:lang w:val="pt-PT"/>
        </w:rPr>
        <w:t xml:space="preserve"> DE MOEDA ELETRÓNICA SIGNIFICATIVAS</w:t>
      </w:r>
    </w:p>
    <w:tbl>
      <w:tblPr>
        <w:tblW w:w="5000" w:type="pct"/>
        <w:tblCellMar>
          <w:left w:w="0" w:type="dxa"/>
          <w:right w:w="0" w:type="dxa"/>
        </w:tblCellMar>
        <w:tblLook w:val="04A0" w:firstRow="1" w:lastRow="0" w:firstColumn="1" w:lastColumn="0" w:noHBand="0" w:noVBand="1"/>
      </w:tblPr>
      <w:tblGrid>
        <w:gridCol w:w="6"/>
        <w:gridCol w:w="181"/>
        <w:gridCol w:w="8839"/>
      </w:tblGrid>
      <w:tr w:rsidR="00465964" w:rsidRPr="00465964" w14:paraId="54D797CB" w14:textId="77777777" w:rsidTr="00465964">
        <w:tc>
          <w:tcPr>
            <w:tcW w:w="0" w:type="auto"/>
            <w:shd w:val="clear" w:color="auto" w:fill="auto"/>
            <w:hideMark/>
          </w:tcPr>
          <w:p w14:paraId="37D287DC" w14:textId="77777777" w:rsidR="00465964" w:rsidRPr="00465964" w:rsidRDefault="00465964" w:rsidP="00465964">
            <w:pPr>
              <w:rPr>
                <w:b/>
                <w:bCs/>
                <w:lang w:val="pt-PT"/>
              </w:rPr>
            </w:pPr>
          </w:p>
        </w:tc>
        <w:tc>
          <w:tcPr>
            <w:tcW w:w="0" w:type="auto"/>
            <w:shd w:val="clear" w:color="auto" w:fill="auto"/>
            <w:hideMark/>
          </w:tcPr>
          <w:p w14:paraId="22B2E30F" w14:textId="77777777" w:rsidR="00465964" w:rsidRPr="00465964" w:rsidRDefault="00465964" w:rsidP="00465964">
            <w:r w:rsidRPr="00465964">
              <w:t>1.</w:t>
            </w:r>
          </w:p>
        </w:tc>
        <w:tc>
          <w:tcPr>
            <w:tcW w:w="0" w:type="auto"/>
            <w:shd w:val="clear" w:color="auto" w:fill="auto"/>
            <w:hideMark/>
          </w:tcPr>
          <w:p w14:paraId="43BD6BA6" w14:textId="77777777" w:rsidR="00465964" w:rsidRPr="00465964" w:rsidRDefault="00465964" w:rsidP="00465964">
            <w:pPr>
              <w:rPr>
                <w:lang w:val="pt-PT"/>
              </w:rPr>
            </w:pPr>
            <w:r w:rsidRPr="00465964">
              <w:rPr>
                <w:lang w:val="pt-PT"/>
              </w:rPr>
              <w:t>O emitente infringe o artigo 22.</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xml:space="preserve"> 1, se não comunicar trimestralmente à EBA as informações a que se refere o primeiro parágrafo, alíneas a) a d), do referido número, relativamente a cada </w:t>
            </w:r>
            <w:proofErr w:type="spellStart"/>
            <w:r w:rsidRPr="00465964">
              <w:rPr>
                <w:lang w:val="pt-PT"/>
              </w:rPr>
              <w:t>criptoficha</w:t>
            </w:r>
            <w:proofErr w:type="spellEnd"/>
            <w:r w:rsidRPr="00465964">
              <w:rPr>
                <w:lang w:val="pt-PT"/>
              </w:rPr>
              <w:t xml:space="preserve"> de moeda eletrónica significativa denominada numa moeda que não seja uma moeda oficial de um Estado-Membro cuja emissão seja de valor superior a 100 000 000 EUR.</w:t>
            </w:r>
          </w:p>
        </w:tc>
      </w:tr>
    </w:tbl>
    <w:p w14:paraId="6DE73470" w14:textId="77777777" w:rsidR="00465964" w:rsidRPr="00465964" w:rsidRDefault="00465964" w:rsidP="00465964">
      <w:pPr>
        <w:rPr>
          <w:vanish/>
          <w:lang w:val="pt-PT"/>
        </w:rPr>
      </w:pPr>
    </w:p>
    <w:tbl>
      <w:tblPr>
        <w:tblW w:w="5000" w:type="pct"/>
        <w:tblCellMar>
          <w:left w:w="0" w:type="dxa"/>
          <w:right w:w="0" w:type="dxa"/>
        </w:tblCellMar>
        <w:tblLook w:val="04A0" w:firstRow="1" w:lastRow="0" w:firstColumn="1" w:lastColumn="0" w:noHBand="0" w:noVBand="1"/>
      </w:tblPr>
      <w:tblGrid>
        <w:gridCol w:w="6"/>
        <w:gridCol w:w="181"/>
        <w:gridCol w:w="8839"/>
      </w:tblGrid>
      <w:tr w:rsidR="00465964" w:rsidRPr="00465964" w14:paraId="10A79DD6" w14:textId="77777777" w:rsidTr="00465964">
        <w:tc>
          <w:tcPr>
            <w:tcW w:w="0" w:type="auto"/>
            <w:shd w:val="clear" w:color="auto" w:fill="auto"/>
            <w:hideMark/>
          </w:tcPr>
          <w:p w14:paraId="59D3A9E4" w14:textId="77777777" w:rsidR="00465964" w:rsidRPr="00465964" w:rsidRDefault="00465964" w:rsidP="00465964">
            <w:pPr>
              <w:rPr>
                <w:lang w:val="pt-PT"/>
              </w:rPr>
            </w:pPr>
          </w:p>
        </w:tc>
        <w:tc>
          <w:tcPr>
            <w:tcW w:w="0" w:type="auto"/>
            <w:shd w:val="clear" w:color="auto" w:fill="auto"/>
            <w:hideMark/>
          </w:tcPr>
          <w:p w14:paraId="28297DC0" w14:textId="77777777" w:rsidR="00465964" w:rsidRPr="00465964" w:rsidRDefault="00465964" w:rsidP="00465964">
            <w:r w:rsidRPr="00465964">
              <w:t>2.</w:t>
            </w:r>
          </w:p>
        </w:tc>
        <w:tc>
          <w:tcPr>
            <w:tcW w:w="0" w:type="auto"/>
            <w:shd w:val="clear" w:color="auto" w:fill="auto"/>
            <w:hideMark/>
          </w:tcPr>
          <w:p w14:paraId="5AC9F422" w14:textId="77777777" w:rsidR="00465964" w:rsidRPr="00465964" w:rsidRDefault="00465964" w:rsidP="00465964">
            <w:pPr>
              <w:rPr>
                <w:lang w:val="pt-PT"/>
              </w:rPr>
            </w:pPr>
            <w:r w:rsidRPr="00465964">
              <w:rPr>
                <w:lang w:val="pt-PT"/>
              </w:rPr>
              <w:t>O emitente infringe o artigo 23.</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xml:space="preserve"> 1, se não cessar a emissão de uma </w:t>
            </w:r>
            <w:proofErr w:type="spellStart"/>
            <w:r w:rsidRPr="00465964">
              <w:rPr>
                <w:lang w:val="pt-PT"/>
              </w:rPr>
              <w:t>criptoficha</w:t>
            </w:r>
            <w:proofErr w:type="spellEnd"/>
            <w:r w:rsidRPr="00465964">
              <w:rPr>
                <w:lang w:val="pt-PT"/>
              </w:rPr>
              <w:t xml:space="preserve"> de moeda eletrónica significativa denominada numa moeda que não seja uma moeda oficial de um Estado-Membro ao atingir os limiares previstos no referido número ou se não apresentar à EBA, no prazo de 40 dias úteis após ter atingido esses limiares, um plano para assegurar que </w:t>
            </w:r>
            <w:r w:rsidRPr="00465964">
              <w:rPr>
                <w:lang w:val="pt-PT"/>
              </w:rPr>
              <w:lastRenderedPageBreak/>
              <w:t>a média trimestral estimada do número e do valor agregado das transações diárias são mantidos abaixo desses limiares.</w:t>
            </w:r>
          </w:p>
        </w:tc>
      </w:tr>
    </w:tbl>
    <w:p w14:paraId="095EDA49" w14:textId="77777777" w:rsidR="00465964" w:rsidRPr="00465964" w:rsidRDefault="00465964" w:rsidP="00465964">
      <w:pPr>
        <w:rPr>
          <w:vanish/>
          <w:lang w:val="pt-PT"/>
        </w:rPr>
      </w:pPr>
    </w:p>
    <w:tbl>
      <w:tblPr>
        <w:tblW w:w="5000" w:type="pct"/>
        <w:tblCellMar>
          <w:left w:w="0" w:type="dxa"/>
          <w:right w:w="0" w:type="dxa"/>
        </w:tblCellMar>
        <w:tblLook w:val="04A0" w:firstRow="1" w:lastRow="0" w:firstColumn="1" w:lastColumn="0" w:noHBand="0" w:noVBand="1"/>
      </w:tblPr>
      <w:tblGrid>
        <w:gridCol w:w="6"/>
        <w:gridCol w:w="181"/>
        <w:gridCol w:w="8839"/>
      </w:tblGrid>
      <w:tr w:rsidR="00465964" w:rsidRPr="00465964" w14:paraId="39DAA4E7" w14:textId="77777777" w:rsidTr="00465964">
        <w:tc>
          <w:tcPr>
            <w:tcW w:w="0" w:type="auto"/>
            <w:shd w:val="clear" w:color="auto" w:fill="auto"/>
            <w:hideMark/>
          </w:tcPr>
          <w:p w14:paraId="16E8D732" w14:textId="77777777" w:rsidR="00465964" w:rsidRPr="00465964" w:rsidRDefault="00465964" w:rsidP="00465964">
            <w:pPr>
              <w:rPr>
                <w:lang w:val="pt-PT"/>
              </w:rPr>
            </w:pPr>
          </w:p>
        </w:tc>
        <w:tc>
          <w:tcPr>
            <w:tcW w:w="0" w:type="auto"/>
            <w:shd w:val="clear" w:color="auto" w:fill="auto"/>
            <w:hideMark/>
          </w:tcPr>
          <w:p w14:paraId="7D94673C" w14:textId="77777777" w:rsidR="00465964" w:rsidRPr="00465964" w:rsidRDefault="00465964" w:rsidP="00465964">
            <w:r w:rsidRPr="00465964">
              <w:t>3.</w:t>
            </w:r>
          </w:p>
        </w:tc>
        <w:tc>
          <w:tcPr>
            <w:tcW w:w="0" w:type="auto"/>
            <w:shd w:val="clear" w:color="auto" w:fill="auto"/>
            <w:hideMark/>
          </w:tcPr>
          <w:p w14:paraId="41497357" w14:textId="77777777" w:rsidR="00465964" w:rsidRPr="00465964" w:rsidRDefault="00465964" w:rsidP="00465964">
            <w:pPr>
              <w:rPr>
                <w:lang w:val="pt-PT"/>
              </w:rPr>
            </w:pPr>
            <w:r w:rsidRPr="00465964">
              <w:rPr>
                <w:lang w:val="pt-PT"/>
              </w:rPr>
              <w:t>O emitente infringe o artigo 23.</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xml:space="preserve"> 4, se não proceder às modificações do plano referido no </w:t>
            </w:r>
            <w:proofErr w:type="spellStart"/>
            <w:r w:rsidRPr="00465964">
              <w:rPr>
                <w:lang w:val="pt-PT"/>
              </w:rPr>
              <w:t>n.</w:t>
            </w:r>
            <w:r w:rsidRPr="00465964">
              <w:rPr>
                <w:vertAlign w:val="superscript"/>
                <w:lang w:val="pt-PT"/>
              </w:rPr>
              <w:t>o</w:t>
            </w:r>
            <w:proofErr w:type="spellEnd"/>
            <w:r w:rsidRPr="00465964">
              <w:rPr>
                <w:lang w:val="pt-PT"/>
              </w:rPr>
              <w:t> 1, alínea b), do mesmo artigo exigidas pela EBA.</w:t>
            </w:r>
          </w:p>
        </w:tc>
      </w:tr>
    </w:tbl>
    <w:p w14:paraId="13F4F2A9" w14:textId="77777777" w:rsidR="00465964" w:rsidRPr="00465964" w:rsidRDefault="00465964" w:rsidP="00465964">
      <w:pPr>
        <w:rPr>
          <w:vanish/>
          <w:lang w:val="pt-PT"/>
        </w:rPr>
      </w:pPr>
    </w:p>
    <w:tbl>
      <w:tblPr>
        <w:tblW w:w="5000" w:type="pct"/>
        <w:tblCellMar>
          <w:left w:w="0" w:type="dxa"/>
          <w:right w:w="0" w:type="dxa"/>
        </w:tblCellMar>
        <w:tblLook w:val="04A0" w:firstRow="1" w:lastRow="0" w:firstColumn="1" w:lastColumn="0" w:noHBand="0" w:noVBand="1"/>
      </w:tblPr>
      <w:tblGrid>
        <w:gridCol w:w="6"/>
        <w:gridCol w:w="181"/>
        <w:gridCol w:w="8839"/>
      </w:tblGrid>
      <w:tr w:rsidR="00465964" w:rsidRPr="00465964" w14:paraId="5FE42177" w14:textId="77777777" w:rsidTr="00465964">
        <w:tc>
          <w:tcPr>
            <w:tcW w:w="0" w:type="auto"/>
            <w:shd w:val="clear" w:color="auto" w:fill="auto"/>
            <w:hideMark/>
          </w:tcPr>
          <w:p w14:paraId="370DEE79" w14:textId="77777777" w:rsidR="00465964" w:rsidRPr="00465964" w:rsidRDefault="00465964" w:rsidP="00465964">
            <w:pPr>
              <w:rPr>
                <w:lang w:val="pt-PT"/>
              </w:rPr>
            </w:pPr>
          </w:p>
        </w:tc>
        <w:tc>
          <w:tcPr>
            <w:tcW w:w="0" w:type="auto"/>
            <w:shd w:val="clear" w:color="auto" w:fill="auto"/>
            <w:hideMark/>
          </w:tcPr>
          <w:p w14:paraId="2C8270D3" w14:textId="77777777" w:rsidR="00465964" w:rsidRPr="00465964" w:rsidRDefault="00465964" w:rsidP="00465964">
            <w:r w:rsidRPr="00465964">
              <w:t>4.</w:t>
            </w:r>
          </w:p>
        </w:tc>
        <w:tc>
          <w:tcPr>
            <w:tcW w:w="0" w:type="auto"/>
            <w:shd w:val="clear" w:color="auto" w:fill="auto"/>
            <w:hideMark/>
          </w:tcPr>
          <w:p w14:paraId="232F1277" w14:textId="77777777" w:rsidR="00465964" w:rsidRPr="00465964" w:rsidRDefault="00465964" w:rsidP="00465964">
            <w:pPr>
              <w:rPr>
                <w:lang w:val="pt-PT"/>
              </w:rPr>
            </w:pPr>
            <w:r w:rsidRPr="00465964">
              <w:rPr>
                <w:lang w:val="pt-PT"/>
              </w:rPr>
              <w:t>O emitente infringe o artigo 35.</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2, do presente regulamento se os seus fundos próprios não consistirem nos elementos de fundos próprios principais de nível 1 mencionados nos artigos 26.</w:t>
            </w:r>
            <w:r w:rsidRPr="00465964">
              <w:rPr>
                <w:vertAlign w:val="superscript"/>
                <w:lang w:val="pt-PT"/>
              </w:rPr>
              <w:t>o</w:t>
            </w:r>
            <w:r w:rsidRPr="00465964">
              <w:rPr>
                <w:lang w:val="pt-PT"/>
              </w:rPr>
              <w:t> a 30.</w:t>
            </w:r>
            <w:r w:rsidRPr="00465964">
              <w:rPr>
                <w:vertAlign w:val="superscript"/>
                <w:lang w:val="pt-PT"/>
              </w:rPr>
              <w:t>o</w:t>
            </w:r>
            <w:r w:rsidRPr="00465964">
              <w:rPr>
                <w:lang w:val="pt-PT"/>
              </w:rPr>
              <w:t xml:space="preserve"> do Regulamento (UE) </w:t>
            </w:r>
            <w:proofErr w:type="spellStart"/>
            <w:r w:rsidRPr="00465964">
              <w:rPr>
                <w:lang w:val="pt-PT"/>
              </w:rPr>
              <w:t>n.</w:t>
            </w:r>
            <w:r w:rsidRPr="00465964">
              <w:rPr>
                <w:vertAlign w:val="superscript"/>
                <w:lang w:val="pt-PT"/>
              </w:rPr>
              <w:t>o</w:t>
            </w:r>
            <w:proofErr w:type="spellEnd"/>
            <w:r w:rsidRPr="00465964">
              <w:rPr>
                <w:lang w:val="pt-PT"/>
              </w:rPr>
              <w:t> 575/2013, após as deduções integrais dos elementos previstos no artigo 36.</w:t>
            </w:r>
            <w:r w:rsidRPr="00465964">
              <w:rPr>
                <w:vertAlign w:val="superscript"/>
                <w:lang w:val="pt-PT"/>
              </w:rPr>
              <w:t>o</w:t>
            </w:r>
            <w:r w:rsidRPr="00465964">
              <w:rPr>
                <w:lang w:val="pt-PT"/>
              </w:rPr>
              <w:t> do referido regulamento, sem aplicação dos limiares de isenção a que se referem o artigo 46.</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4, e o artigo 48.</w:t>
            </w:r>
            <w:r w:rsidRPr="00465964">
              <w:rPr>
                <w:vertAlign w:val="superscript"/>
                <w:lang w:val="pt-PT"/>
              </w:rPr>
              <w:t>o</w:t>
            </w:r>
            <w:r w:rsidRPr="00465964">
              <w:rPr>
                <w:lang w:val="pt-PT"/>
              </w:rPr>
              <w:t> desse regulamento.</w:t>
            </w:r>
          </w:p>
        </w:tc>
      </w:tr>
    </w:tbl>
    <w:p w14:paraId="4DE4C1F3" w14:textId="77777777" w:rsidR="00465964" w:rsidRPr="00465964" w:rsidRDefault="00465964" w:rsidP="00465964">
      <w:pPr>
        <w:rPr>
          <w:vanish/>
          <w:lang w:val="pt-PT"/>
        </w:rPr>
      </w:pPr>
    </w:p>
    <w:tbl>
      <w:tblPr>
        <w:tblW w:w="5000" w:type="pct"/>
        <w:tblCellMar>
          <w:left w:w="0" w:type="dxa"/>
          <w:right w:w="0" w:type="dxa"/>
        </w:tblCellMar>
        <w:tblLook w:val="04A0" w:firstRow="1" w:lastRow="0" w:firstColumn="1" w:lastColumn="0" w:noHBand="0" w:noVBand="1"/>
      </w:tblPr>
      <w:tblGrid>
        <w:gridCol w:w="6"/>
        <w:gridCol w:w="181"/>
        <w:gridCol w:w="8839"/>
      </w:tblGrid>
      <w:tr w:rsidR="00465964" w:rsidRPr="00465964" w14:paraId="03F5AF25" w14:textId="77777777" w:rsidTr="00465964">
        <w:tc>
          <w:tcPr>
            <w:tcW w:w="0" w:type="auto"/>
            <w:shd w:val="clear" w:color="auto" w:fill="auto"/>
            <w:hideMark/>
          </w:tcPr>
          <w:p w14:paraId="5BF15A72" w14:textId="77777777" w:rsidR="00465964" w:rsidRPr="00465964" w:rsidRDefault="00465964" w:rsidP="00465964">
            <w:pPr>
              <w:rPr>
                <w:lang w:val="pt-PT"/>
              </w:rPr>
            </w:pPr>
          </w:p>
        </w:tc>
        <w:tc>
          <w:tcPr>
            <w:tcW w:w="0" w:type="auto"/>
            <w:shd w:val="clear" w:color="auto" w:fill="auto"/>
            <w:hideMark/>
          </w:tcPr>
          <w:p w14:paraId="5527B914" w14:textId="77777777" w:rsidR="00465964" w:rsidRPr="00465964" w:rsidRDefault="00465964" w:rsidP="00465964">
            <w:r w:rsidRPr="00465964">
              <w:t>5.</w:t>
            </w:r>
          </w:p>
        </w:tc>
        <w:tc>
          <w:tcPr>
            <w:tcW w:w="0" w:type="auto"/>
            <w:shd w:val="clear" w:color="auto" w:fill="auto"/>
            <w:hideMark/>
          </w:tcPr>
          <w:p w14:paraId="6FF42328" w14:textId="77777777" w:rsidR="00465964" w:rsidRPr="00465964" w:rsidRDefault="00465964" w:rsidP="00465964">
            <w:pPr>
              <w:rPr>
                <w:lang w:val="pt-PT"/>
              </w:rPr>
            </w:pPr>
            <w:r w:rsidRPr="00465964">
              <w:rPr>
                <w:lang w:val="pt-PT"/>
              </w:rPr>
              <w:t>O emitente infringe o artigo 35.</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3, se não respeitar o requisito da EBA de deter um montante mais elevado de fundos próprios, no seguimento de uma avaliação realizada nos termos das alíneas a) a g) do referido número.</w:t>
            </w:r>
          </w:p>
        </w:tc>
      </w:tr>
    </w:tbl>
    <w:p w14:paraId="034CCA6E" w14:textId="77777777" w:rsidR="00465964" w:rsidRPr="00465964" w:rsidRDefault="00465964" w:rsidP="00465964">
      <w:pPr>
        <w:rPr>
          <w:vanish/>
          <w:lang w:val="pt-PT"/>
        </w:rPr>
      </w:pPr>
    </w:p>
    <w:tbl>
      <w:tblPr>
        <w:tblW w:w="5000" w:type="pct"/>
        <w:tblCellMar>
          <w:left w:w="0" w:type="dxa"/>
          <w:right w:w="0" w:type="dxa"/>
        </w:tblCellMar>
        <w:tblLook w:val="04A0" w:firstRow="1" w:lastRow="0" w:firstColumn="1" w:lastColumn="0" w:noHBand="0" w:noVBand="1"/>
      </w:tblPr>
      <w:tblGrid>
        <w:gridCol w:w="6"/>
        <w:gridCol w:w="181"/>
        <w:gridCol w:w="8839"/>
      </w:tblGrid>
      <w:tr w:rsidR="00465964" w:rsidRPr="00465964" w14:paraId="61FF93F3" w14:textId="77777777" w:rsidTr="00465964">
        <w:tc>
          <w:tcPr>
            <w:tcW w:w="0" w:type="auto"/>
            <w:shd w:val="clear" w:color="auto" w:fill="auto"/>
            <w:hideMark/>
          </w:tcPr>
          <w:p w14:paraId="33FE82FA" w14:textId="77777777" w:rsidR="00465964" w:rsidRPr="00465964" w:rsidRDefault="00465964" w:rsidP="00465964">
            <w:pPr>
              <w:rPr>
                <w:lang w:val="pt-PT"/>
              </w:rPr>
            </w:pPr>
          </w:p>
        </w:tc>
        <w:tc>
          <w:tcPr>
            <w:tcW w:w="0" w:type="auto"/>
            <w:shd w:val="clear" w:color="auto" w:fill="auto"/>
            <w:hideMark/>
          </w:tcPr>
          <w:p w14:paraId="45F38052" w14:textId="77777777" w:rsidR="00465964" w:rsidRPr="00465964" w:rsidRDefault="00465964" w:rsidP="00465964">
            <w:r w:rsidRPr="00465964">
              <w:t>6.</w:t>
            </w:r>
          </w:p>
        </w:tc>
        <w:tc>
          <w:tcPr>
            <w:tcW w:w="0" w:type="auto"/>
            <w:shd w:val="clear" w:color="auto" w:fill="auto"/>
            <w:hideMark/>
          </w:tcPr>
          <w:p w14:paraId="298EAFEB" w14:textId="77777777" w:rsidR="00465964" w:rsidRPr="00465964" w:rsidRDefault="00465964" w:rsidP="00465964">
            <w:pPr>
              <w:rPr>
                <w:lang w:val="pt-PT"/>
              </w:rPr>
            </w:pPr>
            <w:r w:rsidRPr="00465964">
              <w:rPr>
                <w:lang w:val="pt-PT"/>
              </w:rPr>
              <w:t>O emitente infringe o artigo 35.</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5, se não realizar regularmente testes de esforço que tenham em conta cenários de esforço financeiro graves, mas plausíveis, tais como choques das taxas de juro, e cenários de esforço não financeiro, tais como o risco operacional.</w:t>
            </w:r>
          </w:p>
        </w:tc>
      </w:tr>
    </w:tbl>
    <w:p w14:paraId="24DBB95B" w14:textId="77777777" w:rsidR="00465964" w:rsidRPr="00465964" w:rsidRDefault="00465964" w:rsidP="00465964">
      <w:pPr>
        <w:rPr>
          <w:vanish/>
          <w:lang w:val="pt-PT"/>
        </w:rPr>
      </w:pPr>
    </w:p>
    <w:tbl>
      <w:tblPr>
        <w:tblW w:w="5000" w:type="pct"/>
        <w:tblCellMar>
          <w:left w:w="0" w:type="dxa"/>
          <w:right w:w="0" w:type="dxa"/>
        </w:tblCellMar>
        <w:tblLook w:val="04A0" w:firstRow="1" w:lastRow="0" w:firstColumn="1" w:lastColumn="0" w:noHBand="0" w:noVBand="1"/>
      </w:tblPr>
      <w:tblGrid>
        <w:gridCol w:w="6"/>
        <w:gridCol w:w="181"/>
        <w:gridCol w:w="8839"/>
      </w:tblGrid>
      <w:tr w:rsidR="00465964" w:rsidRPr="00465964" w14:paraId="47A3EC4D" w14:textId="77777777" w:rsidTr="00465964">
        <w:tc>
          <w:tcPr>
            <w:tcW w:w="0" w:type="auto"/>
            <w:shd w:val="clear" w:color="auto" w:fill="auto"/>
            <w:hideMark/>
          </w:tcPr>
          <w:p w14:paraId="1C629700" w14:textId="77777777" w:rsidR="00465964" w:rsidRPr="00465964" w:rsidRDefault="00465964" w:rsidP="00465964">
            <w:pPr>
              <w:rPr>
                <w:lang w:val="pt-PT"/>
              </w:rPr>
            </w:pPr>
          </w:p>
        </w:tc>
        <w:tc>
          <w:tcPr>
            <w:tcW w:w="0" w:type="auto"/>
            <w:shd w:val="clear" w:color="auto" w:fill="auto"/>
            <w:hideMark/>
          </w:tcPr>
          <w:p w14:paraId="0D47A4A8" w14:textId="77777777" w:rsidR="00465964" w:rsidRPr="00465964" w:rsidRDefault="00465964" w:rsidP="00465964">
            <w:r w:rsidRPr="00465964">
              <w:t>7.</w:t>
            </w:r>
          </w:p>
        </w:tc>
        <w:tc>
          <w:tcPr>
            <w:tcW w:w="0" w:type="auto"/>
            <w:shd w:val="clear" w:color="auto" w:fill="auto"/>
            <w:hideMark/>
          </w:tcPr>
          <w:p w14:paraId="108489B7" w14:textId="77777777" w:rsidR="00465964" w:rsidRPr="00465964" w:rsidRDefault="00465964" w:rsidP="00465964">
            <w:pPr>
              <w:rPr>
                <w:lang w:val="pt-PT"/>
              </w:rPr>
            </w:pPr>
            <w:r w:rsidRPr="00465964">
              <w:rPr>
                <w:lang w:val="pt-PT"/>
              </w:rPr>
              <w:t>O emitente infringe o artigo 35.</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5, se não respeitar o requisito da EBA de deter um montante mais elevado de fundos próprios com base nos resultados dos testes de esforço.</w:t>
            </w:r>
          </w:p>
        </w:tc>
      </w:tr>
    </w:tbl>
    <w:p w14:paraId="76AD1000" w14:textId="77777777" w:rsidR="00465964" w:rsidRPr="00465964" w:rsidRDefault="00465964" w:rsidP="00465964">
      <w:pPr>
        <w:rPr>
          <w:vanish/>
          <w:lang w:val="pt-PT"/>
        </w:rPr>
      </w:pPr>
    </w:p>
    <w:tbl>
      <w:tblPr>
        <w:tblW w:w="5000" w:type="pct"/>
        <w:tblCellMar>
          <w:left w:w="0" w:type="dxa"/>
          <w:right w:w="0" w:type="dxa"/>
        </w:tblCellMar>
        <w:tblLook w:val="04A0" w:firstRow="1" w:lastRow="0" w:firstColumn="1" w:lastColumn="0" w:noHBand="0" w:noVBand="1"/>
      </w:tblPr>
      <w:tblGrid>
        <w:gridCol w:w="6"/>
        <w:gridCol w:w="181"/>
        <w:gridCol w:w="8839"/>
      </w:tblGrid>
      <w:tr w:rsidR="00465964" w:rsidRPr="00465964" w14:paraId="052CDE8C" w14:textId="77777777" w:rsidTr="00465964">
        <w:tc>
          <w:tcPr>
            <w:tcW w:w="0" w:type="auto"/>
            <w:shd w:val="clear" w:color="auto" w:fill="auto"/>
            <w:hideMark/>
          </w:tcPr>
          <w:p w14:paraId="684BBB85" w14:textId="77777777" w:rsidR="00465964" w:rsidRPr="00465964" w:rsidRDefault="00465964" w:rsidP="00465964">
            <w:pPr>
              <w:rPr>
                <w:lang w:val="pt-PT"/>
              </w:rPr>
            </w:pPr>
          </w:p>
        </w:tc>
        <w:tc>
          <w:tcPr>
            <w:tcW w:w="0" w:type="auto"/>
            <w:shd w:val="clear" w:color="auto" w:fill="auto"/>
            <w:hideMark/>
          </w:tcPr>
          <w:p w14:paraId="3C65D055" w14:textId="77777777" w:rsidR="00465964" w:rsidRPr="00465964" w:rsidRDefault="00465964" w:rsidP="00465964">
            <w:r w:rsidRPr="00465964">
              <w:t>8.</w:t>
            </w:r>
          </w:p>
        </w:tc>
        <w:tc>
          <w:tcPr>
            <w:tcW w:w="0" w:type="auto"/>
            <w:shd w:val="clear" w:color="auto" w:fill="auto"/>
            <w:hideMark/>
          </w:tcPr>
          <w:p w14:paraId="28F61FC0" w14:textId="77777777" w:rsidR="00465964" w:rsidRPr="00465964" w:rsidRDefault="00465964" w:rsidP="00465964">
            <w:pPr>
              <w:rPr>
                <w:lang w:val="pt-PT"/>
              </w:rPr>
            </w:pPr>
            <w:r w:rsidRPr="00465964">
              <w:rPr>
                <w:lang w:val="pt-PT"/>
              </w:rPr>
              <w:t>O emitente infringe o artigo 36.</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1, se não constituir e mantiver, a todo o tempo, uma reserva de ativos.</w:t>
            </w:r>
          </w:p>
        </w:tc>
      </w:tr>
    </w:tbl>
    <w:p w14:paraId="25625383" w14:textId="77777777" w:rsidR="00465964" w:rsidRPr="00465964" w:rsidRDefault="00465964" w:rsidP="00465964">
      <w:pPr>
        <w:rPr>
          <w:vanish/>
          <w:lang w:val="pt-PT"/>
        </w:rPr>
      </w:pPr>
    </w:p>
    <w:tbl>
      <w:tblPr>
        <w:tblW w:w="5000" w:type="pct"/>
        <w:tblCellMar>
          <w:left w:w="0" w:type="dxa"/>
          <w:right w:w="0" w:type="dxa"/>
        </w:tblCellMar>
        <w:tblLook w:val="04A0" w:firstRow="1" w:lastRow="0" w:firstColumn="1" w:lastColumn="0" w:noHBand="0" w:noVBand="1"/>
      </w:tblPr>
      <w:tblGrid>
        <w:gridCol w:w="6"/>
        <w:gridCol w:w="181"/>
        <w:gridCol w:w="8839"/>
      </w:tblGrid>
      <w:tr w:rsidR="00465964" w:rsidRPr="00465964" w14:paraId="326081DA" w14:textId="77777777" w:rsidTr="00465964">
        <w:tc>
          <w:tcPr>
            <w:tcW w:w="0" w:type="auto"/>
            <w:shd w:val="clear" w:color="auto" w:fill="auto"/>
            <w:hideMark/>
          </w:tcPr>
          <w:p w14:paraId="482A9A56" w14:textId="77777777" w:rsidR="00465964" w:rsidRPr="00465964" w:rsidRDefault="00465964" w:rsidP="00465964">
            <w:pPr>
              <w:rPr>
                <w:lang w:val="pt-PT"/>
              </w:rPr>
            </w:pPr>
          </w:p>
        </w:tc>
        <w:tc>
          <w:tcPr>
            <w:tcW w:w="0" w:type="auto"/>
            <w:shd w:val="clear" w:color="auto" w:fill="auto"/>
            <w:hideMark/>
          </w:tcPr>
          <w:p w14:paraId="256FB59A" w14:textId="77777777" w:rsidR="00465964" w:rsidRPr="00465964" w:rsidRDefault="00465964" w:rsidP="00465964">
            <w:r w:rsidRPr="00465964">
              <w:t>9.</w:t>
            </w:r>
          </w:p>
        </w:tc>
        <w:tc>
          <w:tcPr>
            <w:tcW w:w="0" w:type="auto"/>
            <w:shd w:val="clear" w:color="auto" w:fill="auto"/>
            <w:hideMark/>
          </w:tcPr>
          <w:p w14:paraId="49969F0D" w14:textId="77777777" w:rsidR="00465964" w:rsidRPr="00465964" w:rsidRDefault="00465964" w:rsidP="00465964">
            <w:pPr>
              <w:rPr>
                <w:lang w:val="pt-PT"/>
              </w:rPr>
            </w:pPr>
            <w:r w:rsidRPr="00465964">
              <w:rPr>
                <w:lang w:val="pt-PT"/>
              </w:rPr>
              <w:t>O emitente infringe o artigo 36.</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xml:space="preserve"> 1, se não assegurar que a reserva de ativos seja composta e gerida de modo a cobrir os riscos associados à moeda oficial referenciada pela </w:t>
            </w:r>
            <w:proofErr w:type="spellStart"/>
            <w:r w:rsidRPr="00465964">
              <w:rPr>
                <w:lang w:val="pt-PT"/>
              </w:rPr>
              <w:t>criptoficha</w:t>
            </w:r>
            <w:proofErr w:type="spellEnd"/>
            <w:r w:rsidRPr="00465964">
              <w:rPr>
                <w:lang w:val="pt-PT"/>
              </w:rPr>
              <w:t xml:space="preserve"> de moeda eletrónica significativa.</w:t>
            </w:r>
          </w:p>
        </w:tc>
      </w:tr>
    </w:tbl>
    <w:p w14:paraId="3B6250A7" w14:textId="77777777" w:rsidR="00465964" w:rsidRPr="00465964" w:rsidRDefault="00465964" w:rsidP="00465964">
      <w:pPr>
        <w:rPr>
          <w:vanish/>
          <w:lang w:val="pt-PT"/>
        </w:rPr>
      </w:pPr>
    </w:p>
    <w:tbl>
      <w:tblPr>
        <w:tblW w:w="5000" w:type="pct"/>
        <w:tblCellMar>
          <w:left w:w="0" w:type="dxa"/>
          <w:right w:w="0" w:type="dxa"/>
        </w:tblCellMar>
        <w:tblLook w:val="04A0" w:firstRow="1" w:lastRow="0" w:firstColumn="1" w:lastColumn="0" w:noHBand="0" w:noVBand="1"/>
      </w:tblPr>
      <w:tblGrid>
        <w:gridCol w:w="6"/>
        <w:gridCol w:w="298"/>
        <w:gridCol w:w="8722"/>
      </w:tblGrid>
      <w:tr w:rsidR="00465964" w:rsidRPr="00465964" w14:paraId="4CF4C970" w14:textId="77777777" w:rsidTr="00465964">
        <w:tc>
          <w:tcPr>
            <w:tcW w:w="0" w:type="auto"/>
            <w:shd w:val="clear" w:color="auto" w:fill="auto"/>
            <w:hideMark/>
          </w:tcPr>
          <w:p w14:paraId="45BCE2F2" w14:textId="77777777" w:rsidR="00465964" w:rsidRPr="00465964" w:rsidRDefault="00465964" w:rsidP="00465964">
            <w:pPr>
              <w:rPr>
                <w:lang w:val="pt-PT"/>
              </w:rPr>
            </w:pPr>
          </w:p>
        </w:tc>
        <w:tc>
          <w:tcPr>
            <w:tcW w:w="0" w:type="auto"/>
            <w:shd w:val="clear" w:color="auto" w:fill="auto"/>
            <w:hideMark/>
          </w:tcPr>
          <w:p w14:paraId="7A5B344E" w14:textId="77777777" w:rsidR="00465964" w:rsidRPr="00465964" w:rsidRDefault="00465964" w:rsidP="00465964">
            <w:r w:rsidRPr="00465964">
              <w:t>10.</w:t>
            </w:r>
          </w:p>
        </w:tc>
        <w:tc>
          <w:tcPr>
            <w:tcW w:w="0" w:type="auto"/>
            <w:shd w:val="clear" w:color="auto" w:fill="auto"/>
            <w:hideMark/>
          </w:tcPr>
          <w:p w14:paraId="17F27EBD" w14:textId="77777777" w:rsidR="00465964" w:rsidRPr="00465964" w:rsidRDefault="00465964" w:rsidP="00465964">
            <w:pPr>
              <w:rPr>
                <w:lang w:val="pt-PT"/>
              </w:rPr>
            </w:pPr>
            <w:r w:rsidRPr="00465964">
              <w:rPr>
                <w:lang w:val="pt-PT"/>
              </w:rPr>
              <w:t>O emitente infringe o artigo 36.</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1, se não assegurar que a reserva de ativos seja composta e gerida de modo a cobrir os riscos de liquidez associados aos direitos de reembolso permanentes dos detentores.</w:t>
            </w:r>
          </w:p>
        </w:tc>
      </w:tr>
    </w:tbl>
    <w:p w14:paraId="65E0B10A" w14:textId="77777777" w:rsidR="00465964" w:rsidRPr="00465964" w:rsidRDefault="00465964" w:rsidP="00465964">
      <w:pPr>
        <w:rPr>
          <w:vanish/>
          <w:lang w:val="pt-PT"/>
        </w:rPr>
      </w:pPr>
    </w:p>
    <w:tbl>
      <w:tblPr>
        <w:tblW w:w="5000" w:type="pct"/>
        <w:tblCellMar>
          <w:left w:w="0" w:type="dxa"/>
          <w:right w:w="0" w:type="dxa"/>
        </w:tblCellMar>
        <w:tblLook w:val="04A0" w:firstRow="1" w:lastRow="0" w:firstColumn="1" w:lastColumn="0" w:noHBand="0" w:noVBand="1"/>
      </w:tblPr>
      <w:tblGrid>
        <w:gridCol w:w="6"/>
        <w:gridCol w:w="298"/>
        <w:gridCol w:w="8722"/>
      </w:tblGrid>
      <w:tr w:rsidR="00465964" w:rsidRPr="00465964" w14:paraId="564F3CC6" w14:textId="77777777" w:rsidTr="00465964">
        <w:tc>
          <w:tcPr>
            <w:tcW w:w="0" w:type="auto"/>
            <w:shd w:val="clear" w:color="auto" w:fill="auto"/>
            <w:hideMark/>
          </w:tcPr>
          <w:p w14:paraId="77F4C74A" w14:textId="77777777" w:rsidR="00465964" w:rsidRPr="00465964" w:rsidRDefault="00465964" w:rsidP="00465964">
            <w:pPr>
              <w:rPr>
                <w:lang w:val="pt-PT"/>
              </w:rPr>
            </w:pPr>
          </w:p>
        </w:tc>
        <w:tc>
          <w:tcPr>
            <w:tcW w:w="0" w:type="auto"/>
            <w:shd w:val="clear" w:color="auto" w:fill="auto"/>
            <w:hideMark/>
          </w:tcPr>
          <w:p w14:paraId="048E48FD" w14:textId="77777777" w:rsidR="00465964" w:rsidRPr="00465964" w:rsidRDefault="00465964" w:rsidP="00465964">
            <w:r w:rsidRPr="00465964">
              <w:t>11.</w:t>
            </w:r>
          </w:p>
        </w:tc>
        <w:tc>
          <w:tcPr>
            <w:tcW w:w="0" w:type="auto"/>
            <w:shd w:val="clear" w:color="auto" w:fill="auto"/>
            <w:hideMark/>
          </w:tcPr>
          <w:p w14:paraId="6192C2FD" w14:textId="7D42B3F1" w:rsidR="00465964" w:rsidRPr="00465964" w:rsidRDefault="00465964" w:rsidP="00465964">
            <w:pPr>
              <w:rPr>
                <w:lang w:val="pt-PT"/>
              </w:rPr>
            </w:pPr>
            <w:r w:rsidRPr="00465964">
              <w:rPr>
                <w:lang w:val="pt-PT"/>
              </w:rPr>
              <w:t>O emitente infringe o artigo 36.</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xml:space="preserve"> 3, se não assegurar que a reserva de ativos seja operacionalmente separada do património do emitente e da reserva de ativos de outras </w:t>
            </w:r>
            <w:r>
              <w:rPr>
                <w:lang w:val="pt-PT"/>
              </w:rPr>
              <w:t>criptomoedas</w:t>
            </w:r>
            <w:r w:rsidRPr="00465964">
              <w:rPr>
                <w:lang w:val="pt-PT"/>
              </w:rPr>
              <w:t xml:space="preserve"> de moeda eletrónica.</w:t>
            </w:r>
          </w:p>
        </w:tc>
      </w:tr>
    </w:tbl>
    <w:p w14:paraId="38DB621B" w14:textId="77777777" w:rsidR="00465964" w:rsidRPr="00465964" w:rsidRDefault="00465964" w:rsidP="00465964">
      <w:pPr>
        <w:rPr>
          <w:vanish/>
          <w:lang w:val="pt-PT"/>
        </w:rPr>
      </w:pPr>
    </w:p>
    <w:tbl>
      <w:tblPr>
        <w:tblW w:w="5000" w:type="pct"/>
        <w:tblCellMar>
          <w:left w:w="0" w:type="dxa"/>
          <w:right w:w="0" w:type="dxa"/>
        </w:tblCellMar>
        <w:tblLook w:val="04A0" w:firstRow="1" w:lastRow="0" w:firstColumn="1" w:lastColumn="0" w:noHBand="0" w:noVBand="1"/>
      </w:tblPr>
      <w:tblGrid>
        <w:gridCol w:w="6"/>
        <w:gridCol w:w="298"/>
        <w:gridCol w:w="8722"/>
      </w:tblGrid>
      <w:tr w:rsidR="00465964" w:rsidRPr="00465964" w14:paraId="015FB9FA" w14:textId="77777777" w:rsidTr="00465964">
        <w:tc>
          <w:tcPr>
            <w:tcW w:w="0" w:type="auto"/>
            <w:shd w:val="clear" w:color="auto" w:fill="auto"/>
            <w:hideMark/>
          </w:tcPr>
          <w:p w14:paraId="534F680B" w14:textId="77777777" w:rsidR="00465964" w:rsidRPr="00465964" w:rsidRDefault="00465964" w:rsidP="00465964">
            <w:pPr>
              <w:rPr>
                <w:lang w:val="pt-PT"/>
              </w:rPr>
            </w:pPr>
          </w:p>
        </w:tc>
        <w:tc>
          <w:tcPr>
            <w:tcW w:w="0" w:type="auto"/>
            <w:shd w:val="clear" w:color="auto" w:fill="auto"/>
            <w:hideMark/>
          </w:tcPr>
          <w:p w14:paraId="28575DB7" w14:textId="77777777" w:rsidR="00465964" w:rsidRPr="00465964" w:rsidRDefault="00465964" w:rsidP="00465964">
            <w:r w:rsidRPr="00465964">
              <w:t>12.</w:t>
            </w:r>
          </w:p>
        </w:tc>
        <w:tc>
          <w:tcPr>
            <w:tcW w:w="0" w:type="auto"/>
            <w:shd w:val="clear" w:color="auto" w:fill="auto"/>
            <w:hideMark/>
          </w:tcPr>
          <w:p w14:paraId="3AB308A7" w14:textId="77777777" w:rsidR="00465964" w:rsidRPr="00465964" w:rsidRDefault="00465964" w:rsidP="00465964">
            <w:pPr>
              <w:rPr>
                <w:lang w:val="pt-PT"/>
              </w:rPr>
            </w:pPr>
            <w:r w:rsidRPr="00465964">
              <w:rPr>
                <w:lang w:val="pt-PT"/>
              </w:rPr>
              <w:t>O emitente infringe o artigo 36.</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6, se o seu órgão de administração não assegurar uma gestão eficaz e prudente da reserva de ativos.</w:t>
            </w:r>
          </w:p>
        </w:tc>
      </w:tr>
    </w:tbl>
    <w:p w14:paraId="506E4DFD" w14:textId="77777777" w:rsidR="00465964" w:rsidRPr="00465964" w:rsidRDefault="00465964" w:rsidP="00465964">
      <w:pPr>
        <w:rPr>
          <w:vanish/>
          <w:lang w:val="pt-PT"/>
        </w:rPr>
      </w:pPr>
    </w:p>
    <w:tbl>
      <w:tblPr>
        <w:tblW w:w="5000" w:type="pct"/>
        <w:tblCellMar>
          <w:left w:w="0" w:type="dxa"/>
          <w:right w:w="0" w:type="dxa"/>
        </w:tblCellMar>
        <w:tblLook w:val="04A0" w:firstRow="1" w:lastRow="0" w:firstColumn="1" w:lastColumn="0" w:noHBand="0" w:noVBand="1"/>
      </w:tblPr>
      <w:tblGrid>
        <w:gridCol w:w="6"/>
        <w:gridCol w:w="298"/>
        <w:gridCol w:w="8722"/>
      </w:tblGrid>
      <w:tr w:rsidR="00465964" w:rsidRPr="00465964" w14:paraId="4F3AA2C7" w14:textId="77777777" w:rsidTr="00465964">
        <w:tc>
          <w:tcPr>
            <w:tcW w:w="0" w:type="auto"/>
            <w:shd w:val="clear" w:color="auto" w:fill="auto"/>
            <w:hideMark/>
          </w:tcPr>
          <w:p w14:paraId="32B2B628" w14:textId="77777777" w:rsidR="00465964" w:rsidRPr="00465964" w:rsidRDefault="00465964" w:rsidP="00465964">
            <w:pPr>
              <w:rPr>
                <w:lang w:val="pt-PT"/>
              </w:rPr>
            </w:pPr>
          </w:p>
        </w:tc>
        <w:tc>
          <w:tcPr>
            <w:tcW w:w="0" w:type="auto"/>
            <w:shd w:val="clear" w:color="auto" w:fill="auto"/>
            <w:hideMark/>
          </w:tcPr>
          <w:p w14:paraId="0D02FA45" w14:textId="77777777" w:rsidR="00465964" w:rsidRPr="00465964" w:rsidRDefault="00465964" w:rsidP="00465964">
            <w:r w:rsidRPr="00465964">
              <w:t>13.</w:t>
            </w:r>
          </w:p>
        </w:tc>
        <w:tc>
          <w:tcPr>
            <w:tcW w:w="0" w:type="auto"/>
            <w:shd w:val="clear" w:color="auto" w:fill="auto"/>
            <w:hideMark/>
          </w:tcPr>
          <w:p w14:paraId="4647E575" w14:textId="77777777" w:rsidR="00465964" w:rsidRPr="00465964" w:rsidRDefault="00465964" w:rsidP="00465964">
            <w:pPr>
              <w:rPr>
                <w:lang w:val="pt-PT"/>
              </w:rPr>
            </w:pPr>
            <w:r w:rsidRPr="00465964">
              <w:rPr>
                <w:lang w:val="pt-PT"/>
              </w:rPr>
              <w:t xml:space="preserve">O emitente infringe o artigo 36, </w:t>
            </w:r>
            <w:proofErr w:type="spellStart"/>
            <w:r w:rsidRPr="00465964">
              <w:rPr>
                <w:lang w:val="pt-PT"/>
              </w:rPr>
              <w:t>n.</w:t>
            </w:r>
            <w:r w:rsidRPr="00465964">
              <w:rPr>
                <w:vertAlign w:val="superscript"/>
                <w:lang w:val="pt-PT"/>
              </w:rPr>
              <w:t>o</w:t>
            </w:r>
            <w:proofErr w:type="spellEnd"/>
            <w:r w:rsidRPr="00465964">
              <w:rPr>
                <w:lang w:val="pt-PT"/>
              </w:rPr>
              <w:t xml:space="preserve"> 6, se não assegurar que a emissão e o reembolso da </w:t>
            </w:r>
            <w:proofErr w:type="spellStart"/>
            <w:r w:rsidRPr="00465964">
              <w:rPr>
                <w:lang w:val="pt-PT"/>
              </w:rPr>
              <w:t>criptoficha</w:t>
            </w:r>
            <w:proofErr w:type="spellEnd"/>
            <w:r w:rsidRPr="00465964">
              <w:rPr>
                <w:lang w:val="pt-PT"/>
              </w:rPr>
              <w:t xml:space="preserve"> de moeda eletrónica significativa sejam sempre acompanhados por um aumento ou uma diminuição correspondente da reserva de ativos.</w:t>
            </w:r>
          </w:p>
        </w:tc>
      </w:tr>
    </w:tbl>
    <w:p w14:paraId="17838E01" w14:textId="77777777" w:rsidR="00465964" w:rsidRPr="00465964" w:rsidRDefault="00465964" w:rsidP="00465964">
      <w:pPr>
        <w:rPr>
          <w:vanish/>
          <w:lang w:val="pt-PT"/>
        </w:rPr>
      </w:pPr>
    </w:p>
    <w:tbl>
      <w:tblPr>
        <w:tblW w:w="5000" w:type="pct"/>
        <w:tblCellMar>
          <w:left w:w="0" w:type="dxa"/>
          <w:right w:w="0" w:type="dxa"/>
        </w:tblCellMar>
        <w:tblLook w:val="04A0" w:firstRow="1" w:lastRow="0" w:firstColumn="1" w:lastColumn="0" w:noHBand="0" w:noVBand="1"/>
      </w:tblPr>
      <w:tblGrid>
        <w:gridCol w:w="6"/>
        <w:gridCol w:w="298"/>
        <w:gridCol w:w="8722"/>
      </w:tblGrid>
      <w:tr w:rsidR="00465964" w:rsidRPr="00465964" w14:paraId="7AE4D432" w14:textId="77777777" w:rsidTr="00465964">
        <w:tc>
          <w:tcPr>
            <w:tcW w:w="0" w:type="auto"/>
            <w:shd w:val="clear" w:color="auto" w:fill="auto"/>
            <w:hideMark/>
          </w:tcPr>
          <w:p w14:paraId="2CEB6A72" w14:textId="77777777" w:rsidR="00465964" w:rsidRPr="00465964" w:rsidRDefault="00465964" w:rsidP="00465964">
            <w:pPr>
              <w:rPr>
                <w:lang w:val="pt-PT"/>
              </w:rPr>
            </w:pPr>
          </w:p>
        </w:tc>
        <w:tc>
          <w:tcPr>
            <w:tcW w:w="0" w:type="auto"/>
            <w:shd w:val="clear" w:color="auto" w:fill="auto"/>
            <w:hideMark/>
          </w:tcPr>
          <w:p w14:paraId="5E5F6616" w14:textId="77777777" w:rsidR="00465964" w:rsidRPr="00465964" w:rsidRDefault="00465964" w:rsidP="00465964">
            <w:r w:rsidRPr="00465964">
              <w:t>14.</w:t>
            </w:r>
          </w:p>
        </w:tc>
        <w:tc>
          <w:tcPr>
            <w:tcW w:w="0" w:type="auto"/>
            <w:shd w:val="clear" w:color="auto" w:fill="auto"/>
            <w:hideMark/>
          </w:tcPr>
          <w:p w14:paraId="0CDC4F8F" w14:textId="77777777" w:rsidR="00465964" w:rsidRPr="00465964" w:rsidRDefault="00465964" w:rsidP="00465964">
            <w:pPr>
              <w:rPr>
                <w:lang w:val="pt-PT"/>
              </w:rPr>
            </w:pPr>
            <w:r w:rsidRPr="00465964">
              <w:rPr>
                <w:lang w:val="pt-PT"/>
              </w:rPr>
              <w:t>O emitente infringe o artigo 36.</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xml:space="preserve"> 7, se não determinar o valor agregado da reserva de ativos utilizando os preços de mercado e se não mantiver sempre o seu valor agregado pelo menos igual ao valor agregado dos créditos sobre o emitente dos detentores da </w:t>
            </w:r>
            <w:proofErr w:type="spellStart"/>
            <w:r w:rsidRPr="00465964">
              <w:rPr>
                <w:lang w:val="pt-PT"/>
              </w:rPr>
              <w:t>criptoficha</w:t>
            </w:r>
            <w:proofErr w:type="spellEnd"/>
            <w:r w:rsidRPr="00465964">
              <w:rPr>
                <w:lang w:val="pt-PT"/>
              </w:rPr>
              <w:t xml:space="preserve"> de moeda eletrónica significativa em circulação.</w:t>
            </w:r>
          </w:p>
        </w:tc>
      </w:tr>
    </w:tbl>
    <w:p w14:paraId="37AD8BA9" w14:textId="77777777" w:rsidR="00465964" w:rsidRPr="00465964" w:rsidRDefault="00465964" w:rsidP="00465964">
      <w:pPr>
        <w:rPr>
          <w:vanish/>
          <w:lang w:val="pt-PT"/>
        </w:rPr>
      </w:pPr>
    </w:p>
    <w:tbl>
      <w:tblPr>
        <w:tblW w:w="5000" w:type="pct"/>
        <w:tblCellMar>
          <w:left w:w="0" w:type="dxa"/>
          <w:right w:w="0" w:type="dxa"/>
        </w:tblCellMar>
        <w:tblLook w:val="04A0" w:firstRow="1" w:lastRow="0" w:firstColumn="1" w:lastColumn="0" w:noHBand="0" w:noVBand="1"/>
      </w:tblPr>
      <w:tblGrid>
        <w:gridCol w:w="6"/>
        <w:gridCol w:w="298"/>
        <w:gridCol w:w="8722"/>
      </w:tblGrid>
      <w:tr w:rsidR="00465964" w:rsidRPr="00465964" w14:paraId="68643165" w14:textId="77777777" w:rsidTr="00465964">
        <w:tc>
          <w:tcPr>
            <w:tcW w:w="0" w:type="auto"/>
            <w:shd w:val="clear" w:color="auto" w:fill="auto"/>
            <w:hideMark/>
          </w:tcPr>
          <w:p w14:paraId="17D391DD" w14:textId="77777777" w:rsidR="00465964" w:rsidRPr="00465964" w:rsidRDefault="00465964" w:rsidP="00465964">
            <w:pPr>
              <w:rPr>
                <w:lang w:val="pt-PT"/>
              </w:rPr>
            </w:pPr>
          </w:p>
        </w:tc>
        <w:tc>
          <w:tcPr>
            <w:tcW w:w="0" w:type="auto"/>
            <w:shd w:val="clear" w:color="auto" w:fill="auto"/>
            <w:hideMark/>
          </w:tcPr>
          <w:p w14:paraId="2A8F78FE" w14:textId="77777777" w:rsidR="00465964" w:rsidRPr="00465964" w:rsidRDefault="00465964" w:rsidP="00465964">
            <w:r w:rsidRPr="00465964">
              <w:t>15.</w:t>
            </w:r>
          </w:p>
        </w:tc>
        <w:tc>
          <w:tcPr>
            <w:tcW w:w="0" w:type="auto"/>
            <w:shd w:val="clear" w:color="auto" w:fill="auto"/>
            <w:hideMark/>
          </w:tcPr>
          <w:p w14:paraId="5D217A78" w14:textId="77777777" w:rsidR="00465964" w:rsidRPr="00465964" w:rsidRDefault="00465964" w:rsidP="00465964">
            <w:pPr>
              <w:rPr>
                <w:lang w:val="pt-PT"/>
              </w:rPr>
            </w:pPr>
            <w:r w:rsidRPr="00465964">
              <w:rPr>
                <w:lang w:val="pt-PT"/>
              </w:rPr>
              <w:t>O emitente infringe o artigo 36.</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xml:space="preserve"> 8, se não dispuser de uma política clara e pormenorizada que descreva o mecanismo de estabilização da </w:t>
            </w:r>
            <w:proofErr w:type="spellStart"/>
            <w:r w:rsidRPr="00465964">
              <w:rPr>
                <w:lang w:val="pt-PT"/>
              </w:rPr>
              <w:t>criptoficha</w:t>
            </w:r>
            <w:proofErr w:type="spellEnd"/>
            <w:r w:rsidRPr="00465964">
              <w:rPr>
                <w:lang w:val="pt-PT"/>
              </w:rPr>
              <w:t xml:space="preserve"> de moeda </w:t>
            </w:r>
            <w:r w:rsidRPr="00465964">
              <w:rPr>
                <w:lang w:val="pt-PT"/>
              </w:rPr>
              <w:lastRenderedPageBreak/>
              <w:t>eletrónica significativa que cumpra as condições estabelecidas nas alíneas a) a g) do referido número.</w:t>
            </w:r>
          </w:p>
        </w:tc>
      </w:tr>
    </w:tbl>
    <w:p w14:paraId="66C7EDCB" w14:textId="77777777" w:rsidR="00465964" w:rsidRPr="00465964" w:rsidRDefault="00465964" w:rsidP="00465964">
      <w:pPr>
        <w:rPr>
          <w:vanish/>
          <w:lang w:val="pt-PT"/>
        </w:rPr>
      </w:pPr>
    </w:p>
    <w:tbl>
      <w:tblPr>
        <w:tblW w:w="5000" w:type="pct"/>
        <w:tblCellMar>
          <w:left w:w="0" w:type="dxa"/>
          <w:right w:w="0" w:type="dxa"/>
        </w:tblCellMar>
        <w:tblLook w:val="04A0" w:firstRow="1" w:lastRow="0" w:firstColumn="1" w:lastColumn="0" w:noHBand="0" w:noVBand="1"/>
      </w:tblPr>
      <w:tblGrid>
        <w:gridCol w:w="6"/>
        <w:gridCol w:w="298"/>
        <w:gridCol w:w="8722"/>
      </w:tblGrid>
      <w:tr w:rsidR="00465964" w:rsidRPr="00465964" w14:paraId="289CBD53" w14:textId="77777777" w:rsidTr="00465964">
        <w:tc>
          <w:tcPr>
            <w:tcW w:w="0" w:type="auto"/>
            <w:shd w:val="clear" w:color="auto" w:fill="auto"/>
            <w:hideMark/>
          </w:tcPr>
          <w:p w14:paraId="1EFA797D" w14:textId="77777777" w:rsidR="00465964" w:rsidRPr="00465964" w:rsidRDefault="00465964" w:rsidP="00465964">
            <w:pPr>
              <w:rPr>
                <w:lang w:val="pt-PT"/>
              </w:rPr>
            </w:pPr>
          </w:p>
        </w:tc>
        <w:tc>
          <w:tcPr>
            <w:tcW w:w="0" w:type="auto"/>
            <w:shd w:val="clear" w:color="auto" w:fill="auto"/>
            <w:hideMark/>
          </w:tcPr>
          <w:p w14:paraId="0A1363BD" w14:textId="77777777" w:rsidR="00465964" w:rsidRPr="00465964" w:rsidRDefault="00465964" w:rsidP="00465964">
            <w:r w:rsidRPr="00465964">
              <w:t>16.</w:t>
            </w:r>
          </w:p>
        </w:tc>
        <w:tc>
          <w:tcPr>
            <w:tcW w:w="0" w:type="auto"/>
            <w:shd w:val="clear" w:color="auto" w:fill="auto"/>
            <w:hideMark/>
          </w:tcPr>
          <w:p w14:paraId="24E60D66" w14:textId="77777777" w:rsidR="00465964" w:rsidRPr="00465964" w:rsidRDefault="00465964" w:rsidP="00465964">
            <w:pPr>
              <w:rPr>
                <w:lang w:val="pt-PT"/>
              </w:rPr>
            </w:pPr>
            <w:r w:rsidRPr="00465964">
              <w:rPr>
                <w:lang w:val="pt-PT"/>
              </w:rPr>
              <w:t>O emitente infringe o artigo 36.</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9, se não ordenar a realização de uma auditoria independente da reserva de ativos de seis em seis meses a partir da data da oferta pública ou da admissão à negociação.</w:t>
            </w:r>
          </w:p>
        </w:tc>
      </w:tr>
    </w:tbl>
    <w:p w14:paraId="2017E6A1" w14:textId="77777777" w:rsidR="00465964" w:rsidRPr="00465964" w:rsidRDefault="00465964" w:rsidP="00465964">
      <w:pPr>
        <w:rPr>
          <w:vanish/>
          <w:lang w:val="pt-PT"/>
        </w:rPr>
      </w:pPr>
    </w:p>
    <w:tbl>
      <w:tblPr>
        <w:tblW w:w="5000" w:type="pct"/>
        <w:tblCellMar>
          <w:left w:w="0" w:type="dxa"/>
          <w:right w:w="0" w:type="dxa"/>
        </w:tblCellMar>
        <w:tblLook w:val="04A0" w:firstRow="1" w:lastRow="0" w:firstColumn="1" w:lastColumn="0" w:noHBand="0" w:noVBand="1"/>
      </w:tblPr>
      <w:tblGrid>
        <w:gridCol w:w="6"/>
        <w:gridCol w:w="298"/>
        <w:gridCol w:w="8722"/>
      </w:tblGrid>
      <w:tr w:rsidR="00465964" w:rsidRPr="00465964" w14:paraId="5FBB122E" w14:textId="77777777" w:rsidTr="00465964">
        <w:tc>
          <w:tcPr>
            <w:tcW w:w="0" w:type="auto"/>
            <w:shd w:val="clear" w:color="auto" w:fill="auto"/>
            <w:hideMark/>
          </w:tcPr>
          <w:p w14:paraId="4FF78149" w14:textId="77777777" w:rsidR="00465964" w:rsidRPr="00465964" w:rsidRDefault="00465964" w:rsidP="00465964">
            <w:pPr>
              <w:rPr>
                <w:lang w:val="pt-PT"/>
              </w:rPr>
            </w:pPr>
          </w:p>
        </w:tc>
        <w:tc>
          <w:tcPr>
            <w:tcW w:w="0" w:type="auto"/>
            <w:shd w:val="clear" w:color="auto" w:fill="auto"/>
            <w:hideMark/>
          </w:tcPr>
          <w:p w14:paraId="65279C58" w14:textId="77777777" w:rsidR="00465964" w:rsidRPr="00465964" w:rsidRDefault="00465964" w:rsidP="00465964">
            <w:r w:rsidRPr="00465964">
              <w:t>17.</w:t>
            </w:r>
          </w:p>
        </w:tc>
        <w:tc>
          <w:tcPr>
            <w:tcW w:w="0" w:type="auto"/>
            <w:shd w:val="clear" w:color="auto" w:fill="auto"/>
            <w:hideMark/>
          </w:tcPr>
          <w:p w14:paraId="3BA5B91B" w14:textId="77777777" w:rsidR="00465964" w:rsidRPr="00465964" w:rsidRDefault="00465964" w:rsidP="00465964">
            <w:pPr>
              <w:rPr>
                <w:lang w:val="pt-PT"/>
              </w:rPr>
            </w:pPr>
            <w:r w:rsidRPr="00465964">
              <w:rPr>
                <w:lang w:val="pt-PT"/>
              </w:rPr>
              <w:t>O emitente infringe o artigo 36.</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10, se não comunicar à EBA o resultado da auditoria nos termos desse número, ou se não publicar o resultado da auditoria no prazo de duas semanas a contar da data de comunicação à EBA.</w:t>
            </w:r>
          </w:p>
        </w:tc>
      </w:tr>
    </w:tbl>
    <w:p w14:paraId="26B55298" w14:textId="77777777" w:rsidR="00465964" w:rsidRPr="00465964" w:rsidRDefault="00465964" w:rsidP="00465964">
      <w:pPr>
        <w:rPr>
          <w:vanish/>
          <w:lang w:val="pt-PT"/>
        </w:rPr>
      </w:pPr>
    </w:p>
    <w:tbl>
      <w:tblPr>
        <w:tblW w:w="5000" w:type="pct"/>
        <w:tblCellMar>
          <w:left w:w="0" w:type="dxa"/>
          <w:right w:w="0" w:type="dxa"/>
        </w:tblCellMar>
        <w:tblLook w:val="04A0" w:firstRow="1" w:lastRow="0" w:firstColumn="1" w:lastColumn="0" w:noHBand="0" w:noVBand="1"/>
      </w:tblPr>
      <w:tblGrid>
        <w:gridCol w:w="6"/>
        <w:gridCol w:w="298"/>
        <w:gridCol w:w="8722"/>
      </w:tblGrid>
      <w:tr w:rsidR="00465964" w:rsidRPr="00465964" w14:paraId="32D60042" w14:textId="77777777" w:rsidTr="00465964">
        <w:tc>
          <w:tcPr>
            <w:tcW w:w="0" w:type="auto"/>
            <w:shd w:val="clear" w:color="auto" w:fill="auto"/>
            <w:hideMark/>
          </w:tcPr>
          <w:p w14:paraId="152E4991" w14:textId="77777777" w:rsidR="00465964" w:rsidRPr="00465964" w:rsidRDefault="00465964" w:rsidP="00465964">
            <w:pPr>
              <w:rPr>
                <w:lang w:val="pt-PT"/>
              </w:rPr>
            </w:pPr>
          </w:p>
        </w:tc>
        <w:tc>
          <w:tcPr>
            <w:tcW w:w="0" w:type="auto"/>
            <w:shd w:val="clear" w:color="auto" w:fill="auto"/>
            <w:hideMark/>
          </w:tcPr>
          <w:p w14:paraId="2BC909EE" w14:textId="77777777" w:rsidR="00465964" w:rsidRPr="00465964" w:rsidRDefault="00465964" w:rsidP="00465964">
            <w:r w:rsidRPr="00465964">
              <w:t>18.</w:t>
            </w:r>
          </w:p>
        </w:tc>
        <w:tc>
          <w:tcPr>
            <w:tcW w:w="0" w:type="auto"/>
            <w:shd w:val="clear" w:color="auto" w:fill="auto"/>
            <w:hideMark/>
          </w:tcPr>
          <w:p w14:paraId="5A8EC986" w14:textId="77777777" w:rsidR="00465964" w:rsidRPr="00465964" w:rsidRDefault="00465964" w:rsidP="00465964">
            <w:pPr>
              <w:rPr>
                <w:lang w:val="pt-PT"/>
              </w:rPr>
            </w:pPr>
            <w:r w:rsidRPr="00465964">
              <w:rPr>
                <w:lang w:val="pt-PT"/>
              </w:rPr>
              <w:t>O emitente infringe o artigo 37.</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1, se não estabelecer, mantiver ou aplicar políticas, procedimentos e disposições contratuais em matéria de custódia que assegurem, a todo o tempo, o cumprimento das condições enumeradas no primeiro parágrafo, alíneas a) a e), do referido número.</w:t>
            </w:r>
          </w:p>
        </w:tc>
      </w:tr>
    </w:tbl>
    <w:p w14:paraId="56D4B100" w14:textId="77777777" w:rsidR="00465964" w:rsidRPr="00465964" w:rsidRDefault="00465964" w:rsidP="00465964">
      <w:pPr>
        <w:rPr>
          <w:vanish/>
          <w:lang w:val="pt-PT"/>
        </w:rPr>
      </w:pPr>
    </w:p>
    <w:tbl>
      <w:tblPr>
        <w:tblW w:w="5000" w:type="pct"/>
        <w:tblCellMar>
          <w:left w:w="0" w:type="dxa"/>
          <w:right w:w="0" w:type="dxa"/>
        </w:tblCellMar>
        <w:tblLook w:val="04A0" w:firstRow="1" w:lastRow="0" w:firstColumn="1" w:lastColumn="0" w:noHBand="0" w:noVBand="1"/>
      </w:tblPr>
      <w:tblGrid>
        <w:gridCol w:w="6"/>
        <w:gridCol w:w="298"/>
        <w:gridCol w:w="8722"/>
      </w:tblGrid>
      <w:tr w:rsidR="00465964" w:rsidRPr="00465964" w14:paraId="6992813A" w14:textId="77777777" w:rsidTr="00465964">
        <w:tc>
          <w:tcPr>
            <w:tcW w:w="0" w:type="auto"/>
            <w:shd w:val="clear" w:color="auto" w:fill="auto"/>
            <w:hideMark/>
          </w:tcPr>
          <w:p w14:paraId="389742B7" w14:textId="77777777" w:rsidR="00465964" w:rsidRPr="00465964" w:rsidRDefault="00465964" w:rsidP="00465964">
            <w:pPr>
              <w:rPr>
                <w:lang w:val="pt-PT"/>
              </w:rPr>
            </w:pPr>
          </w:p>
        </w:tc>
        <w:tc>
          <w:tcPr>
            <w:tcW w:w="0" w:type="auto"/>
            <w:shd w:val="clear" w:color="auto" w:fill="auto"/>
            <w:hideMark/>
          </w:tcPr>
          <w:p w14:paraId="1DE727AC" w14:textId="77777777" w:rsidR="00465964" w:rsidRPr="00465964" w:rsidRDefault="00465964" w:rsidP="00465964">
            <w:r w:rsidRPr="00465964">
              <w:t>19.</w:t>
            </w:r>
          </w:p>
        </w:tc>
        <w:tc>
          <w:tcPr>
            <w:tcW w:w="0" w:type="auto"/>
            <w:shd w:val="clear" w:color="auto" w:fill="auto"/>
            <w:hideMark/>
          </w:tcPr>
          <w:p w14:paraId="47E9A602" w14:textId="6C366207" w:rsidR="00465964" w:rsidRPr="00465964" w:rsidRDefault="00465964" w:rsidP="00465964">
            <w:pPr>
              <w:rPr>
                <w:lang w:val="pt-PT"/>
              </w:rPr>
            </w:pPr>
            <w:r w:rsidRPr="00465964">
              <w:rPr>
                <w:lang w:val="pt-PT"/>
              </w:rPr>
              <w:t>O emitente infringe o artigo 37.</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xml:space="preserve"> 2, se não dispuser, quando emite duas ou mais </w:t>
            </w:r>
            <w:r>
              <w:rPr>
                <w:lang w:val="pt-PT"/>
              </w:rPr>
              <w:t>criptomoedas</w:t>
            </w:r>
            <w:r w:rsidRPr="00465964">
              <w:rPr>
                <w:lang w:val="pt-PT"/>
              </w:rPr>
              <w:t xml:space="preserve"> de moeda eletrónica significativas, de uma política de custódia para cada conjunto de reserva de ativos.</w:t>
            </w:r>
          </w:p>
        </w:tc>
      </w:tr>
    </w:tbl>
    <w:p w14:paraId="34747A7E" w14:textId="77777777" w:rsidR="00465964" w:rsidRPr="00465964" w:rsidRDefault="00465964" w:rsidP="00465964">
      <w:pPr>
        <w:rPr>
          <w:vanish/>
          <w:lang w:val="pt-PT"/>
        </w:rPr>
      </w:pPr>
    </w:p>
    <w:tbl>
      <w:tblPr>
        <w:tblW w:w="5000" w:type="pct"/>
        <w:tblCellMar>
          <w:left w:w="0" w:type="dxa"/>
          <w:right w:w="0" w:type="dxa"/>
        </w:tblCellMar>
        <w:tblLook w:val="04A0" w:firstRow="1" w:lastRow="0" w:firstColumn="1" w:lastColumn="0" w:noHBand="0" w:noVBand="1"/>
      </w:tblPr>
      <w:tblGrid>
        <w:gridCol w:w="6"/>
        <w:gridCol w:w="298"/>
        <w:gridCol w:w="8722"/>
      </w:tblGrid>
      <w:tr w:rsidR="00465964" w:rsidRPr="00465964" w14:paraId="7E9F664C" w14:textId="77777777" w:rsidTr="00465964">
        <w:tc>
          <w:tcPr>
            <w:tcW w:w="0" w:type="auto"/>
            <w:shd w:val="clear" w:color="auto" w:fill="auto"/>
            <w:hideMark/>
          </w:tcPr>
          <w:p w14:paraId="738C073E" w14:textId="77777777" w:rsidR="00465964" w:rsidRPr="00465964" w:rsidRDefault="00465964" w:rsidP="00465964">
            <w:pPr>
              <w:rPr>
                <w:lang w:val="pt-PT"/>
              </w:rPr>
            </w:pPr>
          </w:p>
        </w:tc>
        <w:tc>
          <w:tcPr>
            <w:tcW w:w="0" w:type="auto"/>
            <w:shd w:val="clear" w:color="auto" w:fill="auto"/>
            <w:hideMark/>
          </w:tcPr>
          <w:p w14:paraId="5DFEBCB3" w14:textId="77777777" w:rsidR="00465964" w:rsidRPr="00465964" w:rsidRDefault="00465964" w:rsidP="00465964">
            <w:r w:rsidRPr="00465964">
              <w:t>20.</w:t>
            </w:r>
          </w:p>
        </w:tc>
        <w:tc>
          <w:tcPr>
            <w:tcW w:w="0" w:type="auto"/>
            <w:shd w:val="clear" w:color="auto" w:fill="auto"/>
            <w:hideMark/>
          </w:tcPr>
          <w:p w14:paraId="1099FD84" w14:textId="77777777" w:rsidR="00465964" w:rsidRPr="00465964" w:rsidRDefault="00465964" w:rsidP="00465964">
            <w:pPr>
              <w:rPr>
                <w:lang w:val="pt-PT"/>
              </w:rPr>
            </w:pPr>
            <w:r w:rsidRPr="00465964">
              <w:rPr>
                <w:lang w:val="pt-PT"/>
              </w:rPr>
              <w:t>O emitente infringe o artigo 37.</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xml:space="preserve"> 3, se não assegurar que os ativos de reserva estejam sob a custódia de um prestador de serviços de criptoativos que presta serviços de custódia e administração de criptoativos em nome de clientes, de uma instituição de crédito ou de uma empresa de investimento o mais tardar cinco dias úteis após a emissão da </w:t>
            </w:r>
            <w:proofErr w:type="spellStart"/>
            <w:r w:rsidRPr="00465964">
              <w:rPr>
                <w:lang w:val="pt-PT"/>
              </w:rPr>
              <w:t>criptoficha</w:t>
            </w:r>
            <w:proofErr w:type="spellEnd"/>
            <w:r w:rsidRPr="00465964">
              <w:rPr>
                <w:lang w:val="pt-PT"/>
              </w:rPr>
              <w:t xml:space="preserve"> de moeda eletrónica significativa.</w:t>
            </w:r>
          </w:p>
        </w:tc>
      </w:tr>
    </w:tbl>
    <w:p w14:paraId="44247E66" w14:textId="77777777" w:rsidR="00465964" w:rsidRPr="00465964" w:rsidRDefault="00465964" w:rsidP="00465964">
      <w:pPr>
        <w:rPr>
          <w:vanish/>
          <w:lang w:val="pt-PT"/>
        </w:rPr>
      </w:pPr>
    </w:p>
    <w:tbl>
      <w:tblPr>
        <w:tblW w:w="5000" w:type="pct"/>
        <w:tblCellMar>
          <w:left w:w="0" w:type="dxa"/>
          <w:right w:w="0" w:type="dxa"/>
        </w:tblCellMar>
        <w:tblLook w:val="04A0" w:firstRow="1" w:lastRow="0" w:firstColumn="1" w:lastColumn="0" w:noHBand="0" w:noVBand="1"/>
      </w:tblPr>
      <w:tblGrid>
        <w:gridCol w:w="6"/>
        <w:gridCol w:w="298"/>
        <w:gridCol w:w="8722"/>
      </w:tblGrid>
      <w:tr w:rsidR="00465964" w:rsidRPr="00465964" w14:paraId="6AB98FB4" w14:textId="77777777" w:rsidTr="00465964">
        <w:tc>
          <w:tcPr>
            <w:tcW w:w="0" w:type="auto"/>
            <w:shd w:val="clear" w:color="auto" w:fill="auto"/>
            <w:hideMark/>
          </w:tcPr>
          <w:p w14:paraId="4711F495" w14:textId="77777777" w:rsidR="00465964" w:rsidRPr="00465964" w:rsidRDefault="00465964" w:rsidP="00465964">
            <w:pPr>
              <w:rPr>
                <w:lang w:val="pt-PT"/>
              </w:rPr>
            </w:pPr>
          </w:p>
        </w:tc>
        <w:tc>
          <w:tcPr>
            <w:tcW w:w="0" w:type="auto"/>
            <w:shd w:val="clear" w:color="auto" w:fill="auto"/>
            <w:hideMark/>
          </w:tcPr>
          <w:p w14:paraId="16E0D6B1" w14:textId="77777777" w:rsidR="00465964" w:rsidRPr="00465964" w:rsidRDefault="00465964" w:rsidP="00465964">
            <w:r w:rsidRPr="00465964">
              <w:t>21.</w:t>
            </w:r>
          </w:p>
        </w:tc>
        <w:tc>
          <w:tcPr>
            <w:tcW w:w="0" w:type="auto"/>
            <w:shd w:val="clear" w:color="auto" w:fill="auto"/>
            <w:hideMark/>
          </w:tcPr>
          <w:p w14:paraId="4A99009E" w14:textId="77777777" w:rsidR="00465964" w:rsidRPr="00465964" w:rsidRDefault="00465964" w:rsidP="00465964">
            <w:pPr>
              <w:rPr>
                <w:lang w:val="pt-PT"/>
              </w:rPr>
            </w:pPr>
            <w:r w:rsidRPr="00465964">
              <w:rPr>
                <w:lang w:val="pt-PT"/>
              </w:rPr>
              <w:t>O emitente infringe o artigo 37.</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4, se não atuar com as devidas competência, zelo e diligência na seleção, nomeação e avaliação dos prestadores de serviços de criptoativos, das instituições de crédito e das empresas de investimento nomeados como entidades de custódia dos ativos de reserva, ou se não assegurar que a entidade responsável pela custódia seja uma pessoa coletiva diferente do emitente.</w:t>
            </w:r>
          </w:p>
        </w:tc>
      </w:tr>
    </w:tbl>
    <w:p w14:paraId="6BCAD237" w14:textId="77777777" w:rsidR="00465964" w:rsidRPr="00465964" w:rsidRDefault="00465964" w:rsidP="00465964">
      <w:pPr>
        <w:rPr>
          <w:vanish/>
          <w:lang w:val="pt-PT"/>
        </w:rPr>
      </w:pPr>
    </w:p>
    <w:tbl>
      <w:tblPr>
        <w:tblW w:w="5000" w:type="pct"/>
        <w:tblCellMar>
          <w:left w:w="0" w:type="dxa"/>
          <w:right w:w="0" w:type="dxa"/>
        </w:tblCellMar>
        <w:tblLook w:val="04A0" w:firstRow="1" w:lastRow="0" w:firstColumn="1" w:lastColumn="0" w:noHBand="0" w:noVBand="1"/>
      </w:tblPr>
      <w:tblGrid>
        <w:gridCol w:w="6"/>
        <w:gridCol w:w="298"/>
        <w:gridCol w:w="8722"/>
      </w:tblGrid>
      <w:tr w:rsidR="00465964" w:rsidRPr="00465964" w14:paraId="249550B0" w14:textId="77777777" w:rsidTr="00465964">
        <w:tc>
          <w:tcPr>
            <w:tcW w:w="0" w:type="auto"/>
            <w:shd w:val="clear" w:color="auto" w:fill="auto"/>
            <w:hideMark/>
          </w:tcPr>
          <w:p w14:paraId="5EEF8269" w14:textId="77777777" w:rsidR="00465964" w:rsidRPr="00465964" w:rsidRDefault="00465964" w:rsidP="00465964">
            <w:pPr>
              <w:rPr>
                <w:lang w:val="pt-PT"/>
              </w:rPr>
            </w:pPr>
          </w:p>
        </w:tc>
        <w:tc>
          <w:tcPr>
            <w:tcW w:w="0" w:type="auto"/>
            <w:shd w:val="clear" w:color="auto" w:fill="auto"/>
            <w:hideMark/>
          </w:tcPr>
          <w:p w14:paraId="256AEEDB" w14:textId="77777777" w:rsidR="00465964" w:rsidRPr="00465964" w:rsidRDefault="00465964" w:rsidP="00465964">
            <w:r w:rsidRPr="00465964">
              <w:t>22.</w:t>
            </w:r>
          </w:p>
        </w:tc>
        <w:tc>
          <w:tcPr>
            <w:tcW w:w="0" w:type="auto"/>
            <w:shd w:val="clear" w:color="auto" w:fill="auto"/>
            <w:hideMark/>
          </w:tcPr>
          <w:p w14:paraId="125A12F1" w14:textId="77777777" w:rsidR="00465964" w:rsidRPr="00465964" w:rsidRDefault="00465964" w:rsidP="00465964">
            <w:pPr>
              <w:rPr>
                <w:lang w:val="pt-PT"/>
              </w:rPr>
            </w:pPr>
            <w:r w:rsidRPr="00465964">
              <w:rPr>
                <w:lang w:val="pt-PT"/>
              </w:rPr>
              <w:t>O emitente infringe o artigo 37.</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4, se não assegurar que os prestadores de serviços de criptoativos, as instituições de crédito e as empresas de investimento nomeados como entidades de custódia dos ativos de reserva possuam os conhecimentos especializados e a reputação no mercado necessários para atuarem nessa qualidade.</w:t>
            </w:r>
          </w:p>
        </w:tc>
      </w:tr>
    </w:tbl>
    <w:p w14:paraId="0F453F11" w14:textId="77777777" w:rsidR="00465964" w:rsidRPr="00465964" w:rsidRDefault="00465964" w:rsidP="00465964">
      <w:pPr>
        <w:rPr>
          <w:vanish/>
          <w:lang w:val="pt-PT"/>
        </w:rPr>
      </w:pPr>
    </w:p>
    <w:tbl>
      <w:tblPr>
        <w:tblW w:w="5000" w:type="pct"/>
        <w:tblCellMar>
          <w:left w:w="0" w:type="dxa"/>
          <w:right w:w="0" w:type="dxa"/>
        </w:tblCellMar>
        <w:tblLook w:val="04A0" w:firstRow="1" w:lastRow="0" w:firstColumn="1" w:lastColumn="0" w:noHBand="0" w:noVBand="1"/>
      </w:tblPr>
      <w:tblGrid>
        <w:gridCol w:w="6"/>
        <w:gridCol w:w="298"/>
        <w:gridCol w:w="8722"/>
      </w:tblGrid>
      <w:tr w:rsidR="00465964" w:rsidRPr="00465964" w14:paraId="09220D24" w14:textId="77777777" w:rsidTr="00465964">
        <w:tc>
          <w:tcPr>
            <w:tcW w:w="0" w:type="auto"/>
            <w:shd w:val="clear" w:color="auto" w:fill="auto"/>
            <w:hideMark/>
          </w:tcPr>
          <w:p w14:paraId="6E911B75" w14:textId="77777777" w:rsidR="00465964" w:rsidRPr="00465964" w:rsidRDefault="00465964" w:rsidP="00465964">
            <w:pPr>
              <w:rPr>
                <w:lang w:val="pt-PT"/>
              </w:rPr>
            </w:pPr>
          </w:p>
        </w:tc>
        <w:tc>
          <w:tcPr>
            <w:tcW w:w="0" w:type="auto"/>
            <w:shd w:val="clear" w:color="auto" w:fill="auto"/>
            <w:hideMark/>
          </w:tcPr>
          <w:p w14:paraId="4FD73EC1" w14:textId="77777777" w:rsidR="00465964" w:rsidRPr="00465964" w:rsidRDefault="00465964" w:rsidP="00465964">
            <w:r w:rsidRPr="00465964">
              <w:t>23.</w:t>
            </w:r>
          </w:p>
        </w:tc>
        <w:tc>
          <w:tcPr>
            <w:tcW w:w="0" w:type="auto"/>
            <w:shd w:val="clear" w:color="auto" w:fill="auto"/>
            <w:hideMark/>
          </w:tcPr>
          <w:p w14:paraId="0F8F57A5" w14:textId="77777777" w:rsidR="00465964" w:rsidRPr="00465964" w:rsidRDefault="00465964" w:rsidP="00465964">
            <w:pPr>
              <w:rPr>
                <w:lang w:val="pt-PT"/>
              </w:rPr>
            </w:pPr>
            <w:r w:rsidRPr="00465964">
              <w:rPr>
                <w:lang w:val="pt-PT"/>
              </w:rPr>
              <w:t>O emitente infringe o artigo 37.</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4, se não assegurar nas disposições contratuais acordadas com as entidades de custódia que os ativos de reserva detidos em custódia estejam protegidos contra créditos dos credores dessas entidades de custódia.</w:t>
            </w:r>
          </w:p>
        </w:tc>
      </w:tr>
    </w:tbl>
    <w:p w14:paraId="7A5EDA64" w14:textId="77777777" w:rsidR="00465964" w:rsidRPr="00465964" w:rsidRDefault="00465964" w:rsidP="00465964">
      <w:pPr>
        <w:rPr>
          <w:vanish/>
          <w:lang w:val="pt-PT"/>
        </w:rPr>
      </w:pPr>
    </w:p>
    <w:tbl>
      <w:tblPr>
        <w:tblW w:w="5000" w:type="pct"/>
        <w:tblCellMar>
          <w:left w:w="0" w:type="dxa"/>
          <w:right w:w="0" w:type="dxa"/>
        </w:tblCellMar>
        <w:tblLook w:val="04A0" w:firstRow="1" w:lastRow="0" w:firstColumn="1" w:lastColumn="0" w:noHBand="0" w:noVBand="1"/>
      </w:tblPr>
      <w:tblGrid>
        <w:gridCol w:w="6"/>
        <w:gridCol w:w="298"/>
        <w:gridCol w:w="8722"/>
      </w:tblGrid>
      <w:tr w:rsidR="00465964" w:rsidRPr="00465964" w14:paraId="04F0CB2C" w14:textId="77777777" w:rsidTr="00465964">
        <w:tc>
          <w:tcPr>
            <w:tcW w:w="0" w:type="auto"/>
            <w:shd w:val="clear" w:color="auto" w:fill="auto"/>
            <w:hideMark/>
          </w:tcPr>
          <w:p w14:paraId="23ED3700" w14:textId="77777777" w:rsidR="00465964" w:rsidRPr="00465964" w:rsidRDefault="00465964" w:rsidP="00465964">
            <w:pPr>
              <w:rPr>
                <w:lang w:val="pt-PT"/>
              </w:rPr>
            </w:pPr>
          </w:p>
        </w:tc>
        <w:tc>
          <w:tcPr>
            <w:tcW w:w="0" w:type="auto"/>
            <w:shd w:val="clear" w:color="auto" w:fill="auto"/>
            <w:hideMark/>
          </w:tcPr>
          <w:p w14:paraId="5E63BA76" w14:textId="77777777" w:rsidR="00465964" w:rsidRPr="00465964" w:rsidRDefault="00465964" w:rsidP="00465964">
            <w:r w:rsidRPr="00465964">
              <w:t>24.</w:t>
            </w:r>
          </w:p>
        </w:tc>
        <w:tc>
          <w:tcPr>
            <w:tcW w:w="0" w:type="auto"/>
            <w:shd w:val="clear" w:color="auto" w:fill="auto"/>
            <w:hideMark/>
          </w:tcPr>
          <w:p w14:paraId="32F53B4D" w14:textId="77777777" w:rsidR="00465964" w:rsidRPr="00465964" w:rsidRDefault="00465964" w:rsidP="00465964">
            <w:pPr>
              <w:rPr>
                <w:lang w:val="pt-PT"/>
              </w:rPr>
            </w:pPr>
            <w:r w:rsidRPr="00465964">
              <w:rPr>
                <w:lang w:val="pt-PT"/>
              </w:rPr>
              <w:t>O emitente infringe o artigo 37.</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5, se não estabelecer nas políticas e procedimentos de custódia os critérios de seleção para a nomeação de prestadores de serviços de criptoativos, de instituições de crédito ou de empresas de investimento como entidades de custódia dos ativos de reserva ou se não estabelecer um procedimento de reapreciação dessa nomeação.</w:t>
            </w:r>
          </w:p>
        </w:tc>
      </w:tr>
    </w:tbl>
    <w:p w14:paraId="24AF146D" w14:textId="77777777" w:rsidR="00465964" w:rsidRPr="00465964" w:rsidRDefault="00465964" w:rsidP="00465964">
      <w:pPr>
        <w:rPr>
          <w:vanish/>
          <w:lang w:val="pt-PT"/>
        </w:rPr>
      </w:pPr>
    </w:p>
    <w:tbl>
      <w:tblPr>
        <w:tblW w:w="5000" w:type="pct"/>
        <w:tblCellMar>
          <w:left w:w="0" w:type="dxa"/>
          <w:right w:w="0" w:type="dxa"/>
        </w:tblCellMar>
        <w:tblLook w:val="04A0" w:firstRow="1" w:lastRow="0" w:firstColumn="1" w:lastColumn="0" w:noHBand="0" w:noVBand="1"/>
      </w:tblPr>
      <w:tblGrid>
        <w:gridCol w:w="6"/>
        <w:gridCol w:w="298"/>
        <w:gridCol w:w="8722"/>
      </w:tblGrid>
      <w:tr w:rsidR="00465964" w:rsidRPr="00465964" w14:paraId="0BC6F6DB" w14:textId="77777777" w:rsidTr="00465964">
        <w:tc>
          <w:tcPr>
            <w:tcW w:w="0" w:type="auto"/>
            <w:shd w:val="clear" w:color="auto" w:fill="auto"/>
            <w:hideMark/>
          </w:tcPr>
          <w:p w14:paraId="6BAF7156" w14:textId="77777777" w:rsidR="00465964" w:rsidRPr="00465964" w:rsidRDefault="00465964" w:rsidP="00465964">
            <w:pPr>
              <w:rPr>
                <w:lang w:val="pt-PT"/>
              </w:rPr>
            </w:pPr>
          </w:p>
        </w:tc>
        <w:tc>
          <w:tcPr>
            <w:tcW w:w="0" w:type="auto"/>
            <w:shd w:val="clear" w:color="auto" w:fill="auto"/>
            <w:hideMark/>
          </w:tcPr>
          <w:p w14:paraId="449BE4FB" w14:textId="77777777" w:rsidR="00465964" w:rsidRPr="00465964" w:rsidRDefault="00465964" w:rsidP="00465964">
            <w:r w:rsidRPr="00465964">
              <w:t>25.</w:t>
            </w:r>
          </w:p>
        </w:tc>
        <w:tc>
          <w:tcPr>
            <w:tcW w:w="0" w:type="auto"/>
            <w:shd w:val="clear" w:color="auto" w:fill="auto"/>
            <w:hideMark/>
          </w:tcPr>
          <w:p w14:paraId="2BAC4B06" w14:textId="77777777" w:rsidR="00465964" w:rsidRPr="00465964" w:rsidRDefault="00465964" w:rsidP="00465964">
            <w:pPr>
              <w:rPr>
                <w:lang w:val="pt-PT"/>
              </w:rPr>
            </w:pPr>
            <w:r w:rsidRPr="00465964">
              <w:rPr>
                <w:lang w:val="pt-PT"/>
              </w:rPr>
              <w:t>O emitente infringe o artigo 37.</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5, se não proceder regularmente à reapreciação da nomeação de prestadores de serviços de criptoativos, de instituições de crédito ou de empresas de investimento como entidades de custódia dos ativos de reserva, e se não avaliar as suas exposições a essas entidades ou não acompanhar continuamente a situação financeira dos mesmos.</w:t>
            </w:r>
          </w:p>
        </w:tc>
      </w:tr>
    </w:tbl>
    <w:p w14:paraId="6AF8E295" w14:textId="77777777" w:rsidR="00465964" w:rsidRPr="00465964" w:rsidRDefault="00465964" w:rsidP="00465964">
      <w:pPr>
        <w:rPr>
          <w:vanish/>
          <w:lang w:val="pt-PT"/>
        </w:rPr>
      </w:pPr>
    </w:p>
    <w:tbl>
      <w:tblPr>
        <w:tblW w:w="5000" w:type="pct"/>
        <w:tblCellMar>
          <w:left w:w="0" w:type="dxa"/>
          <w:right w:w="0" w:type="dxa"/>
        </w:tblCellMar>
        <w:tblLook w:val="04A0" w:firstRow="1" w:lastRow="0" w:firstColumn="1" w:lastColumn="0" w:noHBand="0" w:noVBand="1"/>
      </w:tblPr>
      <w:tblGrid>
        <w:gridCol w:w="6"/>
        <w:gridCol w:w="298"/>
        <w:gridCol w:w="8722"/>
      </w:tblGrid>
      <w:tr w:rsidR="00465964" w:rsidRPr="00465964" w14:paraId="2EB93BD5" w14:textId="77777777" w:rsidTr="00465964">
        <w:tc>
          <w:tcPr>
            <w:tcW w:w="0" w:type="auto"/>
            <w:shd w:val="clear" w:color="auto" w:fill="auto"/>
            <w:hideMark/>
          </w:tcPr>
          <w:p w14:paraId="691962B7" w14:textId="77777777" w:rsidR="00465964" w:rsidRPr="00465964" w:rsidRDefault="00465964" w:rsidP="00465964">
            <w:pPr>
              <w:rPr>
                <w:lang w:val="pt-PT"/>
              </w:rPr>
            </w:pPr>
          </w:p>
        </w:tc>
        <w:tc>
          <w:tcPr>
            <w:tcW w:w="0" w:type="auto"/>
            <w:shd w:val="clear" w:color="auto" w:fill="auto"/>
            <w:hideMark/>
          </w:tcPr>
          <w:p w14:paraId="0DECF89A" w14:textId="77777777" w:rsidR="00465964" w:rsidRPr="00465964" w:rsidRDefault="00465964" w:rsidP="00465964">
            <w:r w:rsidRPr="00465964">
              <w:t>26.</w:t>
            </w:r>
          </w:p>
        </w:tc>
        <w:tc>
          <w:tcPr>
            <w:tcW w:w="0" w:type="auto"/>
            <w:shd w:val="clear" w:color="auto" w:fill="auto"/>
            <w:hideMark/>
          </w:tcPr>
          <w:p w14:paraId="5709D18F" w14:textId="77777777" w:rsidR="00465964" w:rsidRPr="00465964" w:rsidRDefault="00465964" w:rsidP="00465964">
            <w:pPr>
              <w:rPr>
                <w:lang w:val="pt-PT"/>
              </w:rPr>
            </w:pPr>
            <w:r w:rsidRPr="00465964">
              <w:rPr>
                <w:lang w:val="pt-PT"/>
              </w:rPr>
              <w:t>O emitente infringe o artigo 37.</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6, se não assegurar que a custódia dos ativos de reserva seja efetuada em conformidade com o primeiro parágrafo, alíneas a) a d), do referido número.</w:t>
            </w:r>
          </w:p>
        </w:tc>
      </w:tr>
    </w:tbl>
    <w:p w14:paraId="13392EE7" w14:textId="77777777" w:rsidR="00465964" w:rsidRPr="00465964" w:rsidRDefault="00465964" w:rsidP="00465964">
      <w:pPr>
        <w:rPr>
          <w:vanish/>
          <w:lang w:val="pt-PT"/>
        </w:rPr>
      </w:pPr>
    </w:p>
    <w:tbl>
      <w:tblPr>
        <w:tblW w:w="5000" w:type="pct"/>
        <w:tblCellMar>
          <w:left w:w="0" w:type="dxa"/>
          <w:right w:w="0" w:type="dxa"/>
        </w:tblCellMar>
        <w:tblLook w:val="04A0" w:firstRow="1" w:lastRow="0" w:firstColumn="1" w:lastColumn="0" w:noHBand="0" w:noVBand="1"/>
      </w:tblPr>
      <w:tblGrid>
        <w:gridCol w:w="6"/>
        <w:gridCol w:w="298"/>
        <w:gridCol w:w="8722"/>
      </w:tblGrid>
      <w:tr w:rsidR="00465964" w:rsidRPr="00465964" w14:paraId="626EBD37" w14:textId="77777777" w:rsidTr="00465964">
        <w:tc>
          <w:tcPr>
            <w:tcW w:w="0" w:type="auto"/>
            <w:shd w:val="clear" w:color="auto" w:fill="auto"/>
            <w:hideMark/>
          </w:tcPr>
          <w:p w14:paraId="13C90333" w14:textId="77777777" w:rsidR="00465964" w:rsidRPr="00465964" w:rsidRDefault="00465964" w:rsidP="00465964">
            <w:pPr>
              <w:rPr>
                <w:lang w:val="pt-PT"/>
              </w:rPr>
            </w:pPr>
          </w:p>
        </w:tc>
        <w:tc>
          <w:tcPr>
            <w:tcW w:w="0" w:type="auto"/>
            <w:shd w:val="clear" w:color="auto" w:fill="auto"/>
            <w:hideMark/>
          </w:tcPr>
          <w:p w14:paraId="218C869C" w14:textId="77777777" w:rsidR="00465964" w:rsidRPr="00465964" w:rsidRDefault="00465964" w:rsidP="00465964">
            <w:r w:rsidRPr="00465964">
              <w:t>27.</w:t>
            </w:r>
          </w:p>
        </w:tc>
        <w:tc>
          <w:tcPr>
            <w:tcW w:w="0" w:type="auto"/>
            <w:shd w:val="clear" w:color="auto" w:fill="auto"/>
            <w:hideMark/>
          </w:tcPr>
          <w:p w14:paraId="2714C24D" w14:textId="77777777" w:rsidR="00465964" w:rsidRPr="00465964" w:rsidRDefault="00465964" w:rsidP="00465964">
            <w:pPr>
              <w:rPr>
                <w:lang w:val="pt-PT"/>
              </w:rPr>
            </w:pPr>
            <w:r w:rsidRPr="00465964">
              <w:rPr>
                <w:lang w:val="pt-PT"/>
              </w:rPr>
              <w:t>O emitente infringe o artigo 37.</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xml:space="preserve"> 7, se a nomeação de um prestador de serviços de criptoativos, de uma instituição de crédito ou de uma empresa de investimento como responsável pela custódia dos ativos de reserva não for comprovada por disposições contratuais, ou se não regular, através de tais disposições contratuais, o fluxo de informações necessárias para permitir que o emitente da </w:t>
            </w:r>
            <w:proofErr w:type="spellStart"/>
            <w:r w:rsidRPr="00465964">
              <w:rPr>
                <w:lang w:val="pt-PT"/>
              </w:rPr>
              <w:t>criptoficha</w:t>
            </w:r>
            <w:proofErr w:type="spellEnd"/>
            <w:r w:rsidRPr="00465964">
              <w:rPr>
                <w:lang w:val="pt-PT"/>
              </w:rPr>
              <w:t xml:space="preserve"> de moeda eletrónica significativa e os prestadores de serviços de criptoativos, as instituições de crédito e as empresas de investimento desempenhem as suas funções de entidades de custódia.</w:t>
            </w:r>
          </w:p>
        </w:tc>
      </w:tr>
    </w:tbl>
    <w:p w14:paraId="4D5DDE7E" w14:textId="77777777" w:rsidR="00465964" w:rsidRPr="00465964" w:rsidRDefault="00465964" w:rsidP="00465964">
      <w:pPr>
        <w:rPr>
          <w:vanish/>
          <w:lang w:val="pt-PT"/>
        </w:rPr>
      </w:pPr>
    </w:p>
    <w:tbl>
      <w:tblPr>
        <w:tblW w:w="5000" w:type="pct"/>
        <w:tblCellMar>
          <w:left w:w="0" w:type="dxa"/>
          <w:right w:w="0" w:type="dxa"/>
        </w:tblCellMar>
        <w:tblLook w:val="04A0" w:firstRow="1" w:lastRow="0" w:firstColumn="1" w:lastColumn="0" w:noHBand="0" w:noVBand="1"/>
      </w:tblPr>
      <w:tblGrid>
        <w:gridCol w:w="6"/>
        <w:gridCol w:w="298"/>
        <w:gridCol w:w="8722"/>
      </w:tblGrid>
      <w:tr w:rsidR="00465964" w:rsidRPr="00465964" w14:paraId="76805E43" w14:textId="77777777" w:rsidTr="00465964">
        <w:tc>
          <w:tcPr>
            <w:tcW w:w="0" w:type="auto"/>
            <w:shd w:val="clear" w:color="auto" w:fill="auto"/>
            <w:hideMark/>
          </w:tcPr>
          <w:p w14:paraId="252D56C0" w14:textId="77777777" w:rsidR="00465964" w:rsidRPr="00465964" w:rsidRDefault="00465964" w:rsidP="00465964">
            <w:pPr>
              <w:rPr>
                <w:lang w:val="pt-PT"/>
              </w:rPr>
            </w:pPr>
          </w:p>
        </w:tc>
        <w:tc>
          <w:tcPr>
            <w:tcW w:w="0" w:type="auto"/>
            <w:shd w:val="clear" w:color="auto" w:fill="auto"/>
            <w:hideMark/>
          </w:tcPr>
          <w:p w14:paraId="5765C875" w14:textId="77777777" w:rsidR="00465964" w:rsidRPr="00465964" w:rsidRDefault="00465964" w:rsidP="00465964">
            <w:r w:rsidRPr="00465964">
              <w:t>28.</w:t>
            </w:r>
          </w:p>
        </w:tc>
        <w:tc>
          <w:tcPr>
            <w:tcW w:w="0" w:type="auto"/>
            <w:shd w:val="clear" w:color="auto" w:fill="auto"/>
            <w:hideMark/>
          </w:tcPr>
          <w:p w14:paraId="76C81FFF" w14:textId="77777777" w:rsidR="00465964" w:rsidRPr="00465964" w:rsidRDefault="00465964" w:rsidP="00465964">
            <w:pPr>
              <w:rPr>
                <w:lang w:val="pt-PT"/>
              </w:rPr>
            </w:pPr>
            <w:r w:rsidRPr="00465964">
              <w:rPr>
                <w:lang w:val="pt-PT"/>
              </w:rPr>
              <w:t>O emitente infringe o artigo 38.</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1, se investir a reserva de ativos em quaisquer produtos que não sejam instrumentos financeiros de elevada liquidez com um risco de mercado, um risco de crédito e um risco de concentração mínimos, ou se esses investimentos não puderem ser rapidamente liquidados com efeitos mínimos sobre o preço.</w:t>
            </w:r>
          </w:p>
        </w:tc>
      </w:tr>
    </w:tbl>
    <w:p w14:paraId="35AD2E72" w14:textId="77777777" w:rsidR="00465964" w:rsidRPr="00465964" w:rsidRDefault="00465964" w:rsidP="00465964">
      <w:pPr>
        <w:rPr>
          <w:vanish/>
          <w:lang w:val="pt-PT"/>
        </w:rPr>
      </w:pPr>
    </w:p>
    <w:tbl>
      <w:tblPr>
        <w:tblW w:w="5000" w:type="pct"/>
        <w:tblCellMar>
          <w:left w:w="0" w:type="dxa"/>
          <w:right w:w="0" w:type="dxa"/>
        </w:tblCellMar>
        <w:tblLook w:val="04A0" w:firstRow="1" w:lastRow="0" w:firstColumn="1" w:lastColumn="0" w:noHBand="0" w:noVBand="1"/>
      </w:tblPr>
      <w:tblGrid>
        <w:gridCol w:w="6"/>
        <w:gridCol w:w="298"/>
        <w:gridCol w:w="8722"/>
      </w:tblGrid>
      <w:tr w:rsidR="00465964" w:rsidRPr="00465964" w14:paraId="49D59F0D" w14:textId="77777777" w:rsidTr="00465964">
        <w:tc>
          <w:tcPr>
            <w:tcW w:w="0" w:type="auto"/>
            <w:shd w:val="clear" w:color="auto" w:fill="auto"/>
            <w:hideMark/>
          </w:tcPr>
          <w:p w14:paraId="4FDB99DD" w14:textId="77777777" w:rsidR="00465964" w:rsidRPr="00465964" w:rsidRDefault="00465964" w:rsidP="00465964">
            <w:pPr>
              <w:rPr>
                <w:lang w:val="pt-PT"/>
              </w:rPr>
            </w:pPr>
          </w:p>
        </w:tc>
        <w:tc>
          <w:tcPr>
            <w:tcW w:w="0" w:type="auto"/>
            <w:shd w:val="clear" w:color="auto" w:fill="auto"/>
            <w:hideMark/>
          </w:tcPr>
          <w:p w14:paraId="36AA93F2" w14:textId="77777777" w:rsidR="00465964" w:rsidRPr="00465964" w:rsidRDefault="00465964" w:rsidP="00465964">
            <w:r w:rsidRPr="00465964">
              <w:t>29.</w:t>
            </w:r>
          </w:p>
        </w:tc>
        <w:tc>
          <w:tcPr>
            <w:tcW w:w="0" w:type="auto"/>
            <w:shd w:val="clear" w:color="auto" w:fill="auto"/>
            <w:hideMark/>
          </w:tcPr>
          <w:p w14:paraId="48FA6A87" w14:textId="77777777" w:rsidR="00465964" w:rsidRPr="00465964" w:rsidRDefault="00465964" w:rsidP="00465964">
            <w:pPr>
              <w:rPr>
                <w:lang w:val="pt-PT"/>
              </w:rPr>
            </w:pPr>
            <w:r w:rsidRPr="00465964">
              <w:rPr>
                <w:lang w:val="pt-PT"/>
              </w:rPr>
              <w:t>O emitente infringe o artigo 34.</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3, se não detiver em custódia, em conformidade com o artigo 37.</w:t>
            </w:r>
            <w:r w:rsidRPr="00465964">
              <w:rPr>
                <w:vertAlign w:val="superscript"/>
                <w:lang w:val="pt-PT"/>
              </w:rPr>
              <w:t>o</w:t>
            </w:r>
            <w:r w:rsidRPr="00465964">
              <w:rPr>
                <w:lang w:val="pt-PT"/>
              </w:rPr>
              <w:t>, os instrumentos financeiros em que a reserva de ativos está investida.</w:t>
            </w:r>
          </w:p>
        </w:tc>
      </w:tr>
    </w:tbl>
    <w:p w14:paraId="23437FAE" w14:textId="77777777" w:rsidR="00465964" w:rsidRPr="00465964" w:rsidRDefault="00465964" w:rsidP="00465964">
      <w:pPr>
        <w:rPr>
          <w:vanish/>
          <w:lang w:val="pt-PT"/>
        </w:rPr>
      </w:pPr>
    </w:p>
    <w:tbl>
      <w:tblPr>
        <w:tblW w:w="5000" w:type="pct"/>
        <w:tblCellMar>
          <w:left w:w="0" w:type="dxa"/>
          <w:right w:w="0" w:type="dxa"/>
        </w:tblCellMar>
        <w:tblLook w:val="04A0" w:firstRow="1" w:lastRow="0" w:firstColumn="1" w:lastColumn="0" w:noHBand="0" w:noVBand="1"/>
      </w:tblPr>
      <w:tblGrid>
        <w:gridCol w:w="6"/>
        <w:gridCol w:w="298"/>
        <w:gridCol w:w="8722"/>
      </w:tblGrid>
      <w:tr w:rsidR="00465964" w:rsidRPr="00465964" w14:paraId="560FF8E7" w14:textId="77777777" w:rsidTr="00465964">
        <w:tc>
          <w:tcPr>
            <w:tcW w:w="0" w:type="auto"/>
            <w:shd w:val="clear" w:color="auto" w:fill="auto"/>
            <w:hideMark/>
          </w:tcPr>
          <w:p w14:paraId="6F85F466" w14:textId="77777777" w:rsidR="00465964" w:rsidRPr="00465964" w:rsidRDefault="00465964" w:rsidP="00465964">
            <w:pPr>
              <w:rPr>
                <w:lang w:val="pt-PT"/>
              </w:rPr>
            </w:pPr>
          </w:p>
        </w:tc>
        <w:tc>
          <w:tcPr>
            <w:tcW w:w="0" w:type="auto"/>
            <w:shd w:val="clear" w:color="auto" w:fill="auto"/>
            <w:hideMark/>
          </w:tcPr>
          <w:p w14:paraId="00FDE41F" w14:textId="77777777" w:rsidR="00465964" w:rsidRPr="00465964" w:rsidRDefault="00465964" w:rsidP="00465964">
            <w:r w:rsidRPr="00465964">
              <w:t>30.</w:t>
            </w:r>
          </w:p>
        </w:tc>
        <w:tc>
          <w:tcPr>
            <w:tcW w:w="0" w:type="auto"/>
            <w:shd w:val="clear" w:color="auto" w:fill="auto"/>
            <w:hideMark/>
          </w:tcPr>
          <w:p w14:paraId="27251E81" w14:textId="77777777" w:rsidR="00465964" w:rsidRPr="00465964" w:rsidRDefault="00465964" w:rsidP="00465964">
            <w:pPr>
              <w:rPr>
                <w:lang w:val="pt-PT"/>
              </w:rPr>
            </w:pPr>
            <w:r w:rsidRPr="00465964">
              <w:rPr>
                <w:lang w:val="pt-PT"/>
              </w:rPr>
              <w:t>O emitente infringe o artigo 38.</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4, se não suportar todos os ganhos e perdas e quaisquer riscos de contraparte ou operacionais resultantes do investimento da reserva de ativos.</w:t>
            </w:r>
          </w:p>
        </w:tc>
      </w:tr>
    </w:tbl>
    <w:p w14:paraId="3DCCAA8B" w14:textId="77777777" w:rsidR="00465964" w:rsidRPr="00465964" w:rsidRDefault="00465964" w:rsidP="00465964">
      <w:pPr>
        <w:rPr>
          <w:vanish/>
          <w:lang w:val="pt-PT"/>
        </w:rPr>
      </w:pPr>
    </w:p>
    <w:tbl>
      <w:tblPr>
        <w:tblW w:w="5000" w:type="pct"/>
        <w:tblCellMar>
          <w:left w:w="0" w:type="dxa"/>
          <w:right w:w="0" w:type="dxa"/>
        </w:tblCellMar>
        <w:tblLook w:val="04A0" w:firstRow="1" w:lastRow="0" w:firstColumn="1" w:lastColumn="0" w:noHBand="0" w:noVBand="1"/>
      </w:tblPr>
      <w:tblGrid>
        <w:gridCol w:w="6"/>
        <w:gridCol w:w="298"/>
        <w:gridCol w:w="8722"/>
      </w:tblGrid>
      <w:tr w:rsidR="00465964" w:rsidRPr="00465964" w14:paraId="6EB2848B" w14:textId="77777777" w:rsidTr="00465964">
        <w:tc>
          <w:tcPr>
            <w:tcW w:w="0" w:type="auto"/>
            <w:shd w:val="clear" w:color="auto" w:fill="auto"/>
            <w:hideMark/>
          </w:tcPr>
          <w:p w14:paraId="6FB778F3" w14:textId="77777777" w:rsidR="00465964" w:rsidRPr="00465964" w:rsidRDefault="00465964" w:rsidP="00465964">
            <w:pPr>
              <w:rPr>
                <w:lang w:val="pt-PT"/>
              </w:rPr>
            </w:pPr>
          </w:p>
        </w:tc>
        <w:tc>
          <w:tcPr>
            <w:tcW w:w="0" w:type="auto"/>
            <w:shd w:val="clear" w:color="auto" w:fill="auto"/>
            <w:hideMark/>
          </w:tcPr>
          <w:p w14:paraId="6CA7F60A" w14:textId="77777777" w:rsidR="00465964" w:rsidRPr="00465964" w:rsidRDefault="00465964" w:rsidP="00465964">
            <w:r w:rsidRPr="00465964">
              <w:t>31.</w:t>
            </w:r>
          </w:p>
        </w:tc>
        <w:tc>
          <w:tcPr>
            <w:tcW w:w="0" w:type="auto"/>
            <w:shd w:val="clear" w:color="auto" w:fill="auto"/>
            <w:hideMark/>
          </w:tcPr>
          <w:p w14:paraId="0296CFE7" w14:textId="3B252F2B" w:rsidR="00465964" w:rsidRPr="00465964" w:rsidRDefault="00465964" w:rsidP="00465964">
            <w:pPr>
              <w:rPr>
                <w:lang w:val="pt-PT"/>
              </w:rPr>
            </w:pPr>
            <w:r w:rsidRPr="00465964">
              <w:rPr>
                <w:lang w:val="pt-PT"/>
              </w:rPr>
              <w:t>O emitente infringe o artigo 45.</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xml:space="preserve"> 1, se não adotar, aplicar e mantiver uma política de remunerações que promova uma gestão de riscos sólida e eficaz dos emitentes de </w:t>
            </w:r>
            <w:r>
              <w:rPr>
                <w:lang w:val="pt-PT"/>
              </w:rPr>
              <w:t>criptomoedas</w:t>
            </w:r>
            <w:r w:rsidRPr="00465964">
              <w:rPr>
                <w:lang w:val="pt-PT"/>
              </w:rPr>
              <w:t xml:space="preserve"> de moeda eletrónica significativas e que não crie incentivos à adoção de normas menos rigorosas em matéria de risco.</w:t>
            </w:r>
          </w:p>
        </w:tc>
      </w:tr>
    </w:tbl>
    <w:p w14:paraId="5193A81B" w14:textId="77777777" w:rsidR="00465964" w:rsidRPr="00465964" w:rsidRDefault="00465964" w:rsidP="00465964">
      <w:pPr>
        <w:rPr>
          <w:vanish/>
          <w:lang w:val="pt-PT"/>
        </w:rPr>
      </w:pPr>
    </w:p>
    <w:tbl>
      <w:tblPr>
        <w:tblW w:w="5000" w:type="pct"/>
        <w:tblCellMar>
          <w:left w:w="0" w:type="dxa"/>
          <w:right w:w="0" w:type="dxa"/>
        </w:tblCellMar>
        <w:tblLook w:val="04A0" w:firstRow="1" w:lastRow="0" w:firstColumn="1" w:lastColumn="0" w:noHBand="0" w:noVBand="1"/>
      </w:tblPr>
      <w:tblGrid>
        <w:gridCol w:w="6"/>
        <w:gridCol w:w="298"/>
        <w:gridCol w:w="8722"/>
      </w:tblGrid>
      <w:tr w:rsidR="00465964" w:rsidRPr="00465964" w14:paraId="1C1DB6C7" w14:textId="77777777" w:rsidTr="00465964">
        <w:tc>
          <w:tcPr>
            <w:tcW w:w="0" w:type="auto"/>
            <w:shd w:val="clear" w:color="auto" w:fill="auto"/>
            <w:hideMark/>
          </w:tcPr>
          <w:p w14:paraId="28A4FC09" w14:textId="77777777" w:rsidR="00465964" w:rsidRPr="00465964" w:rsidRDefault="00465964" w:rsidP="00465964">
            <w:pPr>
              <w:rPr>
                <w:lang w:val="pt-PT"/>
              </w:rPr>
            </w:pPr>
          </w:p>
        </w:tc>
        <w:tc>
          <w:tcPr>
            <w:tcW w:w="0" w:type="auto"/>
            <w:shd w:val="clear" w:color="auto" w:fill="auto"/>
            <w:hideMark/>
          </w:tcPr>
          <w:p w14:paraId="5C65B225" w14:textId="77777777" w:rsidR="00465964" w:rsidRPr="00465964" w:rsidRDefault="00465964" w:rsidP="00465964">
            <w:r w:rsidRPr="00465964">
              <w:t>32.</w:t>
            </w:r>
          </w:p>
        </w:tc>
        <w:tc>
          <w:tcPr>
            <w:tcW w:w="0" w:type="auto"/>
            <w:shd w:val="clear" w:color="auto" w:fill="auto"/>
            <w:hideMark/>
          </w:tcPr>
          <w:p w14:paraId="44701D38" w14:textId="77777777" w:rsidR="00465964" w:rsidRPr="00465964" w:rsidRDefault="00465964" w:rsidP="00465964">
            <w:pPr>
              <w:rPr>
                <w:lang w:val="pt-PT"/>
              </w:rPr>
            </w:pPr>
            <w:r w:rsidRPr="00465964">
              <w:rPr>
                <w:lang w:val="pt-PT"/>
              </w:rPr>
              <w:t>O emitente infringe o artigo 45.</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xml:space="preserve"> 2, se não assegurar que a sua </w:t>
            </w:r>
            <w:proofErr w:type="spellStart"/>
            <w:r w:rsidRPr="00465964">
              <w:rPr>
                <w:lang w:val="pt-PT"/>
              </w:rPr>
              <w:t>criptoficha</w:t>
            </w:r>
            <w:proofErr w:type="spellEnd"/>
            <w:r w:rsidRPr="00465964">
              <w:rPr>
                <w:lang w:val="pt-PT"/>
              </w:rPr>
              <w:t xml:space="preserve"> de moeda eletrónica significativa possa ser detida em custódia por diferentes prestadores de serviços de criptoativos autorizados a prestar serviços de custódia e administração de criptoativos em nome de clientes, numa base equitativa, razoável e não discriminatória.</w:t>
            </w:r>
          </w:p>
        </w:tc>
      </w:tr>
    </w:tbl>
    <w:p w14:paraId="3AF9A412" w14:textId="77777777" w:rsidR="00465964" w:rsidRPr="00465964" w:rsidRDefault="00465964" w:rsidP="00465964">
      <w:pPr>
        <w:rPr>
          <w:vanish/>
          <w:lang w:val="pt-PT"/>
        </w:rPr>
      </w:pPr>
    </w:p>
    <w:tbl>
      <w:tblPr>
        <w:tblW w:w="5000" w:type="pct"/>
        <w:tblCellMar>
          <w:left w:w="0" w:type="dxa"/>
          <w:right w:w="0" w:type="dxa"/>
        </w:tblCellMar>
        <w:tblLook w:val="04A0" w:firstRow="1" w:lastRow="0" w:firstColumn="1" w:lastColumn="0" w:noHBand="0" w:noVBand="1"/>
      </w:tblPr>
      <w:tblGrid>
        <w:gridCol w:w="6"/>
        <w:gridCol w:w="298"/>
        <w:gridCol w:w="8722"/>
      </w:tblGrid>
      <w:tr w:rsidR="00465964" w:rsidRPr="00465964" w14:paraId="24AAA302" w14:textId="77777777" w:rsidTr="00465964">
        <w:tc>
          <w:tcPr>
            <w:tcW w:w="0" w:type="auto"/>
            <w:shd w:val="clear" w:color="auto" w:fill="auto"/>
            <w:hideMark/>
          </w:tcPr>
          <w:p w14:paraId="16180DB9" w14:textId="77777777" w:rsidR="00465964" w:rsidRPr="00465964" w:rsidRDefault="00465964" w:rsidP="00465964">
            <w:pPr>
              <w:rPr>
                <w:lang w:val="pt-PT"/>
              </w:rPr>
            </w:pPr>
          </w:p>
        </w:tc>
        <w:tc>
          <w:tcPr>
            <w:tcW w:w="0" w:type="auto"/>
            <w:shd w:val="clear" w:color="auto" w:fill="auto"/>
            <w:hideMark/>
          </w:tcPr>
          <w:p w14:paraId="33D33B1D" w14:textId="77777777" w:rsidR="00465964" w:rsidRPr="00465964" w:rsidRDefault="00465964" w:rsidP="00465964">
            <w:r w:rsidRPr="00465964">
              <w:t>33.</w:t>
            </w:r>
          </w:p>
        </w:tc>
        <w:tc>
          <w:tcPr>
            <w:tcW w:w="0" w:type="auto"/>
            <w:shd w:val="clear" w:color="auto" w:fill="auto"/>
            <w:hideMark/>
          </w:tcPr>
          <w:p w14:paraId="498F9742" w14:textId="77777777" w:rsidR="00465964" w:rsidRPr="00465964" w:rsidRDefault="00465964" w:rsidP="00465964">
            <w:pPr>
              <w:rPr>
                <w:lang w:val="pt-PT"/>
              </w:rPr>
            </w:pPr>
            <w:r w:rsidRPr="00465964">
              <w:rPr>
                <w:lang w:val="pt-PT"/>
              </w:rPr>
              <w:t>O emitente infringe o artigo 45.</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xml:space="preserve"> 3, se não avaliar ou vigiar as necessidades de liquidez para satisfazer os pedidos de reembolso dos detentores da </w:t>
            </w:r>
            <w:proofErr w:type="spellStart"/>
            <w:r w:rsidRPr="00465964">
              <w:rPr>
                <w:lang w:val="pt-PT"/>
              </w:rPr>
              <w:t>criptoficha</w:t>
            </w:r>
            <w:proofErr w:type="spellEnd"/>
            <w:r w:rsidRPr="00465964">
              <w:rPr>
                <w:lang w:val="pt-PT"/>
              </w:rPr>
              <w:t xml:space="preserve"> de moeda eletrónica significativa.</w:t>
            </w:r>
          </w:p>
        </w:tc>
      </w:tr>
    </w:tbl>
    <w:p w14:paraId="413C4A02" w14:textId="77777777" w:rsidR="00465964" w:rsidRPr="00465964" w:rsidRDefault="00465964" w:rsidP="00465964">
      <w:pPr>
        <w:rPr>
          <w:vanish/>
          <w:lang w:val="pt-PT"/>
        </w:rPr>
      </w:pPr>
    </w:p>
    <w:tbl>
      <w:tblPr>
        <w:tblW w:w="5000" w:type="pct"/>
        <w:tblCellMar>
          <w:left w:w="0" w:type="dxa"/>
          <w:right w:w="0" w:type="dxa"/>
        </w:tblCellMar>
        <w:tblLook w:val="04A0" w:firstRow="1" w:lastRow="0" w:firstColumn="1" w:lastColumn="0" w:noHBand="0" w:noVBand="1"/>
      </w:tblPr>
      <w:tblGrid>
        <w:gridCol w:w="6"/>
        <w:gridCol w:w="298"/>
        <w:gridCol w:w="8722"/>
      </w:tblGrid>
      <w:tr w:rsidR="00465964" w:rsidRPr="00465964" w14:paraId="7CE675C4" w14:textId="77777777" w:rsidTr="00465964">
        <w:tc>
          <w:tcPr>
            <w:tcW w:w="0" w:type="auto"/>
            <w:shd w:val="clear" w:color="auto" w:fill="auto"/>
            <w:hideMark/>
          </w:tcPr>
          <w:p w14:paraId="40F0171A" w14:textId="77777777" w:rsidR="00465964" w:rsidRPr="00465964" w:rsidRDefault="00465964" w:rsidP="00465964">
            <w:pPr>
              <w:rPr>
                <w:lang w:val="pt-PT"/>
              </w:rPr>
            </w:pPr>
          </w:p>
        </w:tc>
        <w:tc>
          <w:tcPr>
            <w:tcW w:w="0" w:type="auto"/>
            <w:shd w:val="clear" w:color="auto" w:fill="auto"/>
            <w:hideMark/>
          </w:tcPr>
          <w:p w14:paraId="55B31B42" w14:textId="77777777" w:rsidR="00465964" w:rsidRPr="00465964" w:rsidRDefault="00465964" w:rsidP="00465964">
            <w:r w:rsidRPr="00465964">
              <w:t>34.</w:t>
            </w:r>
          </w:p>
        </w:tc>
        <w:tc>
          <w:tcPr>
            <w:tcW w:w="0" w:type="auto"/>
            <w:shd w:val="clear" w:color="auto" w:fill="auto"/>
            <w:hideMark/>
          </w:tcPr>
          <w:p w14:paraId="53299282" w14:textId="77777777" w:rsidR="00465964" w:rsidRPr="00465964" w:rsidRDefault="00465964" w:rsidP="00465964">
            <w:pPr>
              <w:rPr>
                <w:lang w:val="pt-PT"/>
              </w:rPr>
            </w:pPr>
            <w:r w:rsidRPr="00465964">
              <w:rPr>
                <w:lang w:val="pt-PT"/>
              </w:rPr>
              <w:t>O emitente infringe o artigo 45.</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xml:space="preserve"> 3, se não estabelecer, mantiver ou aplicar uma política e procedimentos de gestão da liquidez ou se não assegurar, com esta política e procedimentos, que os ativos de reserva tenham um perfil de liquidez resiliente que permita ao emitente da </w:t>
            </w:r>
            <w:proofErr w:type="spellStart"/>
            <w:r w:rsidRPr="00465964">
              <w:rPr>
                <w:lang w:val="pt-PT"/>
              </w:rPr>
              <w:t>criptoficha</w:t>
            </w:r>
            <w:proofErr w:type="spellEnd"/>
            <w:r w:rsidRPr="00465964">
              <w:rPr>
                <w:lang w:val="pt-PT"/>
              </w:rPr>
              <w:t xml:space="preserve"> de moeda eletrónica significativa continuar a funcionar normalmente, inclusive em cenários de esforço de liquidez.</w:t>
            </w:r>
          </w:p>
        </w:tc>
      </w:tr>
    </w:tbl>
    <w:p w14:paraId="3040D9AA" w14:textId="77777777" w:rsidR="00465964" w:rsidRPr="00465964" w:rsidRDefault="00465964" w:rsidP="00465964">
      <w:pPr>
        <w:rPr>
          <w:vanish/>
          <w:lang w:val="pt-PT"/>
        </w:rPr>
      </w:pPr>
    </w:p>
    <w:tbl>
      <w:tblPr>
        <w:tblW w:w="5000" w:type="pct"/>
        <w:tblCellMar>
          <w:left w:w="0" w:type="dxa"/>
          <w:right w:w="0" w:type="dxa"/>
        </w:tblCellMar>
        <w:tblLook w:val="04A0" w:firstRow="1" w:lastRow="0" w:firstColumn="1" w:lastColumn="0" w:noHBand="0" w:noVBand="1"/>
      </w:tblPr>
      <w:tblGrid>
        <w:gridCol w:w="6"/>
        <w:gridCol w:w="298"/>
        <w:gridCol w:w="8722"/>
      </w:tblGrid>
      <w:tr w:rsidR="00465964" w:rsidRPr="00465964" w14:paraId="4F55F499" w14:textId="77777777" w:rsidTr="00465964">
        <w:tc>
          <w:tcPr>
            <w:tcW w:w="0" w:type="auto"/>
            <w:shd w:val="clear" w:color="auto" w:fill="auto"/>
            <w:hideMark/>
          </w:tcPr>
          <w:p w14:paraId="42EB132B" w14:textId="77777777" w:rsidR="00465964" w:rsidRPr="00465964" w:rsidRDefault="00465964" w:rsidP="00465964">
            <w:pPr>
              <w:rPr>
                <w:lang w:val="pt-PT"/>
              </w:rPr>
            </w:pPr>
          </w:p>
        </w:tc>
        <w:tc>
          <w:tcPr>
            <w:tcW w:w="0" w:type="auto"/>
            <w:shd w:val="clear" w:color="auto" w:fill="auto"/>
            <w:hideMark/>
          </w:tcPr>
          <w:p w14:paraId="4F4B2C3E" w14:textId="77777777" w:rsidR="00465964" w:rsidRPr="00465964" w:rsidRDefault="00465964" w:rsidP="00465964">
            <w:r w:rsidRPr="00465964">
              <w:t>35.</w:t>
            </w:r>
          </w:p>
        </w:tc>
        <w:tc>
          <w:tcPr>
            <w:tcW w:w="0" w:type="auto"/>
            <w:shd w:val="clear" w:color="auto" w:fill="auto"/>
            <w:hideMark/>
          </w:tcPr>
          <w:p w14:paraId="11ED1547" w14:textId="77777777" w:rsidR="00465964" w:rsidRPr="00465964" w:rsidRDefault="00465964" w:rsidP="00465964">
            <w:pPr>
              <w:rPr>
                <w:lang w:val="pt-PT"/>
              </w:rPr>
            </w:pPr>
            <w:r w:rsidRPr="00465964">
              <w:rPr>
                <w:lang w:val="pt-PT"/>
              </w:rPr>
              <w:t>O emitente infringe o artigo 45.</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4, se não realizar regularmente testes de esforço de liquidez ou se não reforçar os requisitos de liquidez, quando tal for solicitado pela EBA com base nos resultados dos referidos testes.</w:t>
            </w:r>
          </w:p>
        </w:tc>
      </w:tr>
    </w:tbl>
    <w:p w14:paraId="2F956714" w14:textId="77777777" w:rsidR="00465964" w:rsidRPr="00465964" w:rsidRDefault="00465964" w:rsidP="00465964">
      <w:pPr>
        <w:rPr>
          <w:vanish/>
          <w:lang w:val="pt-PT"/>
        </w:rPr>
      </w:pPr>
    </w:p>
    <w:tbl>
      <w:tblPr>
        <w:tblW w:w="5000" w:type="pct"/>
        <w:tblCellMar>
          <w:left w:w="0" w:type="dxa"/>
          <w:right w:w="0" w:type="dxa"/>
        </w:tblCellMar>
        <w:tblLook w:val="04A0" w:firstRow="1" w:lastRow="0" w:firstColumn="1" w:lastColumn="0" w:noHBand="0" w:noVBand="1"/>
      </w:tblPr>
      <w:tblGrid>
        <w:gridCol w:w="6"/>
        <w:gridCol w:w="298"/>
        <w:gridCol w:w="8722"/>
      </w:tblGrid>
      <w:tr w:rsidR="00465964" w:rsidRPr="00465964" w14:paraId="5A98AA77" w14:textId="77777777" w:rsidTr="00465964">
        <w:tc>
          <w:tcPr>
            <w:tcW w:w="0" w:type="auto"/>
            <w:shd w:val="clear" w:color="auto" w:fill="auto"/>
            <w:hideMark/>
          </w:tcPr>
          <w:p w14:paraId="11A02769" w14:textId="77777777" w:rsidR="00465964" w:rsidRPr="00465964" w:rsidRDefault="00465964" w:rsidP="00465964">
            <w:pPr>
              <w:rPr>
                <w:lang w:val="pt-PT"/>
              </w:rPr>
            </w:pPr>
          </w:p>
        </w:tc>
        <w:tc>
          <w:tcPr>
            <w:tcW w:w="0" w:type="auto"/>
            <w:shd w:val="clear" w:color="auto" w:fill="auto"/>
            <w:hideMark/>
          </w:tcPr>
          <w:p w14:paraId="4814A303" w14:textId="77777777" w:rsidR="00465964" w:rsidRPr="00465964" w:rsidRDefault="00465964" w:rsidP="00465964">
            <w:r w:rsidRPr="00465964">
              <w:t>36.</w:t>
            </w:r>
          </w:p>
        </w:tc>
        <w:tc>
          <w:tcPr>
            <w:tcW w:w="0" w:type="auto"/>
            <w:shd w:val="clear" w:color="auto" w:fill="auto"/>
            <w:hideMark/>
          </w:tcPr>
          <w:p w14:paraId="5ABE88F3" w14:textId="77777777" w:rsidR="00465964" w:rsidRPr="00465964" w:rsidRDefault="00465964" w:rsidP="00465964">
            <w:pPr>
              <w:rPr>
                <w:lang w:val="pt-PT"/>
              </w:rPr>
            </w:pPr>
            <w:r w:rsidRPr="00465964">
              <w:rPr>
                <w:lang w:val="pt-PT"/>
              </w:rPr>
              <w:t>O emitente infringe o artigo 45.</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5, se não respeitar, em qualquer momento, o requisito de fundos próprios.</w:t>
            </w:r>
          </w:p>
        </w:tc>
      </w:tr>
    </w:tbl>
    <w:p w14:paraId="2DD08F6B" w14:textId="77777777" w:rsidR="00465964" w:rsidRPr="00465964" w:rsidRDefault="00465964" w:rsidP="00465964">
      <w:pPr>
        <w:rPr>
          <w:vanish/>
          <w:lang w:val="pt-PT"/>
        </w:rPr>
      </w:pPr>
    </w:p>
    <w:tbl>
      <w:tblPr>
        <w:tblW w:w="5000" w:type="pct"/>
        <w:tblCellMar>
          <w:left w:w="0" w:type="dxa"/>
          <w:right w:w="0" w:type="dxa"/>
        </w:tblCellMar>
        <w:tblLook w:val="04A0" w:firstRow="1" w:lastRow="0" w:firstColumn="1" w:lastColumn="0" w:noHBand="0" w:noVBand="1"/>
      </w:tblPr>
      <w:tblGrid>
        <w:gridCol w:w="6"/>
        <w:gridCol w:w="298"/>
        <w:gridCol w:w="8722"/>
      </w:tblGrid>
      <w:tr w:rsidR="00465964" w:rsidRPr="00465964" w14:paraId="3CB394D6" w14:textId="77777777" w:rsidTr="00465964">
        <w:tc>
          <w:tcPr>
            <w:tcW w:w="0" w:type="auto"/>
            <w:shd w:val="clear" w:color="auto" w:fill="auto"/>
            <w:hideMark/>
          </w:tcPr>
          <w:p w14:paraId="351ABCD6" w14:textId="77777777" w:rsidR="00465964" w:rsidRPr="00465964" w:rsidRDefault="00465964" w:rsidP="00465964">
            <w:pPr>
              <w:rPr>
                <w:lang w:val="pt-PT"/>
              </w:rPr>
            </w:pPr>
          </w:p>
        </w:tc>
        <w:tc>
          <w:tcPr>
            <w:tcW w:w="0" w:type="auto"/>
            <w:shd w:val="clear" w:color="auto" w:fill="auto"/>
            <w:hideMark/>
          </w:tcPr>
          <w:p w14:paraId="5DCB23B9" w14:textId="77777777" w:rsidR="00465964" w:rsidRPr="00465964" w:rsidRDefault="00465964" w:rsidP="00465964">
            <w:r w:rsidRPr="00465964">
              <w:t>37.</w:t>
            </w:r>
          </w:p>
        </w:tc>
        <w:tc>
          <w:tcPr>
            <w:tcW w:w="0" w:type="auto"/>
            <w:shd w:val="clear" w:color="auto" w:fill="auto"/>
            <w:hideMark/>
          </w:tcPr>
          <w:p w14:paraId="55266312" w14:textId="44EDD21B" w:rsidR="00465964" w:rsidRPr="00465964" w:rsidRDefault="00465964" w:rsidP="00465964">
            <w:pPr>
              <w:rPr>
                <w:lang w:val="pt-PT"/>
              </w:rPr>
            </w:pPr>
            <w:r w:rsidRPr="00465964">
              <w:rPr>
                <w:lang w:val="pt-PT"/>
              </w:rPr>
              <w:t>O emitente infringe o artigo 46.</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xml:space="preserve"> 1, se não elaborar e mantiver um plano de recuperação que preveja medidas a tomar pelo emitente de </w:t>
            </w:r>
            <w:r>
              <w:rPr>
                <w:lang w:val="pt-PT"/>
              </w:rPr>
              <w:t>criptomoedas</w:t>
            </w:r>
            <w:r w:rsidRPr="00465964">
              <w:rPr>
                <w:lang w:val="pt-PT"/>
              </w:rPr>
              <w:t xml:space="preserve"> de moeda eletrónica significativas para restabelecer o cumprimento dos requisitos aplicáveis à reserva de ativos </w:t>
            </w:r>
            <w:r w:rsidRPr="00465964">
              <w:rPr>
                <w:lang w:val="pt-PT"/>
              </w:rPr>
              <w:lastRenderedPageBreak/>
              <w:t xml:space="preserve">caso o emitente não cumpra esses requisitos, incluindo a preservação dos seus serviços relacionados com a </w:t>
            </w:r>
            <w:proofErr w:type="spellStart"/>
            <w:r w:rsidRPr="00465964">
              <w:rPr>
                <w:lang w:val="pt-PT"/>
              </w:rPr>
              <w:t>criptoficha</w:t>
            </w:r>
            <w:proofErr w:type="spellEnd"/>
            <w:r w:rsidRPr="00465964">
              <w:rPr>
                <w:lang w:val="pt-PT"/>
              </w:rPr>
              <w:t xml:space="preserve"> de moeda eletrónica significativa emitida, o restabelecimento atempado das operações e o cumprimento das obrigações do emitente caso haja acontecimentos que representem um risco significativo de perturbação das operações.</w:t>
            </w:r>
          </w:p>
        </w:tc>
      </w:tr>
    </w:tbl>
    <w:p w14:paraId="5061B3C7" w14:textId="77777777" w:rsidR="00465964" w:rsidRPr="00465964" w:rsidRDefault="00465964" w:rsidP="00465964">
      <w:pPr>
        <w:rPr>
          <w:vanish/>
          <w:lang w:val="pt-PT"/>
        </w:rPr>
      </w:pPr>
    </w:p>
    <w:tbl>
      <w:tblPr>
        <w:tblW w:w="5000" w:type="pct"/>
        <w:tblCellMar>
          <w:left w:w="0" w:type="dxa"/>
          <w:right w:w="0" w:type="dxa"/>
        </w:tblCellMar>
        <w:tblLook w:val="04A0" w:firstRow="1" w:lastRow="0" w:firstColumn="1" w:lastColumn="0" w:noHBand="0" w:noVBand="1"/>
      </w:tblPr>
      <w:tblGrid>
        <w:gridCol w:w="6"/>
        <w:gridCol w:w="298"/>
        <w:gridCol w:w="8722"/>
      </w:tblGrid>
      <w:tr w:rsidR="00465964" w:rsidRPr="00465964" w14:paraId="3608B702" w14:textId="77777777" w:rsidTr="00465964">
        <w:tc>
          <w:tcPr>
            <w:tcW w:w="0" w:type="auto"/>
            <w:shd w:val="clear" w:color="auto" w:fill="auto"/>
            <w:hideMark/>
          </w:tcPr>
          <w:p w14:paraId="4F3AB18F" w14:textId="77777777" w:rsidR="00465964" w:rsidRPr="00465964" w:rsidRDefault="00465964" w:rsidP="00465964">
            <w:pPr>
              <w:rPr>
                <w:lang w:val="pt-PT"/>
              </w:rPr>
            </w:pPr>
          </w:p>
        </w:tc>
        <w:tc>
          <w:tcPr>
            <w:tcW w:w="0" w:type="auto"/>
            <w:shd w:val="clear" w:color="auto" w:fill="auto"/>
            <w:hideMark/>
          </w:tcPr>
          <w:p w14:paraId="19BA93BE" w14:textId="77777777" w:rsidR="00465964" w:rsidRPr="00465964" w:rsidRDefault="00465964" w:rsidP="00465964">
            <w:r w:rsidRPr="00465964">
              <w:t>38.</w:t>
            </w:r>
          </w:p>
        </w:tc>
        <w:tc>
          <w:tcPr>
            <w:tcW w:w="0" w:type="auto"/>
            <w:shd w:val="clear" w:color="auto" w:fill="auto"/>
            <w:hideMark/>
          </w:tcPr>
          <w:p w14:paraId="25C29CDE" w14:textId="77777777" w:rsidR="00465964" w:rsidRPr="00465964" w:rsidRDefault="00465964" w:rsidP="00465964">
            <w:pPr>
              <w:rPr>
                <w:lang w:val="pt-PT"/>
              </w:rPr>
            </w:pPr>
            <w:r w:rsidRPr="00465964">
              <w:rPr>
                <w:lang w:val="pt-PT"/>
              </w:rPr>
              <w:t>O emitente infringe o artigo 46.</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1, se não elaborar e mantiver um plano de recuperação que inclua condições e procedimentos adequados para assegurar a execução atempada das medidas de restabelecimento, bem como um vasto leque de opções de restabelecimento, conforme previsto no terceiro parágrafo, alíneas a), b) e c), do referido número.</w:t>
            </w:r>
          </w:p>
        </w:tc>
      </w:tr>
    </w:tbl>
    <w:p w14:paraId="076190B6" w14:textId="77777777" w:rsidR="00465964" w:rsidRPr="00465964" w:rsidRDefault="00465964" w:rsidP="00465964">
      <w:pPr>
        <w:rPr>
          <w:vanish/>
          <w:lang w:val="pt-PT"/>
        </w:rPr>
      </w:pPr>
    </w:p>
    <w:tbl>
      <w:tblPr>
        <w:tblW w:w="5000" w:type="pct"/>
        <w:tblCellMar>
          <w:left w:w="0" w:type="dxa"/>
          <w:right w:w="0" w:type="dxa"/>
        </w:tblCellMar>
        <w:tblLook w:val="04A0" w:firstRow="1" w:lastRow="0" w:firstColumn="1" w:lastColumn="0" w:noHBand="0" w:noVBand="1"/>
      </w:tblPr>
      <w:tblGrid>
        <w:gridCol w:w="6"/>
        <w:gridCol w:w="298"/>
        <w:gridCol w:w="8722"/>
      </w:tblGrid>
      <w:tr w:rsidR="00465964" w:rsidRPr="00465964" w14:paraId="2E4D430E" w14:textId="77777777" w:rsidTr="00465964">
        <w:tc>
          <w:tcPr>
            <w:tcW w:w="0" w:type="auto"/>
            <w:shd w:val="clear" w:color="auto" w:fill="auto"/>
            <w:hideMark/>
          </w:tcPr>
          <w:p w14:paraId="44F94672" w14:textId="77777777" w:rsidR="00465964" w:rsidRPr="00465964" w:rsidRDefault="00465964" w:rsidP="00465964">
            <w:pPr>
              <w:rPr>
                <w:lang w:val="pt-PT"/>
              </w:rPr>
            </w:pPr>
          </w:p>
        </w:tc>
        <w:tc>
          <w:tcPr>
            <w:tcW w:w="0" w:type="auto"/>
            <w:shd w:val="clear" w:color="auto" w:fill="auto"/>
            <w:hideMark/>
          </w:tcPr>
          <w:p w14:paraId="2A106353" w14:textId="77777777" w:rsidR="00465964" w:rsidRPr="00465964" w:rsidRDefault="00465964" w:rsidP="00465964">
            <w:r w:rsidRPr="00465964">
              <w:t>39.</w:t>
            </w:r>
          </w:p>
        </w:tc>
        <w:tc>
          <w:tcPr>
            <w:tcW w:w="0" w:type="auto"/>
            <w:shd w:val="clear" w:color="auto" w:fill="auto"/>
            <w:hideMark/>
          </w:tcPr>
          <w:p w14:paraId="51BF2DCF" w14:textId="77777777" w:rsidR="00465964" w:rsidRPr="00465964" w:rsidRDefault="00465964" w:rsidP="00465964">
            <w:pPr>
              <w:rPr>
                <w:lang w:val="pt-PT"/>
              </w:rPr>
            </w:pPr>
            <w:r w:rsidRPr="00465964">
              <w:rPr>
                <w:lang w:val="pt-PT"/>
              </w:rPr>
              <w:t>O emitente infringe o artigo 46.</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2, se não notificar o plano de recuperação à EBA e, se for caso disso, às suas autoridades de resolução e de supervisão prudencial no prazo de seis meses a contar da data da oferta pública ou da admissão à negociação.</w:t>
            </w:r>
          </w:p>
        </w:tc>
      </w:tr>
    </w:tbl>
    <w:p w14:paraId="6512364B" w14:textId="77777777" w:rsidR="00465964" w:rsidRPr="00465964" w:rsidRDefault="00465964" w:rsidP="00465964">
      <w:pPr>
        <w:rPr>
          <w:vanish/>
          <w:lang w:val="pt-PT"/>
        </w:rPr>
      </w:pPr>
    </w:p>
    <w:tbl>
      <w:tblPr>
        <w:tblW w:w="5000" w:type="pct"/>
        <w:tblCellMar>
          <w:left w:w="0" w:type="dxa"/>
          <w:right w:w="0" w:type="dxa"/>
        </w:tblCellMar>
        <w:tblLook w:val="04A0" w:firstRow="1" w:lastRow="0" w:firstColumn="1" w:lastColumn="0" w:noHBand="0" w:noVBand="1"/>
      </w:tblPr>
      <w:tblGrid>
        <w:gridCol w:w="6"/>
        <w:gridCol w:w="298"/>
        <w:gridCol w:w="8722"/>
      </w:tblGrid>
      <w:tr w:rsidR="00465964" w:rsidRPr="00465964" w14:paraId="23849983" w14:textId="77777777" w:rsidTr="00465964">
        <w:tc>
          <w:tcPr>
            <w:tcW w:w="0" w:type="auto"/>
            <w:shd w:val="clear" w:color="auto" w:fill="auto"/>
            <w:hideMark/>
          </w:tcPr>
          <w:p w14:paraId="06B9BCA8" w14:textId="77777777" w:rsidR="00465964" w:rsidRPr="00465964" w:rsidRDefault="00465964" w:rsidP="00465964">
            <w:pPr>
              <w:rPr>
                <w:lang w:val="pt-PT"/>
              </w:rPr>
            </w:pPr>
          </w:p>
        </w:tc>
        <w:tc>
          <w:tcPr>
            <w:tcW w:w="0" w:type="auto"/>
            <w:shd w:val="clear" w:color="auto" w:fill="auto"/>
            <w:hideMark/>
          </w:tcPr>
          <w:p w14:paraId="1E87319B" w14:textId="77777777" w:rsidR="00465964" w:rsidRPr="00465964" w:rsidRDefault="00465964" w:rsidP="00465964">
            <w:r w:rsidRPr="00465964">
              <w:t>40.</w:t>
            </w:r>
          </w:p>
        </w:tc>
        <w:tc>
          <w:tcPr>
            <w:tcW w:w="0" w:type="auto"/>
            <w:shd w:val="clear" w:color="auto" w:fill="auto"/>
            <w:hideMark/>
          </w:tcPr>
          <w:p w14:paraId="4386C01B" w14:textId="77777777" w:rsidR="00465964" w:rsidRPr="00465964" w:rsidRDefault="00465964" w:rsidP="00465964">
            <w:pPr>
              <w:rPr>
                <w:lang w:val="pt-PT"/>
              </w:rPr>
            </w:pPr>
            <w:r w:rsidRPr="00465964">
              <w:rPr>
                <w:lang w:val="pt-PT"/>
              </w:rPr>
              <w:t>O emitente infringe o artigo 46.</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2, se não proceder regularmente à revisão ou atualização do plano de recuperação.</w:t>
            </w:r>
          </w:p>
        </w:tc>
      </w:tr>
    </w:tbl>
    <w:p w14:paraId="3101F7EE" w14:textId="77777777" w:rsidR="00465964" w:rsidRPr="00465964" w:rsidRDefault="00465964" w:rsidP="00465964">
      <w:pPr>
        <w:rPr>
          <w:vanish/>
          <w:lang w:val="pt-PT"/>
        </w:rPr>
      </w:pPr>
    </w:p>
    <w:tbl>
      <w:tblPr>
        <w:tblW w:w="5000" w:type="pct"/>
        <w:tblCellMar>
          <w:left w:w="0" w:type="dxa"/>
          <w:right w:w="0" w:type="dxa"/>
        </w:tblCellMar>
        <w:tblLook w:val="04A0" w:firstRow="1" w:lastRow="0" w:firstColumn="1" w:lastColumn="0" w:noHBand="0" w:noVBand="1"/>
      </w:tblPr>
      <w:tblGrid>
        <w:gridCol w:w="6"/>
        <w:gridCol w:w="298"/>
        <w:gridCol w:w="8722"/>
      </w:tblGrid>
      <w:tr w:rsidR="00465964" w:rsidRPr="00465964" w14:paraId="14ECE0D8" w14:textId="77777777" w:rsidTr="00465964">
        <w:tc>
          <w:tcPr>
            <w:tcW w:w="0" w:type="auto"/>
            <w:shd w:val="clear" w:color="auto" w:fill="auto"/>
            <w:hideMark/>
          </w:tcPr>
          <w:p w14:paraId="339127EC" w14:textId="77777777" w:rsidR="00465964" w:rsidRPr="00465964" w:rsidRDefault="00465964" w:rsidP="00465964">
            <w:pPr>
              <w:rPr>
                <w:lang w:val="pt-PT"/>
              </w:rPr>
            </w:pPr>
          </w:p>
        </w:tc>
        <w:tc>
          <w:tcPr>
            <w:tcW w:w="0" w:type="auto"/>
            <w:shd w:val="clear" w:color="auto" w:fill="auto"/>
            <w:hideMark/>
          </w:tcPr>
          <w:p w14:paraId="62B566FE" w14:textId="77777777" w:rsidR="00465964" w:rsidRPr="00465964" w:rsidRDefault="00465964" w:rsidP="00465964">
            <w:r w:rsidRPr="00465964">
              <w:t>41.</w:t>
            </w:r>
          </w:p>
        </w:tc>
        <w:tc>
          <w:tcPr>
            <w:tcW w:w="0" w:type="auto"/>
            <w:shd w:val="clear" w:color="auto" w:fill="auto"/>
            <w:hideMark/>
          </w:tcPr>
          <w:p w14:paraId="643D0B71" w14:textId="77777777" w:rsidR="00465964" w:rsidRPr="00465964" w:rsidRDefault="00465964" w:rsidP="00465964">
            <w:pPr>
              <w:rPr>
                <w:lang w:val="pt-PT"/>
              </w:rPr>
            </w:pPr>
            <w:r w:rsidRPr="00465964">
              <w:rPr>
                <w:lang w:val="pt-PT"/>
              </w:rPr>
              <w:t>O emitente infringe o artigo 47.</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xml:space="preserve"> 1, se não elaborar e mantiver um plano operacional que apoie um reembolso ordenado de cada </w:t>
            </w:r>
            <w:proofErr w:type="spellStart"/>
            <w:r w:rsidRPr="00465964">
              <w:rPr>
                <w:lang w:val="pt-PT"/>
              </w:rPr>
              <w:t>criptoficha</w:t>
            </w:r>
            <w:proofErr w:type="spellEnd"/>
            <w:r w:rsidRPr="00465964">
              <w:rPr>
                <w:lang w:val="pt-PT"/>
              </w:rPr>
              <w:t xml:space="preserve"> de moeda eletrónica significativa.</w:t>
            </w:r>
          </w:p>
        </w:tc>
      </w:tr>
    </w:tbl>
    <w:p w14:paraId="5E7A7C6F" w14:textId="77777777" w:rsidR="00465964" w:rsidRPr="00465964" w:rsidRDefault="00465964" w:rsidP="00465964">
      <w:pPr>
        <w:rPr>
          <w:vanish/>
          <w:lang w:val="pt-PT"/>
        </w:rPr>
      </w:pPr>
    </w:p>
    <w:tbl>
      <w:tblPr>
        <w:tblW w:w="5000" w:type="pct"/>
        <w:tblCellMar>
          <w:left w:w="0" w:type="dxa"/>
          <w:right w:w="0" w:type="dxa"/>
        </w:tblCellMar>
        <w:tblLook w:val="04A0" w:firstRow="1" w:lastRow="0" w:firstColumn="1" w:lastColumn="0" w:noHBand="0" w:noVBand="1"/>
      </w:tblPr>
      <w:tblGrid>
        <w:gridCol w:w="6"/>
        <w:gridCol w:w="298"/>
        <w:gridCol w:w="8722"/>
      </w:tblGrid>
      <w:tr w:rsidR="00465964" w:rsidRPr="00465964" w14:paraId="0D597AEE" w14:textId="77777777" w:rsidTr="00465964">
        <w:tc>
          <w:tcPr>
            <w:tcW w:w="0" w:type="auto"/>
            <w:shd w:val="clear" w:color="auto" w:fill="auto"/>
            <w:hideMark/>
          </w:tcPr>
          <w:p w14:paraId="1C04907C" w14:textId="77777777" w:rsidR="00465964" w:rsidRPr="00465964" w:rsidRDefault="00465964" w:rsidP="00465964">
            <w:pPr>
              <w:rPr>
                <w:lang w:val="pt-PT"/>
              </w:rPr>
            </w:pPr>
          </w:p>
        </w:tc>
        <w:tc>
          <w:tcPr>
            <w:tcW w:w="0" w:type="auto"/>
            <w:shd w:val="clear" w:color="auto" w:fill="auto"/>
            <w:hideMark/>
          </w:tcPr>
          <w:p w14:paraId="76279692" w14:textId="77777777" w:rsidR="00465964" w:rsidRPr="00465964" w:rsidRDefault="00465964" w:rsidP="00465964">
            <w:r w:rsidRPr="00465964">
              <w:t>42.</w:t>
            </w:r>
          </w:p>
        </w:tc>
        <w:tc>
          <w:tcPr>
            <w:tcW w:w="0" w:type="auto"/>
            <w:shd w:val="clear" w:color="auto" w:fill="auto"/>
            <w:hideMark/>
          </w:tcPr>
          <w:p w14:paraId="67C861B6" w14:textId="70CC1B34" w:rsidR="00465964" w:rsidRPr="00465964" w:rsidRDefault="00465964" w:rsidP="00465964">
            <w:pPr>
              <w:rPr>
                <w:lang w:val="pt-PT"/>
              </w:rPr>
            </w:pPr>
            <w:r w:rsidRPr="00465964">
              <w:rPr>
                <w:lang w:val="pt-PT"/>
              </w:rPr>
              <w:t>O emitente infringe o artigo 47.</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xml:space="preserve"> 2, se não possuir de um plano de reembolso que demonstre a capacidade do emitente de </w:t>
            </w:r>
            <w:r>
              <w:rPr>
                <w:lang w:val="pt-PT"/>
              </w:rPr>
              <w:t>criptomoedas</w:t>
            </w:r>
            <w:r w:rsidRPr="00465964">
              <w:rPr>
                <w:lang w:val="pt-PT"/>
              </w:rPr>
              <w:t xml:space="preserve"> de moeda eletrónica significativas para proceder ao reembolso de </w:t>
            </w:r>
            <w:r>
              <w:rPr>
                <w:lang w:val="pt-PT"/>
              </w:rPr>
              <w:t>criptomoedas</w:t>
            </w:r>
            <w:r w:rsidRPr="00465964">
              <w:rPr>
                <w:lang w:val="pt-PT"/>
              </w:rPr>
              <w:t xml:space="preserve"> de moeda eletrónica significativas emitidas sem causar prejuízos económicos indevidos aos seus detentores ou à estabilidade dos mercados dos ativos de reserva.</w:t>
            </w:r>
          </w:p>
        </w:tc>
      </w:tr>
    </w:tbl>
    <w:p w14:paraId="3CCDC0F2" w14:textId="77777777" w:rsidR="00465964" w:rsidRPr="00465964" w:rsidRDefault="00465964" w:rsidP="00465964">
      <w:pPr>
        <w:rPr>
          <w:vanish/>
          <w:lang w:val="pt-PT"/>
        </w:rPr>
      </w:pPr>
    </w:p>
    <w:tbl>
      <w:tblPr>
        <w:tblW w:w="5000" w:type="pct"/>
        <w:tblCellMar>
          <w:left w:w="0" w:type="dxa"/>
          <w:right w:w="0" w:type="dxa"/>
        </w:tblCellMar>
        <w:tblLook w:val="04A0" w:firstRow="1" w:lastRow="0" w:firstColumn="1" w:lastColumn="0" w:noHBand="0" w:noVBand="1"/>
      </w:tblPr>
      <w:tblGrid>
        <w:gridCol w:w="6"/>
        <w:gridCol w:w="298"/>
        <w:gridCol w:w="8722"/>
      </w:tblGrid>
      <w:tr w:rsidR="00465964" w:rsidRPr="00465964" w14:paraId="5CA97A65" w14:textId="77777777" w:rsidTr="00465964">
        <w:tc>
          <w:tcPr>
            <w:tcW w:w="0" w:type="auto"/>
            <w:shd w:val="clear" w:color="auto" w:fill="auto"/>
            <w:hideMark/>
          </w:tcPr>
          <w:p w14:paraId="3C6FDE81" w14:textId="77777777" w:rsidR="00465964" w:rsidRPr="00465964" w:rsidRDefault="00465964" w:rsidP="00465964">
            <w:pPr>
              <w:rPr>
                <w:lang w:val="pt-PT"/>
              </w:rPr>
            </w:pPr>
          </w:p>
        </w:tc>
        <w:tc>
          <w:tcPr>
            <w:tcW w:w="0" w:type="auto"/>
            <w:shd w:val="clear" w:color="auto" w:fill="auto"/>
            <w:hideMark/>
          </w:tcPr>
          <w:p w14:paraId="2AB7C57E" w14:textId="77777777" w:rsidR="00465964" w:rsidRPr="00465964" w:rsidRDefault="00465964" w:rsidP="00465964">
            <w:r w:rsidRPr="00465964">
              <w:t>43.</w:t>
            </w:r>
          </w:p>
        </w:tc>
        <w:tc>
          <w:tcPr>
            <w:tcW w:w="0" w:type="auto"/>
            <w:shd w:val="clear" w:color="auto" w:fill="auto"/>
            <w:hideMark/>
          </w:tcPr>
          <w:p w14:paraId="67204950" w14:textId="77777777" w:rsidR="00465964" w:rsidRPr="00465964" w:rsidRDefault="00465964" w:rsidP="00465964">
            <w:pPr>
              <w:rPr>
                <w:lang w:val="pt-PT"/>
              </w:rPr>
            </w:pPr>
            <w:r w:rsidRPr="00465964">
              <w:rPr>
                <w:lang w:val="pt-PT"/>
              </w:rPr>
              <w:t>O emitente infringe o artigo 47.</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xml:space="preserve"> 2, se não possuir um plano de reembolso que inclua disposições contratuais, procedimentos e sistemas, nomeadamente a designação de um administrador temporário, para assegurar o tratamento equitativo de todos os detentores da </w:t>
            </w:r>
            <w:proofErr w:type="spellStart"/>
            <w:r w:rsidRPr="00465964">
              <w:rPr>
                <w:lang w:val="pt-PT"/>
              </w:rPr>
              <w:t>criptoficha</w:t>
            </w:r>
            <w:proofErr w:type="spellEnd"/>
            <w:r w:rsidRPr="00465964">
              <w:rPr>
                <w:lang w:val="pt-PT"/>
              </w:rPr>
              <w:t xml:space="preserve"> de moeda eletrónica significativa e para assegurar que os detentores da </w:t>
            </w:r>
            <w:proofErr w:type="spellStart"/>
            <w:r w:rsidRPr="00465964">
              <w:rPr>
                <w:lang w:val="pt-PT"/>
              </w:rPr>
              <w:t>criptoficha</w:t>
            </w:r>
            <w:proofErr w:type="spellEnd"/>
            <w:r w:rsidRPr="00465964">
              <w:rPr>
                <w:lang w:val="pt-PT"/>
              </w:rPr>
              <w:t xml:space="preserve"> de moeda eletrónica significativa sejam pagos em tempo útil com o produto da venda dos restantes ativos de reserva.</w:t>
            </w:r>
          </w:p>
        </w:tc>
      </w:tr>
    </w:tbl>
    <w:p w14:paraId="6CC969F4" w14:textId="77777777" w:rsidR="00465964" w:rsidRPr="00465964" w:rsidRDefault="00465964" w:rsidP="00465964">
      <w:pPr>
        <w:rPr>
          <w:vanish/>
          <w:lang w:val="pt-PT"/>
        </w:rPr>
      </w:pPr>
    </w:p>
    <w:tbl>
      <w:tblPr>
        <w:tblW w:w="5000" w:type="pct"/>
        <w:tblCellMar>
          <w:left w:w="0" w:type="dxa"/>
          <w:right w:w="0" w:type="dxa"/>
        </w:tblCellMar>
        <w:tblLook w:val="04A0" w:firstRow="1" w:lastRow="0" w:firstColumn="1" w:lastColumn="0" w:noHBand="0" w:noVBand="1"/>
      </w:tblPr>
      <w:tblGrid>
        <w:gridCol w:w="6"/>
        <w:gridCol w:w="298"/>
        <w:gridCol w:w="8722"/>
      </w:tblGrid>
      <w:tr w:rsidR="00465964" w:rsidRPr="00465964" w14:paraId="3E3A0CC8" w14:textId="77777777" w:rsidTr="00465964">
        <w:tc>
          <w:tcPr>
            <w:tcW w:w="0" w:type="auto"/>
            <w:shd w:val="clear" w:color="auto" w:fill="auto"/>
            <w:hideMark/>
          </w:tcPr>
          <w:p w14:paraId="05F299C0" w14:textId="77777777" w:rsidR="00465964" w:rsidRPr="00465964" w:rsidRDefault="00465964" w:rsidP="00465964">
            <w:pPr>
              <w:rPr>
                <w:lang w:val="pt-PT"/>
              </w:rPr>
            </w:pPr>
          </w:p>
        </w:tc>
        <w:tc>
          <w:tcPr>
            <w:tcW w:w="0" w:type="auto"/>
            <w:shd w:val="clear" w:color="auto" w:fill="auto"/>
            <w:hideMark/>
          </w:tcPr>
          <w:p w14:paraId="470101A3" w14:textId="77777777" w:rsidR="00465964" w:rsidRPr="00465964" w:rsidRDefault="00465964" w:rsidP="00465964">
            <w:r w:rsidRPr="00465964">
              <w:t>44.</w:t>
            </w:r>
          </w:p>
        </w:tc>
        <w:tc>
          <w:tcPr>
            <w:tcW w:w="0" w:type="auto"/>
            <w:shd w:val="clear" w:color="auto" w:fill="auto"/>
            <w:hideMark/>
          </w:tcPr>
          <w:p w14:paraId="0CA8AE79" w14:textId="77777777" w:rsidR="00465964" w:rsidRPr="00465964" w:rsidRDefault="00465964" w:rsidP="00465964">
            <w:pPr>
              <w:rPr>
                <w:lang w:val="pt-PT"/>
              </w:rPr>
            </w:pPr>
            <w:r w:rsidRPr="00465964">
              <w:rPr>
                <w:lang w:val="pt-PT"/>
              </w:rPr>
              <w:t>O emitente infringe o artigo 47.</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2, se não possuir um plano de reembolso que assegure a continuidade de quaisquer atividades críticas que sejam necessárias para o reembolso ordenado e que sejam realizadas pelo emitente ou por qualquer entidade terceira.</w:t>
            </w:r>
          </w:p>
        </w:tc>
      </w:tr>
    </w:tbl>
    <w:p w14:paraId="540930AB" w14:textId="77777777" w:rsidR="00465964" w:rsidRPr="00465964" w:rsidRDefault="00465964" w:rsidP="00465964">
      <w:pPr>
        <w:rPr>
          <w:vanish/>
          <w:lang w:val="pt-PT"/>
        </w:rPr>
      </w:pPr>
    </w:p>
    <w:tbl>
      <w:tblPr>
        <w:tblW w:w="5000" w:type="pct"/>
        <w:tblCellMar>
          <w:left w:w="0" w:type="dxa"/>
          <w:right w:w="0" w:type="dxa"/>
        </w:tblCellMar>
        <w:tblLook w:val="04A0" w:firstRow="1" w:lastRow="0" w:firstColumn="1" w:lastColumn="0" w:noHBand="0" w:noVBand="1"/>
      </w:tblPr>
      <w:tblGrid>
        <w:gridCol w:w="6"/>
        <w:gridCol w:w="298"/>
        <w:gridCol w:w="8722"/>
      </w:tblGrid>
      <w:tr w:rsidR="00465964" w:rsidRPr="00465964" w14:paraId="252682D3" w14:textId="77777777" w:rsidTr="00465964">
        <w:tc>
          <w:tcPr>
            <w:tcW w:w="0" w:type="auto"/>
            <w:shd w:val="clear" w:color="auto" w:fill="auto"/>
            <w:hideMark/>
          </w:tcPr>
          <w:p w14:paraId="7F9CEC0E" w14:textId="77777777" w:rsidR="00465964" w:rsidRPr="00465964" w:rsidRDefault="00465964" w:rsidP="00465964">
            <w:pPr>
              <w:rPr>
                <w:lang w:val="pt-PT"/>
              </w:rPr>
            </w:pPr>
          </w:p>
        </w:tc>
        <w:tc>
          <w:tcPr>
            <w:tcW w:w="0" w:type="auto"/>
            <w:shd w:val="clear" w:color="auto" w:fill="auto"/>
            <w:hideMark/>
          </w:tcPr>
          <w:p w14:paraId="4218D06B" w14:textId="77777777" w:rsidR="00465964" w:rsidRPr="00465964" w:rsidRDefault="00465964" w:rsidP="00465964">
            <w:r w:rsidRPr="00465964">
              <w:t>45.</w:t>
            </w:r>
          </w:p>
        </w:tc>
        <w:tc>
          <w:tcPr>
            <w:tcW w:w="0" w:type="auto"/>
            <w:shd w:val="clear" w:color="auto" w:fill="auto"/>
            <w:hideMark/>
          </w:tcPr>
          <w:p w14:paraId="4D00721C" w14:textId="77777777" w:rsidR="00465964" w:rsidRPr="00465964" w:rsidRDefault="00465964" w:rsidP="00465964">
            <w:pPr>
              <w:rPr>
                <w:lang w:val="pt-PT"/>
              </w:rPr>
            </w:pPr>
            <w:r w:rsidRPr="00465964">
              <w:rPr>
                <w:lang w:val="pt-PT"/>
              </w:rPr>
              <w:t>O emitente infringe o artigo 47.</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3, se não notificar o plano de reembolso à EBA no prazo de seis meses a contar da data da oferta pública ou da admissão à negociação.</w:t>
            </w:r>
          </w:p>
        </w:tc>
      </w:tr>
    </w:tbl>
    <w:p w14:paraId="5175ACA5" w14:textId="77777777" w:rsidR="00465964" w:rsidRPr="00465964" w:rsidRDefault="00465964" w:rsidP="00465964">
      <w:pPr>
        <w:rPr>
          <w:vanish/>
          <w:lang w:val="pt-PT"/>
        </w:rPr>
      </w:pPr>
    </w:p>
    <w:tbl>
      <w:tblPr>
        <w:tblW w:w="5000" w:type="pct"/>
        <w:tblCellMar>
          <w:left w:w="0" w:type="dxa"/>
          <w:right w:w="0" w:type="dxa"/>
        </w:tblCellMar>
        <w:tblLook w:val="04A0" w:firstRow="1" w:lastRow="0" w:firstColumn="1" w:lastColumn="0" w:noHBand="0" w:noVBand="1"/>
      </w:tblPr>
      <w:tblGrid>
        <w:gridCol w:w="6"/>
        <w:gridCol w:w="298"/>
        <w:gridCol w:w="8722"/>
      </w:tblGrid>
      <w:tr w:rsidR="00465964" w:rsidRPr="00465964" w14:paraId="55FA1AC8" w14:textId="77777777" w:rsidTr="00465964">
        <w:tc>
          <w:tcPr>
            <w:tcW w:w="0" w:type="auto"/>
            <w:shd w:val="clear" w:color="auto" w:fill="auto"/>
            <w:hideMark/>
          </w:tcPr>
          <w:p w14:paraId="2A6D2789" w14:textId="77777777" w:rsidR="00465964" w:rsidRPr="00465964" w:rsidRDefault="00465964" w:rsidP="00465964">
            <w:pPr>
              <w:rPr>
                <w:lang w:val="pt-PT"/>
              </w:rPr>
            </w:pPr>
          </w:p>
        </w:tc>
        <w:tc>
          <w:tcPr>
            <w:tcW w:w="0" w:type="auto"/>
            <w:shd w:val="clear" w:color="auto" w:fill="auto"/>
            <w:hideMark/>
          </w:tcPr>
          <w:p w14:paraId="38927455" w14:textId="77777777" w:rsidR="00465964" w:rsidRPr="00465964" w:rsidRDefault="00465964" w:rsidP="00465964">
            <w:r w:rsidRPr="00465964">
              <w:t>46.</w:t>
            </w:r>
          </w:p>
        </w:tc>
        <w:tc>
          <w:tcPr>
            <w:tcW w:w="0" w:type="auto"/>
            <w:shd w:val="clear" w:color="auto" w:fill="auto"/>
            <w:hideMark/>
          </w:tcPr>
          <w:p w14:paraId="6585B83E" w14:textId="77777777" w:rsidR="00465964" w:rsidRPr="00465964" w:rsidRDefault="00465964" w:rsidP="00465964">
            <w:pPr>
              <w:rPr>
                <w:lang w:val="pt-PT"/>
              </w:rPr>
            </w:pPr>
            <w:r w:rsidRPr="00465964">
              <w:rPr>
                <w:lang w:val="pt-PT"/>
              </w:rPr>
              <w:t>O emitente infringe o artigo 47.</w:t>
            </w:r>
            <w:r w:rsidRPr="00465964">
              <w:rPr>
                <w:vertAlign w:val="superscript"/>
                <w:lang w:val="pt-PT"/>
              </w:rPr>
              <w:t>o</w:t>
            </w:r>
            <w:r w:rsidRPr="00465964">
              <w:rPr>
                <w:lang w:val="pt-PT"/>
              </w:rPr>
              <w:t xml:space="preserve">, </w:t>
            </w:r>
            <w:proofErr w:type="spellStart"/>
            <w:r w:rsidRPr="00465964">
              <w:rPr>
                <w:lang w:val="pt-PT"/>
              </w:rPr>
              <w:t>n.</w:t>
            </w:r>
            <w:r w:rsidRPr="00465964">
              <w:rPr>
                <w:vertAlign w:val="superscript"/>
                <w:lang w:val="pt-PT"/>
              </w:rPr>
              <w:t>o</w:t>
            </w:r>
            <w:proofErr w:type="spellEnd"/>
            <w:r w:rsidRPr="00465964">
              <w:rPr>
                <w:lang w:val="pt-PT"/>
              </w:rPr>
              <w:t> 3, se não proceder regularmente à reapreciação ou à atualização do plano de reembolso.</w:t>
            </w:r>
          </w:p>
        </w:tc>
      </w:tr>
    </w:tbl>
    <w:p w14:paraId="07A7838D" w14:textId="77777777" w:rsidR="00472568" w:rsidRPr="00465964" w:rsidRDefault="00472568" w:rsidP="00465964">
      <w:pPr>
        <w:rPr>
          <w:lang w:val="pt-PT"/>
        </w:rPr>
      </w:pPr>
    </w:p>
    <w:sectPr w:rsidR="00472568" w:rsidRPr="004659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B20573"/>
    <w:multiLevelType w:val="multilevel"/>
    <w:tmpl w:val="6DB2D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D30A2F"/>
    <w:multiLevelType w:val="multilevel"/>
    <w:tmpl w:val="E222B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CB40D0"/>
    <w:multiLevelType w:val="multilevel"/>
    <w:tmpl w:val="4CB8AC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66F2CF4"/>
    <w:multiLevelType w:val="multilevel"/>
    <w:tmpl w:val="6F162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997340C"/>
    <w:multiLevelType w:val="multilevel"/>
    <w:tmpl w:val="F566D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DC62DED"/>
    <w:multiLevelType w:val="multilevel"/>
    <w:tmpl w:val="1AF80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2D771CD"/>
    <w:multiLevelType w:val="multilevel"/>
    <w:tmpl w:val="29702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76F3434"/>
    <w:multiLevelType w:val="multilevel"/>
    <w:tmpl w:val="C11E3F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4632FC9"/>
    <w:multiLevelType w:val="multilevel"/>
    <w:tmpl w:val="BBC87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CDE1CD8"/>
    <w:multiLevelType w:val="multilevel"/>
    <w:tmpl w:val="731C8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42374181">
    <w:abstractNumId w:val="1"/>
  </w:num>
  <w:num w:numId="2" w16cid:durableId="391469079">
    <w:abstractNumId w:val="4"/>
  </w:num>
  <w:num w:numId="3" w16cid:durableId="413472063">
    <w:abstractNumId w:val="6"/>
  </w:num>
  <w:num w:numId="4" w16cid:durableId="1517381149">
    <w:abstractNumId w:val="7"/>
  </w:num>
  <w:num w:numId="5" w16cid:durableId="949167091">
    <w:abstractNumId w:val="3"/>
  </w:num>
  <w:num w:numId="6" w16cid:durableId="2059623530">
    <w:abstractNumId w:val="8"/>
  </w:num>
  <w:num w:numId="7" w16cid:durableId="1149438520">
    <w:abstractNumId w:val="2"/>
  </w:num>
  <w:num w:numId="8" w16cid:durableId="1599096112">
    <w:abstractNumId w:val="5"/>
  </w:num>
  <w:num w:numId="9" w16cid:durableId="1795099457">
    <w:abstractNumId w:val="0"/>
  </w:num>
  <w:num w:numId="10" w16cid:durableId="136520517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964"/>
    <w:rsid w:val="00052062"/>
    <w:rsid w:val="004559B4"/>
    <w:rsid w:val="00465964"/>
    <w:rsid w:val="00472568"/>
    <w:rsid w:val="007264F6"/>
    <w:rsid w:val="00D97B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A892D"/>
  <w15:chartTrackingRefBased/>
  <w15:docId w15:val="{3D88A006-46D0-42F0-AE9D-6836412B1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59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59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59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59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59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59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59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59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59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59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59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59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59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59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59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59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59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5964"/>
    <w:rPr>
      <w:rFonts w:eastAsiaTheme="majorEastAsia" w:cstheme="majorBidi"/>
      <w:color w:val="272727" w:themeColor="text1" w:themeTint="D8"/>
    </w:rPr>
  </w:style>
  <w:style w:type="paragraph" w:styleId="Title">
    <w:name w:val="Title"/>
    <w:basedOn w:val="Normal"/>
    <w:next w:val="Normal"/>
    <w:link w:val="TitleChar"/>
    <w:uiPriority w:val="10"/>
    <w:qFormat/>
    <w:rsid w:val="004659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59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59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59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5964"/>
    <w:pPr>
      <w:spacing w:before="160"/>
      <w:jc w:val="center"/>
    </w:pPr>
    <w:rPr>
      <w:i/>
      <w:iCs/>
      <w:color w:val="404040" w:themeColor="text1" w:themeTint="BF"/>
    </w:rPr>
  </w:style>
  <w:style w:type="character" w:customStyle="1" w:styleId="QuoteChar">
    <w:name w:val="Quote Char"/>
    <w:basedOn w:val="DefaultParagraphFont"/>
    <w:link w:val="Quote"/>
    <w:uiPriority w:val="29"/>
    <w:rsid w:val="00465964"/>
    <w:rPr>
      <w:i/>
      <w:iCs/>
      <w:color w:val="404040" w:themeColor="text1" w:themeTint="BF"/>
    </w:rPr>
  </w:style>
  <w:style w:type="paragraph" w:styleId="ListParagraph">
    <w:name w:val="List Paragraph"/>
    <w:basedOn w:val="Normal"/>
    <w:uiPriority w:val="34"/>
    <w:qFormat/>
    <w:rsid w:val="00465964"/>
    <w:pPr>
      <w:ind w:left="720"/>
      <w:contextualSpacing/>
    </w:pPr>
  </w:style>
  <w:style w:type="character" w:styleId="IntenseEmphasis">
    <w:name w:val="Intense Emphasis"/>
    <w:basedOn w:val="DefaultParagraphFont"/>
    <w:uiPriority w:val="21"/>
    <w:qFormat/>
    <w:rsid w:val="00465964"/>
    <w:rPr>
      <w:i/>
      <w:iCs/>
      <w:color w:val="0F4761" w:themeColor="accent1" w:themeShade="BF"/>
    </w:rPr>
  </w:style>
  <w:style w:type="paragraph" w:styleId="IntenseQuote">
    <w:name w:val="Intense Quote"/>
    <w:basedOn w:val="Normal"/>
    <w:next w:val="Normal"/>
    <w:link w:val="IntenseQuoteChar"/>
    <w:uiPriority w:val="30"/>
    <w:qFormat/>
    <w:rsid w:val="004659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5964"/>
    <w:rPr>
      <w:i/>
      <w:iCs/>
      <w:color w:val="0F4761" w:themeColor="accent1" w:themeShade="BF"/>
    </w:rPr>
  </w:style>
  <w:style w:type="character" w:styleId="IntenseReference">
    <w:name w:val="Intense Reference"/>
    <w:basedOn w:val="DefaultParagraphFont"/>
    <w:uiPriority w:val="32"/>
    <w:qFormat/>
    <w:rsid w:val="00465964"/>
    <w:rPr>
      <w:b/>
      <w:bCs/>
      <w:smallCaps/>
      <w:color w:val="0F4761" w:themeColor="accent1" w:themeShade="BF"/>
      <w:spacing w:val="5"/>
    </w:rPr>
  </w:style>
  <w:style w:type="paragraph" w:customStyle="1" w:styleId="msonormal0">
    <w:name w:val="msonormal"/>
    <w:basedOn w:val="Normal"/>
    <w:rsid w:val="00465964"/>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customStyle="1" w:styleId="oj-doc-ti">
    <w:name w:val="oj-doc-ti"/>
    <w:basedOn w:val="Normal"/>
    <w:rsid w:val="00465964"/>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oj-super">
    <w:name w:val="oj-super"/>
    <w:basedOn w:val="DefaultParagraphFont"/>
    <w:rsid w:val="00465964"/>
  </w:style>
  <w:style w:type="paragraph" w:customStyle="1" w:styleId="oj-normal">
    <w:name w:val="oj-normal"/>
    <w:basedOn w:val="Normal"/>
    <w:rsid w:val="00465964"/>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Hyperlink">
    <w:name w:val="Hyperlink"/>
    <w:basedOn w:val="DefaultParagraphFont"/>
    <w:uiPriority w:val="99"/>
    <w:unhideWhenUsed/>
    <w:rsid w:val="00465964"/>
    <w:rPr>
      <w:color w:val="0000FF"/>
      <w:u w:val="single"/>
    </w:rPr>
  </w:style>
  <w:style w:type="character" w:styleId="FollowedHyperlink">
    <w:name w:val="FollowedHyperlink"/>
    <w:basedOn w:val="DefaultParagraphFont"/>
    <w:uiPriority w:val="99"/>
    <w:semiHidden/>
    <w:unhideWhenUsed/>
    <w:rsid w:val="00465964"/>
    <w:rPr>
      <w:color w:val="800080"/>
      <w:u w:val="single"/>
    </w:rPr>
  </w:style>
  <w:style w:type="character" w:customStyle="1" w:styleId="oj-italic">
    <w:name w:val="oj-italic"/>
    <w:basedOn w:val="DefaultParagraphFont"/>
    <w:rsid w:val="00465964"/>
  </w:style>
  <w:style w:type="paragraph" w:customStyle="1" w:styleId="oj-ti-section-1">
    <w:name w:val="oj-ti-section-1"/>
    <w:basedOn w:val="Normal"/>
    <w:rsid w:val="00465964"/>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customStyle="1" w:styleId="oj-ti-section-2">
    <w:name w:val="oj-ti-section-2"/>
    <w:basedOn w:val="Normal"/>
    <w:rsid w:val="00465964"/>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oj-bold">
    <w:name w:val="oj-bold"/>
    <w:basedOn w:val="DefaultParagraphFont"/>
    <w:rsid w:val="00465964"/>
  </w:style>
  <w:style w:type="paragraph" w:customStyle="1" w:styleId="oj-ti-art">
    <w:name w:val="oj-ti-art"/>
    <w:basedOn w:val="Normal"/>
    <w:rsid w:val="00465964"/>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customStyle="1" w:styleId="oj-sti-art">
    <w:name w:val="oj-sti-art"/>
    <w:basedOn w:val="Normal"/>
    <w:rsid w:val="00465964"/>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customStyle="1" w:styleId="oj-signatory">
    <w:name w:val="oj-signatory"/>
    <w:basedOn w:val="Normal"/>
    <w:rsid w:val="00465964"/>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customStyle="1" w:styleId="oj-note">
    <w:name w:val="oj-note"/>
    <w:basedOn w:val="Normal"/>
    <w:rsid w:val="00465964"/>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customStyle="1" w:styleId="oj-ti-grseq-1">
    <w:name w:val="oj-ti-grseq-1"/>
    <w:basedOn w:val="Normal"/>
    <w:rsid w:val="00465964"/>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customStyle="1" w:styleId="oj-tbl-hdr">
    <w:name w:val="oj-tbl-hdr"/>
    <w:basedOn w:val="Normal"/>
    <w:rsid w:val="00465964"/>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customStyle="1" w:styleId="oj-tbl-txt">
    <w:name w:val="oj-tbl-txt"/>
    <w:basedOn w:val="Normal"/>
    <w:rsid w:val="00465964"/>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customStyle="1" w:styleId="oj-tbl-num">
    <w:name w:val="oj-tbl-num"/>
    <w:basedOn w:val="Normal"/>
    <w:rsid w:val="00465964"/>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UnresolvedMention">
    <w:name w:val="Unresolved Mention"/>
    <w:basedOn w:val="DefaultParagraphFont"/>
    <w:uiPriority w:val="99"/>
    <w:semiHidden/>
    <w:unhideWhenUsed/>
    <w:rsid w:val="004659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0962241">
      <w:bodyDiv w:val="1"/>
      <w:marLeft w:val="0"/>
      <w:marRight w:val="0"/>
      <w:marTop w:val="0"/>
      <w:marBottom w:val="0"/>
      <w:divBdr>
        <w:top w:val="none" w:sz="0" w:space="0" w:color="auto"/>
        <w:left w:val="none" w:sz="0" w:space="0" w:color="auto"/>
        <w:bottom w:val="none" w:sz="0" w:space="0" w:color="auto"/>
        <w:right w:val="none" w:sz="0" w:space="0" w:color="auto"/>
      </w:divBdr>
    </w:div>
    <w:div w:id="587468131">
      <w:bodyDiv w:val="1"/>
      <w:marLeft w:val="0"/>
      <w:marRight w:val="0"/>
      <w:marTop w:val="0"/>
      <w:marBottom w:val="0"/>
      <w:divBdr>
        <w:top w:val="none" w:sz="0" w:space="0" w:color="auto"/>
        <w:left w:val="none" w:sz="0" w:space="0" w:color="auto"/>
        <w:bottom w:val="none" w:sz="0" w:space="0" w:color="auto"/>
        <w:right w:val="none" w:sz="0" w:space="0" w:color="auto"/>
      </w:divBdr>
      <w:divsChild>
        <w:div w:id="1677269899">
          <w:marLeft w:val="0"/>
          <w:marRight w:val="0"/>
          <w:marTop w:val="0"/>
          <w:marBottom w:val="0"/>
          <w:divBdr>
            <w:top w:val="none" w:sz="0" w:space="0" w:color="auto"/>
            <w:left w:val="none" w:sz="0" w:space="0" w:color="auto"/>
            <w:bottom w:val="none" w:sz="0" w:space="0" w:color="auto"/>
            <w:right w:val="none" w:sz="0" w:space="0" w:color="auto"/>
          </w:divBdr>
          <w:divsChild>
            <w:div w:id="210463779">
              <w:marLeft w:val="0"/>
              <w:marRight w:val="0"/>
              <w:marTop w:val="0"/>
              <w:marBottom w:val="0"/>
              <w:divBdr>
                <w:top w:val="none" w:sz="0" w:space="0" w:color="auto"/>
                <w:left w:val="none" w:sz="0" w:space="0" w:color="auto"/>
                <w:bottom w:val="none" w:sz="0" w:space="0" w:color="auto"/>
                <w:right w:val="none" w:sz="0" w:space="0" w:color="auto"/>
              </w:divBdr>
            </w:div>
            <w:div w:id="162815929">
              <w:marLeft w:val="0"/>
              <w:marRight w:val="0"/>
              <w:marTop w:val="0"/>
              <w:marBottom w:val="0"/>
              <w:divBdr>
                <w:top w:val="none" w:sz="0" w:space="0" w:color="auto"/>
                <w:left w:val="none" w:sz="0" w:space="0" w:color="auto"/>
                <w:bottom w:val="none" w:sz="0" w:space="0" w:color="auto"/>
                <w:right w:val="none" w:sz="0" w:space="0" w:color="auto"/>
              </w:divBdr>
              <w:divsChild>
                <w:div w:id="709719008">
                  <w:marLeft w:val="0"/>
                  <w:marRight w:val="0"/>
                  <w:marTop w:val="0"/>
                  <w:marBottom w:val="0"/>
                  <w:divBdr>
                    <w:top w:val="none" w:sz="0" w:space="0" w:color="auto"/>
                    <w:left w:val="none" w:sz="0" w:space="0" w:color="auto"/>
                    <w:bottom w:val="none" w:sz="0" w:space="0" w:color="auto"/>
                    <w:right w:val="none" w:sz="0" w:space="0" w:color="auto"/>
                  </w:divBdr>
                </w:div>
                <w:div w:id="2082874238">
                  <w:marLeft w:val="0"/>
                  <w:marRight w:val="0"/>
                  <w:marTop w:val="0"/>
                  <w:marBottom w:val="0"/>
                  <w:divBdr>
                    <w:top w:val="none" w:sz="0" w:space="0" w:color="auto"/>
                    <w:left w:val="none" w:sz="0" w:space="0" w:color="auto"/>
                    <w:bottom w:val="none" w:sz="0" w:space="0" w:color="auto"/>
                    <w:right w:val="none" w:sz="0" w:space="0" w:color="auto"/>
                  </w:divBdr>
                </w:div>
                <w:div w:id="858084816">
                  <w:marLeft w:val="0"/>
                  <w:marRight w:val="0"/>
                  <w:marTop w:val="0"/>
                  <w:marBottom w:val="0"/>
                  <w:divBdr>
                    <w:top w:val="none" w:sz="0" w:space="0" w:color="auto"/>
                    <w:left w:val="none" w:sz="0" w:space="0" w:color="auto"/>
                    <w:bottom w:val="none" w:sz="0" w:space="0" w:color="auto"/>
                    <w:right w:val="none" w:sz="0" w:space="0" w:color="auto"/>
                  </w:divBdr>
                </w:div>
                <w:div w:id="1064836541">
                  <w:marLeft w:val="0"/>
                  <w:marRight w:val="0"/>
                  <w:marTop w:val="0"/>
                  <w:marBottom w:val="0"/>
                  <w:divBdr>
                    <w:top w:val="none" w:sz="0" w:space="0" w:color="auto"/>
                    <w:left w:val="none" w:sz="0" w:space="0" w:color="auto"/>
                    <w:bottom w:val="none" w:sz="0" w:space="0" w:color="auto"/>
                    <w:right w:val="none" w:sz="0" w:space="0" w:color="auto"/>
                  </w:divBdr>
                </w:div>
                <w:div w:id="1724939063">
                  <w:marLeft w:val="0"/>
                  <w:marRight w:val="0"/>
                  <w:marTop w:val="0"/>
                  <w:marBottom w:val="0"/>
                  <w:divBdr>
                    <w:top w:val="none" w:sz="0" w:space="0" w:color="auto"/>
                    <w:left w:val="none" w:sz="0" w:space="0" w:color="auto"/>
                    <w:bottom w:val="none" w:sz="0" w:space="0" w:color="auto"/>
                    <w:right w:val="none" w:sz="0" w:space="0" w:color="auto"/>
                  </w:divBdr>
                </w:div>
                <w:div w:id="570430238">
                  <w:marLeft w:val="0"/>
                  <w:marRight w:val="0"/>
                  <w:marTop w:val="0"/>
                  <w:marBottom w:val="0"/>
                  <w:divBdr>
                    <w:top w:val="none" w:sz="0" w:space="0" w:color="auto"/>
                    <w:left w:val="none" w:sz="0" w:space="0" w:color="auto"/>
                    <w:bottom w:val="none" w:sz="0" w:space="0" w:color="auto"/>
                    <w:right w:val="none" w:sz="0" w:space="0" w:color="auto"/>
                  </w:divBdr>
                </w:div>
                <w:div w:id="128405676">
                  <w:marLeft w:val="0"/>
                  <w:marRight w:val="0"/>
                  <w:marTop w:val="0"/>
                  <w:marBottom w:val="0"/>
                  <w:divBdr>
                    <w:top w:val="none" w:sz="0" w:space="0" w:color="auto"/>
                    <w:left w:val="none" w:sz="0" w:space="0" w:color="auto"/>
                    <w:bottom w:val="none" w:sz="0" w:space="0" w:color="auto"/>
                    <w:right w:val="none" w:sz="0" w:space="0" w:color="auto"/>
                  </w:divBdr>
                </w:div>
                <w:div w:id="908734253">
                  <w:marLeft w:val="0"/>
                  <w:marRight w:val="0"/>
                  <w:marTop w:val="0"/>
                  <w:marBottom w:val="0"/>
                  <w:divBdr>
                    <w:top w:val="none" w:sz="0" w:space="0" w:color="auto"/>
                    <w:left w:val="none" w:sz="0" w:space="0" w:color="auto"/>
                    <w:bottom w:val="none" w:sz="0" w:space="0" w:color="auto"/>
                    <w:right w:val="none" w:sz="0" w:space="0" w:color="auto"/>
                  </w:divBdr>
                </w:div>
                <w:div w:id="1551574663">
                  <w:marLeft w:val="0"/>
                  <w:marRight w:val="0"/>
                  <w:marTop w:val="0"/>
                  <w:marBottom w:val="0"/>
                  <w:divBdr>
                    <w:top w:val="none" w:sz="0" w:space="0" w:color="auto"/>
                    <w:left w:val="none" w:sz="0" w:space="0" w:color="auto"/>
                    <w:bottom w:val="none" w:sz="0" w:space="0" w:color="auto"/>
                    <w:right w:val="none" w:sz="0" w:space="0" w:color="auto"/>
                  </w:divBdr>
                </w:div>
                <w:div w:id="616260515">
                  <w:marLeft w:val="0"/>
                  <w:marRight w:val="0"/>
                  <w:marTop w:val="0"/>
                  <w:marBottom w:val="0"/>
                  <w:divBdr>
                    <w:top w:val="none" w:sz="0" w:space="0" w:color="auto"/>
                    <w:left w:val="none" w:sz="0" w:space="0" w:color="auto"/>
                    <w:bottom w:val="none" w:sz="0" w:space="0" w:color="auto"/>
                    <w:right w:val="none" w:sz="0" w:space="0" w:color="auto"/>
                  </w:divBdr>
                </w:div>
                <w:div w:id="1985506518">
                  <w:marLeft w:val="0"/>
                  <w:marRight w:val="0"/>
                  <w:marTop w:val="0"/>
                  <w:marBottom w:val="0"/>
                  <w:divBdr>
                    <w:top w:val="none" w:sz="0" w:space="0" w:color="auto"/>
                    <w:left w:val="none" w:sz="0" w:space="0" w:color="auto"/>
                    <w:bottom w:val="none" w:sz="0" w:space="0" w:color="auto"/>
                    <w:right w:val="none" w:sz="0" w:space="0" w:color="auto"/>
                  </w:divBdr>
                </w:div>
                <w:div w:id="1879244930">
                  <w:marLeft w:val="0"/>
                  <w:marRight w:val="0"/>
                  <w:marTop w:val="0"/>
                  <w:marBottom w:val="0"/>
                  <w:divBdr>
                    <w:top w:val="none" w:sz="0" w:space="0" w:color="auto"/>
                    <w:left w:val="none" w:sz="0" w:space="0" w:color="auto"/>
                    <w:bottom w:val="none" w:sz="0" w:space="0" w:color="auto"/>
                    <w:right w:val="none" w:sz="0" w:space="0" w:color="auto"/>
                  </w:divBdr>
                </w:div>
                <w:div w:id="664364294">
                  <w:marLeft w:val="0"/>
                  <w:marRight w:val="0"/>
                  <w:marTop w:val="0"/>
                  <w:marBottom w:val="0"/>
                  <w:divBdr>
                    <w:top w:val="none" w:sz="0" w:space="0" w:color="auto"/>
                    <w:left w:val="none" w:sz="0" w:space="0" w:color="auto"/>
                    <w:bottom w:val="none" w:sz="0" w:space="0" w:color="auto"/>
                    <w:right w:val="none" w:sz="0" w:space="0" w:color="auto"/>
                  </w:divBdr>
                </w:div>
                <w:div w:id="316421134">
                  <w:marLeft w:val="0"/>
                  <w:marRight w:val="0"/>
                  <w:marTop w:val="0"/>
                  <w:marBottom w:val="0"/>
                  <w:divBdr>
                    <w:top w:val="none" w:sz="0" w:space="0" w:color="auto"/>
                    <w:left w:val="none" w:sz="0" w:space="0" w:color="auto"/>
                    <w:bottom w:val="none" w:sz="0" w:space="0" w:color="auto"/>
                    <w:right w:val="none" w:sz="0" w:space="0" w:color="auto"/>
                  </w:divBdr>
                </w:div>
                <w:div w:id="31226054">
                  <w:marLeft w:val="0"/>
                  <w:marRight w:val="0"/>
                  <w:marTop w:val="0"/>
                  <w:marBottom w:val="0"/>
                  <w:divBdr>
                    <w:top w:val="none" w:sz="0" w:space="0" w:color="auto"/>
                    <w:left w:val="none" w:sz="0" w:space="0" w:color="auto"/>
                    <w:bottom w:val="none" w:sz="0" w:space="0" w:color="auto"/>
                    <w:right w:val="none" w:sz="0" w:space="0" w:color="auto"/>
                  </w:divBdr>
                </w:div>
                <w:div w:id="850025580">
                  <w:marLeft w:val="0"/>
                  <w:marRight w:val="0"/>
                  <w:marTop w:val="0"/>
                  <w:marBottom w:val="0"/>
                  <w:divBdr>
                    <w:top w:val="none" w:sz="0" w:space="0" w:color="auto"/>
                    <w:left w:val="none" w:sz="0" w:space="0" w:color="auto"/>
                    <w:bottom w:val="none" w:sz="0" w:space="0" w:color="auto"/>
                    <w:right w:val="none" w:sz="0" w:space="0" w:color="auto"/>
                  </w:divBdr>
                </w:div>
                <w:div w:id="1508983211">
                  <w:marLeft w:val="0"/>
                  <w:marRight w:val="0"/>
                  <w:marTop w:val="0"/>
                  <w:marBottom w:val="0"/>
                  <w:divBdr>
                    <w:top w:val="none" w:sz="0" w:space="0" w:color="auto"/>
                    <w:left w:val="none" w:sz="0" w:space="0" w:color="auto"/>
                    <w:bottom w:val="none" w:sz="0" w:space="0" w:color="auto"/>
                    <w:right w:val="none" w:sz="0" w:space="0" w:color="auto"/>
                  </w:divBdr>
                </w:div>
                <w:div w:id="1224950557">
                  <w:marLeft w:val="0"/>
                  <w:marRight w:val="0"/>
                  <w:marTop w:val="0"/>
                  <w:marBottom w:val="0"/>
                  <w:divBdr>
                    <w:top w:val="none" w:sz="0" w:space="0" w:color="auto"/>
                    <w:left w:val="none" w:sz="0" w:space="0" w:color="auto"/>
                    <w:bottom w:val="none" w:sz="0" w:space="0" w:color="auto"/>
                    <w:right w:val="none" w:sz="0" w:space="0" w:color="auto"/>
                  </w:divBdr>
                </w:div>
                <w:div w:id="1802729345">
                  <w:marLeft w:val="0"/>
                  <w:marRight w:val="0"/>
                  <w:marTop w:val="0"/>
                  <w:marBottom w:val="0"/>
                  <w:divBdr>
                    <w:top w:val="none" w:sz="0" w:space="0" w:color="auto"/>
                    <w:left w:val="none" w:sz="0" w:space="0" w:color="auto"/>
                    <w:bottom w:val="none" w:sz="0" w:space="0" w:color="auto"/>
                    <w:right w:val="none" w:sz="0" w:space="0" w:color="auto"/>
                  </w:divBdr>
                </w:div>
                <w:div w:id="211502162">
                  <w:marLeft w:val="0"/>
                  <w:marRight w:val="0"/>
                  <w:marTop w:val="0"/>
                  <w:marBottom w:val="0"/>
                  <w:divBdr>
                    <w:top w:val="none" w:sz="0" w:space="0" w:color="auto"/>
                    <w:left w:val="none" w:sz="0" w:space="0" w:color="auto"/>
                    <w:bottom w:val="none" w:sz="0" w:space="0" w:color="auto"/>
                    <w:right w:val="none" w:sz="0" w:space="0" w:color="auto"/>
                  </w:divBdr>
                </w:div>
                <w:div w:id="2101372397">
                  <w:marLeft w:val="0"/>
                  <w:marRight w:val="0"/>
                  <w:marTop w:val="0"/>
                  <w:marBottom w:val="0"/>
                  <w:divBdr>
                    <w:top w:val="none" w:sz="0" w:space="0" w:color="auto"/>
                    <w:left w:val="none" w:sz="0" w:space="0" w:color="auto"/>
                    <w:bottom w:val="none" w:sz="0" w:space="0" w:color="auto"/>
                    <w:right w:val="none" w:sz="0" w:space="0" w:color="auto"/>
                  </w:divBdr>
                </w:div>
                <w:div w:id="1901751376">
                  <w:marLeft w:val="0"/>
                  <w:marRight w:val="0"/>
                  <w:marTop w:val="0"/>
                  <w:marBottom w:val="0"/>
                  <w:divBdr>
                    <w:top w:val="none" w:sz="0" w:space="0" w:color="auto"/>
                    <w:left w:val="none" w:sz="0" w:space="0" w:color="auto"/>
                    <w:bottom w:val="none" w:sz="0" w:space="0" w:color="auto"/>
                    <w:right w:val="none" w:sz="0" w:space="0" w:color="auto"/>
                  </w:divBdr>
                </w:div>
                <w:div w:id="1372070186">
                  <w:marLeft w:val="0"/>
                  <w:marRight w:val="0"/>
                  <w:marTop w:val="0"/>
                  <w:marBottom w:val="0"/>
                  <w:divBdr>
                    <w:top w:val="none" w:sz="0" w:space="0" w:color="auto"/>
                    <w:left w:val="none" w:sz="0" w:space="0" w:color="auto"/>
                    <w:bottom w:val="none" w:sz="0" w:space="0" w:color="auto"/>
                    <w:right w:val="none" w:sz="0" w:space="0" w:color="auto"/>
                  </w:divBdr>
                </w:div>
                <w:div w:id="966394413">
                  <w:marLeft w:val="0"/>
                  <w:marRight w:val="0"/>
                  <w:marTop w:val="0"/>
                  <w:marBottom w:val="0"/>
                  <w:divBdr>
                    <w:top w:val="none" w:sz="0" w:space="0" w:color="auto"/>
                    <w:left w:val="none" w:sz="0" w:space="0" w:color="auto"/>
                    <w:bottom w:val="none" w:sz="0" w:space="0" w:color="auto"/>
                    <w:right w:val="none" w:sz="0" w:space="0" w:color="auto"/>
                  </w:divBdr>
                </w:div>
                <w:div w:id="345258241">
                  <w:marLeft w:val="0"/>
                  <w:marRight w:val="0"/>
                  <w:marTop w:val="0"/>
                  <w:marBottom w:val="0"/>
                  <w:divBdr>
                    <w:top w:val="none" w:sz="0" w:space="0" w:color="auto"/>
                    <w:left w:val="none" w:sz="0" w:space="0" w:color="auto"/>
                    <w:bottom w:val="none" w:sz="0" w:space="0" w:color="auto"/>
                    <w:right w:val="none" w:sz="0" w:space="0" w:color="auto"/>
                  </w:divBdr>
                </w:div>
                <w:div w:id="2070031602">
                  <w:marLeft w:val="0"/>
                  <w:marRight w:val="0"/>
                  <w:marTop w:val="0"/>
                  <w:marBottom w:val="0"/>
                  <w:divBdr>
                    <w:top w:val="none" w:sz="0" w:space="0" w:color="auto"/>
                    <w:left w:val="none" w:sz="0" w:space="0" w:color="auto"/>
                    <w:bottom w:val="none" w:sz="0" w:space="0" w:color="auto"/>
                    <w:right w:val="none" w:sz="0" w:space="0" w:color="auto"/>
                  </w:divBdr>
                </w:div>
                <w:div w:id="1097672500">
                  <w:marLeft w:val="0"/>
                  <w:marRight w:val="0"/>
                  <w:marTop w:val="0"/>
                  <w:marBottom w:val="0"/>
                  <w:divBdr>
                    <w:top w:val="none" w:sz="0" w:space="0" w:color="auto"/>
                    <w:left w:val="none" w:sz="0" w:space="0" w:color="auto"/>
                    <w:bottom w:val="none" w:sz="0" w:space="0" w:color="auto"/>
                    <w:right w:val="none" w:sz="0" w:space="0" w:color="auto"/>
                  </w:divBdr>
                </w:div>
                <w:div w:id="1439376669">
                  <w:marLeft w:val="0"/>
                  <w:marRight w:val="0"/>
                  <w:marTop w:val="0"/>
                  <w:marBottom w:val="0"/>
                  <w:divBdr>
                    <w:top w:val="none" w:sz="0" w:space="0" w:color="auto"/>
                    <w:left w:val="none" w:sz="0" w:space="0" w:color="auto"/>
                    <w:bottom w:val="none" w:sz="0" w:space="0" w:color="auto"/>
                    <w:right w:val="none" w:sz="0" w:space="0" w:color="auto"/>
                  </w:divBdr>
                </w:div>
                <w:div w:id="516358669">
                  <w:marLeft w:val="0"/>
                  <w:marRight w:val="0"/>
                  <w:marTop w:val="0"/>
                  <w:marBottom w:val="0"/>
                  <w:divBdr>
                    <w:top w:val="none" w:sz="0" w:space="0" w:color="auto"/>
                    <w:left w:val="none" w:sz="0" w:space="0" w:color="auto"/>
                    <w:bottom w:val="none" w:sz="0" w:space="0" w:color="auto"/>
                    <w:right w:val="none" w:sz="0" w:space="0" w:color="auto"/>
                  </w:divBdr>
                </w:div>
                <w:div w:id="2138142491">
                  <w:marLeft w:val="0"/>
                  <w:marRight w:val="0"/>
                  <w:marTop w:val="0"/>
                  <w:marBottom w:val="0"/>
                  <w:divBdr>
                    <w:top w:val="none" w:sz="0" w:space="0" w:color="auto"/>
                    <w:left w:val="none" w:sz="0" w:space="0" w:color="auto"/>
                    <w:bottom w:val="none" w:sz="0" w:space="0" w:color="auto"/>
                    <w:right w:val="none" w:sz="0" w:space="0" w:color="auto"/>
                  </w:divBdr>
                </w:div>
                <w:div w:id="641036873">
                  <w:marLeft w:val="0"/>
                  <w:marRight w:val="0"/>
                  <w:marTop w:val="0"/>
                  <w:marBottom w:val="0"/>
                  <w:divBdr>
                    <w:top w:val="none" w:sz="0" w:space="0" w:color="auto"/>
                    <w:left w:val="none" w:sz="0" w:space="0" w:color="auto"/>
                    <w:bottom w:val="none" w:sz="0" w:space="0" w:color="auto"/>
                    <w:right w:val="none" w:sz="0" w:space="0" w:color="auto"/>
                  </w:divBdr>
                </w:div>
                <w:div w:id="767386381">
                  <w:marLeft w:val="0"/>
                  <w:marRight w:val="0"/>
                  <w:marTop w:val="0"/>
                  <w:marBottom w:val="0"/>
                  <w:divBdr>
                    <w:top w:val="none" w:sz="0" w:space="0" w:color="auto"/>
                    <w:left w:val="none" w:sz="0" w:space="0" w:color="auto"/>
                    <w:bottom w:val="none" w:sz="0" w:space="0" w:color="auto"/>
                    <w:right w:val="none" w:sz="0" w:space="0" w:color="auto"/>
                  </w:divBdr>
                </w:div>
                <w:div w:id="1793131397">
                  <w:marLeft w:val="0"/>
                  <w:marRight w:val="0"/>
                  <w:marTop w:val="0"/>
                  <w:marBottom w:val="0"/>
                  <w:divBdr>
                    <w:top w:val="none" w:sz="0" w:space="0" w:color="auto"/>
                    <w:left w:val="none" w:sz="0" w:space="0" w:color="auto"/>
                    <w:bottom w:val="none" w:sz="0" w:space="0" w:color="auto"/>
                    <w:right w:val="none" w:sz="0" w:space="0" w:color="auto"/>
                  </w:divBdr>
                </w:div>
                <w:div w:id="346712083">
                  <w:marLeft w:val="0"/>
                  <w:marRight w:val="0"/>
                  <w:marTop w:val="0"/>
                  <w:marBottom w:val="0"/>
                  <w:divBdr>
                    <w:top w:val="none" w:sz="0" w:space="0" w:color="auto"/>
                    <w:left w:val="none" w:sz="0" w:space="0" w:color="auto"/>
                    <w:bottom w:val="none" w:sz="0" w:space="0" w:color="auto"/>
                    <w:right w:val="none" w:sz="0" w:space="0" w:color="auto"/>
                  </w:divBdr>
                </w:div>
                <w:div w:id="1181431532">
                  <w:marLeft w:val="0"/>
                  <w:marRight w:val="0"/>
                  <w:marTop w:val="0"/>
                  <w:marBottom w:val="0"/>
                  <w:divBdr>
                    <w:top w:val="none" w:sz="0" w:space="0" w:color="auto"/>
                    <w:left w:val="none" w:sz="0" w:space="0" w:color="auto"/>
                    <w:bottom w:val="none" w:sz="0" w:space="0" w:color="auto"/>
                    <w:right w:val="none" w:sz="0" w:space="0" w:color="auto"/>
                  </w:divBdr>
                </w:div>
                <w:div w:id="843322171">
                  <w:marLeft w:val="0"/>
                  <w:marRight w:val="0"/>
                  <w:marTop w:val="0"/>
                  <w:marBottom w:val="0"/>
                  <w:divBdr>
                    <w:top w:val="none" w:sz="0" w:space="0" w:color="auto"/>
                    <w:left w:val="none" w:sz="0" w:space="0" w:color="auto"/>
                    <w:bottom w:val="none" w:sz="0" w:space="0" w:color="auto"/>
                    <w:right w:val="none" w:sz="0" w:space="0" w:color="auto"/>
                  </w:divBdr>
                </w:div>
                <w:div w:id="1063990644">
                  <w:marLeft w:val="0"/>
                  <w:marRight w:val="0"/>
                  <w:marTop w:val="0"/>
                  <w:marBottom w:val="0"/>
                  <w:divBdr>
                    <w:top w:val="none" w:sz="0" w:space="0" w:color="auto"/>
                    <w:left w:val="none" w:sz="0" w:space="0" w:color="auto"/>
                    <w:bottom w:val="none" w:sz="0" w:space="0" w:color="auto"/>
                    <w:right w:val="none" w:sz="0" w:space="0" w:color="auto"/>
                  </w:divBdr>
                </w:div>
                <w:div w:id="2001083544">
                  <w:marLeft w:val="0"/>
                  <w:marRight w:val="0"/>
                  <w:marTop w:val="0"/>
                  <w:marBottom w:val="0"/>
                  <w:divBdr>
                    <w:top w:val="none" w:sz="0" w:space="0" w:color="auto"/>
                    <w:left w:val="none" w:sz="0" w:space="0" w:color="auto"/>
                    <w:bottom w:val="none" w:sz="0" w:space="0" w:color="auto"/>
                    <w:right w:val="none" w:sz="0" w:space="0" w:color="auto"/>
                  </w:divBdr>
                </w:div>
                <w:div w:id="1353730048">
                  <w:marLeft w:val="0"/>
                  <w:marRight w:val="0"/>
                  <w:marTop w:val="0"/>
                  <w:marBottom w:val="0"/>
                  <w:divBdr>
                    <w:top w:val="none" w:sz="0" w:space="0" w:color="auto"/>
                    <w:left w:val="none" w:sz="0" w:space="0" w:color="auto"/>
                    <w:bottom w:val="none" w:sz="0" w:space="0" w:color="auto"/>
                    <w:right w:val="none" w:sz="0" w:space="0" w:color="auto"/>
                  </w:divBdr>
                </w:div>
                <w:div w:id="155462864">
                  <w:marLeft w:val="0"/>
                  <w:marRight w:val="0"/>
                  <w:marTop w:val="0"/>
                  <w:marBottom w:val="0"/>
                  <w:divBdr>
                    <w:top w:val="none" w:sz="0" w:space="0" w:color="auto"/>
                    <w:left w:val="none" w:sz="0" w:space="0" w:color="auto"/>
                    <w:bottom w:val="none" w:sz="0" w:space="0" w:color="auto"/>
                    <w:right w:val="none" w:sz="0" w:space="0" w:color="auto"/>
                  </w:divBdr>
                </w:div>
                <w:div w:id="2068726948">
                  <w:marLeft w:val="0"/>
                  <w:marRight w:val="0"/>
                  <w:marTop w:val="0"/>
                  <w:marBottom w:val="0"/>
                  <w:divBdr>
                    <w:top w:val="none" w:sz="0" w:space="0" w:color="auto"/>
                    <w:left w:val="none" w:sz="0" w:space="0" w:color="auto"/>
                    <w:bottom w:val="none" w:sz="0" w:space="0" w:color="auto"/>
                    <w:right w:val="none" w:sz="0" w:space="0" w:color="auto"/>
                  </w:divBdr>
                </w:div>
                <w:div w:id="1470132163">
                  <w:marLeft w:val="0"/>
                  <w:marRight w:val="0"/>
                  <w:marTop w:val="0"/>
                  <w:marBottom w:val="0"/>
                  <w:divBdr>
                    <w:top w:val="none" w:sz="0" w:space="0" w:color="auto"/>
                    <w:left w:val="none" w:sz="0" w:space="0" w:color="auto"/>
                    <w:bottom w:val="none" w:sz="0" w:space="0" w:color="auto"/>
                    <w:right w:val="none" w:sz="0" w:space="0" w:color="auto"/>
                  </w:divBdr>
                </w:div>
                <w:div w:id="1177500043">
                  <w:marLeft w:val="0"/>
                  <w:marRight w:val="0"/>
                  <w:marTop w:val="0"/>
                  <w:marBottom w:val="0"/>
                  <w:divBdr>
                    <w:top w:val="none" w:sz="0" w:space="0" w:color="auto"/>
                    <w:left w:val="none" w:sz="0" w:space="0" w:color="auto"/>
                    <w:bottom w:val="none" w:sz="0" w:space="0" w:color="auto"/>
                    <w:right w:val="none" w:sz="0" w:space="0" w:color="auto"/>
                  </w:divBdr>
                </w:div>
                <w:div w:id="1739740795">
                  <w:marLeft w:val="0"/>
                  <w:marRight w:val="0"/>
                  <w:marTop w:val="0"/>
                  <w:marBottom w:val="0"/>
                  <w:divBdr>
                    <w:top w:val="none" w:sz="0" w:space="0" w:color="auto"/>
                    <w:left w:val="none" w:sz="0" w:space="0" w:color="auto"/>
                    <w:bottom w:val="none" w:sz="0" w:space="0" w:color="auto"/>
                    <w:right w:val="none" w:sz="0" w:space="0" w:color="auto"/>
                  </w:divBdr>
                </w:div>
                <w:div w:id="1331250330">
                  <w:marLeft w:val="0"/>
                  <w:marRight w:val="0"/>
                  <w:marTop w:val="0"/>
                  <w:marBottom w:val="0"/>
                  <w:divBdr>
                    <w:top w:val="none" w:sz="0" w:space="0" w:color="auto"/>
                    <w:left w:val="none" w:sz="0" w:space="0" w:color="auto"/>
                    <w:bottom w:val="none" w:sz="0" w:space="0" w:color="auto"/>
                    <w:right w:val="none" w:sz="0" w:space="0" w:color="auto"/>
                  </w:divBdr>
                </w:div>
                <w:div w:id="1722947585">
                  <w:marLeft w:val="0"/>
                  <w:marRight w:val="0"/>
                  <w:marTop w:val="0"/>
                  <w:marBottom w:val="0"/>
                  <w:divBdr>
                    <w:top w:val="none" w:sz="0" w:space="0" w:color="auto"/>
                    <w:left w:val="none" w:sz="0" w:space="0" w:color="auto"/>
                    <w:bottom w:val="none" w:sz="0" w:space="0" w:color="auto"/>
                    <w:right w:val="none" w:sz="0" w:space="0" w:color="auto"/>
                  </w:divBdr>
                </w:div>
                <w:div w:id="671686575">
                  <w:marLeft w:val="0"/>
                  <w:marRight w:val="0"/>
                  <w:marTop w:val="0"/>
                  <w:marBottom w:val="0"/>
                  <w:divBdr>
                    <w:top w:val="none" w:sz="0" w:space="0" w:color="auto"/>
                    <w:left w:val="none" w:sz="0" w:space="0" w:color="auto"/>
                    <w:bottom w:val="none" w:sz="0" w:space="0" w:color="auto"/>
                    <w:right w:val="none" w:sz="0" w:space="0" w:color="auto"/>
                  </w:divBdr>
                </w:div>
                <w:div w:id="267198293">
                  <w:marLeft w:val="0"/>
                  <w:marRight w:val="0"/>
                  <w:marTop w:val="0"/>
                  <w:marBottom w:val="0"/>
                  <w:divBdr>
                    <w:top w:val="none" w:sz="0" w:space="0" w:color="auto"/>
                    <w:left w:val="none" w:sz="0" w:space="0" w:color="auto"/>
                    <w:bottom w:val="none" w:sz="0" w:space="0" w:color="auto"/>
                    <w:right w:val="none" w:sz="0" w:space="0" w:color="auto"/>
                  </w:divBdr>
                </w:div>
                <w:div w:id="478234660">
                  <w:marLeft w:val="0"/>
                  <w:marRight w:val="0"/>
                  <w:marTop w:val="0"/>
                  <w:marBottom w:val="0"/>
                  <w:divBdr>
                    <w:top w:val="none" w:sz="0" w:space="0" w:color="auto"/>
                    <w:left w:val="none" w:sz="0" w:space="0" w:color="auto"/>
                    <w:bottom w:val="none" w:sz="0" w:space="0" w:color="auto"/>
                    <w:right w:val="none" w:sz="0" w:space="0" w:color="auto"/>
                  </w:divBdr>
                </w:div>
                <w:div w:id="1267351668">
                  <w:marLeft w:val="0"/>
                  <w:marRight w:val="0"/>
                  <w:marTop w:val="0"/>
                  <w:marBottom w:val="0"/>
                  <w:divBdr>
                    <w:top w:val="none" w:sz="0" w:space="0" w:color="auto"/>
                    <w:left w:val="none" w:sz="0" w:space="0" w:color="auto"/>
                    <w:bottom w:val="none" w:sz="0" w:space="0" w:color="auto"/>
                    <w:right w:val="none" w:sz="0" w:space="0" w:color="auto"/>
                  </w:divBdr>
                </w:div>
                <w:div w:id="1901011486">
                  <w:marLeft w:val="0"/>
                  <w:marRight w:val="0"/>
                  <w:marTop w:val="0"/>
                  <w:marBottom w:val="0"/>
                  <w:divBdr>
                    <w:top w:val="none" w:sz="0" w:space="0" w:color="auto"/>
                    <w:left w:val="none" w:sz="0" w:space="0" w:color="auto"/>
                    <w:bottom w:val="none" w:sz="0" w:space="0" w:color="auto"/>
                    <w:right w:val="none" w:sz="0" w:space="0" w:color="auto"/>
                  </w:divBdr>
                </w:div>
                <w:div w:id="226963046">
                  <w:marLeft w:val="0"/>
                  <w:marRight w:val="0"/>
                  <w:marTop w:val="0"/>
                  <w:marBottom w:val="0"/>
                  <w:divBdr>
                    <w:top w:val="none" w:sz="0" w:space="0" w:color="auto"/>
                    <w:left w:val="none" w:sz="0" w:space="0" w:color="auto"/>
                    <w:bottom w:val="none" w:sz="0" w:space="0" w:color="auto"/>
                    <w:right w:val="none" w:sz="0" w:space="0" w:color="auto"/>
                  </w:divBdr>
                </w:div>
                <w:div w:id="973943299">
                  <w:marLeft w:val="0"/>
                  <w:marRight w:val="0"/>
                  <w:marTop w:val="0"/>
                  <w:marBottom w:val="0"/>
                  <w:divBdr>
                    <w:top w:val="none" w:sz="0" w:space="0" w:color="auto"/>
                    <w:left w:val="none" w:sz="0" w:space="0" w:color="auto"/>
                    <w:bottom w:val="none" w:sz="0" w:space="0" w:color="auto"/>
                    <w:right w:val="none" w:sz="0" w:space="0" w:color="auto"/>
                  </w:divBdr>
                </w:div>
                <w:div w:id="991249190">
                  <w:marLeft w:val="0"/>
                  <w:marRight w:val="0"/>
                  <w:marTop w:val="0"/>
                  <w:marBottom w:val="0"/>
                  <w:divBdr>
                    <w:top w:val="none" w:sz="0" w:space="0" w:color="auto"/>
                    <w:left w:val="none" w:sz="0" w:space="0" w:color="auto"/>
                    <w:bottom w:val="none" w:sz="0" w:space="0" w:color="auto"/>
                    <w:right w:val="none" w:sz="0" w:space="0" w:color="auto"/>
                  </w:divBdr>
                </w:div>
                <w:div w:id="1546477873">
                  <w:marLeft w:val="0"/>
                  <w:marRight w:val="0"/>
                  <w:marTop w:val="0"/>
                  <w:marBottom w:val="0"/>
                  <w:divBdr>
                    <w:top w:val="none" w:sz="0" w:space="0" w:color="auto"/>
                    <w:left w:val="none" w:sz="0" w:space="0" w:color="auto"/>
                    <w:bottom w:val="none" w:sz="0" w:space="0" w:color="auto"/>
                    <w:right w:val="none" w:sz="0" w:space="0" w:color="auto"/>
                  </w:divBdr>
                </w:div>
                <w:div w:id="463885958">
                  <w:marLeft w:val="0"/>
                  <w:marRight w:val="0"/>
                  <w:marTop w:val="0"/>
                  <w:marBottom w:val="0"/>
                  <w:divBdr>
                    <w:top w:val="none" w:sz="0" w:space="0" w:color="auto"/>
                    <w:left w:val="none" w:sz="0" w:space="0" w:color="auto"/>
                    <w:bottom w:val="none" w:sz="0" w:space="0" w:color="auto"/>
                    <w:right w:val="none" w:sz="0" w:space="0" w:color="auto"/>
                  </w:divBdr>
                </w:div>
                <w:div w:id="908226994">
                  <w:marLeft w:val="0"/>
                  <w:marRight w:val="0"/>
                  <w:marTop w:val="0"/>
                  <w:marBottom w:val="0"/>
                  <w:divBdr>
                    <w:top w:val="none" w:sz="0" w:space="0" w:color="auto"/>
                    <w:left w:val="none" w:sz="0" w:space="0" w:color="auto"/>
                    <w:bottom w:val="none" w:sz="0" w:space="0" w:color="auto"/>
                    <w:right w:val="none" w:sz="0" w:space="0" w:color="auto"/>
                  </w:divBdr>
                </w:div>
                <w:div w:id="797067146">
                  <w:marLeft w:val="0"/>
                  <w:marRight w:val="0"/>
                  <w:marTop w:val="0"/>
                  <w:marBottom w:val="0"/>
                  <w:divBdr>
                    <w:top w:val="none" w:sz="0" w:space="0" w:color="auto"/>
                    <w:left w:val="none" w:sz="0" w:space="0" w:color="auto"/>
                    <w:bottom w:val="none" w:sz="0" w:space="0" w:color="auto"/>
                    <w:right w:val="none" w:sz="0" w:space="0" w:color="auto"/>
                  </w:divBdr>
                </w:div>
                <w:div w:id="76248225">
                  <w:marLeft w:val="0"/>
                  <w:marRight w:val="0"/>
                  <w:marTop w:val="0"/>
                  <w:marBottom w:val="0"/>
                  <w:divBdr>
                    <w:top w:val="none" w:sz="0" w:space="0" w:color="auto"/>
                    <w:left w:val="none" w:sz="0" w:space="0" w:color="auto"/>
                    <w:bottom w:val="none" w:sz="0" w:space="0" w:color="auto"/>
                    <w:right w:val="none" w:sz="0" w:space="0" w:color="auto"/>
                  </w:divBdr>
                </w:div>
                <w:div w:id="2004238252">
                  <w:marLeft w:val="0"/>
                  <w:marRight w:val="0"/>
                  <w:marTop w:val="0"/>
                  <w:marBottom w:val="0"/>
                  <w:divBdr>
                    <w:top w:val="none" w:sz="0" w:space="0" w:color="auto"/>
                    <w:left w:val="none" w:sz="0" w:space="0" w:color="auto"/>
                    <w:bottom w:val="none" w:sz="0" w:space="0" w:color="auto"/>
                    <w:right w:val="none" w:sz="0" w:space="0" w:color="auto"/>
                  </w:divBdr>
                </w:div>
                <w:div w:id="134761915">
                  <w:marLeft w:val="0"/>
                  <w:marRight w:val="0"/>
                  <w:marTop w:val="0"/>
                  <w:marBottom w:val="0"/>
                  <w:divBdr>
                    <w:top w:val="none" w:sz="0" w:space="0" w:color="auto"/>
                    <w:left w:val="none" w:sz="0" w:space="0" w:color="auto"/>
                    <w:bottom w:val="none" w:sz="0" w:space="0" w:color="auto"/>
                    <w:right w:val="none" w:sz="0" w:space="0" w:color="auto"/>
                  </w:divBdr>
                </w:div>
                <w:div w:id="1512842620">
                  <w:marLeft w:val="0"/>
                  <w:marRight w:val="0"/>
                  <w:marTop w:val="0"/>
                  <w:marBottom w:val="0"/>
                  <w:divBdr>
                    <w:top w:val="none" w:sz="0" w:space="0" w:color="auto"/>
                    <w:left w:val="none" w:sz="0" w:space="0" w:color="auto"/>
                    <w:bottom w:val="none" w:sz="0" w:space="0" w:color="auto"/>
                    <w:right w:val="none" w:sz="0" w:space="0" w:color="auto"/>
                  </w:divBdr>
                </w:div>
                <w:div w:id="1138761772">
                  <w:marLeft w:val="0"/>
                  <w:marRight w:val="0"/>
                  <w:marTop w:val="0"/>
                  <w:marBottom w:val="0"/>
                  <w:divBdr>
                    <w:top w:val="none" w:sz="0" w:space="0" w:color="auto"/>
                    <w:left w:val="none" w:sz="0" w:space="0" w:color="auto"/>
                    <w:bottom w:val="none" w:sz="0" w:space="0" w:color="auto"/>
                    <w:right w:val="none" w:sz="0" w:space="0" w:color="auto"/>
                  </w:divBdr>
                </w:div>
                <w:div w:id="328598410">
                  <w:marLeft w:val="0"/>
                  <w:marRight w:val="0"/>
                  <w:marTop w:val="0"/>
                  <w:marBottom w:val="0"/>
                  <w:divBdr>
                    <w:top w:val="none" w:sz="0" w:space="0" w:color="auto"/>
                    <w:left w:val="none" w:sz="0" w:space="0" w:color="auto"/>
                    <w:bottom w:val="none" w:sz="0" w:space="0" w:color="auto"/>
                    <w:right w:val="none" w:sz="0" w:space="0" w:color="auto"/>
                  </w:divBdr>
                </w:div>
                <w:div w:id="1382634979">
                  <w:marLeft w:val="0"/>
                  <w:marRight w:val="0"/>
                  <w:marTop w:val="0"/>
                  <w:marBottom w:val="0"/>
                  <w:divBdr>
                    <w:top w:val="none" w:sz="0" w:space="0" w:color="auto"/>
                    <w:left w:val="none" w:sz="0" w:space="0" w:color="auto"/>
                    <w:bottom w:val="none" w:sz="0" w:space="0" w:color="auto"/>
                    <w:right w:val="none" w:sz="0" w:space="0" w:color="auto"/>
                  </w:divBdr>
                </w:div>
                <w:div w:id="1649941956">
                  <w:marLeft w:val="0"/>
                  <w:marRight w:val="0"/>
                  <w:marTop w:val="0"/>
                  <w:marBottom w:val="0"/>
                  <w:divBdr>
                    <w:top w:val="none" w:sz="0" w:space="0" w:color="auto"/>
                    <w:left w:val="none" w:sz="0" w:space="0" w:color="auto"/>
                    <w:bottom w:val="none" w:sz="0" w:space="0" w:color="auto"/>
                    <w:right w:val="none" w:sz="0" w:space="0" w:color="auto"/>
                  </w:divBdr>
                </w:div>
              </w:divsChild>
            </w:div>
            <w:div w:id="1791435004">
              <w:marLeft w:val="0"/>
              <w:marRight w:val="0"/>
              <w:marTop w:val="0"/>
              <w:marBottom w:val="0"/>
              <w:divBdr>
                <w:top w:val="none" w:sz="0" w:space="0" w:color="auto"/>
                <w:left w:val="none" w:sz="0" w:space="0" w:color="auto"/>
                <w:bottom w:val="none" w:sz="0" w:space="0" w:color="auto"/>
                <w:right w:val="none" w:sz="0" w:space="0" w:color="auto"/>
              </w:divBdr>
              <w:divsChild>
                <w:div w:id="68381155">
                  <w:marLeft w:val="0"/>
                  <w:marRight w:val="0"/>
                  <w:marTop w:val="0"/>
                  <w:marBottom w:val="0"/>
                  <w:divBdr>
                    <w:top w:val="none" w:sz="0" w:space="0" w:color="auto"/>
                    <w:left w:val="none" w:sz="0" w:space="0" w:color="auto"/>
                    <w:bottom w:val="none" w:sz="0" w:space="0" w:color="auto"/>
                    <w:right w:val="none" w:sz="0" w:space="0" w:color="auto"/>
                  </w:divBdr>
                  <w:divsChild>
                    <w:div w:id="1600330058">
                      <w:marLeft w:val="0"/>
                      <w:marRight w:val="0"/>
                      <w:marTop w:val="0"/>
                      <w:marBottom w:val="0"/>
                      <w:divBdr>
                        <w:top w:val="none" w:sz="0" w:space="0" w:color="auto"/>
                        <w:left w:val="none" w:sz="0" w:space="0" w:color="auto"/>
                        <w:bottom w:val="none" w:sz="0" w:space="0" w:color="auto"/>
                        <w:right w:val="none" w:sz="0" w:space="0" w:color="auto"/>
                      </w:divBdr>
                    </w:div>
                    <w:div w:id="1317343834">
                      <w:marLeft w:val="0"/>
                      <w:marRight w:val="0"/>
                      <w:marTop w:val="0"/>
                      <w:marBottom w:val="0"/>
                      <w:divBdr>
                        <w:top w:val="none" w:sz="0" w:space="0" w:color="auto"/>
                        <w:left w:val="none" w:sz="0" w:space="0" w:color="auto"/>
                        <w:bottom w:val="none" w:sz="0" w:space="0" w:color="auto"/>
                        <w:right w:val="none" w:sz="0" w:space="0" w:color="auto"/>
                      </w:divBdr>
                      <w:divsChild>
                        <w:div w:id="797263444">
                          <w:marLeft w:val="0"/>
                          <w:marRight w:val="0"/>
                          <w:marTop w:val="0"/>
                          <w:marBottom w:val="0"/>
                          <w:divBdr>
                            <w:top w:val="none" w:sz="0" w:space="0" w:color="auto"/>
                            <w:left w:val="none" w:sz="0" w:space="0" w:color="auto"/>
                            <w:bottom w:val="none" w:sz="0" w:space="0" w:color="auto"/>
                            <w:right w:val="none" w:sz="0" w:space="0" w:color="auto"/>
                          </w:divBdr>
                        </w:div>
                        <w:div w:id="748966219">
                          <w:marLeft w:val="0"/>
                          <w:marRight w:val="0"/>
                          <w:marTop w:val="0"/>
                          <w:marBottom w:val="0"/>
                          <w:divBdr>
                            <w:top w:val="none" w:sz="0" w:space="0" w:color="auto"/>
                            <w:left w:val="none" w:sz="0" w:space="0" w:color="auto"/>
                            <w:bottom w:val="none" w:sz="0" w:space="0" w:color="auto"/>
                            <w:right w:val="none" w:sz="0" w:space="0" w:color="auto"/>
                          </w:divBdr>
                        </w:div>
                        <w:div w:id="748044131">
                          <w:marLeft w:val="0"/>
                          <w:marRight w:val="0"/>
                          <w:marTop w:val="0"/>
                          <w:marBottom w:val="0"/>
                          <w:divBdr>
                            <w:top w:val="none" w:sz="0" w:space="0" w:color="auto"/>
                            <w:left w:val="none" w:sz="0" w:space="0" w:color="auto"/>
                            <w:bottom w:val="none" w:sz="0" w:space="0" w:color="auto"/>
                            <w:right w:val="none" w:sz="0" w:space="0" w:color="auto"/>
                          </w:divBdr>
                        </w:div>
                      </w:divsChild>
                    </w:div>
                    <w:div w:id="920483078">
                      <w:marLeft w:val="0"/>
                      <w:marRight w:val="0"/>
                      <w:marTop w:val="0"/>
                      <w:marBottom w:val="0"/>
                      <w:divBdr>
                        <w:top w:val="none" w:sz="0" w:space="0" w:color="auto"/>
                        <w:left w:val="none" w:sz="0" w:space="0" w:color="auto"/>
                        <w:bottom w:val="none" w:sz="0" w:space="0" w:color="auto"/>
                        <w:right w:val="none" w:sz="0" w:space="0" w:color="auto"/>
                      </w:divBdr>
                      <w:divsChild>
                        <w:div w:id="31661396">
                          <w:marLeft w:val="0"/>
                          <w:marRight w:val="0"/>
                          <w:marTop w:val="0"/>
                          <w:marBottom w:val="0"/>
                          <w:divBdr>
                            <w:top w:val="none" w:sz="0" w:space="0" w:color="auto"/>
                            <w:left w:val="none" w:sz="0" w:space="0" w:color="auto"/>
                            <w:bottom w:val="none" w:sz="0" w:space="0" w:color="auto"/>
                            <w:right w:val="none" w:sz="0" w:space="0" w:color="auto"/>
                          </w:divBdr>
                        </w:div>
                        <w:div w:id="647587328">
                          <w:marLeft w:val="0"/>
                          <w:marRight w:val="0"/>
                          <w:marTop w:val="0"/>
                          <w:marBottom w:val="0"/>
                          <w:divBdr>
                            <w:top w:val="none" w:sz="0" w:space="0" w:color="auto"/>
                            <w:left w:val="none" w:sz="0" w:space="0" w:color="auto"/>
                            <w:bottom w:val="none" w:sz="0" w:space="0" w:color="auto"/>
                            <w:right w:val="none" w:sz="0" w:space="0" w:color="auto"/>
                          </w:divBdr>
                        </w:div>
                        <w:div w:id="416442020">
                          <w:marLeft w:val="0"/>
                          <w:marRight w:val="0"/>
                          <w:marTop w:val="0"/>
                          <w:marBottom w:val="0"/>
                          <w:divBdr>
                            <w:top w:val="none" w:sz="0" w:space="0" w:color="auto"/>
                            <w:left w:val="none" w:sz="0" w:space="0" w:color="auto"/>
                            <w:bottom w:val="none" w:sz="0" w:space="0" w:color="auto"/>
                            <w:right w:val="none" w:sz="0" w:space="0" w:color="auto"/>
                          </w:divBdr>
                        </w:div>
                        <w:div w:id="1242183502">
                          <w:marLeft w:val="0"/>
                          <w:marRight w:val="0"/>
                          <w:marTop w:val="0"/>
                          <w:marBottom w:val="0"/>
                          <w:divBdr>
                            <w:top w:val="none" w:sz="0" w:space="0" w:color="auto"/>
                            <w:left w:val="none" w:sz="0" w:space="0" w:color="auto"/>
                            <w:bottom w:val="none" w:sz="0" w:space="0" w:color="auto"/>
                            <w:right w:val="none" w:sz="0" w:space="0" w:color="auto"/>
                          </w:divBdr>
                        </w:div>
                        <w:div w:id="743261845">
                          <w:marLeft w:val="0"/>
                          <w:marRight w:val="0"/>
                          <w:marTop w:val="0"/>
                          <w:marBottom w:val="0"/>
                          <w:divBdr>
                            <w:top w:val="none" w:sz="0" w:space="0" w:color="auto"/>
                            <w:left w:val="none" w:sz="0" w:space="0" w:color="auto"/>
                            <w:bottom w:val="none" w:sz="0" w:space="0" w:color="auto"/>
                            <w:right w:val="none" w:sz="0" w:space="0" w:color="auto"/>
                          </w:divBdr>
                        </w:div>
                        <w:div w:id="1640115249">
                          <w:marLeft w:val="0"/>
                          <w:marRight w:val="0"/>
                          <w:marTop w:val="0"/>
                          <w:marBottom w:val="0"/>
                          <w:divBdr>
                            <w:top w:val="none" w:sz="0" w:space="0" w:color="auto"/>
                            <w:left w:val="none" w:sz="0" w:space="0" w:color="auto"/>
                            <w:bottom w:val="none" w:sz="0" w:space="0" w:color="auto"/>
                            <w:right w:val="none" w:sz="0" w:space="0" w:color="auto"/>
                          </w:divBdr>
                        </w:div>
                        <w:div w:id="1967202401">
                          <w:marLeft w:val="0"/>
                          <w:marRight w:val="0"/>
                          <w:marTop w:val="0"/>
                          <w:marBottom w:val="0"/>
                          <w:divBdr>
                            <w:top w:val="none" w:sz="0" w:space="0" w:color="auto"/>
                            <w:left w:val="none" w:sz="0" w:space="0" w:color="auto"/>
                            <w:bottom w:val="none" w:sz="0" w:space="0" w:color="auto"/>
                            <w:right w:val="none" w:sz="0" w:space="0" w:color="auto"/>
                          </w:divBdr>
                        </w:div>
                      </w:divsChild>
                    </w:div>
                    <w:div w:id="519853689">
                      <w:marLeft w:val="0"/>
                      <w:marRight w:val="0"/>
                      <w:marTop w:val="0"/>
                      <w:marBottom w:val="0"/>
                      <w:divBdr>
                        <w:top w:val="none" w:sz="0" w:space="0" w:color="auto"/>
                        <w:left w:val="none" w:sz="0" w:space="0" w:color="auto"/>
                        <w:bottom w:val="none" w:sz="0" w:space="0" w:color="auto"/>
                        <w:right w:val="none" w:sz="0" w:space="0" w:color="auto"/>
                      </w:divBdr>
                      <w:divsChild>
                        <w:div w:id="213128440">
                          <w:marLeft w:val="0"/>
                          <w:marRight w:val="0"/>
                          <w:marTop w:val="0"/>
                          <w:marBottom w:val="0"/>
                          <w:divBdr>
                            <w:top w:val="none" w:sz="0" w:space="0" w:color="auto"/>
                            <w:left w:val="none" w:sz="0" w:space="0" w:color="auto"/>
                            <w:bottom w:val="none" w:sz="0" w:space="0" w:color="auto"/>
                            <w:right w:val="none" w:sz="0" w:space="0" w:color="auto"/>
                          </w:divBdr>
                        </w:div>
                        <w:div w:id="1561987731">
                          <w:marLeft w:val="0"/>
                          <w:marRight w:val="0"/>
                          <w:marTop w:val="0"/>
                          <w:marBottom w:val="0"/>
                          <w:divBdr>
                            <w:top w:val="none" w:sz="0" w:space="0" w:color="auto"/>
                            <w:left w:val="none" w:sz="0" w:space="0" w:color="auto"/>
                            <w:bottom w:val="none" w:sz="0" w:space="0" w:color="auto"/>
                            <w:right w:val="none" w:sz="0" w:space="0" w:color="auto"/>
                          </w:divBdr>
                        </w:div>
                        <w:div w:id="80720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973161">
                  <w:marLeft w:val="0"/>
                  <w:marRight w:val="0"/>
                  <w:marTop w:val="0"/>
                  <w:marBottom w:val="0"/>
                  <w:divBdr>
                    <w:top w:val="none" w:sz="0" w:space="0" w:color="auto"/>
                    <w:left w:val="none" w:sz="0" w:space="0" w:color="auto"/>
                    <w:bottom w:val="none" w:sz="0" w:space="0" w:color="auto"/>
                    <w:right w:val="none" w:sz="0" w:space="0" w:color="auto"/>
                  </w:divBdr>
                  <w:divsChild>
                    <w:div w:id="1223979572">
                      <w:marLeft w:val="0"/>
                      <w:marRight w:val="0"/>
                      <w:marTop w:val="0"/>
                      <w:marBottom w:val="0"/>
                      <w:divBdr>
                        <w:top w:val="none" w:sz="0" w:space="0" w:color="auto"/>
                        <w:left w:val="none" w:sz="0" w:space="0" w:color="auto"/>
                        <w:bottom w:val="none" w:sz="0" w:space="0" w:color="auto"/>
                        <w:right w:val="none" w:sz="0" w:space="0" w:color="auto"/>
                      </w:divBdr>
                    </w:div>
                    <w:div w:id="1420325248">
                      <w:marLeft w:val="0"/>
                      <w:marRight w:val="0"/>
                      <w:marTop w:val="0"/>
                      <w:marBottom w:val="0"/>
                      <w:divBdr>
                        <w:top w:val="none" w:sz="0" w:space="0" w:color="auto"/>
                        <w:left w:val="none" w:sz="0" w:space="0" w:color="auto"/>
                        <w:bottom w:val="none" w:sz="0" w:space="0" w:color="auto"/>
                        <w:right w:val="none" w:sz="0" w:space="0" w:color="auto"/>
                      </w:divBdr>
                      <w:divsChild>
                        <w:div w:id="1910269555">
                          <w:marLeft w:val="0"/>
                          <w:marRight w:val="0"/>
                          <w:marTop w:val="0"/>
                          <w:marBottom w:val="0"/>
                          <w:divBdr>
                            <w:top w:val="none" w:sz="0" w:space="0" w:color="auto"/>
                            <w:left w:val="none" w:sz="0" w:space="0" w:color="auto"/>
                            <w:bottom w:val="none" w:sz="0" w:space="0" w:color="auto"/>
                            <w:right w:val="none" w:sz="0" w:space="0" w:color="auto"/>
                          </w:divBdr>
                        </w:div>
                        <w:div w:id="836920107">
                          <w:marLeft w:val="0"/>
                          <w:marRight w:val="0"/>
                          <w:marTop w:val="0"/>
                          <w:marBottom w:val="0"/>
                          <w:divBdr>
                            <w:top w:val="none" w:sz="0" w:space="0" w:color="auto"/>
                            <w:left w:val="none" w:sz="0" w:space="0" w:color="auto"/>
                            <w:bottom w:val="none" w:sz="0" w:space="0" w:color="auto"/>
                            <w:right w:val="none" w:sz="0" w:space="0" w:color="auto"/>
                          </w:divBdr>
                        </w:div>
                        <w:div w:id="1621497235">
                          <w:marLeft w:val="0"/>
                          <w:marRight w:val="0"/>
                          <w:marTop w:val="0"/>
                          <w:marBottom w:val="0"/>
                          <w:divBdr>
                            <w:top w:val="none" w:sz="0" w:space="0" w:color="auto"/>
                            <w:left w:val="none" w:sz="0" w:space="0" w:color="auto"/>
                            <w:bottom w:val="none" w:sz="0" w:space="0" w:color="auto"/>
                            <w:right w:val="none" w:sz="0" w:space="0" w:color="auto"/>
                          </w:divBdr>
                        </w:div>
                        <w:div w:id="1678313838">
                          <w:marLeft w:val="0"/>
                          <w:marRight w:val="0"/>
                          <w:marTop w:val="0"/>
                          <w:marBottom w:val="0"/>
                          <w:divBdr>
                            <w:top w:val="none" w:sz="0" w:space="0" w:color="auto"/>
                            <w:left w:val="none" w:sz="0" w:space="0" w:color="auto"/>
                            <w:bottom w:val="none" w:sz="0" w:space="0" w:color="auto"/>
                            <w:right w:val="none" w:sz="0" w:space="0" w:color="auto"/>
                          </w:divBdr>
                        </w:div>
                        <w:div w:id="1374882879">
                          <w:marLeft w:val="0"/>
                          <w:marRight w:val="0"/>
                          <w:marTop w:val="0"/>
                          <w:marBottom w:val="0"/>
                          <w:divBdr>
                            <w:top w:val="none" w:sz="0" w:space="0" w:color="auto"/>
                            <w:left w:val="none" w:sz="0" w:space="0" w:color="auto"/>
                            <w:bottom w:val="none" w:sz="0" w:space="0" w:color="auto"/>
                            <w:right w:val="none" w:sz="0" w:space="0" w:color="auto"/>
                          </w:divBdr>
                        </w:div>
                        <w:div w:id="894465585">
                          <w:marLeft w:val="0"/>
                          <w:marRight w:val="0"/>
                          <w:marTop w:val="0"/>
                          <w:marBottom w:val="0"/>
                          <w:divBdr>
                            <w:top w:val="none" w:sz="0" w:space="0" w:color="auto"/>
                            <w:left w:val="none" w:sz="0" w:space="0" w:color="auto"/>
                            <w:bottom w:val="none" w:sz="0" w:space="0" w:color="auto"/>
                            <w:right w:val="none" w:sz="0" w:space="0" w:color="auto"/>
                          </w:divBdr>
                        </w:div>
                        <w:div w:id="1458833301">
                          <w:marLeft w:val="0"/>
                          <w:marRight w:val="0"/>
                          <w:marTop w:val="0"/>
                          <w:marBottom w:val="0"/>
                          <w:divBdr>
                            <w:top w:val="none" w:sz="0" w:space="0" w:color="auto"/>
                            <w:left w:val="none" w:sz="0" w:space="0" w:color="auto"/>
                            <w:bottom w:val="none" w:sz="0" w:space="0" w:color="auto"/>
                            <w:right w:val="none" w:sz="0" w:space="0" w:color="auto"/>
                          </w:divBdr>
                        </w:div>
                        <w:div w:id="1817066980">
                          <w:marLeft w:val="0"/>
                          <w:marRight w:val="0"/>
                          <w:marTop w:val="0"/>
                          <w:marBottom w:val="0"/>
                          <w:divBdr>
                            <w:top w:val="none" w:sz="0" w:space="0" w:color="auto"/>
                            <w:left w:val="none" w:sz="0" w:space="0" w:color="auto"/>
                            <w:bottom w:val="none" w:sz="0" w:space="0" w:color="auto"/>
                            <w:right w:val="none" w:sz="0" w:space="0" w:color="auto"/>
                          </w:divBdr>
                        </w:div>
                        <w:div w:id="1873759880">
                          <w:marLeft w:val="0"/>
                          <w:marRight w:val="0"/>
                          <w:marTop w:val="0"/>
                          <w:marBottom w:val="0"/>
                          <w:divBdr>
                            <w:top w:val="none" w:sz="0" w:space="0" w:color="auto"/>
                            <w:left w:val="none" w:sz="0" w:space="0" w:color="auto"/>
                            <w:bottom w:val="none" w:sz="0" w:space="0" w:color="auto"/>
                            <w:right w:val="none" w:sz="0" w:space="0" w:color="auto"/>
                          </w:divBdr>
                        </w:div>
                      </w:divsChild>
                    </w:div>
                    <w:div w:id="1514151897">
                      <w:marLeft w:val="0"/>
                      <w:marRight w:val="0"/>
                      <w:marTop w:val="0"/>
                      <w:marBottom w:val="0"/>
                      <w:divBdr>
                        <w:top w:val="none" w:sz="0" w:space="0" w:color="auto"/>
                        <w:left w:val="none" w:sz="0" w:space="0" w:color="auto"/>
                        <w:bottom w:val="none" w:sz="0" w:space="0" w:color="auto"/>
                        <w:right w:val="none" w:sz="0" w:space="0" w:color="auto"/>
                      </w:divBdr>
                      <w:divsChild>
                        <w:div w:id="1898662118">
                          <w:marLeft w:val="0"/>
                          <w:marRight w:val="0"/>
                          <w:marTop w:val="0"/>
                          <w:marBottom w:val="0"/>
                          <w:divBdr>
                            <w:top w:val="none" w:sz="0" w:space="0" w:color="auto"/>
                            <w:left w:val="none" w:sz="0" w:space="0" w:color="auto"/>
                            <w:bottom w:val="none" w:sz="0" w:space="0" w:color="auto"/>
                            <w:right w:val="none" w:sz="0" w:space="0" w:color="auto"/>
                          </w:divBdr>
                        </w:div>
                        <w:div w:id="471600453">
                          <w:marLeft w:val="0"/>
                          <w:marRight w:val="0"/>
                          <w:marTop w:val="0"/>
                          <w:marBottom w:val="0"/>
                          <w:divBdr>
                            <w:top w:val="none" w:sz="0" w:space="0" w:color="auto"/>
                            <w:left w:val="none" w:sz="0" w:space="0" w:color="auto"/>
                            <w:bottom w:val="none" w:sz="0" w:space="0" w:color="auto"/>
                            <w:right w:val="none" w:sz="0" w:space="0" w:color="auto"/>
                          </w:divBdr>
                        </w:div>
                        <w:div w:id="460466944">
                          <w:marLeft w:val="0"/>
                          <w:marRight w:val="0"/>
                          <w:marTop w:val="0"/>
                          <w:marBottom w:val="0"/>
                          <w:divBdr>
                            <w:top w:val="none" w:sz="0" w:space="0" w:color="auto"/>
                            <w:left w:val="none" w:sz="0" w:space="0" w:color="auto"/>
                            <w:bottom w:val="none" w:sz="0" w:space="0" w:color="auto"/>
                            <w:right w:val="none" w:sz="0" w:space="0" w:color="auto"/>
                          </w:divBdr>
                        </w:div>
                        <w:div w:id="1036614186">
                          <w:marLeft w:val="0"/>
                          <w:marRight w:val="0"/>
                          <w:marTop w:val="0"/>
                          <w:marBottom w:val="0"/>
                          <w:divBdr>
                            <w:top w:val="none" w:sz="0" w:space="0" w:color="auto"/>
                            <w:left w:val="none" w:sz="0" w:space="0" w:color="auto"/>
                            <w:bottom w:val="none" w:sz="0" w:space="0" w:color="auto"/>
                            <w:right w:val="none" w:sz="0" w:space="0" w:color="auto"/>
                          </w:divBdr>
                        </w:div>
                        <w:div w:id="1537238189">
                          <w:marLeft w:val="0"/>
                          <w:marRight w:val="0"/>
                          <w:marTop w:val="0"/>
                          <w:marBottom w:val="0"/>
                          <w:divBdr>
                            <w:top w:val="none" w:sz="0" w:space="0" w:color="auto"/>
                            <w:left w:val="none" w:sz="0" w:space="0" w:color="auto"/>
                            <w:bottom w:val="none" w:sz="0" w:space="0" w:color="auto"/>
                            <w:right w:val="none" w:sz="0" w:space="0" w:color="auto"/>
                          </w:divBdr>
                        </w:div>
                      </w:divsChild>
                    </w:div>
                    <w:div w:id="2047826723">
                      <w:marLeft w:val="0"/>
                      <w:marRight w:val="0"/>
                      <w:marTop w:val="0"/>
                      <w:marBottom w:val="0"/>
                      <w:divBdr>
                        <w:top w:val="none" w:sz="0" w:space="0" w:color="auto"/>
                        <w:left w:val="none" w:sz="0" w:space="0" w:color="auto"/>
                        <w:bottom w:val="none" w:sz="0" w:space="0" w:color="auto"/>
                        <w:right w:val="none" w:sz="0" w:space="0" w:color="auto"/>
                      </w:divBdr>
                      <w:divsChild>
                        <w:div w:id="1291396422">
                          <w:marLeft w:val="0"/>
                          <w:marRight w:val="0"/>
                          <w:marTop w:val="0"/>
                          <w:marBottom w:val="0"/>
                          <w:divBdr>
                            <w:top w:val="none" w:sz="0" w:space="0" w:color="auto"/>
                            <w:left w:val="none" w:sz="0" w:space="0" w:color="auto"/>
                            <w:bottom w:val="none" w:sz="0" w:space="0" w:color="auto"/>
                            <w:right w:val="none" w:sz="0" w:space="0" w:color="auto"/>
                          </w:divBdr>
                        </w:div>
                        <w:div w:id="427238125">
                          <w:marLeft w:val="0"/>
                          <w:marRight w:val="0"/>
                          <w:marTop w:val="0"/>
                          <w:marBottom w:val="0"/>
                          <w:divBdr>
                            <w:top w:val="none" w:sz="0" w:space="0" w:color="auto"/>
                            <w:left w:val="none" w:sz="0" w:space="0" w:color="auto"/>
                            <w:bottom w:val="none" w:sz="0" w:space="0" w:color="auto"/>
                            <w:right w:val="none" w:sz="0" w:space="0" w:color="auto"/>
                          </w:divBdr>
                        </w:div>
                        <w:div w:id="43216658">
                          <w:marLeft w:val="0"/>
                          <w:marRight w:val="0"/>
                          <w:marTop w:val="0"/>
                          <w:marBottom w:val="0"/>
                          <w:divBdr>
                            <w:top w:val="none" w:sz="0" w:space="0" w:color="auto"/>
                            <w:left w:val="none" w:sz="0" w:space="0" w:color="auto"/>
                            <w:bottom w:val="none" w:sz="0" w:space="0" w:color="auto"/>
                            <w:right w:val="none" w:sz="0" w:space="0" w:color="auto"/>
                          </w:divBdr>
                        </w:div>
                        <w:div w:id="1605111394">
                          <w:marLeft w:val="0"/>
                          <w:marRight w:val="0"/>
                          <w:marTop w:val="0"/>
                          <w:marBottom w:val="0"/>
                          <w:divBdr>
                            <w:top w:val="none" w:sz="0" w:space="0" w:color="auto"/>
                            <w:left w:val="none" w:sz="0" w:space="0" w:color="auto"/>
                            <w:bottom w:val="none" w:sz="0" w:space="0" w:color="auto"/>
                            <w:right w:val="none" w:sz="0" w:space="0" w:color="auto"/>
                          </w:divBdr>
                          <w:divsChild>
                            <w:div w:id="513619811">
                              <w:marLeft w:val="0"/>
                              <w:marRight w:val="0"/>
                              <w:marTop w:val="0"/>
                              <w:marBottom w:val="0"/>
                              <w:divBdr>
                                <w:top w:val="none" w:sz="0" w:space="0" w:color="auto"/>
                                <w:left w:val="none" w:sz="0" w:space="0" w:color="auto"/>
                                <w:bottom w:val="none" w:sz="0" w:space="0" w:color="auto"/>
                                <w:right w:val="none" w:sz="0" w:space="0" w:color="auto"/>
                              </w:divBdr>
                            </w:div>
                          </w:divsChild>
                        </w:div>
                        <w:div w:id="1299988876">
                          <w:marLeft w:val="0"/>
                          <w:marRight w:val="0"/>
                          <w:marTop w:val="0"/>
                          <w:marBottom w:val="0"/>
                          <w:divBdr>
                            <w:top w:val="none" w:sz="0" w:space="0" w:color="auto"/>
                            <w:left w:val="none" w:sz="0" w:space="0" w:color="auto"/>
                            <w:bottom w:val="none" w:sz="0" w:space="0" w:color="auto"/>
                            <w:right w:val="none" w:sz="0" w:space="0" w:color="auto"/>
                          </w:divBdr>
                        </w:div>
                        <w:div w:id="833450175">
                          <w:marLeft w:val="0"/>
                          <w:marRight w:val="0"/>
                          <w:marTop w:val="0"/>
                          <w:marBottom w:val="0"/>
                          <w:divBdr>
                            <w:top w:val="none" w:sz="0" w:space="0" w:color="auto"/>
                            <w:left w:val="none" w:sz="0" w:space="0" w:color="auto"/>
                            <w:bottom w:val="none" w:sz="0" w:space="0" w:color="auto"/>
                            <w:right w:val="none" w:sz="0" w:space="0" w:color="auto"/>
                          </w:divBdr>
                        </w:div>
                        <w:div w:id="1969310629">
                          <w:marLeft w:val="0"/>
                          <w:marRight w:val="0"/>
                          <w:marTop w:val="0"/>
                          <w:marBottom w:val="0"/>
                          <w:divBdr>
                            <w:top w:val="none" w:sz="0" w:space="0" w:color="auto"/>
                            <w:left w:val="none" w:sz="0" w:space="0" w:color="auto"/>
                            <w:bottom w:val="none" w:sz="0" w:space="0" w:color="auto"/>
                            <w:right w:val="none" w:sz="0" w:space="0" w:color="auto"/>
                          </w:divBdr>
                        </w:div>
                        <w:div w:id="682171150">
                          <w:marLeft w:val="0"/>
                          <w:marRight w:val="0"/>
                          <w:marTop w:val="0"/>
                          <w:marBottom w:val="0"/>
                          <w:divBdr>
                            <w:top w:val="none" w:sz="0" w:space="0" w:color="auto"/>
                            <w:left w:val="none" w:sz="0" w:space="0" w:color="auto"/>
                            <w:bottom w:val="none" w:sz="0" w:space="0" w:color="auto"/>
                            <w:right w:val="none" w:sz="0" w:space="0" w:color="auto"/>
                          </w:divBdr>
                        </w:div>
                        <w:div w:id="1858539143">
                          <w:marLeft w:val="0"/>
                          <w:marRight w:val="0"/>
                          <w:marTop w:val="0"/>
                          <w:marBottom w:val="0"/>
                          <w:divBdr>
                            <w:top w:val="none" w:sz="0" w:space="0" w:color="auto"/>
                            <w:left w:val="none" w:sz="0" w:space="0" w:color="auto"/>
                            <w:bottom w:val="none" w:sz="0" w:space="0" w:color="auto"/>
                            <w:right w:val="none" w:sz="0" w:space="0" w:color="auto"/>
                          </w:divBdr>
                        </w:div>
                        <w:div w:id="1367874433">
                          <w:marLeft w:val="0"/>
                          <w:marRight w:val="0"/>
                          <w:marTop w:val="0"/>
                          <w:marBottom w:val="0"/>
                          <w:divBdr>
                            <w:top w:val="none" w:sz="0" w:space="0" w:color="auto"/>
                            <w:left w:val="none" w:sz="0" w:space="0" w:color="auto"/>
                            <w:bottom w:val="none" w:sz="0" w:space="0" w:color="auto"/>
                            <w:right w:val="none" w:sz="0" w:space="0" w:color="auto"/>
                          </w:divBdr>
                        </w:div>
                        <w:div w:id="816995128">
                          <w:marLeft w:val="0"/>
                          <w:marRight w:val="0"/>
                          <w:marTop w:val="0"/>
                          <w:marBottom w:val="0"/>
                          <w:divBdr>
                            <w:top w:val="none" w:sz="0" w:space="0" w:color="auto"/>
                            <w:left w:val="none" w:sz="0" w:space="0" w:color="auto"/>
                            <w:bottom w:val="none" w:sz="0" w:space="0" w:color="auto"/>
                            <w:right w:val="none" w:sz="0" w:space="0" w:color="auto"/>
                          </w:divBdr>
                        </w:div>
                        <w:div w:id="169754656">
                          <w:marLeft w:val="0"/>
                          <w:marRight w:val="0"/>
                          <w:marTop w:val="0"/>
                          <w:marBottom w:val="0"/>
                          <w:divBdr>
                            <w:top w:val="none" w:sz="0" w:space="0" w:color="auto"/>
                            <w:left w:val="none" w:sz="0" w:space="0" w:color="auto"/>
                            <w:bottom w:val="none" w:sz="0" w:space="0" w:color="auto"/>
                            <w:right w:val="none" w:sz="0" w:space="0" w:color="auto"/>
                          </w:divBdr>
                        </w:div>
                        <w:div w:id="899747534">
                          <w:marLeft w:val="0"/>
                          <w:marRight w:val="0"/>
                          <w:marTop w:val="0"/>
                          <w:marBottom w:val="0"/>
                          <w:divBdr>
                            <w:top w:val="none" w:sz="0" w:space="0" w:color="auto"/>
                            <w:left w:val="none" w:sz="0" w:space="0" w:color="auto"/>
                            <w:bottom w:val="none" w:sz="0" w:space="0" w:color="auto"/>
                            <w:right w:val="none" w:sz="0" w:space="0" w:color="auto"/>
                          </w:divBdr>
                        </w:div>
                      </w:divsChild>
                    </w:div>
                    <w:div w:id="1624195429">
                      <w:marLeft w:val="0"/>
                      <w:marRight w:val="0"/>
                      <w:marTop w:val="0"/>
                      <w:marBottom w:val="0"/>
                      <w:divBdr>
                        <w:top w:val="none" w:sz="0" w:space="0" w:color="auto"/>
                        <w:left w:val="none" w:sz="0" w:space="0" w:color="auto"/>
                        <w:bottom w:val="none" w:sz="0" w:space="0" w:color="auto"/>
                        <w:right w:val="none" w:sz="0" w:space="0" w:color="auto"/>
                      </w:divBdr>
                      <w:divsChild>
                        <w:div w:id="1678116571">
                          <w:marLeft w:val="0"/>
                          <w:marRight w:val="0"/>
                          <w:marTop w:val="0"/>
                          <w:marBottom w:val="0"/>
                          <w:divBdr>
                            <w:top w:val="none" w:sz="0" w:space="0" w:color="auto"/>
                            <w:left w:val="none" w:sz="0" w:space="0" w:color="auto"/>
                            <w:bottom w:val="none" w:sz="0" w:space="0" w:color="auto"/>
                            <w:right w:val="none" w:sz="0" w:space="0" w:color="auto"/>
                          </w:divBdr>
                        </w:div>
                        <w:div w:id="1508056023">
                          <w:marLeft w:val="0"/>
                          <w:marRight w:val="0"/>
                          <w:marTop w:val="0"/>
                          <w:marBottom w:val="0"/>
                          <w:divBdr>
                            <w:top w:val="none" w:sz="0" w:space="0" w:color="auto"/>
                            <w:left w:val="none" w:sz="0" w:space="0" w:color="auto"/>
                            <w:bottom w:val="none" w:sz="0" w:space="0" w:color="auto"/>
                            <w:right w:val="none" w:sz="0" w:space="0" w:color="auto"/>
                          </w:divBdr>
                        </w:div>
                        <w:div w:id="223150773">
                          <w:marLeft w:val="0"/>
                          <w:marRight w:val="0"/>
                          <w:marTop w:val="0"/>
                          <w:marBottom w:val="0"/>
                          <w:divBdr>
                            <w:top w:val="none" w:sz="0" w:space="0" w:color="auto"/>
                            <w:left w:val="none" w:sz="0" w:space="0" w:color="auto"/>
                            <w:bottom w:val="none" w:sz="0" w:space="0" w:color="auto"/>
                            <w:right w:val="none" w:sz="0" w:space="0" w:color="auto"/>
                          </w:divBdr>
                        </w:div>
                        <w:div w:id="1751386509">
                          <w:marLeft w:val="0"/>
                          <w:marRight w:val="0"/>
                          <w:marTop w:val="0"/>
                          <w:marBottom w:val="0"/>
                          <w:divBdr>
                            <w:top w:val="none" w:sz="0" w:space="0" w:color="auto"/>
                            <w:left w:val="none" w:sz="0" w:space="0" w:color="auto"/>
                            <w:bottom w:val="none" w:sz="0" w:space="0" w:color="auto"/>
                            <w:right w:val="none" w:sz="0" w:space="0" w:color="auto"/>
                          </w:divBdr>
                        </w:div>
                        <w:div w:id="1720668879">
                          <w:marLeft w:val="0"/>
                          <w:marRight w:val="0"/>
                          <w:marTop w:val="0"/>
                          <w:marBottom w:val="0"/>
                          <w:divBdr>
                            <w:top w:val="none" w:sz="0" w:space="0" w:color="auto"/>
                            <w:left w:val="none" w:sz="0" w:space="0" w:color="auto"/>
                            <w:bottom w:val="none" w:sz="0" w:space="0" w:color="auto"/>
                            <w:right w:val="none" w:sz="0" w:space="0" w:color="auto"/>
                          </w:divBdr>
                        </w:div>
                      </w:divsChild>
                    </w:div>
                    <w:div w:id="118687097">
                      <w:marLeft w:val="0"/>
                      <w:marRight w:val="0"/>
                      <w:marTop w:val="0"/>
                      <w:marBottom w:val="0"/>
                      <w:divBdr>
                        <w:top w:val="none" w:sz="0" w:space="0" w:color="auto"/>
                        <w:left w:val="none" w:sz="0" w:space="0" w:color="auto"/>
                        <w:bottom w:val="none" w:sz="0" w:space="0" w:color="auto"/>
                        <w:right w:val="none" w:sz="0" w:space="0" w:color="auto"/>
                      </w:divBdr>
                      <w:divsChild>
                        <w:div w:id="1466123317">
                          <w:marLeft w:val="0"/>
                          <w:marRight w:val="0"/>
                          <w:marTop w:val="0"/>
                          <w:marBottom w:val="0"/>
                          <w:divBdr>
                            <w:top w:val="none" w:sz="0" w:space="0" w:color="auto"/>
                            <w:left w:val="none" w:sz="0" w:space="0" w:color="auto"/>
                            <w:bottom w:val="none" w:sz="0" w:space="0" w:color="auto"/>
                            <w:right w:val="none" w:sz="0" w:space="0" w:color="auto"/>
                          </w:divBdr>
                        </w:div>
                        <w:div w:id="1056126403">
                          <w:marLeft w:val="0"/>
                          <w:marRight w:val="0"/>
                          <w:marTop w:val="0"/>
                          <w:marBottom w:val="0"/>
                          <w:divBdr>
                            <w:top w:val="none" w:sz="0" w:space="0" w:color="auto"/>
                            <w:left w:val="none" w:sz="0" w:space="0" w:color="auto"/>
                            <w:bottom w:val="none" w:sz="0" w:space="0" w:color="auto"/>
                            <w:right w:val="none" w:sz="0" w:space="0" w:color="auto"/>
                          </w:divBdr>
                        </w:div>
                        <w:div w:id="108624468">
                          <w:marLeft w:val="0"/>
                          <w:marRight w:val="0"/>
                          <w:marTop w:val="0"/>
                          <w:marBottom w:val="0"/>
                          <w:divBdr>
                            <w:top w:val="none" w:sz="0" w:space="0" w:color="auto"/>
                            <w:left w:val="none" w:sz="0" w:space="0" w:color="auto"/>
                            <w:bottom w:val="none" w:sz="0" w:space="0" w:color="auto"/>
                            <w:right w:val="none" w:sz="0" w:space="0" w:color="auto"/>
                          </w:divBdr>
                        </w:div>
                        <w:div w:id="267205505">
                          <w:marLeft w:val="0"/>
                          <w:marRight w:val="0"/>
                          <w:marTop w:val="0"/>
                          <w:marBottom w:val="0"/>
                          <w:divBdr>
                            <w:top w:val="none" w:sz="0" w:space="0" w:color="auto"/>
                            <w:left w:val="none" w:sz="0" w:space="0" w:color="auto"/>
                            <w:bottom w:val="none" w:sz="0" w:space="0" w:color="auto"/>
                            <w:right w:val="none" w:sz="0" w:space="0" w:color="auto"/>
                          </w:divBdr>
                        </w:div>
                        <w:div w:id="363791247">
                          <w:marLeft w:val="0"/>
                          <w:marRight w:val="0"/>
                          <w:marTop w:val="0"/>
                          <w:marBottom w:val="0"/>
                          <w:divBdr>
                            <w:top w:val="none" w:sz="0" w:space="0" w:color="auto"/>
                            <w:left w:val="none" w:sz="0" w:space="0" w:color="auto"/>
                            <w:bottom w:val="none" w:sz="0" w:space="0" w:color="auto"/>
                            <w:right w:val="none" w:sz="0" w:space="0" w:color="auto"/>
                          </w:divBdr>
                        </w:div>
                        <w:div w:id="2073194054">
                          <w:marLeft w:val="0"/>
                          <w:marRight w:val="0"/>
                          <w:marTop w:val="0"/>
                          <w:marBottom w:val="0"/>
                          <w:divBdr>
                            <w:top w:val="none" w:sz="0" w:space="0" w:color="auto"/>
                            <w:left w:val="none" w:sz="0" w:space="0" w:color="auto"/>
                            <w:bottom w:val="none" w:sz="0" w:space="0" w:color="auto"/>
                            <w:right w:val="none" w:sz="0" w:space="0" w:color="auto"/>
                          </w:divBdr>
                        </w:div>
                        <w:div w:id="547029008">
                          <w:marLeft w:val="0"/>
                          <w:marRight w:val="0"/>
                          <w:marTop w:val="0"/>
                          <w:marBottom w:val="0"/>
                          <w:divBdr>
                            <w:top w:val="none" w:sz="0" w:space="0" w:color="auto"/>
                            <w:left w:val="none" w:sz="0" w:space="0" w:color="auto"/>
                            <w:bottom w:val="none" w:sz="0" w:space="0" w:color="auto"/>
                            <w:right w:val="none" w:sz="0" w:space="0" w:color="auto"/>
                          </w:divBdr>
                        </w:div>
                        <w:div w:id="1848716044">
                          <w:marLeft w:val="0"/>
                          <w:marRight w:val="0"/>
                          <w:marTop w:val="0"/>
                          <w:marBottom w:val="0"/>
                          <w:divBdr>
                            <w:top w:val="none" w:sz="0" w:space="0" w:color="auto"/>
                            <w:left w:val="none" w:sz="0" w:space="0" w:color="auto"/>
                            <w:bottom w:val="none" w:sz="0" w:space="0" w:color="auto"/>
                            <w:right w:val="none" w:sz="0" w:space="0" w:color="auto"/>
                          </w:divBdr>
                        </w:div>
                      </w:divsChild>
                    </w:div>
                    <w:div w:id="1335303237">
                      <w:marLeft w:val="0"/>
                      <w:marRight w:val="0"/>
                      <w:marTop w:val="0"/>
                      <w:marBottom w:val="0"/>
                      <w:divBdr>
                        <w:top w:val="none" w:sz="0" w:space="0" w:color="auto"/>
                        <w:left w:val="none" w:sz="0" w:space="0" w:color="auto"/>
                        <w:bottom w:val="none" w:sz="0" w:space="0" w:color="auto"/>
                        <w:right w:val="none" w:sz="0" w:space="0" w:color="auto"/>
                      </w:divBdr>
                      <w:divsChild>
                        <w:div w:id="170877923">
                          <w:marLeft w:val="0"/>
                          <w:marRight w:val="0"/>
                          <w:marTop w:val="0"/>
                          <w:marBottom w:val="0"/>
                          <w:divBdr>
                            <w:top w:val="none" w:sz="0" w:space="0" w:color="auto"/>
                            <w:left w:val="none" w:sz="0" w:space="0" w:color="auto"/>
                            <w:bottom w:val="none" w:sz="0" w:space="0" w:color="auto"/>
                            <w:right w:val="none" w:sz="0" w:space="0" w:color="auto"/>
                          </w:divBdr>
                        </w:div>
                        <w:div w:id="289748270">
                          <w:marLeft w:val="0"/>
                          <w:marRight w:val="0"/>
                          <w:marTop w:val="0"/>
                          <w:marBottom w:val="0"/>
                          <w:divBdr>
                            <w:top w:val="none" w:sz="0" w:space="0" w:color="auto"/>
                            <w:left w:val="none" w:sz="0" w:space="0" w:color="auto"/>
                            <w:bottom w:val="none" w:sz="0" w:space="0" w:color="auto"/>
                            <w:right w:val="none" w:sz="0" w:space="0" w:color="auto"/>
                          </w:divBdr>
                        </w:div>
                        <w:div w:id="1171410458">
                          <w:marLeft w:val="0"/>
                          <w:marRight w:val="0"/>
                          <w:marTop w:val="0"/>
                          <w:marBottom w:val="0"/>
                          <w:divBdr>
                            <w:top w:val="none" w:sz="0" w:space="0" w:color="auto"/>
                            <w:left w:val="none" w:sz="0" w:space="0" w:color="auto"/>
                            <w:bottom w:val="none" w:sz="0" w:space="0" w:color="auto"/>
                            <w:right w:val="none" w:sz="0" w:space="0" w:color="auto"/>
                          </w:divBdr>
                        </w:div>
                      </w:divsChild>
                    </w:div>
                    <w:div w:id="1908109005">
                      <w:marLeft w:val="0"/>
                      <w:marRight w:val="0"/>
                      <w:marTop w:val="0"/>
                      <w:marBottom w:val="0"/>
                      <w:divBdr>
                        <w:top w:val="none" w:sz="0" w:space="0" w:color="auto"/>
                        <w:left w:val="none" w:sz="0" w:space="0" w:color="auto"/>
                        <w:bottom w:val="none" w:sz="0" w:space="0" w:color="auto"/>
                        <w:right w:val="none" w:sz="0" w:space="0" w:color="auto"/>
                      </w:divBdr>
                      <w:divsChild>
                        <w:div w:id="589972662">
                          <w:marLeft w:val="0"/>
                          <w:marRight w:val="0"/>
                          <w:marTop w:val="0"/>
                          <w:marBottom w:val="0"/>
                          <w:divBdr>
                            <w:top w:val="none" w:sz="0" w:space="0" w:color="auto"/>
                            <w:left w:val="none" w:sz="0" w:space="0" w:color="auto"/>
                            <w:bottom w:val="none" w:sz="0" w:space="0" w:color="auto"/>
                            <w:right w:val="none" w:sz="0" w:space="0" w:color="auto"/>
                          </w:divBdr>
                        </w:div>
                        <w:div w:id="100418799">
                          <w:marLeft w:val="0"/>
                          <w:marRight w:val="0"/>
                          <w:marTop w:val="0"/>
                          <w:marBottom w:val="0"/>
                          <w:divBdr>
                            <w:top w:val="none" w:sz="0" w:space="0" w:color="auto"/>
                            <w:left w:val="none" w:sz="0" w:space="0" w:color="auto"/>
                            <w:bottom w:val="none" w:sz="0" w:space="0" w:color="auto"/>
                            <w:right w:val="none" w:sz="0" w:space="0" w:color="auto"/>
                          </w:divBdr>
                        </w:div>
                        <w:div w:id="596988831">
                          <w:marLeft w:val="0"/>
                          <w:marRight w:val="0"/>
                          <w:marTop w:val="0"/>
                          <w:marBottom w:val="0"/>
                          <w:divBdr>
                            <w:top w:val="none" w:sz="0" w:space="0" w:color="auto"/>
                            <w:left w:val="none" w:sz="0" w:space="0" w:color="auto"/>
                            <w:bottom w:val="none" w:sz="0" w:space="0" w:color="auto"/>
                            <w:right w:val="none" w:sz="0" w:space="0" w:color="auto"/>
                          </w:divBdr>
                        </w:div>
                        <w:div w:id="773015607">
                          <w:marLeft w:val="0"/>
                          <w:marRight w:val="0"/>
                          <w:marTop w:val="0"/>
                          <w:marBottom w:val="0"/>
                          <w:divBdr>
                            <w:top w:val="none" w:sz="0" w:space="0" w:color="auto"/>
                            <w:left w:val="none" w:sz="0" w:space="0" w:color="auto"/>
                            <w:bottom w:val="none" w:sz="0" w:space="0" w:color="auto"/>
                            <w:right w:val="none" w:sz="0" w:space="0" w:color="auto"/>
                          </w:divBdr>
                        </w:div>
                        <w:div w:id="89010162">
                          <w:marLeft w:val="0"/>
                          <w:marRight w:val="0"/>
                          <w:marTop w:val="0"/>
                          <w:marBottom w:val="0"/>
                          <w:divBdr>
                            <w:top w:val="none" w:sz="0" w:space="0" w:color="auto"/>
                            <w:left w:val="none" w:sz="0" w:space="0" w:color="auto"/>
                            <w:bottom w:val="none" w:sz="0" w:space="0" w:color="auto"/>
                            <w:right w:val="none" w:sz="0" w:space="0" w:color="auto"/>
                          </w:divBdr>
                        </w:div>
                      </w:divsChild>
                    </w:div>
                    <w:div w:id="1479878197">
                      <w:marLeft w:val="0"/>
                      <w:marRight w:val="0"/>
                      <w:marTop w:val="0"/>
                      <w:marBottom w:val="0"/>
                      <w:divBdr>
                        <w:top w:val="none" w:sz="0" w:space="0" w:color="auto"/>
                        <w:left w:val="none" w:sz="0" w:space="0" w:color="auto"/>
                        <w:bottom w:val="none" w:sz="0" w:space="0" w:color="auto"/>
                        <w:right w:val="none" w:sz="0" w:space="0" w:color="auto"/>
                      </w:divBdr>
                      <w:divsChild>
                        <w:div w:id="1559394301">
                          <w:marLeft w:val="0"/>
                          <w:marRight w:val="0"/>
                          <w:marTop w:val="0"/>
                          <w:marBottom w:val="0"/>
                          <w:divBdr>
                            <w:top w:val="none" w:sz="0" w:space="0" w:color="auto"/>
                            <w:left w:val="none" w:sz="0" w:space="0" w:color="auto"/>
                            <w:bottom w:val="none" w:sz="0" w:space="0" w:color="auto"/>
                            <w:right w:val="none" w:sz="0" w:space="0" w:color="auto"/>
                          </w:divBdr>
                        </w:div>
                        <w:div w:id="1033656907">
                          <w:marLeft w:val="0"/>
                          <w:marRight w:val="0"/>
                          <w:marTop w:val="0"/>
                          <w:marBottom w:val="0"/>
                          <w:divBdr>
                            <w:top w:val="none" w:sz="0" w:space="0" w:color="auto"/>
                            <w:left w:val="none" w:sz="0" w:space="0" w:color="auto"/>
                            <w:bottom w:val="none" w:sz="0" w:space="0" w:color="auto"/>
                            <w:right w:val="none" w:sz="0" w:space="0" w:color="auto"/>
                          </w:divBdr>
                        </w:div>
                        <w:div w:id="415635550">
                          <w:marLeft w:val="0"/>
                          <w:marRight w:val="0"/>
                          <w:marTop w:val="0"/>
                          <w:marBottom w:val="0"/>
                          <w:divBdr>
                            <w:top w:val="none" w:sz="0" w:space="0" w:color="auto"/>
                            <w:left w:val="none" w:sz="0" w:space="0" w:color="auto"/>
                            <w:bottom w:val="none" w:sz="0" w:space="0" w:color="auto"/>
                            <w:right w:val="none" w:sz="0" w:space="0" w:color="auto"/>
                          </w:divBdr>
                        </w:div>
                      </w:divsChild>
                    </w:div>
                    <w:div w:id="1062632131">
                      <w:marLeft w:val="0"/>
                      <w:marRight w:val="0"/>
                      <w:marTop w:val="0"/>
                      <w:marBottom w:val="0"/>
                      <w:divBdr>
                        <w:top w:val="none" w:sz="0" w:space="0" w:color="auto"/>
                        <w:left w:val="none" w:sz="0" w:space="0" w:color="auto"/>
                        <w:bottom w:val="none" w:sz="0" w:space="0" w:color="auto"/>
                        <w:right w:val="none" w:sz="0" w:space="0" w:color="auto"/>
                      </w:divBdr>
                      <w:divsChild>
                        <w:div w:id="1220436489">
                          <w:marLeft w:val="0"/>
                          <w:marRight w:val="0"/>
                          <w:marTop w:val="0"/>
                          <w:marBottom w:val="0"/>
                          <w:divBdr>
                            <w:top w:val="none" w:sz="0" w:space="0" w:color="auto"/>
                            <w:left w:val="none" w:sz="0" w:space="0" w:color="auto"/>
                            <w:bottom w:val="none" w:sz="0" w:space="0" w:color="auto"/>
                            <w:right w:val="none" w:sz="0" w:space="0" w:color="auto"/>
                          </w:divBdr>
                        </w:div>
                        <w:div w:id="307783332">
                          <w:marLeft w:val="0"/>
                          <w:marRight w:val="0"/>
                          <w:marTop w:val="0"/>
                          <w:marBottom w:val="0"/>
                          <w:divBdr>
                            <w:top w:val="none" w:sz="0" w:space="0" w:color="auto"/>
                            <w:left w:val="none" w:sz="0" w:space="0" w:color="auto"/>
                            <w:bottom w:val="none" w:sz="0" w:space="0" w:color="auto"/>
                            <w:right w:val="none" w:sz="0" w:space="0" w:color="auto"/>
                          </w:divBdr>
                        </w:div>
                        <w:div w:id="965621196">
                          <w:marLeft w:val="0"/>
                          <w:marRight w:val="0"/>
                          <w:marTop w:val="0"/>
                          <w:marBottom w:val="0"/>
                          <w:divBdr>
                            <w:top w:val="none" w:sz="0" w:space="0" w:color="auto"/>
                            <w:left w:val="none" w:sz="0" w:space="0" w:color="auto"/>
                            <w:bottom w:val="none" w:sz="0" w:space="0" w:color="auto"/>
                            <w:right w:val="none" w:sz="0" w:space="0" w:color="auto"/>
                          </w:divBdr>
                        </w:div>
                        <w:div w:id="2002079236">
                          <w:marLeft w:val="0"/>
                          <w:marRight w:val="0"/>
                          <w:marTop w:val="0"/>
                          <w:marBottom w:val="0"/>
                          <w:divBdr>
                            <w:top w:val="none" w:sz="0" w:space="0" w:color="auto"/>
                            <w:left w:val="none" w:sz="0" w:space="0" w:color="auto"/>
                            <w:bottom w:val="none" w:sz="0" w:space="0" w:color="auto"/>
                            <w:right w:val="none" w:sz="0" w:space="0" w:color="auto"/>
                          </w:divBdr>
                        </w:div>
                        <w:div w:id="2125803602">
                          <w:marLeft w:val="0"/>
                          <w:marRight w:val="0"/>
                          <w:marTop w:val="0"/>
                          <w:marBottom w:val="0"/>
                          <w:divBdr>
                            <w:top w:val="none" w:sz="0" w:space="0" w:color="auto"/>
                            <w:left w:val="none" w:sz="0" w:space="0" w:color="auto"/>
                            <w:bottom w:val="none" w:sz="0" w:space="0" w:color="auto"/>
                            <w:right w:val="none" w:sz="0" w:space="0" w:color="auto"/>
                          </w:divBdr>
                        </w:div>
                        <w:div w:id="1411079004">
                          <w:marLeft w:val="0"/>
                          <w:marRight w:val="0"/>
                          <w:marTop w:val="0"/>
                          <w:marBottom w:val="0"/>
                          <w:divBdr>
                            <w:top w:val="none" w:sz="0" w:space="0" w:color="auto"/>
                            <w:left w:val="none" w:sz="0" w:space="0" w:color="auto"/>
                            <w:bottom w:val="none" w:sz="0" w:space="0" w:color="auto"/>
                            <w:right w:val="none" w:sz="0" w:space="0" w:color="auto"/>
                          </w:divBdr>
                        </w:div>
                        <w:div w:id="58788140">
                          <w:marLeft w:val="0"/>
                          <w:marRight w:val="0"/>
                          <w:marTop w:val="0"/>
                          <w:marBottom w:val="0"/>
                          <w:divBdr>
                            <w:top w:val="none" w:sz="0" w:space="0" w:color="auto"/>
                            <w:left w:val="none" w:sz="0" w:space="0" w:color="auto"/>
                            <w:bottom w:val="none" w:sz="0" w:space="0" w:color="auto"/>
                            <w:right w:val="none" w:sz="0" w:space="0" w:color="auto"/>
                          </w:divBdr>
                        </w:div>
                        <w:div w:id="1548254164">
                          <w:marLeft w:val="0"/>
                          <w:marRight w:val="0"/>
                          <w:marTop w:val="0"/>
                          <w:marBottom w:val="0"/>
                          <w:divBdr>
                            <w:top w:val="none" w:sz="0" w:space="0" w:color="auto"/>
                            <w:left w:val="none" w:sz="0" w:space="0" w:color="auto"/>
                            <w:bottom w:val="none" w:sz="0" w:space="0" w:color="auto"/>
                            <w:right w:val="none" w:sz="0" w:space="0" w:color="auto"/>
                          </w:divBdr>
                        </w:div>
                        <w:div w:id="826753064">
                          <w:marLeft w:val="0"/>
                          <w:marRight w:val="0"/>
                          <w:marTop w:val="0"/>
                          <w:marBottom w:val="0"/>
                          <w:divBdr>
                            <w:top w:val="none" w:sz="0" w:space="0" w:color="auto"/>
                            <w:left w:val="none" w:sz="0" w:space="0" w:color="auto"/>
                            <w:bottom w:val="none" w:sz="0" w:space="0" w:color="auto"/>
                            <w:right w:val="none" w:sz="0" w:space="0" w:color="auto"/>
                          </w:divBdr>
                        </w:div>
                        <w:div w:id="1337265061">
                          <w:marLeft w:val="0"/>
                          <w:marRight w:val="0"/>
                          <w:marTop w:val="0"/>
                          <w:marBottom w:val="0"/>
                          <w:divBdr>
                            <w:top w:val="none" w:sz="0" w:space="0" w:color="auto"/>
                            <w:left w:val="none" w:sz="0" w:space="0" w:color="auto"/>
                            <w:bottom w:val="none" w:sz="0" w:space="0" w:color="auto"/>
                            <w:right w:val="none" w:sz="0" w:space="0" w:color="auto"/>
                          </w:divBdr>
                        </w:div>
                      </w:divsChild>
                    </w:div>
                    <w:div w:id="1505903458">
                      <w:marLeft w:val="0"/>
                      <w:marRight w:val="0"/>
                      <w:marTop w:val="0"/>
                      <w:marBottom w:val="0"/>
                      <w:divBdr>
                        <w:top w:val="none" w:sz="0" w:space="0" w:color="auto"/>
                        <w:left w:val="none" w:sz="0" w:space="0" w:color="auto"/>
                        <w:bottom w:val="none" w:sz="0" w:space="0" w:color="auto"/>
                        <w:right w:val="none" w:sz="0" w:space="0" w:color="auto"/>
                      </w:divBdr>
                      <w:divsChild>
                        <w:div w:id="735588288">
                          <w:marLeft w:val="0"/>
                          <w:marRight w:val="0"/>
                          <w:marTop w:val="0"/>
                          <w:marBottom w:val="0"/>
                          <w:divBdr>
                            <w:top w:val="none" w:sz="0" w:space="0" w:color="auto"/>
                            <w:left w:val="none" w:sz="0" w:space="0" w:color="auto"/>
                            <w:bottom w:val="none" w:sz="0" w:space="0" w:color="auto"/>
                            <w:right w:val="none" w:sz="0" w:space="0" w:color="auto"/>
                          </w:divBdr>
                        </w:div>
                        <w:div w:id="1637642201">
                          <w:marLeft w:val="0"/>
                          <w:marRight w:val="0"/>
                          <w:marTop w:val="0"/>
                          <w:marBottom w:val="0"/>
                          <w:divBdr>
                            <w:top w:val="none" w:sz="0" w:space="0" w:color="auto"/>
                            <w:left w:val="none" w:sz="0" w:space="0" w:color="auto"/>
                            <w:bottom w:val="none" w:sz="0" w:space="0" w:color="auto"/>
                            <w:right w:val="none" w:sz="0" w:space="0" w:color="auto"/>
                          </w:divBdr>
                        </w:div>
                        <w:div w:id="2067602897">
                          <w:marLeft w:val="0"/>
                          <w:marRight w:val="0"/>
                          <w:marTop w:val="0"/>
                          <w:marBottom w:val="0"/>
                          <w:divBdr>
                            <w:top w:val="none" w:sz="0" w:space="0" w:color="auto"/>
                            <w:left w:val="none" w:sz="0" w:space="0" w:color="auto"/>
                            <w:bottom w:val="none" w:sz="0" w:space="0" w:color="auto"/>
                            <w:right w:val="none" w:sz="0" w:space="0" w:color="auto"/>
                          </w:divBdr>
                        </w:div>
                        <w:div w:id="1620255711">
                          <w:marLeft w:val="0"/>
                          <w:marRight w:val="0"/>
                          <w:marTop w:val="0"/>
                          <w:marBottom w:val="0"/>
                          <w:divBdr>
                            <w:top w:val="none" w:sz="0" w:space="0" w:color="auto"/>
                            <w:left w:val="none" w:sz="0" w:space="0" w:color="auto"/>
                            <w:bottom w:val="none" w:sz="0" w:space="0" w:color="auto"/>
                            <w:right w:val="none" w:sz="0" w:space="0" w:color="auto"/>
                          </w:divBdr>
                        </w:div>
                        <w:div w:id="598222104">
                          <w:marLeft w:val="0"/>
                          <w:marRight w:val="0"/>
                          <w:marTop w:val="0"/>
                          <w:marBottom w:val="0"/>
                          <w:divBdr>
                            <w:top w:val="none" w:sz="0" w:space="0" w:color="auto"/>
                            <w:left w:val="none" w:sz="0" w:space="0" w:color="auto"/>
                            <w:bottom w:val="none" w:sz="0" w:space="0" w:color="auto"/>
                            <w:right w:val="none" w:sz="0" w:space="0" w:color="auto"/>
                          </w:divBdr>
                        </w:div>
                        <w:div w:id="633755133">
                          <w:marLeft w:val="0"/>
                          <w:marRight w:val="0"/>
                          <w:marTop w:val="0"/>
                          <w:marBottom w:val="0"/>
                          <w:divBdr>
                            <w:top w:val="none" w:sz="0" w:space="0" w:color="auto"/>
                            <w:left w:val="none" w:sz="0" w:space="0" w:color="auto"/>
                            <w:bottom w:val="none" w:sz="0" w:space="0" w:color="auto"/>
                            <w:right w:val="none" w:sz="0" w:space="0" w:color="auto"/>
                          </w:divBdr>
                        </w:div>
                      </w:divsChild>
                    </w:div>
                    <w:div w:id="603803022">
                      <w:marLeft w:val="0"/>
                      <w:marRight w:val="0"/>
                      <w:marTop w:val="0"/>
                      <w:marBottom w:val="0"/>
                      <w:divBdr>
                        <w:top w:val="none" w:sz="0" w:space="0" w:color="auto"/>
                        <w:left w:val="none" w:sz="0" w:space="0" w:color="auto"/>
                        <w:bottom w:val="none" w:sz="0" w:space="0" w:color="auto"/>
                        <w:right w:val="none" w:sz="0" w:space="0" w:color="auto"/>
                      </w:divBdr>
                      <w:divsChild>
                        <w:div w:id="856962211">
                          <w:marLeft w:val="0"/>
                          <w:marRight w:val="0"/>
                          <w:marTop w:val="0"/>
                          <w:marBottom w:val="0"/>
                          <w:divBdr>
                            <w:top w:val="none" w:sz="0" w:space="0" w:color="auto"/>
                            <w:left w:val="none" w:sz="0" w:space="0" w:color="auto"/>
                            <w:bottom w:val="none" w:sz="0" w:space="0" w:color="auto"/>
                            <w:right w:val="none" w:sz="0" w:space="0" w:color="auto"/>
                          </w:divBdr>
                        </w:div>
                        <w:div w:id="1791434471">
                          <w:marLeft w:val="0"/>
                          <w:marRight w:val="0"/>
                          <w:marTop w:val="0"/>
                          <w:marBottom w:val="0"/>
                          <w:divBdr>
                            <w:top w:val="none" w:sz="0" w:space="0" w:color="auto"/>
                            <w:left w:val="none" w:sz="0" w:space="0" w:color="auto"/>
                            <w:bottom w:val="none" w:sz="0" w:space="0" w:color="auto"/>
                            <w:right w:val="none" w:sz="0" w:space="0" w:color="auto"/>
                          </w:divBdr>
                        </w:div>
                        <w:div w:id="108621498">
                          <w:marLeft w:val="0"/>
                          <w:marRight w:val="0"/>
                          <w:marTop w:val="0"/>
                          <w:marBottom w:val="0"/>
                          <w:divBdr>
                            <w:top w:val="none" w:sz="0" w:space="0" w:color="auto"/>
                            <w:left w:val="none" w:sz="0" w:space="0" w:color="auto"/>
                            <w:bottom w:val="none" w:sz="0" w:space="0" w:color="auto"/>
                            <w:right w:val="none" w:sz="0" w:space="0" w:color="auto"/>
                          </w:divBdr>
                        </w:div>
                        <w:div w:id="168103434">
                          <w:marLeft w:val="0"/>
                          <w:marRight w:val="0"/>
                          <w:marTop w:val="0"/>
                          <w:marBottom w:val="0"/>
                          <w:divBdr>
                            <w:top w:val="none" w:sz="0" w:space="0" w:color="auto"/>
                            <w:left w:val="none" w:sz="0" w:space="0" w:color="auto"/>
                            <w:bottom w:val="none" w:sz="0" w:space="0" w:color="auto"/>
                            <w:right w:val="none" w:sz="0" w:space="0" w:color="auto"/>
                          </w:divBdr>
                        </w:div>
                      </w:divsChild>
                    </w:div>
                    <w:div w:id="92019211">
                      <w:marLeft w:val="0"/>
                      <w:marRight w:val="0"/>
                      <w:marTop w:val="0"/>
                      <w:marBottom w:val="0"/>
                      <w:divBdr>
                        <w:top w:val="none" w:sz="0" w:space="0" w:color="auto"/>
                        <w:left w:val="none" w:sz="0" w:space="0" w:color="auto"/>
                        <w:bottom w:val="none" w:sz="0" w:space="0" w:color="auto"/>
                        <w:right w:val="none" w:sz="0" w:space="0" w:color="auto"/>
                      </w:divBdr>
                      <w:divsChild>
                        <w:div w:id="1332173671">
                          <w:marLeft w:val="0"/>
                          <w:marRight w:val="0"/>
                          <w:marTop w:val="0"/>
                          <w:marBottom w:val="0"/>
                          <w:divBdr>
                            <w:top w:val="none" w:sz="0" w:space="0" w:color="auto"/>
                            <w:left w:val="none" w:sz="0" w:space="0" w:color="auto"/>
                            <w:bottom w:val="none" w:sz="0" w:space="0" w:color="auto"/>
                            <w:right w:val="none" w:sz="0" w:space="0" w:color="auto"/>
                          </w:divBdr>
                        </w:div>
                        <w:div w:id="561411326">
                          <w:marLeft w:val="0"/>
                          <w:marRight w:val="0"/>
                          <w:marTop w:val="0"/>
                          <w:marBottom w:val="0"/>
                          <w:divBdr>
                            <w:top w:val="none" w:sz="0" w:space="0" w:color="auto"/>
                            <w:left w:val="none" w:sz="0" w:space="0" w:color="auto"/>
                            <w:bottom w:val="none" w:sz="0" w:space="0" w:color="auto"/>
                            <w:right w:val="none" w:sz="0" w:space="0" w:color="auto"/>
                          </w:divBdr>
                        </w:div>
                        <w:div w:id="1349141796">
                          <w:marLeft w:val="0"/>
                          <w:marRight w:val="0"/>
                          <w:marTop w:val="0"/>
                          <w:marBottom w:val="0"/>
                          <w:divBdr>
                            <w:top w:val="none" w:sz="0" w:space="0" w:color="auto"/>
                            <w:left w:val="none" w:sz="0" w:space="0" w:color="auto"/>
                            <w:bottom w:val="none" w:sz="0" w:space="0" w:color="auto"/>
                            <w:right w:val="none" w:sz="0" w:space="0" w:color="auto"/>
                          </w:divBdr>
                        </w:div>
                        <w:div w:id="406461280">
                          <w:marLeft w:val="0"/>
                          <w:marRight w:val="0"/>
                          <w:marTop w:val="0"/>
                          <w:marBottom w:val="0"/>
                          <w:divBdr>
                            <w:top w:val="none" w:sz="0" w:space="0" w:color="auto"/>
                            <w:left w:val="none" w:sz="0" w:space="0" w:color="auto"/>
                            <w:bottom w:val="none" w:sz="0" w:space="0" w:color="auto"/>
                            <w:right w:val="none" w:sz="0" w:space="0" w:color="auto"/>
                          </w:divBdr>
                        </w:div>
                        <w:div w:id="1006247581">
                          <w:marLeft w:val="0"/>
                          <w:marRight w:val="0"/>
                          <w:marTop w:val="0"/>
                          <w:marBottom w:val="0"/>
                          <w:divBdr>
                            <w:top w:val="none" w:sz="0" w:space="0" w:color="auto"/>
                            <w:left w:val="none" w:sz="0" w:space="0" w:color="auto"/>
                            <w:bottom w:val="none" w:sz="0" w:space="0" w:color="auto"/>
                            <w:right w:val="none" w:sz="0" w:space="0" w:color="auto"/>
                          </w:divBdr>
                        </w:div>
                        <w:div w:id="1325089406">
                          <w:marLeft w:val="0"/>
                          <w:marRight w:val="0"/>
                          <w:marTop w:val="0"/>
                          <w:marBottom w:val="0"/>
                          <w:divBdr>
                            <w:top w:val="none" w:sz="0" w:space="0" w:color="auto"/>
                            <w:left w:val="none" w:sz="0" w:space="0" w:color="auto"/>
                            <w:bottom w:val="none" w:sz="0" w:space="0" w:color="auto"/>
                            <w:right w:val="none" w:sz="0" w:space="0" w:color="auto"/>
                          </w:divBdr>
                        </w:div>
                        <w:div w:id="2163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100644">
                  <w:marLeft w:val="0"/>
                  <w:marRight w:val="0"/>
                  <w:marTop w:val="0"/>
                  <w:marBottom w:val="0"/>
                  <w:divBdr>
                    <w:top w:val="none" w:sz="0" w:space="0" w:color="auto"/>
                    <w:left w:val="none" w:sz="0" w:space="0" w:color="auto"/>
                    <w:bottom w:val="none" w:sz="0" w:space="0" w:color="auto"/>
                    <w:right w:val="none" w:sz="0" w:space="0" w:color="auto"/>
                  </w:divBdr>
                  <w:divsChild>
                    <w:div w:id="1897469444">
                      <w:marLeft w:val="0"/>
                      <w:marRight w:val="0"/>
                      <w:marTop w:val="0"/>
                      <w:marBottom w:val="0"/>
                      <w:divBdr>
                        <w:top w:val="none" w:sz="0" w:space="0" w:color="auto"/>
                        <w:left w:val="none" w:sz="0" w:space="0" w:color="auto"/>
                        <w:bottom w:val="none" w:sz="0" w:space="0" w:color="auto"/>
                        <w:right w:val="none" w:sz="0" w:space="0" w:color="auto"/>
                      </w:divBdr>
                    </w:div>
                    <w:div w:id="337852359">
                      <w:marLeft w:val="0"/>
                      <w:marRight w:val="0"/>
                      <w:marTop w:val="0"/>
                      <w:marBottom w:val="0"/>
                      <w:divBdr>
                        <w:top w:val="none" w:sz="0" w:space="0" w:color="auto"/>
                        <w:left w:val="none" w:sz="0" w:space="0" w:color="auto"/>
                        <w:bottom w:val="none" w:sz="0" w:space="0" w:color="auto"/>
                        <w:right w:val="none" w:sz="0" w:space="0" w:color="auto"/>
                      </w:divBdr>
                      <w:divsChild>
                        <w:div w:id="658849800">
                          <w:marLeft w:val="0"/>
                          <w:marRight w:val="0"/>
                          <w:marTop w:val="0"/>
                          <w:marBottom w:val="0"/>
                          <w:divBdr>
                            <w:top w:val="none" w:sz="0" w:space="0" w:color="auto"/>
                            <w:left w:val="none" w:sz="0" w:space="0" w:color="auto"/>
                            <w:bottom w:val="none" w:sz="0" w:space="0" w:color="auto"/>
                            <w:right w:val="none" w:sz="0" w:space="0" w:color="auto"/>
                          </w:divBdr>
                        </w:div>
                        <w:div w:id="1801799990">
                          <w:marLeft w:val="0"/>
                          <w:marRight w:val="0"/>
                          <w:marTop w:val="0"/>
                          <w:marBottom w:val="0"/>
                          <w:divBdr>
                            <w:top w:val="none" w:sz="0" w:space="0" w:color="auto"/>
                            <w:left w:val="none" w:sz="0" w:space="0" w:color="auto"/>
                            <w:bottom w:val="none" w:sz="0" w:space="0" w:color="auto"/>
                            <w:right w:val="none" w:sz="0" w:space="0" w:color="auto"/>
                          </w:divBdr>
                          <w:divsChild>
                            <w:div w:id="2062751360">
                              <w:marLeft w:val="0"/>
                              <w:marRight w:val="0"/>
                              <w:marTop w:val="0"/>
                              <w:marBottom w:val="0"/>
                              <w:divBdr>
                                <w:top w:val="none" w:sz="0" w:space="0" w:color="auto"/>
                                <w:left w:val="none" w:sz="0" w:space="0" w:color="auto"/>
                                <w:bottom w:val="none" w:sz="0" w:space="0" w:color="auto"/>
                                <w:right w:val="none" w:sz="0" w:space="0" w:color="auto"/>
                              </w:divBdr>
                            </w:div>
                            <w:div w:id="1599412233">
                              <w:marLeft w:val="0"/>
                              <w:marRight w:val="0"/>
                              <w:marTop w:val="0"/>
                              <w:marBottom w:val="0"/>
                              <w:divBdr>
                                <w:top w:val="none" w:sz="0" w:space="0" w:color="auto"/>
                                <w:left w:val="none" w:sz="0" w:space="0" w:color="auto"/>
                                <w:bottom w:val="none" w:sz="0" w:space="0" w:color="auto"/>
                                <w:right w:val="none" w:sz="0" w:space="0" w:color="auto"/>
                              </w:divBdr>
                            </w:div>
                            <w:div w:id="1270700857">
                              <w:marLeft w:val="0"/>
                              <w:marRight w:val="0"/>
                              <w:marTop w:val="0"/>
                              <w:marBottom w:val="0"/>
                              <w:divBdr>
                                <w:top w:val="none" w:sz="0" w:space="0" w:color="auto"/>
                                <w:left w:val="none" w:sz="0" w:space="0" w:color="auto"/>
                                <w:bottom w:val="none" w:sz="0" w:space="0" w:color="auto"/>
                                <w:right w:val="none" w:sz="0" w:space="0" w:color="auto"/>
                              </w:divBdr>
                            </w:div>
                            <w:div w:id="1207451154">
                              <w:marLeft w:val="0"/>
                              <w:marRight w:val="0"/>
                              <w:marTop w:val="0"/>
                              <w:marBottom w:val="0"/>
                              <w:divBdr>
                                <w:top w:val="none" w:sz="0" w:space="0" w:color="auto"/>
                                <w:left w:val="none" w:sz="0" w:space="0" w:color="auto"/>
                                <w:bottom w:val="none" w:sz="0" w:space="0" w:color="auto"/>
                                <w:right w:val="none" w:sz="0" w:space="0" w:color="auto"/>
                              </w:divBdr>
                            </w:div>
                            <w:div w:id="1467745793">
                              <w:marLeft w:val="0"/>
                              <w:marRight w:val="0"/>
                              <w:marTop w:val="0"/>
                              <w:marBottom w:val="0"/>
                              <w:divBdr>
                                <w:top w:val="none" w:sz="0" w:space="0" w:color="auto"/>
                                <w:left w:val="none" w:sz="0" w:space="0" w:color="auto"/>
                                <w:bottom w:val="none" w:sz="0" w:space="0" w:color="auto"/>
                                <w:right w:val="none" w:sz="0" w:space="0" w:color="auto"/>
                              </w:divBdr>
                            </w:div>
                          </w:divsChild>
                        </w:div>
                        <w:div w:id="294798421">
                          <w:marLeft w:val="0"/>
                          <w:marRight w:val="0"/>
                          <w:marTop w:val="0"/>
                          <w:marBottom w:val="0"/>
                          <w:divBdr>
                            <w:top w:val="none" w:sz="0" w:space="0" w:color="auto"/>
                            <w:left w:val="none" w:sz="0" w:space="0" w:color="auto"/>
                            <w:bottom w:val="none" w:sz="0" w:space="0" w:color="auto"/>
                            <w:right w:val="none" w:sz="0" w:space="0" w:color="auto"/>
                          </w:divBdr>
                          <w:divsChild>
                            <w:div w:id="1037775254">
                              <w:marLeft w:val="0"/>
                              <w:marRight w:val="0"/>
                              <w:marTop w:val="0"/>
                              <w:marBottom w:val="0"/>
                              <w:divBdr>
                                <w:top w:val="none" w:sz="0" w:space="0" w:color="auto"/>
                                <w:left w:val="none" w:sz="0" w:space="0" w:color="auto"/>
                                <w:bottom w:val="none" w:sz="0" w:space="0" w:color="auto"/>
                                <w:right w:val="none" w:sz="0" w:space="0" w:color="auto"/>
                              </w:divBdr>
                            </w:div>
                            <w:div w:id="1199467575">
                              <w:marLeft w:val="0"/>
                              <w:marRight w:val="0"/>
                              <w:marTop w:val="0"/>
                              <w:marBottom w:val="0"/>
                              <w:divBdr>
                                <w:top w:val="none" w:sz="0" w:space="0" w:color="auto"/>
                                <w:left w:val="none" w:sz="0" w:space="0" w:color="auto"/>
                                <w:bottom w:val="none" w:sz="0" w:space="0" w:color="auto"/>
                                <w:right w:val="none" w:sz="0" w:space="0" w:color="auto"/>
                              </w:divBdr>
                            </w:div>
                            <w:div w:id="761343490">
                              <w:marLeft w:val="0"/>
                              <w:marRight w:val="0"/>
                              <w:marTop w:val="0"/>
                              <w:marBottom w:val="0"/>
                              <w:divBdr>
                                <w:top w:val="none" w:sz="0" w:space="0" w:color="auto"/>
                                <w:left w:val="none" w:sz="0" w:space="0" w:color="auto"/>
                                <w:bottom w:val="none" w:sz="0" w:space="0" w:color="auto"/>
                                <w:right w:val="none" w:sz="0" w:space="0" w:color="auto"/>
                              </w:divBdr>
                            </w:div>
                            <w:div w:id="205143243">
                              <w:marLeft w:val="0"/>
                              <w:marRight w:val="0"/>
                              <w:marTop w:val="0"/>
                              <w:marBottom w:val="0"/>
                              <w:divBdr>
                                <w:top w:val="none" w:sz="0" w:space="0" w:color="auto"/>
                                <w:left w:val="none" w:sz="0" w:space="0" w:color="auto"/>
                                <w:bottom w:val="none" w:sz="0" w:space="0" w:color="auto"/>
                                <w:right w:val="none" w:sz="0" w:space="0" w:color="auto"/>
                              </w:divBdr>
                            </w:div>
                            <w:div w:id="1359967857">
                              <w:marLeft w:val="0"/>
                              <w:marRight w:val="0"/>
                              <w:marTop w:val="0"/>
                              <w:marBottom w:val="0"/>
                              <w:divBdr>
                                <w:top w:val="none" w:sz="0" w:space="0" w:color="auto"/>
                                <w:left w:val="none" w:sz="0" w:space="0" w:color="auto"/>
                                <w:bottom w:val="none" w:sz="0" w:space="0" w:color="auto"/>
                                <w:right w:val="none" w:sz="0" w:space="0" w:color="auto"/>
                              </w:divBdr>
                            </w:div>
                            <w:div w:id="45568026">
                              <w:marLeft w:val="0"/>
                              <w:marRight w:val="0"/>
                              <w:marTop w:val="0"/>
                              <w:marBottom w:val="0"/>
                              <w:divBdr>
                                <w:top w:val="none" w:sz="0" w:space="0" w:color="auto"/>
                                <w:left w:val="none" w:sz="0" w:space="0" w:color="auto"/>
                                <w:bottom w:val="none" w:sz="0" w:space="0" w:color="auto"/>
                                <w:right w:val="none" w:sz="0" w:space="0" w:color="auto"/>
                              </w:divBdr>
                            </w:div>
                            <w:div w:id="36242759">
                              <w:marLeft w:val="0"/>
                              <w:marRight w:val="0"/>
                              <w:marTop w:val="0"/>
                              <w:marBottom w:val="0"/>
                              <w:divBdr>
                                <w:top w:val="none" w:sz="0" w:space="0" w:color="auto"/>
                                <w:left w:val="none" w:sz="0" w:space="0" w:color="auto"/>
                                <w:bottom w:val="none" w:sz="0" w:space="0" w:color="auto"/>
                                <w:right w:val="none" w:sz="0" w:space="0" w:color="auto"/>
                              </w:divBdr>
                            </w:div>
                            <w:div w:id="1911767332">
                              <w:marLeft w:val="0"/>
                              <w:marRight w:val="0"/>
                              <w:marTop w:val="0"/>
                              <w:marBottom w:val="0"/>
                              <w:divBdr>
                                <w:top w:val="none" w:sz="0" w:space="0" w:color="auto"/>
                                <w:left w:val="none" w:sz="0" w:space="0" w:color="auto"/>
                                <w:bottom w:val="none" w:sz="0" w:space="0" w:color="auto"/>
                                <w:right w:val="none" w:sz="0" w:space="0" w:color="auto"/>
                              </w:divBdr>
                            </w:div>
                            <w:div w:id="577978770">
                              <w:marLeft w:val="0"/>
                              <w:marRight w:val="0"/>
                              <w:marTop w:val="0"/>
                              <w:marBottom w:val="0"/>
                              <w:divBdr>
                                <w:top w:val="none" w:sz="0" w:space="0" w:color="auto"/>
                                <w:left w:val="none" w:sz="0" w:space="0" w:color="auto"/>
                                <w:bottom w:val="none" w:sz="0" w:space="0" w:color="auto"/>
                                <w:right w:val="none" w:sz="0" w:space="0" w:color="auto"/>
                              </w:divBdr>
                            </w:div>
                          </w:divsChild>
                        </w:div>
                        <w:div w:id="536550811">
                          <w:marLeft w:val="0"/>
                          <w:marRight w:val="0"/>
                          <w:marTop w:val="0"/>
                          <w:marBottom w:val="0"/>
                          <w:divBdr>
                            <w:top w:val="none" w:sz="0" w:space="0" w:color="auto"/>
                            <w:left w:val="none" w:sz="0" w:space="0" w:color="auto"/>
                            <w:bottom w:val="none" w:sz="0" w:space="0" w:color="auto"/>
                            <w:right w:val="none" w:sz="0" w:space="0" w:color="auto"/>
                          </w:divBdr>
                          <w:divsChild>
                            <w:div w:id="475686544">
                              <w:marLeft w:val="0"/>
                              <w:marRight w:val="0"/>
                              <w:marTop w:val="0"/>
                              <w:marBottom w:val="0"/>
                              <w:divBdr>
                                <w:top w:val="none" w:sz="0" w:space="0" w:color="auto"/>
                                <w:left w:val="none" w:sz="0" w:space="0" w:color="auto"/>
                                <w:bottom w:val="none" w:sz="0" w:space="0" w:color="auto"/>
                                <w:right w:val="none" w:sz="0" w:space="0" w:color="auto"/>
                              </w:divBdr>
                            </w:div>
                            <w:div w:id="1165977353">
                              <w:marLeft w:val="0"/>
                              <w:marRight w:val="0"/>
                              <w:marTop w:val="0"/>
                              <w:marBottom w:val="0"/>
                              <w:divBdr>
                                <w:top w:val="none" w:sz="0" w:space="0" w:color="auto"/>
                                <w:left w:val="none" w:sz="0" w:space="0" w:color="auto"/>
                                <w:bottom w:val="none" w:sz="0" w:space="0" w:color="auto"/>
                                <w:right w:val="none" w:sz="0" w:space="0" w:color="auto"/>
                              </w:divBdr>
                            </w:div>
                            <w:div w:id="1512376965">
                              <w:marLeft w:val="0"/>
                              <w:marRight w:val="0"/>
                              <w:marTop w:val="0"/>
                              <w:marBottom w:val="0"/>
                              <w:divBdr>
                                <w:top w:val="none" w:sz="0" w:space="0" w:color="auto"/>
                                <w:left w:val="none" w:sz="0" w:space="0" w:color="auto"/>
                                <w:bottom w:val="none" w:sz="0" w:space="0" w:color="auto"/>
                                <w:right w:val="none" w:sz="0" w:space="0" w:color="auto"/>
                              </w:divBdr>
                            </w:div>
                            <w:div w:id="551648478">
                              <w:marLeft w:val="0"/>
                              <w:marRight w:val="0"/>
                              <w:marTop w:val="0"/>
                              <w:marBottom w:val="0"/>
                              <w:divBdr>
                                <w:top w:val="none" w:sz="0" w:space="0" w:color="auto"/>
                                <w:left w:val="none" w:sz="0" w:space="0" w:color="auto"/>
                                <w:bottom w:val="none" w:sz="0" w:space="0" w:color="auto"/>
                                <w:right w:val="none" w:sz="0" w:space="0" w:color="auto"/>
                              </w:divBdr>
                            </w:div>
                            <w:div w:id="1859538701">
                              <w:marLeft w:val="0"/>
                              <w:marRight w:val="0"/>
                              <w:marTop w:val="0"/>
                              <w:marBottom w:val="0"/>
                              <w:divBdr>
                                <w:top w:val="none" w:sz="0" w:space="0" w:color="auto"/>
                                <w:left w:val="none" w:sz="0" w:space="0" w:color="auto"/>
                                <w:bottom w:val="none" w:sz="0" w:space="0" w:color="auto"/>
                                <w:right w:val="none" w:sz="0" w:space="0" w:color="auto"/>
                              </w:divBdr>
                            </w:div>
                            <w:div w:id="611786453">
                              <w:marLeft w:val="0"/>
                              <w:marRight w:val="0"/>
                              <w:marTop w:val="0"/>
                              <w:marBottom w:val="0"/>
                              <w:divBdr>
                                <w:top w:val="none" w:sz="0" w:space="0" w:color="auto"/>
                                <w:left w:val="none" w:sz="0" w:space="0" w:color="auto"/>
                                <w:bottom w:val="none" w:sz="0" w:space="0" w:color="auto"/>
                                <w:right w:val="none" w:sz="0" w:space="0" w:color="auto"/>
                              </w:divBdr>
                            </w:div>
                            <w:div w:id="1544441970">
                              <w:marLeft w:val="0"/>
                              <w:marRight w:val="0"/>
                              <w:marTop w:val="0"/>
                              <w:marBottom w:val="0"/>
                              <w:divBdr>
                                <w:top w:val="none" w:sz="0" w:space="0" w:color="auto"/>
                                <w:left w:val="none" w:sz="0" w:space="0" w:color="auto"/>
                                <w:bottom w:val="none" w:sz="0" w:space="0" w:color="auto"/>
                                <w:right w:val="none" w:sz="0" w:space="0" w:color="auto"/>
                              </w:divBdr>
                            </w:div>
                            <w:div w:id="1040856892">
                              <w:marLeft w:val="0"/>
                              <w:marRight w:val="0"/>
                              <w:marTop w:val="0"/>
                              <w:marBottom w:val="0"/>
                              <w:divBdr>
                                <w:top w:val="none" w:sz="0" w:space="0" w:color="auto"/>
                                <w:left w:val="none" w:sz="0" w:space="0" w:color="auto"/>
                                <w:bottom w:val="none" w:sz="0" w:space="0" w:color="auto"/>
                                <w:right w:val="none" w:sz="0" w:space="0" w:color="auto"/>
                              </w:divBdr>
                            </w:div>
                          </w:divsChild>
                        </w:div>
                        <w:div w:id="1533881054">
                          <w:marLeft w:val="0"/>
                          <w:marRight w:val="0"/>
                          <w:marTop w:val="0"/>
                          <w:marBottom w:val="0"/>
                          <w:divBdr>
                            <w:top w:val="none" w:sz="0" w:space="0" w:color="auto"/>
                            <w:left w:val="none" w:sz="0" w:space="0" w:color="auto"/>
                            <w:bottom w:val="none" w:sz="0" w:space="0" w:color="auto"/>
                            <w:right w:val="none" w:sz="0" w:space="0" w:color="auto"/>
                          </w:divBdr>
                          <w:divsChild>
                            <w:div w:id="1422213588">
                              <w:marLeft w:val="0"/>
                              <w:marRight w:val="0"/>
                              <w:marTop w:val="0"/>
                              <w:marBottom w:val="0"/>
                              <w:divBdr>
                                <w:top w:val="none" w:sz="0" w:space="0" w:color="auto"/>
                                <w:left w:val="none" w:sz="0" w:space="0" w:color="auto"/>
                                <w:bottom w:val="none" w:sz="0" w:space="0" w:color="auto"/>
                                <w:right w:val="none" w:sz="0" w:space="0" w:color="auto"/>
                              </w:divBdr>
                            </w:div>
                            <w:div w:id="1767001588">
                              <w:marLeft w:val="0"/>
                              <w:marRight w:val="0"/>
                              <w:marTop w:val="0"/>
                              <w:marBottom w:val="0"/>
                              <w:divBdr>
                                <w:top w:val="none" w:sz="0" w:space="0" w:color="auto"/>
                                <w:left w:val="none" w:sz="0" w:space="0" w:color="auto"/>
                                <w:bottom w:val="none" w:sz="0" w:space="0" w:color="auto"/>
                                <w:right w:val="none" w:sz="0" w:space="0" w:color="auto"/>
                              </w:divBdr>
                            </w:div>
                            <w:div w:id="654066386">
                              <w:marLeft w:val="0"/>
                              <w:marRight w:val="0"/>
                              <w:marTop w:val="0"/>
                              <w:marBottom w:val="0"/>
                              <w:divBdr>
                                <w:top w:val="none" w:sz="0" w:space="0" w:color="auto"/>
                                <w:left w:val="none" w:sz="0" w:space="0" w:color="auto"/>
                                <w:bottom w:val="none" w:sz="0" w:space="0" w:color="auto"/>
                                <w:right w:val="none" w:sz="0" w:space="0" w:color="auto"/>
                              </w:divBdr>
                            </w:div>
                            <w:div w:id="435370815">
                              <w:marLeft w:val="0"/>
                              <w:marRight w:val="0"/>
                              <w:marTop w:val="0"/>
                              <w:marBottom w:val="0"/>
                              <w:divBdr>
                                <w:top w:val="none" w:sz="0" w:space="0" w:color="auto"/>
                                <w:left w:val="none" w:sz="0" w:space="0" w:color="auto"/>
                                <w:bottom w:val="none" w:sz="0" w:space="0" w:color="auto"/>
                                <w:right w:val="none" w:sz="0" w:space="0" w:color="auto"/>
                              </w:divBdr>
                            </w:div>
                            <w:div w:id="8219440">
                              <w:marLeft w:val="0"/>
                              <w:marRight w:val="0"/>
                              <w:marTop w:val="0"/>
                              <w:marBottom w:val="0"/>
                              <w:divBdr>
                                <w:top w:val="none" w:sz="0" w:space="0" w:color="auto"/>
                                <w:left w:val="none" w:sz="0" w:space="0" w:color="auto"/>
                                <w:bottom w:val="none" w:sz="0" w:space="0" w:color="auto"/>
                                <w:right w:val="none" w:sz="0" w:space="0" w:color="auto"/>
                              </w:divBdr>
                            </w:div>
                            <w:div w:id="1267809424">
                              <w:marLeft w:val="0"/>
                              <w:marRight w:val="0"/>
                              <w:marTop w:val="0"/>
                              <w:marBottom w:val="0"/>
                              <w:divBdr>
                                <w:top w:val="none" w:sz="0" w:space="0" w:color="auto"/>
                                <w:left w:val="none" w:sz="0" w:space="0" w:color="auto"/>
                                <w:bottom w:val="none" w:sz="0" w:space="0" w:color="auto"/>
                                <w:right w:val="none" w:sz="0" w:space="0" w:color="auto"/>
                              </w:divBdr>
                            </w:div>
                            <w:div w:id="1841118675">
                              <w:marLeft w:val="0"/>
                              <w:marRight w:val="0"/>
                              <w:marTop w:val="0"/>
                              <w:marBottom w:val="0"/>
                              <w:divBdr>
                                <w:top w:val="none" w:sz="0" w:space="0" w:color="auto"/>
                                <w:left w:val="none" w:sz="0" w:space="0" w:color="auto"/>
                                <w:bottom w:val="none" w:sz="0" w:space="0" w:color="auto"/>
                                <w:right w:val="none" w:sz="0" w:space="0" w:color="auto"/>
                              </w:divBdr>
                            </w:div>
                            <w:div w:id="1823426828">
                              <w:marLeft w:val="0"/>
                              <w:marRight w:val="0"/>
                              <w:marTop w:val="0"/>
                              <w:marBottom w:val="0"/>
                              <w:divBdr>
                                <w:top w:val="none" w:sz="0" w:space="0" w:color="auto"/>
                                <w:left w:val="none" w:sz="0" w:space="0" w:color="auto"/>
                                <w:bottom w:val="none" w:sz="0" w:space="0" w:color="auto"/>
                                <w:right w:val="none" w:sz="0" w:space="0" w:color="auto"/>
                              </w:divBdr>
                            </w:div>
                            <w:div w:id="1597667225">
                              <w:marLeft w:val="0"/>
                              <w:marRight w:val="0"/>
                              <w:marTop w:val="0"/>
                              <w:marBottom w:val="0"/>
                              <w:divBdr>
                                <w:top w:val="none" w:sz="0" w:space="0" w:color="auto"/>
                                <w:left w:val="none" w:sz="0" w:space="0" w:color="auto"/>
                                <w:bottom w:val="none" w:sz="0" w:space="0" w:color="auto"/>
                                <w:right w:val="none" w:sz="0" w:space="0" w:color="auto"/>
                              </w:divBdr>
                            </w:div>
                            <w:div w:id="1151336453">
                              <w:marLeft w:val="0"/>
                              <w:marRight w:val="0"/>
                              <w:marTop w:val="0"/>
                              <w:marBottom w:val="0"/>
                              <w:divBdr>
                                <w:top w:val="none" w:sz="0" w:space="0" w:color="auto"/>
                                <w:left w:val="none" w:sz="0" w:space="0" w:color="auto"/>
                                <w:bottom w:val="none" w:sz="0" w:space="0" w:color="auto"/>
                                <w:right w:val="none" w:sz="0" w:space="0" w:color="auto"/>
                              </w:divBdr>
                            </w:div>
                            <w:div w:id="1198155227">
                              <w:marLeft w:val="0"/>
                              <w:marRight w:val="0"/>
                              <w:marTop w:val="0"/>
                              <w:marBottom w:val="0"/>
                              <w:divBdr>
                                <w:top w:val="none" w:sz="0" w:space="0" w:color="auto"/>
                                <w:left w:val="none" w:sz="0" w:space="0" w:color="auto"/>
                                <w:bottom w:val="none" w:sz="0" w:space="0" w:color="auto"/>
                                <w:right w:val="none" w:sz="0" w:space="0" w:color="auto"/>
                              </w:divBdr>
                            </w:div>
                            <w:div w:id="899899671">
                              <w:marLeft w:val="0"/>
                              <w:marRight w:val="0"/>
                              <w:marTop w:val="0"/>
                              <w:marBottom w:val="0"/>
                              <w:divBdr>
                                <w:top w:val="none" w:sz="0" w:space="0" w:color="auto"/>
                                <w:left w:val="none" w:sz="0" w:space="0" w:color="auto"/>
                                <w:bottom w:val="none" w:sz="0" w:space="0" w:color="auto"/>
                                <w:right w:val="none" w:sz="0" w:space="0" w:color="auto"/>
                              </w:divBdr>
                            </w:div>
                          </w:divsChild>
                        </w:div>
                        <w:div w:id="1421172037">
                          <w:marLeft w:val="0"/>
                          <w:marRight w:val="0"/>
                          <w:marTop w:val="0"/>
                          <w:marBottom w:val="0"/>
                          <w:divBdr>
                            <w:top w:val="none" w:sz="0" w:space="0" w:color="auto"/>
                            <w:left w:val="none" w:sz="0" w:space="0" w:color="auto"/>
                            <w:bottom w:val="none" w:sz="0" w:space="0" w:color="auto"/>
                            <w:right w:val="none" w:sz="0" w:space="0" w:color="auto"/>
                          </w:divBdr>
                          <w:divsChild>
                            <w:div w:id="408887953">
                              <w:marLeft w:val="0"/>
                              <w:marRight w:val="0"/>
                              <w:marTop w:val="0"/>
                              <w:marBottom w:val="0"/>
                              <w:divBdr>
                                <w:top w:val="none" w:sz="0" w:space="0" w:color="auto"/>
                                <w:left w:val="none" w:sz="0" w:space="0" w:color="auto"/>
                                <w:bottom w:val="none" w:sz="0" w:space="0" w:color="auto"/>
                                <w:right w:val="none" w:sz="0" w:space="0" w:color="auto"/>
                              </w:divBdr>
                            </w:div>
                            <w:div w:id="436943998">
                              <w:marLeft w:val="0"/>
                              <w:marRight w:val="0"/>
                              <w:marTop w:val="0"/>
                              <w:marBottom w:val="0"/>
                              <w:divBdr>
                                <w:top w:val="none" w:sz="0" w:space="0" w:color="auto"/>
                                <w:left w:val="none" w:sz="0" w:space="0" w:color="auto"/>
                                <w:bottom w:val="none" w:sz="0" w:space="0" w:color="auto"/>
                                <w:right w:val="none" w:sz="0" w:space="0" w:color="auto"/>
                              </w:divBdr>
                            </w:div>
                            <w:div w:id="1181814935">
                              <w:marLeft w:val="0"/>
                              <w:marRight w:val="0"/>
                              <w:marTop w:val="0"/>
                              <w:marBottom w:val="0"/>
                              <w:divBdr>
                                <w:top w:val="none" w:sz="0" w:space="0" w:color="auto"/>
                                <w:left w:val="none" w:sz="0" w:space="0" w:color="auto"/>
                                <w:bottom w:val="none" w:sz="0" w:space="0" w:color="auto"/>
                                <w:right w:val="none" w:sz="0" w:space="0" w:color="auto"/>
                              </w:divBdr>
                            </w:div>
                            <w:div w:id="114954015">
                              <w:marLeft w:val="0"/>
                              <w:marRight w:val="0"/>
                              <w:marTop w:val="0"/>
                              <w:marBottom w:val="0"/>
                              <w:divBdr>
                                <w:top w:val="none" w:sz="0" w:space="0" w:color="auto"/>
                                <w:left w:val="none" w:sz="0" w:space="0" w:color="auto"/>
                                <w:bottom w:val="none" w:sz="0" w:space="0" w:color="auto"/>
                                <w:right w:val="none" w:sz="0" w:space="0" w:color="auto"/>
                              </w:divBdr>
                            </w:div>
                            <w:div w:id="919867534">
                              <w:marLeft w:val="0"/>
                              <w:marRight w:val="0"/>
                              <w:marTop w:val="0"/>
                              <w:marBottom w:val="0"/>
                              <w:divBdr>
                                <w:top w:val="none" w:sz="0" w:space="0" w:color="auto"/>
                                <w:left w:val="none" w:sz="0" w:space="0" w:color="auto"/>
                                <w:bottom w:val="none" w:sz="0" w:space="0" w:color="auto"/>
                                <w:right w:val="none" w:sz="0" w:space="0" w:color="auto"/>
                              </w:divBdr>
                            </w:div>
                            <w:div w:id="453914559">
                              <w:marLeft w:val="0"/>
                              <w:marRight w:val="0"/>
                              <w:marTop w:val="0"/>
                              <w:marBottom w:val="0"/>
                              <w:divBdr>
                                <w:top w:val="none" w:sz="0" w:space="0" w:color="auto"/>
                                <w:left w:val="none" w:sz="0" w:space="0" w:color="auto"/>
                                <w:bottom w:val="none" w:sz="0" w:space="0" w:color="auto"/>
                                <w:right w:val="none" w:sz="0" w:space="0" w:color="auto"/>
                              </w:divBdr>
                            </w:div>
                          </w:divsChild>
                        </w:div>
                        <w:div w:id="1459639046">
                          <w:marLeft w:val="0"/>
                          <w:marRight w:val="0"/>
                          <w:marTop w:val="0"/>
                          <w:marBottom w:val="0"/>
                          <w:divBdr>
                            <w:top w:val="none" w:sz="0" w:space="0" w:color="auto"/>
                            <w:left w:val="none" w:sz="0" w:space="0" w:color="auto"/>
                            <w:bottom w:val="none" w:sz="0" w:space="0" w:color="auto"/>
                            <w:right w:val="none" w:sz="0" w:space="0" w:color="auto"/>
                          </w:divBdr>
                          <w:divsChild>
                            <w:div w:id="1419642886">
                              <w:marLeft w:val="0"/>
                              <w:marRight w:val="0"/>
                              <w:marTop w:val="0"/>
                              <w:marBottom w:val="0"/>
                              <w:divBdr>
                                <w:top w:val="none" w:sz="0" w:space="0" w:color="auto"/>
                                <w:left w:val="none" w:sz="0" w:space="0" w:color="auto"/>
                                <w:bottom w:val="none" w:sz="0" w:space="0" w:color="auto"/>
                                <w:right w:val="none" w:sz="0" w:space="0" w:color="auto"/>
                              </w:divBdr>
                            </w:div>
                            <w:div w:id="1691492888">
                              <w:marLeft w:val="0"/>
                              <w:marRight w:val="0"/>
                              <w:marTop w:val="0"/>
                              <w:marBottom w:val="0"/>
                              <w:divBdr>
                                <w:top w:val="none" w:sz="0" w:space="0" w:color="auto"/>
                                <w:left w:val="none" w:sz="0" w:space="0" w:color="auto"/>
                                <w:bottom w:val="none" w:sz="0" w:space="0" w:color="auto"/>
                                <w:right w:val="none" w:sz="0" w:space="0" w:color="auto"/>
                              </w:divBdr>
                            </w:div>
                            <w:div w:id="1291476598">
                              <w:marLeft w:val="0"/>
                              <w:marRight w:val="0"/>
                              <w:marTop w:val="0"/>
                              <w:marBottom w:val="0"/>
                              <w:divBdr>
                                <w:top w:val="none" w:sz="0" w:space="0" w:color="auto"/>
                                <w:left w:val="none" w:sz="0" w:space="0" w:color="auto"/>
                                <w:bottom w:val="none" w:sz="0" w:space="0" w:color="auto"/>
                                <w:right w:val="none" w:sz="0" w:space="0" w:color="auto"/>
                              </w:divBdr>
                            </w:div>
                            <w:div w:id="1897037136">
                              <w:marLeft w:val="0"/>
                              <w:marRight w:val="0"/>
                              <w:marTop w:val="0"/>
                              <w:marBottom w:val="0"/>
                              <w:divBdr>
                                <w:top w:val="none" w:sz="0" w:space="0" w:color="auto"/>
                                <w:left w:val="none" w:sz="0" w:space="0" w:color="auto"/>
                                <w:bottom w:val="none" w:sz="0" w:space="0" w:color="auto"/>
                                <w:right w:val="none" w:sz="0" w:space="0" w:color="auto"/>
                              </w:divBdr>
                            </w:div>
                            <w:div w:id="344946637">
                              <w:marLeft w:val="0"/>
                              <w:marRight w:val="0"/>
                              <w:marTop w:val="0"/>
                              <w:marBottom w:val="0"/>
                              <w:divBdr>
                                <w:top w:val="none" w:sz="0" w:space="0" w:color="auto"/>
                                <w:left w:val="none" w:sz="0" w:space="0" w:color="auto"/>
                                <w:bottom w:val="none" w:sz="0" w:space="0" w:color="auto"/>
                                <w:right w:val="none" w:sz="0" w:space="0" w:color="auto"/>
                              </w:divBdr>
                            </w:div>
                            <w:div w:id="843937342">
                              <w:marLeft w:val="0"/>
                              <w:marRight w:val="0"/>
                              <w:marTop w:val="0"/>
                              <w:marBottom w:val="0"/>
                              <w:divBdr>
                                <w:top w:val="none" w:sz="0" w:space="0" w:color="auto"/>
                                <w:left w:val="none" w:sz="0" w:space="0" w:color="auto"/>
                                <w:bottom w:val="none" w:sz="0" w:space="0" w:color="auto"/>
                                <w:right w:val="none" w:sz="0" w:space="0" w:color="auto"/>
                              </w:divBdr>
                            </w:div>
                            <w:div w:id="1669215338">
                              <w:marLeft w:val="0"/>
                              <w:marRight w:val="0"/>
                              <w:marTop w:val="0"/>
                              <w:marBottom w:val="0"/>
                              <w:divBdr>
                                <w:top w:val="none" w:sz="0" w:space="0" w:color="auto"/>
                                <w:left w:val="none" w:sz="0" w:space="0" w:color="auto"/>
                                <w:bottom w:val="none" w:sz="0" w:space="0" w:color="auto"/>
                                <w:right w:val="none" w:sz="0" w:space="0" w:color="auto"/>
                              </w:divBdr>
                            </w:div>
                          </w:divsChild>
                        </w:div>
                        <w:div w:id="161093356">
                          <w:marLeft w:val="0"/>
                          <w:marRight w:val="0"/>
                          <w:marTop w:val="0"/>
                          <w:marBottom w:val="0"/>
                          <w:divBdr>
                            <w:top w:val="none" w:sz="0" w:space="0" w:color="auto"/>
                            <w:left w:val="none" w:sz="0" w:space="0" w:color="auto"/>
                            <w:bottom w:val="none" w:sz="0" w:space="0" w:color="auto"/>
                            <w:right w:val="none" w:sz="0" w:space="0" w:color="auto"/>
                          </w:divBdr>
                          <w:divsChild>
                            <w:div w:id="867763951">
                              <w:marLeft w:val="0"/>
                              <w:marRight w:val="0"/>
                              <w:marTop w:val="0"/>
                              <w:marBottom w:val="0"/>
                              <w:divBdr>
                                <w:top w:val="none" w:sz="0" w:space="0" w:color="auto"/>
                                <w:left w:val="none" w:sz="0" w:space="0" w:color="auto"/>
                                <w:bottom w:val="none" w:sz="0" w:space="0" w:color="auto"/>
                                <w:right w:val="none" w:sz="0" w:space="0" w:color="auto"/>
                              </w:divBdr>
                            </w:div>
                            <w:div w:id="1764495242">
                              <w:marLeft w:val="0"/>
                              <w:marRight w:val="0"/>
                              <w:marTop w:val="0"/>
                              <w:marBottom w:val="0"/>
                              <w:divBdr>
                                <w:top w:val="none" w:sz="0" w:space="0" w:color="auto"/>
                                <w:left w:val="none" w:sz="0" w:space="0" w:color="auto"/>
                                <w:bottom w:val="none" w:sz="0" w:space="0" w:color="auto"/>
                                <w:right w:val="none" w:sz="0" w:space="0" w:color="auto"/>
                              </w:divBdr>
                            </w:div>
                            <w:div w:id="593561804">
                              <w:marLeft w:val="0"/>
                              <w:marRight w:val="0"/>
                              <w:marTop w:val="0"/>
                              <w:marBottom w:val="0"/>
                              <w:divBdr>
                                <w:top w:val="none" w:sz="0" w:space="0" w:color="auto"/>
                                <w:left w:val="none" w:sz="0" w:space="0" w:color="auto"/>
                                <w:bottom w:val="none" w:sz="0" w:space="0" w:color="auto"/>
                                <w:right w:val="none" w:sz="0" w:space="0" w:color="auto"/>
                              </w:divBdr>
                            </w:div>
                            <w:div w:id="281425714">
                              <w:marLeft w:val="0"/>
                              <w:marRight w:val="0"/>
                              <w:marTop w:val="0"/>
                              <w:marBottom w:val="0"/>
                              <w:divBdr>
                                <w:top w:val="none" w:sz="0" w:space="0" w:color="auto"/>
                                <w:left w:val="none" w:sz="0" w:space="0" w:color="auto"/>
                                <w:bottom w:val="none" w:sz="0" w:space="0" w:color="auto"/>
                                <w:right w:val="none" w:sz="0" w:space="0" w:color="auto"/>
                              </w:divBdr>
                            </w:div>
                            <w:div w:id="2136605533">
                              <w:marLeft w:val="0"/>
                              <w:marRight w:val="0"/>
                              <w:marTop w:val="0"/>
                              <w:marBottom w:val="0"/>
                              <w:divBdr>
                                <w:top w:val="none" w:sz="0" w:space="0" w:color="auto"/>
                                <w:left w:val="none" w:sz="0" w:space="0" w:color="auto"/>
                                <w:bottom w:val="none" w:sz="0" w:space="0" w:color="auto"/>
                                <w:right w:val="none" w:sz="0" w:space="0" w:color="auto"/>
                              </w:divBdr>
                            </w:div>
                            <w:div w:id="333917657">
                              <w:marLeft w:val="0"/>
                              <w:marRight w:val="0"/>
                              <w:marTop w:val="0"/>
                              <w:marBottom w:val="0"/>
                              <w:divBdr>
                                <w:top w:val="none" w:sz="0" w:space="0" w:color="auto"/>
                                <w:left w:val="none" w:sz="0" w:space="0" w:color="auto"/>
                                <w:bottom w:val="none" w:sz="0" w:space="0" w:color="auto"/>
                                <w:right w:val="none" w:sz="0" w:space="0" w:color="auto"/>
                              </w:divBdr>
                            </w:div>
                            <w:div w:id="2101245955">
                              <w:marLeft w:val="0"/>
                              <w:marRight w:val="0"/>
                              <w:marTop w:val="0"/>
                              <w:marBottom w:val="0"/>
                              <w:divBdr>
                                <w:top w:val="none" w:sz="0" w:space="0" w:color="auto"/>
                                <w:left w:val="none" w:sz="0" w:space="0" w:color="auto"/>
                                <w:bottom w:val="none" w:sz="0" w:space="0" w:color="auto"/>
                                <w:right w:val="none" w:sz="0" w:space="0" w:color="auto"/>
                              </w:divBdr>
                            </w:div>
                            <w:div w:id="1146818471">
                              <w:marLeft w:val="0"/>
                              <w:marRight w:val="0"/>
                              <w:marTop w:val="0"/>
                              <w:marBottom w:val="0"/>
                              <w:divBdr>
                                <w:top w:val="none" w:sz="0" w:space="0" w:color="auto"/>
                                <w:left w:val="none" w:sz="0" w:space="0" w:color="auto"/>
                                <w:bottom w:val="none" w:sz="0" w:space="0" w:color="auto"/>
                                <w:right w:val="none" w:sz="0" w:space="0" w:color="auto"/>
                              </w:divBdr>
                            </w:div>
                          </w:divsChild>
                        </w:div>
                        <w:div w:id="490215363">
                          <w:marLeft w:val="0"/>
                          <w:marRight w:val="0"/>
                          <w:marTop w:val="0"/>
                          <w:marBottom w:val="0"/>
                          <w:divBdr>
                            <w:top w:val="none" w:sz="0" w:space="0" w:color="auto"/>
                            <w:left w:val="none" w:sz="0" w:space="0" w:color="auto"/>
                            <w:bottom w:val="none" w:sz="0" w:space="0" w:color="auto"/>
                            <w:right w:val="none" w:sz="0" w:space="0" w:color="auto"/>
                          </w:divBdr>
                          <w:divsChild>
                            <w:div w:id="1574075750">
                              <w:marLeft w:val="0"/>
                              <w:marRight w:val="0"/>
                              <w:marTop w:val="0"/>
                              <w:marBottom w:val="0"/>
                              <w:divBdr>
                                <w:top w:val="none" w:sz="0" w:space="0" w:color="auto"/>
                                <w:left w:val="none" w:sz="0" w:space="0" w:color="auto"/>
                                <w:bottom w:val="none" w:sz="0" w:space="0" w:color="auto"/>
                                <w:right w:val="none" w:sz="0" w:space="0" w:color="auto"/>
                              </w:divBdr>
                            </w:div>
                            <w:div w:id="738132317">
                              <w:marLeft w:val="0"/>
                              <w:marRight w:val="0"/>
                              <w:marTop w:val="0"/>
                              <w:marBottom w:val="0"/>
                              <w:divBdr>
                                <w:top w:val="none" w:sz="0" w:space="0" w:color="auto"/>
                                <w:left w:val="none" w:sz="0" w:space="0" w:color="auto"/>
                                <w:bottom w:val="none" w:sz="0" w:space="0" w:color="auto"/>
                                <w:right w:val="none" w:sz="0" w:space="0" w:color="auto"/>
                              </w:divBdr>
                            </w:div>
                            <w:div w:id="1181898419">
                              <w:marLeft w:val="0"/>
                              <w:marRight w:val="0"/>
                              <w:marTop w:val="0"/>
                              <w:marBottom w:val="0"/>
                              <w:divBdr>
                                <w:top w:val="none" w:sz="0" w:space="0" w:color="auto"/>
                                <w:left w:val="none" w:sz="0" w:space="0" w:color="auto"/>
                                <w:bottom w:val="none" w:sz="0" w:space="0" w:color="auto"/>
                                <w:right w:val="none" w:sz="0" w:space="0" w:color="auto"/>
                              </w:divBdr>
                            </w:div>
                            <w:div w:id="1151799091">
                              <w:marLeft w:val="0"/>
                              <w:marRight w:val="0"/>
                              <w:marTop w:val="0"/>
                              <w:marBottom w:val="0"/>
                              <w:divBdr>
                                <w:top w:val="none" w:sz="0" w:space="0" w:color="auto"/>
                                <w:left w:val="none" w:sz="0" w:space="0" w:color="auto"/>
                                <w:bottom w:val="none" w:sz="0" w:space="0" w:color="auto"/>
                                <w:right w:val="none" w:sz="0" w:space="0" w:color="auto"/>
                              </w:divBdr>
                            </w:div>
                            <w:div w:id="311371628">
                              <w:marLeft w:val="0"/>
                              <w:marRight w:val="0"/>
                              <w:marTop w:val="0"/>
                              <w:marBottom w:val="0"/>
                              <w:divBdr>
                                <w:top w:val="none" w:sz="0" w:space="0" w:color="auto"/>
                                <w:left w:val="none" w:sz="0" w:space="0" w:color="auto"/>
                                <w:bottom w:val="none" w:sz="0" w:space="0" w:color="auto"/>
                                <w:right w:val="none" w:sz="0" w:space="0" w:color="auto"/>
                              </w:divBdr>
                            </w:div>
                            <w:div w:id="1840659297">
                              <w:marLeft w:val="0"/>
                              <w:marRight w:val="0"/>
                              <w:marTop w:val="0"/>
                              <w:marBottom w:val="0"/>
                              <w:divBdr>
                                <w:top w:val="none" w:sz="0" w:space="0" w:color="auto"/>
                                <w:left w:val="none" w:sz="0" w:space="0" w:color="auto"/>
                                <w:bottom w:val="none" w:sz="0" w:space="0" w:color="auto"/>
                                <w:right w:val="none" w:sz="0" w:space="0" w:color="auto"/>
                              </w:divBdr>
                            </w:div>
                          </w:divsChild>
                        </w:div>
                        <w:div w:id="104204169">
                          <w:marLeft w:val="0"/>
                          <w:marRight w:val="0"/>
                          <w:marTop w:val="0"/>
                          <w:marBottom w:val="0"/>
                          <w:divBdr>
                            <w:top w:val="none" w:sz="0" w:space="0" w:color="auto"/>
                            <w:left w:val="none" w:sz="0" w:space="0" w:color="auto"/>
                            <w:bottom w:val="none" w:sz="0" w:space="0" w:color="auto"/>
                            <w:right w:val="none" w:sz="0" w:space="0" w:color="auto"/>
                          </w:divBdr>
                          <w:divsChild>
                            <w:div w:id="748963917">
                              <w:marLeft w:val="0"/>
                              <w:marRight w:val="0"/>
                              <w:marTop w:val="0"/>
                              <w:marBottom w:val="0"/>
                              <w:divBdr>
                                <w:top w:val="none" w:sz="0" w:space="0" w:color="auto"/>
                                <w:left w:val="none" w:sz="0" w:space="0" w:color="auto"/>
                                <w:bottom w:val="none" w:sz="0" w:space="0" w:color="auto"/>
                                <w:right w:val="none" w:sz="0" w:space="0" w:color="auto"/>
                              </w:divBdr>
                            </w:div>
                            <w:div w:id="1734234019">
                              <w:marLeft w:val="0"/>
                              <w:marRight w:val="0"/>
                              <w:marTop w:val="0"/>
                              <w:marBottom w:val="0"/>
                              <w:divBdr>
                                <w:top w:val="none" w:sz="0" w:space="0" w:color="auto"/>
                                <w:left w:val="none" w:sz="0" w:space="0" w:color="auto"/>
                                <w:bottom w:val="none" w:sz="0" w:space="0" w:color="auto"/>
                                <w:right w:val="none" w:sz="0" w:space="0" w:color="auto"/>
                              </w:divBdr>
                            </w:div>
                            <w:div w:id="872233066">
                              <w:marLeft w:val="0"/>
                              <w:marRight w:val="0"/>
                              <w:marTop w:val="0"/>
                              <w:marBottom w:val="0"/>
                              <w:divBdr>
                                <w:top w:val="none" w:sz="0" w:space="0" w:color="auto"/>
                                <w:left w:val="none" w:sz="0" w:space="0" w:color="auto"/>
                                <w:bottom w:val="none" w:sz="0" w:space="0" w:color="auto"/>
                                <w:right w:val="none" w:sz="0" w:space="0" w:color="auto"/>
                              </w:divBdr>
                            </w:div>
                            <w:div w:id="1687749222">
                              <w:marLeft w:val="0"/>
                              <w:marRight w:val="0"/>
                              <w:marTop w:val="0"/>
                              <w:marBottom w:val="0"/>
                              <w:divBdr>
                                <w:top w:val="none" w:sz="0" w:space="0" w:color="auto"/>
                                <w:left w:val="none" w:sz="0" w:space="0" w:color="auto"/>
                                <w:bottom w:val="none" w:sz="0" w:space="0" w:color="auto"/>
                                <w:right w:val="none" w:sz="0" w:space="0" w:color="auto"/>
                              </w:divBdr>
                            </w:div>
                            <w:div w:id="956373160">
                              <w:marLeft w:val="0"/>
                              <w:marRight w:val="0"/>
                              <w:marTop w:val="0"/>
                              <w:marBottom w:val="0"/>
                              <w:divBdr>
                                <w:top w:val="none" w:sz="0" w:space="0" w:color="auto"/>
                                <w:left w:val="none" w:sz="0" w:space="0" w:color="auto"/>
                                <w:bottom w:val="none" w:sz="0" w:space="0" w:color="auto"/>
                                <w:right w:val="none" w:sz="0" w:space="0" w:color="auto"/>
                              </w:divBdr>
                            </w:div>
                            <w:div w:id="33389797">
                              <w:marLeft w:val="0"/>
                              <w:marRight w:val="0"/>
                              <w:marTop w:val="0"/>
                              <w:marBottom w:val="0"/>
                              <w:divBdr>
                                <w:top w:val="none" w:sz="0" w:space="0" w:color="auto"/>
                                <w:left w:val="none" w:sz="0" w:space="0" w:color="auto"/>
                                <w:bottom w:val="none" w:sz="0" w:space="0" w:color="auto"/>
                                <w:right w:val="none" w:sz="0" w:space="0" w:color="auto"/>
                              </w:divBdr>
                            </w:div>
                            <w:div w:id="2011063109">
                              <w:marLeft w:val="0"/>
                              <w:marRight w:val="0"/>
                              <w:marTop w:val="0"/>
                              <w:marBottom w:val="0"/>
                              <w:divBdr>
                                <w:top w:val="none" w:sz="0" w:space="0" w:color="auto"/>
                                <w:left w:val="none" w:sz="0" w:space="0" w:color="auto"/>
                                <w:bottom w:val="none" w:sz="0" w:space="0" w:color="auto"/>
                                <w:right w:val="none" w:sz="0" w:space="0" w:color="auto"/>
                              </w:divBdr>
                            </w:div>
                          </w:divsChild>
                        </w:div>
                        <w:div w:id="1499223263">
                          <w:marLeft w:val="0"/>
                          <w:marRight w:val="0"/>
                          <w:marTop w:val="0"/>
                          <w:marBottom w:val="0"/>
                          <w:divBdr>
                            <w:top w:val="none" w:sz="0" w:space="0" w:color="auto"/>
                            <w:left w:val="none" w:sz="0" w:space="0" w:color="auto"/>
                            <w:bottom w:val="none" w:sz="0" w:space="0" w:color="auto"/>
                            <w:right w:val="none" w:sz="0" w:space="0" w:color="auto"/>
                          </w:divBdr>
                          <w:divsChild>
                            <w:div w:id="383331328">
                              <w:marLeft w:val="0"/>
                              <w:marRight w:val="0"/>
                              <w:marTop w:val="0"/>
                              <w:marBottom w:val="0"/>
                              <w:divBdr>
                                <w:top w:val="none" w:sz="0" w:space="0" w:color="auto"/>
                                <w:left w:val="none" w:sz="0" w:space="0" w:color="auto"/>
                                <w:bottom w:val="none" w:sz="0" w:space="0" w:color="auto"/>
                                <w:right w:val="none" w:sz="0" w:space="0" w:color="auto"/>
                              </w:divBdr>
                            </w:div>
                            <w:div w:id="1089733340">
                              <w:marLeft w:val="0"/>
                              <w:marRight w:val="0"/>
                              <w:marTop w:val="0"/>
                              <w:marBottom w:val="0"/>
                              <w:divBdr>
                                <w:top w:val="none" w:sz="0" w:space="0" w:color="auto"/>
                                <w:left w:val="none" w:sz="0" w:space="0" w:color="auto"/>
                                <w:bottom w:val="none" w:sz="0" w:space="0" w:color="auto"/>
                                <w:right w:val="none" w:sz="0" w:space="0" w:color="auto"/>
                              </w:divBdr>
                            </w:div>
                            <w:div w:id="1129513127">
                              <w:marLeft w:val="0"/>
                              <w:marRight w:val="0"/>
                              <w:marTop w:val="0"/>
                              <w:marBottom w:val="0"/>
                              <w:divBdr>
                                <w:top w:val="none" w:sz="0" w:space="0" w:color="auto"/>
                                <w:left w:val="none" w:sz="0" w:space="0" w:color="auto"/>
                                <w:bottom w:val="none" w:sz="0" w:space="0" w:color="auto"/>
                                <w:right w:val="none" w:sz="0" w:space="0" w:color="auto"/>
                              </w:divBdr>
                            </w:div>
                            <w:div w:id="51776106">
                              <w:marLeft w:val="0"/>
                              <w:marRight w:val="0"/>
                              <w:marTop w:val="0"/>
                              <w:marBottom w:val="0"/>
                              <w:divBdr>
                                <w:top w:val="none" w:sz="0" w:space="0" w:color="auto"/>
                                <w:left w:val="none" w:sz="0" w:space="0" w:color="auto"/>
                                <w:bottom w:val="none" w:sz="0" w:space="0" w:color="auto"/>
                                <w:right w:val="none" w:sz="0" w:space="0" w:color="auto"/>
                              </w:divBdr>
                            </w:div>
                            <w:div w:id="1256942484">
                              <w:marLeft w:val="0"/>
                              <w:marRight w:val="0"/>
                              <w:marTop w:val="0"/>
                              <w:marBottom w:val="0"/>
                              <w:divBdr>
                                <w:top w:val="none" w:sz="0" w:space="0" w:color="auto"/>
                                <w:left w:val="none" w:sz="0" w:space="0" w:color="auto"/>
                                <w:bottom w:val="none" w:sz="0" w:space="0" w:color="auto"/>
                                <w:right w:val="none" w:sz="0" w:space="0" w:color="auto"/>
                              </w:divBdr>
                            </w:div>
                            <w:div w:id="765468660">
                              <w:marLeft w:val="0"/>
                              <w:marRight w:val="0"/>
                              <w:marTop w:val="0"/>
                              <w:marBottom w:val="0"/>
                              <w:divBdr>
                                <w:top w:val="none" w:sz="0" w:space="0" w:color="auto"/>
                                <w:left w:val="none" w:sz="0" w:space="0" w:color="auto"/>
                                <w:bottom w:val="none" w:sz="0" w:space="0" w:color="auto"/>
                                <w:right w:val="none" w:sz="0" w:space="0" w:color="auto"/>
                              </w:divBdr>
                            </w:div>
                          </w:divsChild>
                        </w:div>
                        <w:div w:id="1405419607">
                          <w:marLeft w:val="0"/>
                          <w:marRight w:val="0"/>
                          <w:marTop w:val="0"/>
                          <w:marBottom w:val="0"/>
                          <w:divBdr>
                            <w:top w:val="none" w:sz="0" w:space="0" w:color="auto"/>
                            <w:left w:val="none" w:sz="0" w:space="0" w:color="auto"/>
                            <w:bottom w:val="none" w:sz="0" w:space="0" w:color="auto"/>
                            <w:right w:val="none" w:sz="0" w:space="0" w:color="auto"/>
                          </w:divBdr>
                          <w:divsChild>
                            <w:div w:id="275406506">
                              <w:marLeft w:val="0"/>
                              <w:marRight w:val="0"/>
                              <w:marTop w:val="0"/>
                              <w:marBottom w:val="0"/>
                              <w:divBdr>
                                <w:top w:val="none" w:sz="0" w:space="0" w:color="auto"/>
                                <w:left w:val="none" w:sz="0" w:space="0" w:color="auto"/>
                                <w:bottom w:val="none" w:sz="0" w:space="0" w:color="auto"/>
                                <w:right w:val="none" w:sz="0" w:space="0" w:color="auto"/>
                              </w:divBdr>
                            </w:div>
                            <w:div w:id="1147433878">
                              <w:marLeft w:val="0"/>
                              <w:marRight w:val="0"/>
                              <w:marTop w:val="0"/>
                              <w:marBottom w:val="0"/>
                              <w:divBdr>
                                <w:top w:val="none" w:sz="0" w:space="0" w:color="auto"/>
                                <w:left w:val="none" w:sz="0" w:space="0" w:color="auto"/>
                                <w:bottom w:val="none" w:sz="0" w:space="0" w:color="auto"/>
                                <w:right w:val="none" w:sz="0" w:space="0" w:color="auto"/>
                              </w:divBdr>
                            </w:div>
                            <w:div w:id="1914468685">
                              <w:marLeft w:val="0"/>
                              <w:marRight w:val="0"/>
                              <w:marTop w:val="0"/>
                              <w:marBottom w:val="0"/>
                              <w:divBdr>
                                <w:top w:val="none" w:sz="0" w:space="0" w:color="auto"/>
                                <w:left w:val="none" w:sz="0" w:space="0" w:color="auto"/>
                                <w:bottom w:val="none" w:sz="0" w:space="0" w:color="auto"/>
                                <w:right w:val="none" w:sz="0" w:space="0" w:color="auto"/>
                              </w:divBdr>
                            </w:div>
                            <w:div w:id="948047143">
                              <w:marLeft w:val="0"/>
                              <w:marRight w:val="0"/>
                              <w:marTop w:val="0"/>
                              <w:marBottom w:val="0"/>
                              <w:divBdr>
                                <w:top w:val="none" w:sz="0" w:space="0" w:color="auto"/>
                                <w:left w:val="none" w:sz="0" w:space="0" w:color="auto"/>
                                <w:bottom w:val="none" w:sz="0" w:space="0" w:color="auto"/>
                                <w:right w:val="none" w:sz="0" w:space="0" w:color="auto"/>
                              </w:divBdr>
                            </w:div>
                            <w:div w:id="1433470845">
                              <w:marLeft w:val="0"/>
                              <w:marRight w:val="0"/>
                              <w:marTop w:val="0"/>
                              <w:marBottom w:val="0"/>
                              <w:divBdr>
                                <w:top w:val="none" w:sz="0" w:space="0" w:color="auto"/>
                                <w:left w:val="none" w:sz="0" w:space="0" w:color="auto"/>
                                <w:bottom w:val="none" w:sz="0" w:space="0" w:color="auto"/>
                                <w:right w:val="none" w:sz="0" w:space="0" w:color="auto"/>
                              </w:divBdr>
                            </w:div>
                            <w:div w:id="142102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108023">
                      <w:marLeft w:val="0"/>
                      <w:marRight w:val="0"/>
                      <w:marTop w:val="0"/>
                      <w:marBottom w:val="0"/>
                      <w:divBdr>
                        <w:top w:val="none" w:sz="0" w:space="0" w:color="auto"/>
                        <w:left w:val="none" w:sz="0" w:space="0" w:color="auto"/>
                        <w:bottom w:val="none" w:sz="0" w:space="0" w:color="auto"/>
                        <w:right w:val="none" w:sz="0" w:space="0" w:color="auto"/>
                      </w:divBdr>
                      <w:divsChild>
                        <w:div w:id="1623027362">
                          <w:marLeft w:val="0"/>
                          <w:marRight w:val="0"/>
                          <w:marTop w:val="0"/>
                          <w:marBottom w:val="0"/>
                          <w:divBdr>
                            <w:top w:val="none" w:sz="0" w:space="0" w:color="auto"/>
                            <w:left w:val="none" w:sz="0" w:space="0" w:color="auto"/>
                            <w:bottom w:val="none" w:sz="0" w:space="0" w:color="auto"/>
                            <w:right w:val="none" w:sz="0" w:space="0" w:color="auto"/>
                          </w:divBdr>
                        </w:div>
                        <w:div w:id="401029054">
                          <w:marLeft w:val="0"/>
                          <w:marRight w:val="0"/>
                          <w:marTop w:val="0"/>
                          <w:marBottom w:val="0"/>
                          <w:divBdr>
                            <w:top w:val="none" w:sz="0" w:space="0" w:color="auto"/>
                            <w:left w:val="none" w:sz="0" w:space="0" w:color="auto"/>
                            <w:bottom w:val="none" w:sz="0" w:space="0" w:color="auto"/>
                            <w:right w:val="none" w:sz="0" w:space="0" w:color="auto"/>
                          </w:divBdr>
                          <w:divsChild>
                            <w:div w:id="1990089937">
                              <w:marLeft w:val="0"/>
                              <w:marRight w:val="0"/>
                              <w:marTop w:val="0"/>
                              <w:marBottom w:val="0"/>
                              <w:divBdr>
                                <w:top w:val="none" w:sz="0" w:space="0" w:color="auto"/>
                                <w:left w:val="none" w:sz="0" w:space="0" w:color="auto"/>
                                <w:bottom w:val="none" w:sz="0" w:space="0" w:color="auto"/>
                                <w:right w:val="none" w:sz="0" w:space="0" w:color="auto"/>
                              </w:divBdr>
                            </w:div>
                            <w:div w:id="1921255653">
                              <w:marLeft w:val="0"/>
                              <w:marRight w:val="0"/>
                              <w:marTop w:val="0"/>
                              <w:marBottom w:val="0"/>
                              <w:divBdr>
                                <w:top w:val="none" w:sz="0" w:space="0" w:color="auto"/>
                                <w:left w:val="none" w:sz="0" w:space="0" w:color="auto"/>
                                <w:bottom w:val="none" w:sz="0" w:space="0" w:color="auto"/>
                                <w:right w:val="none" w:sz="0" w:space="0" w:color="auto"/>
                              </w:divBdr>
                            </w:div>
                            <w:div w:id="1002053274">
                              <w:marLeft w:val="0"/>
                              <w:marRight w:val="0"/>
                              <w:marTop w:val="0"/>
                              <w:marBottom w:val="0"/>
                              <w:divBdr>
                                <w:top w:val="none" w:sz="0" w:space="0" w:color="auto"/>
                                <w:left w:val="none" w:sz="0" w:space="0" w:color="auto"/>
                                <w:bottom w:val="none" w:sz="0" w:space="0" w:color="auto"/>
                                <w:right w:val="none" w:sz="0" w:space="0" w:color="auto"/>
                              </w:divBdr>
                            </w:div>
                          </w:divsChild>
                        </w:div>
                        <w:div w:id="1389837340">
                          <w:marLeft w:val="0"/>
                          <w:marRight w:val="0"/>
                          <w:marTop w:val="0"/>
                          <w:marBottom w:val="0"/>
                          <w:divBdr>
                            <w:top w:val="none" w:sz="0" w:space="0" w:color="auto"/>
                            <w:left w:val="none" w:sz="0" w:space="0" w:color="auto"/>
                            <w:bottom w:val="none" w:sz="0" w:space="0" w:color="auto"/>
                            <w:right w:val="none" w:sz="0" w:space="0" w:color="auto"/>
                          </w:divBdr>
                          <w:divsChild>
                            <w:div w:id="325519760">
                              <w:marLeft w:val="0"/>
                              <w:marRight w:val="0"/>
                              <w:marTop w:val="0"/>
                              <w:marBottom w:val="0"/>
                              <w:divBdr>
                                <w:top w:val="none" w:sz="0" w:space="0" w:color="auto"/>
                                <w:left w:val="none" w:sz="0" w:space="0" w:color="auto"/>
                                <w:bottom w:val="none" w:sz="0" w:space="0" w:color="auto"/>
                                <w:right w:val="none" w:sz="0" w:space="0" w:color="auto"/>
                              </w:divBdr>
                            </w:div>
                          </w:divsChild>
                        </w:div>
                        <w:div w:id="1118523081">
                          <w:marLeft w:val="0"/>
                          <w:marRight w:val="0"/>
                          <w:marTop w:val="0"/>
                          <w:marBottom w:val="0"/>
                          <w:divBdr>
                            <w:top w:val="none" w:sz="0" w:space="0" w:color="auto"/>
                            <w:left w:val="none" w:sz="0" w:space="0" w:color="auto"/>
                            <w:bottom w:val="none" w:sz="0" w:space="0" w:color="auto"/>
                            <w:right w:val="none" w:sz="0" w:space="0" w:color="auto"/>
                          </w:divBdr>
                          <w:divsChild>
                            <w:div w:id="720515187">
                              <w:marLeft w:val="0"/>
                              <w:marRight w:val="0"/>
                              <w:marTop w:val="0"/>
                              <w:marBottom w:val="0"/>
                              <w:divBdr>
                                <w:top w:val="none" w:sz="0" w:space="0" w:color="auto"/>
                                <w:left w:val="none" w:sz="0" w:space="0" w:color="auto"/>
                                <w:bottom w:val="none" w:sz="0" w:space="0" w:color="auto"/>
                                <w:right w:val="none" w:sz="0" w:space="0" w:color="auto"/>
                              </w:divBdr>
                            </w:div>
                            <w:div w:id="2076125862">
                              <w:marLeft w:val="0"/>
                              <w:marRight w:val="0"/>
                              <w:marTop w:val="0"/>
                              <w:marBottom w:val="0"/>
                              <w:divBdr>
                                <w:top w:val="none" w:sz="0" w:space="0" w:color="auto"/>
                                <w:left w:val="none" w:sz="0" w:space="0" w:color="auto"/>
                                <w:bottom w:val="none" w:sz="0" w:space="0" w:color="auto"/>
                                <w:right w:val="none" w:sz="0" w:space="0" w:color="auto"/>
                              </w:divBdr>
                            </w:div>
                            <w:div w:id="1068769860">
                              <w:marLeft w:val="0"/>
                              <w:marRight w:val="0"/>
                              <w:marTop w:val="0"/>
                              <w:marBottom w:val="0"/>
                              <w:divBdr>
                                <w:top w:val="none" w:sz="0" w:space="0" w:color="auto"/>
                                <w:left w:val="none" w:sz="0" w:space="0" w:color="auto"/>
                                <w:bottom w:val="none" w:sz="0" w:space="0" w:color="auto"/>
                                <w:right w:val="none" w:sz="0" w:space="0" w:color="auto"/>
                              </w:divBdr>
                            </w:div>
                            <w:div w:id="545219901">
                              <w:marLeft w:val="0"/>
                              <w:marRight w:val="0"/>
                              <w:marTop w:val="0"/>
                              <w:marBottom w:val="0"/>
                              <w:divBdr>
                                <w:top w:val="none" w:sz="0" w:space="0" w:color="auto"/>
                                <w:left w:val="none" w:sz="0" w:space="0" w:color="auto"/>
                                <w:bottom w:val="none" w:sz="0" w:space="0" w:color="auto"/>
                                <w:right w:val="none" w:sz="0" w:space="0" w:color="auto"/>
                              </w:divBdr>
                            </w:div>
                            <w:div w:id="70154022">
                              <w:marLeft w:val="0"/>
                              <w:marRight w:val="0"/>
                              <w:marTop w:val="0"/>
                              <w:marBottom w:val="0"/>
                              <w:divBdr>
                                <w:top w:val="none" w:sz="0" w:space="0" w:color="auto"/>
                                <w:left w:val="none" w:sz="0" w:space="0" w:color="auto"/>
                                <w:bottom w:val="none" w:sz="0" w:space="0" w:color="auto"/>
                                <w:right w:val="none" w:sz="0" w:space="0" w:color="auto"/>
                              </w:divBdr>
                            </w:div>
                            <w:div w:id="242761706">
                              <w:marLeft w:val="0"/>
                              <w:marRight w:val="0"/>
                              <w:marTop w:val="0"/>
                              <w:marBottom w:val="0"/>
                              <w:divBdr>
                                <w:top w:val="none" w:sz="0" w:space="0" w:color="auto"/>
                                <w:left w:val="none" w:sz="0" w:space="0" w:color="auto"/>
                                <w:bottom w:val="none" w:sz="0" w:space="0" w:color="auto"/>
                                <w:right w:val="none" w:sz="0" w:space="0" w:color="auto"/>
                              </w:divBdr>
                            </w:div>
                            <w:div w:id="501090753">
                              <w:marLeft w:val="0"/>
                              <w:marRight w:val="0"/>
                              <w:marTop w:val="0"/>
                              <w:marBottom w:val="0"/>
                              <w:divBdr>
                                <w:top w:val="none" w:sz="0" w:space="0" w:color="auto"/>
                                <w:left w:val="none" w:sz="0" w:space="0" w:color="auto"/>
                                <w:bottom w:val="none" w:sz="0" w:space="0" w:color="auto"/>
                                <w:right w:val="none" w:sz="0" w:space="0" w:color="auto"/>
                              </w:divBdr>
                            </w:div>
                          </w:divsChild>
                        </w:div>
                        <w:div w:id="280722222">
                          <w:marLeft w:val="0"/>
                          <w:marRight w:val="0"/>
                          <w:marTop w:val="0"/>
                          <w:marBottom w:val="0"/>
                          <w:divBdr>
                            <w:top w:val="none" w:sz="0" w:space="0" w:color="auto"/>
                            <w:left w:val="none" w:sz="0" w:space="0" w:color="auto"/>
                            <w:bottom w:val="none" w:sz="0" w:space="0" w:color="auto"/>
                            <w:right w:val="none" w:sz="0" w:space="0" w:color="auto"/>
                          </w:divBdr>
                          <w:divsChild>
                            <w:div w:id="256796290">
                              <w:marLeft w:val="0"/>
                              <w:marRight w:val="0"/>
                              <w:marTop w:val="0"/>
                              <w:marBottom w:val="0"/>
                              <w:divBdr>
                                <w:top w:val="none" w:sz="0" w:space="0" w:color="auto"/>
                                <w:left w:val="none" w:sz="0" w:space="0" w:color="auto"/>
                                <w:bottom w:val="none" w:sz="0" w:space="0" w:color="auto"/>
                                <w:right w:val="none" w:sz="0" w:space="0" w:color="auto"/>
                              </w:divBdr>
                            </w:div>
                            <w:div w:id="916130306">
                              <w:marLeft w:val="0"/>
                              <w:marRight w:val="0"/>
                              <w:marTop w:val="0"/>
                              <w:marBottom w:val="0"/>
                              <w:divBdr>
                                <w:top w:val="none" w:sz="0" w:space="0" w:color="auto"/>
                                <w:left w:val="none" w:sz="0" w:space="0" w:color="auto"/>
                                <w:bottom w:val="none" w:sz="0" w:space="0" w:color="auto"/>
                                <w:right w:val="none" w:sz="0" w:space="0" w:color="auto"/>
                              </w:divBdr>
                            </w:div>
                            <w:div w:id="1892424976">
                              <w:marLeft w:val="0"/>
                              <w:marRight w:val="0"/>
                              <w:marTop w:val="0"/>
                              <w:marBottom w:val="0"/>
                              <w:divBdr>
                                <w:top w:val="none" w:sz="0" w:space="0" w:color="auto"/>
                                <w:left w:val="none" w:sz="0" w:space="0" w:color="auto"/>
                                <w:bottom w:val="none" w:sz="0" w:space="0" w:color="auto"/>
                                <w:right w:val="none" w:sz="0" w:space="0" w:color="auto"/>
                              </w:divBdr>
                            </w:div>
                            <w:div w:id="1896502442">
                              <w:marLeft w:val="0"/>
                              <w:marRight w:val="0"/>
                              <w:marTop w:val="0"/>
                              <w:marBottom w:val="0"/>
                              <w:divBdr>
                                <w:top w:val="none" w:sz="0" w:space="0" w:color="auto"/>
                                <w:left w:val="none" w:sz="0" w:space="0" w:color="auto"/>
                                <w:bottom w:val="none" w:sz="0" w:space="0" w:color="auto"/>
                                <w:right w:val="none" w:sz="0" w:space="0" w:color="auto"/>
                              </w:divBdr>
                            </w:div>
                          </w:divsChild>
                        </w:div>
                        <w:div w:id="7106671">
                          <w:marLeft w:val="0"/>
                          <w:marRight w:val="0"/>
                          <w:marTop w:val="0"/>
                          <w:marBottom w:val="0"/>
                          <w:divBdr>
                            <w:top w:val="none" w:sz="0" w:space="0" w:color="auto"/>
                            <w:left w:val="none" w:sz="0" w:space="0" w:color="auto"/>
                            <w:bottom w:val="none" w:sz="0" w:space="0" w:color="auto"/>
                            <w:right w:val="none" w:sz="0" w:space="0" w:color="auto"/>
                          </w:divBdr>
                          <w:divsChild>
                            <w:div w:id="1114255698">
                              <w:marLeft w:val="0"/>
                              <w:marRight w:val="0"/>
                              <w:marTop w:val="0"/>
                              <w:marBottom w:val="0"/>
                              <w:divBdr>
                                <w:top w:val="none" w:sz="0" w:space="0" w:color="auto"/>
                                <w:left w:val="none" w:sz="0" w:space="0" w:color="auto"/>
                                <w:bottom w:val="none" w:sz="0" w:space="0" w:color="auto"/>
                                <w:right w:val="none" w:sz="0" w:space="0" w:color="auto"/>
                              </w:divBdr>
                            </w:div>
                            <w:div w:id="1017583433">
                              <w:marLeft w:val="0"/>
                              <w:marRight w:val="0"/>
                              <w:marTop w:val="0"/>
                              <w:marBottom w:val="0"/>
                              <w:divBdr>
                                <w:top w:val="none" w:sz="0" w:space="0" w:color="auto"/>
                                <w:left w:val="none" w:sz="0" w:space="0" w:color="auto"/>
                                <w:bottom w:val="none" w:sz="0" w:space="0" w:color="auto"/>
                                <w:right w:val="none" w:sz="0" w:space="0" w:color="auto"/>
                              </w:divBdr>
                            </w:div>
                            <w:div w:id="1761173785">
                              <w:marLeft w:val="0"/>
                              <w:marRight w:val="0"/>
                              <w:marTop w:val="0"/>
                              <w:marBottom w:val="0"/>
                              <w:divBdr>
                                <w:top w:val="none" w:sz="0" w:space="0" w:color="auto"/>
                                <w:left w:val="none" w:sz="0" w:space="0" w:color="auto"/>
                                <w:bottom w:val="none" w:sz="0" w:space="0" w:color="auto"/>
                                <w:right w:val="none" w:sz="0" w:space="0" w:color="auto"/>
                              </w:divBdr>
                            </w:div>
                            <w:div w:id="838276252">
                              <w:marLeft w:val="0"/>
                              <w:marRight w:val="0"/>
                              <w:marTop w:val="0"/>
                              <w:marBottom w:val="0"/>
                              <w:divBdr>
                                <w:top w:val="none" w:sz="0" w:space="0" w:color="auto"/>
                                <w:left w:val="none" w:sz="0" w:space="0" w:color="auto"/>
                                <w:bottom w:val="none" w:sz="0" w:space="0" w:color="auto"/>
                                <w:right w:val="none" w:sz="0" w:space="0" w:color="auto"/>
                              </w:divBdr>
                            </w:div>
                            <w:div w:id="611598497">
                              <w:marLeft w:val="0"/>
                              <w:marRight w:val="0"/>
                              <w:marTop w:val="0"/>
                              <w:marBottom w:val="0"/>
                              <w:divBdr>
                                <w:top w:val="none" w:sz="0" w:space="0" w:color="auto"/>
                                <w:left w:val="none" w:sz="0" w:space="0" w:color="auto"/>
                                <w:bottom w:val="none" w:sz="0" w:space="0" w:color="auto"/>
                                <w:right w:val="none" w:sz="0" w:space="0" w:color="auto"/>
                              </w:divBdr>
                            </w:div>
                            <w:div w:id="1929002859">
                              <w:marLeft w:val="0"/>
                              <w:marRight w:val="0"/>
                              <w:marTop w:val="0"/>
                              <w:marBottom w:val="0"/>
                              <w:divBdr>
                                <w:top w:val="none" w:sz="0" w:space="0" w:color="auto"/>
                                <w:left w:val="none" w:sz="0" w:space="0" w:color="auto"/>
                                <w:bottom w:val="none" w:sz="0" w:space="0" w:color="auto"/>
                                <w:right w:val="none" w:sz="0" w:space="0" w:color="auto"/>
                              </w:divBdr>
                            </w:div>
                          </w:divsChild>
                        </w:div>
                        <w:div w:id="1651865823">
                          <w:marLeft w:val="0"/>
                          <w:marRight w:val="0"/>
                          <w:marTop w:val="0"/>
                          <w:marBottom w:val="0"/>
                          <w:divBdr>
                            <w:top w:val="none" w:sz="0" w:space="0" w:color="auto"/>
                            <w:left w:val="none" w:sz="0" w:space="0" w:color="auto"/>
                            <w:bottom w:val="none" w:sz="0" w:space="0" w:color="auto"/>
                            <w:right w:val="none" w:sz="0" w:space="0" w:color="auto"/>
                          </w:divBdr>
                          <w:divsChild>
                            <w:div w:id="2126271926">
                              <w:marLeft w:val="0"/>
                              <w:marRight w:val="0"/>
                              <w:marTop w:val="0"/>
                              <w:marBottom w:val="0"/>
                              <w:divBdr>
                                <w:top w:val="none" w:sz="0" w:space="0" w:color="auto"/>
                                <w:left w:val="none" w:sz="0" w:space="0" w:color="auto"/>
                                <w:bottom w:val="none" w:sz="0" w:space="0" w:color="auto"/>
                                <w:right w:val="none" w:sz="0" w:space="0" w:color="auto"/>
                              </w:divBdr>
                            </w:div>
                            <w:div w:id="952323274">
                              <w:marLeft w:val="0"/>
                              <w:marRight w:val="0"/>
                              <w:marTop w:val="0"/>
                              <w:marBottom w:val="0"/>
                              <w:divBdr>
                                <w:top w:val="none" w:sz="0" w:space="0" w:color="auto"/>
                                <w:left w:val="none" w:sz="0" w:space="0" w:color="auto"/>
                                <w:bottom w:val="none" w:sz="0" w:space="0" w:color="auto"/>
                                <w:right w:val="none" w:sz="0" w:space="0" w:color="auto"/>
                              </w:divBdr>
                            </w:div>
                            <w:div w:id="1911889267">
                              <w:marLeft w:val="0"/>
                              <w:marRight w:val="0"/>
                              <w:marTop w:val="0"/>
                              <w:marBottom w:val="0"/>
                              <w:divBdr>
                                <w:top w:val="none" w:sz="0" w:space="0" w:color="auto"/>
                                <w:left w:val="none" w:sz="0" w:space="0" w:color="auto"/>
                                <w:bottom w:val="none" w:sz="0" w:space="0" w:color="auto"/>
                                <w:right w:val="none" w:sz="0" w:space="0" w:color="auto"/>
                              </w:divBdr>
                            </w:div>
                            <w:div w:id="1559510979">
                              <w:marLeft w:val="0"/>
                              <w:marRight w:val="0"/>
                              <w:marTop w:val="0"/>
                              <w:marBottom w:val="0"/>
                              <w:divBdr>
                                <w:top w:val="none" w:sz="0" w:space="0" w:color="auto"/>
                                <w:left w:val="none" w:sz="0" w:space="0" w:color="auto"/>
                                <w:bottom w:val="none" w:sz="0" w:space="0" w:color="auto"/>
                                <w:right w:val="none" w:sz="0" w:space="0" w:color="auto"/>
                              </w:divBdr>
                            </w:div>
                            <w:div w:id="690884290">
                              <w:marLeft w:val="0"/>
                              <w:marRight w:val="0"/>
                              <w:marTop w:val="0"/>
                              <w:marBottom w:val="0"/>
                              <w:divBdr>
                                <w:top w:val="none" w:sz="0" w:space="0" w:color="auto"/>
                                <w:left w:val="none" w:sz="0" w:space="0" w:color="auto"/>
                                <w:bottom w:val="none" w:sz="0" w:space="0" w:color="auto"/>
                                <w:right w:val="none" w:sz="0" w:space="0" w:color="auto"/>
                              </w:divBdr>
                            </w:div>
                            <w:div w:id="1010839241">
                              <w:marLeft w:val="0"/>
                              <w:marRight w:val="0"/>
                              <w:marTop w:val="0"/>
                              <w:marBottom w:val="0"/>
                              <w:divBdr>
                                <w:top w:val="none" w:sz="0" w:space="0" w:color="auto"/>
                                <w:left w:val="none" w:sz="0" w:space="0" w:color="auto"/>
                                <w:bottom w:val="none" w:sz="0" w:space="0" w:color="auto"/>
                                <w:right w:val="none" w:sz="0" w:space="0" w:color="auto"/>
                              </w:divBdr>
                            </w:div>
                          </w:divsChild>
                        </w:div>
                        <w:div w:id="1800762559">
                          <w:marLeft w:val="0"/>
                          <w:marRight w:val="0"/>
                          <w:marTop w:val="0"/>
                          <w:marBottom w:val="0"/>
                          <w:divBdr>
                            <w:top w:val="none" w:sz="0" w:space="0" w:color="auto"/>
                            <w:left w:val="none" w:sz="0" w:space="0" w:color="auto"/>
                            <w:bottom w:val="none" w:sz="0" w:space="0" w:color="auto"/>
                            <w:right w:val="none" w:sz="0" w:space="0" w:color="auto"/>
                          </w:divBdr>
                          <w:divsChild>
                            <w:div w:id="850485568">
                              <w:marLeft w:val="0"/>
                              <w:marRight w:val="0"/>
                              <w:marTop w:val="0"/>
                              <w:marBottom w:val="0"/>
                              <w:divBdr>
                                <w:top w:val="none" w:sz="0" w:space="0" w:color="auto"/>
                                <w:left w:val="none" w:sz="0" w:space="0" w:color="auto"/>
                                <w:bottom w:val="none" w:sz="0" w:space="0" w:color="auto"/>
                                <w:right w:val="none" w:sz="0" w:space="0" w:color="auto"/>
                              </w:divBdr>
                            </w:div>
                          </w:divsChild>
                        </w:div>
                        <w:div w:id="933364231">
                          <w:marLeft w:val="0"/>
                          <w:marRight w:val="0"/>
                          <w:marTop w:val="0"/>
                          <w:marBottom w:val="0"/>
                          <w:divBdr>
                            <w:top w:val="none" w:sz="0" w:space="0" w:color="auto"/>
                            <w:left w:val="none" w:sz="0" w:space="0" w:color="auto"/>
                            <w:bottom w:val="none" w:sz="0" w:space="0" w:color="auto"/>
                            <w:right w:val="none" w:sz="0" w:space="0" w:color="auto"/>
                          </w:divBdr>
                          <w:divsChild>
                            <w:div w:id="2110662894">
                              <w:marLeft w:val="0"/>
                              <w:marRight w:val="0"/>
                              <w:marTop w:val="0"/>
                              <w:marBottom w:val="0"/>
                              <w:divBdr>
                                <w:top w:val="none" w:sz="0" w:space="0" w:color="auto"/>
                                <w:left w:val="none" w:sz="0" w:space="0" w:color="auto"/>
                                <w:bottom w:val="none" w:sz="0" w:space="0" w:color="auto"/>
                                <w:right w:val="none" w:sz="0" w:space="0" w:color="auto"/>
                              </w:divBdr>
                            </w:div>
                            <w:div w:id="1119910026">
                              <w:marLeft w:val="0"/>
                              <w:marRight w:val="0"/>
                              <w:marTop w:val="0"/>
                              <w:marBottom w:val="0"/>
                              <w:divBdr>
                                <w:top w:val="none" w:sz="0" w:space="0" w:color="auto"/>
                                <w:left w:val="none" w:sz="0" w:space="0" w:color="auto"/>
                                <w:bottom w:val="none" w:sz="0" w:space="0" w:color="auto"/>
                                <w:right w:val="none" w:sz="0" w:space="0" w:color="auto"/>
                              </w:divBdr>
                            </w:div>
                            <w:div w:id="1882670295">
                              <w:marLeft w:val="0"/>
                              <w:marRight w:val="0"/>
                              <w:marTop w:val="0"/>
                              <w:marBottom w:val="0"/>
                              <w:divBdr>
                                <w:top w:val="none" w:sz="0" w:space="0" w:color="auto"/>
                                <w:left w:val="none" w:sz="0" w:space="0" w:color="auto"/>
                                <w:bottom w:val="none" w:sz="0" w:space="0" w:color="auto"/>
                                <w:right w:val="none" w:sz="0" w:space="0" w:color="auto"/>
                              </w:divBdr>
                            </w:div>
                            <w:div w:id="147357341">
                              <w:marLeft w:val="0"/>
                              <w:marRight w:val="0"/>
                              <w:marTop w:val="0"/>
                              <w:marBottom w:val="0"/>
                              <w:divBdr>
                                <w:top w:val="none" w:sz="0" w:space="0" w:color="auto"/>
                                <w:left w:val="none" w:sz="0" w:space="0" w:color="auto"/>
                                <w:bottom w:val="none" w:sz="0" w:space="0" w:color="auto"/>
                                <w:right w:val="none" w:sz="0" w:space="0" w:color="auto"/>
                              </w:divBdr>
                            </w:div>
                            <w:div w:id="1886525670">
                              <w:marLeft w:val="0"/>
                              <w:marRight w:val="0"/>
                              <w:marTop w:val="0"/>
                              <w:marBottom w:val="0"/>
                              <w:divBdr>
                                <w:top w:val="none" w:sz="0" w:space="0" w:color="auto"/>
                                <w:left w:val="none" w:sz="0" w:space="0" w:color="auto"/>
                                <w:bottom w:val="none" w:sz="0" w:space="0" w:color="auto"/>
                                <w:right w:val="none" w:sz="0" w:space="0" w:color="auto"/>
                              </w:divBdr>
                            </w:div>
                            <w:div w:id="2125538812">
                              <w:marLeft w:val="0"/>
                              <w:marRight w:val="0"/>
                              <w:marTop w:val="0"/>
                              <w:marBottom w:val="0"/>
                              <w:divBdr>
                                <w:top w:val="none" w:sz="0" w:space="0" w:color="auto"/>
                                <w:left w:val="none" w:sz="0" w:space="0" w:color="auto"/>
                                <w:bottom w:val="none" w:sz="0" w:space="0" w:color="auto"/>
                                <w:right w:val="none" w:sz="0" w:space="0" w:color="auto"/>
                              </w:divBdr>
                            </w:div>
                            <w:div w:id="1251085642">
                              <w:marLeft w:val="0"/>
                              <w:marRight w:val="0"/>
                              <w:marTop w:val="0"/>
                              <w:marBottom w:val="0"/>
                              <w:divBdr>
                                <w:top w:val="none" w:sz="0" w:space="0" w:color="auto"/>
                                <w:left w:val="none" w:sz="0" w:space="0" w:color="auto"/>
                                <w:bottom w:val="none" w:sz="0" w:space="0" w:color="auto"/>
                                <w:right w:val="none" w:sz="0" w:space="0" w:color="auto"/>
                              </w:divBdr>
                            </w:div>
                            <w:div w:id="1372723686">
                              <w:marLeft w:val="0"/>
                              <w:marRight w:val="0"/>
                              <w:marTop w:val="0"/>
                              <w:marBottom w:val="0"/>
                              <w:divBdr>
                                <w:top w:val="none" w:sz="0" w:space="0" w:color="auto"/>
                                <w:left w:val="none" w:sz="0" w:space="0" w:color="auto"/>
                                <w:bottom w:val="none" w:sz="0" w:space="0" w:color="auto"/>
                                <w:right w:val="none" w:sz="0" w:space="0" w:color="auto"/>
                              </w:divBdr>
                            </w:div>
                            <w:div w:id="752511763">
                              <w:marLeft w:val="0"/>
                              <w:marRight w:val="0"/>
                              <w:marTop w:val="0"/>
                              <w:marBottom w:val="0"/>
                              <w:divBdr>
                                <w:top w:val="none" w:sz="0" w:space="0" w:color="auto"/>
                                <w:left w:val="none" w:sz="0" w:space="0" w:color="auto"/>
                                <w:bottom w:val="none" w:sz="0" w:space="0" w:color="auto"/>
                                <w:right w:val="none" w:sz="0" w:space="0" w:color="auto"/>
                              </w:divBdr>
                            </w:div>
                            <w:div w:id="1883446030">
                              <w:marLeft w:val="0"/>
                              <w:marRight w:val="0"/>
                              <w:marTop w:val="0"/>
                              <w:marBottom w:val="0"/>
                              <w:divBdr>
                                <w:top w:val="none" w:sz="0" w:space="0" w:color="auto"/>
                                <w:left w:val="none" w:sz="0" w:space="0" w:color="auto"/>
                                <w:bottom w:val="none" w:sz="0" w:space="0" w:color="auto"/>
                                <w:right w:val="none" w:sz="0" w:space="0" w:color="auto"/>
                              </w:divBdr>
                            </w:div>
                            <w:div w:id="108010955">
                              <w:marLeft w:val="0"/>
                              <w:marRight w:val="0"/>
                              <w:marTop w:val="0"/>
                              <w:marBottom w:val="0"/>
                              <w:divBdr>
                                <w:top w:val="none" w:sz="0" w:space="0" w:color="auto"/>
                                <w:left w:val="none" w:sz="0" w:space="0" w:color="auto"/>
                                <w:bottom w:val="none" w:sz="0" w:space="0" w:color="auto"/>
                                <w:right w:val="none" w:sz="0" w:space="0" w:color="auto"/>
                              </w:divBdr>
                            </w:div>
                            <w:div w:id="1997031787">
                              <w:marLeft w:val="0"/>
                              <w:marRight w:val="0"/>
                              <w:marTop w:val="0"/>
                              <w:marBottom w:val="0"/>
                              <w:divBdr>
                                <w:top w:val="none" w:sz="0" w:space="0" w:color="auto"/>
                                <w:left w:val="none" w:sz="0" w:space="0" w:color="auto"/>
                                <w:bottom w:val="none" w:sz="0" w:space="0" w:color="auto"/>
                                <w:right w:val="none" w:sz="0" w:space="0" w:color="auto"/>
                              </w:divBdr>
                            </w:div>
                            <w:div w:id="701328209">
                              <w:marLeft w:val="0"/>
                              <w:marRight w:val="0"/>
                              <w:marTop w:val="0"/>
                              <w:marBottom w:val="0"/>
                              <w:divBdr>
                                <w:top w:val="none" w:sz="0" w:space="0" w:color="auto"/>
                                <w:left w:val="none" w:sz="0" w:space="0" w:color="auto"/>
                                <w:bottom w:val="none" w:sz="0" w:space="0" w:color="auto"/>
                                <w:right w:val="none" w:sz="0" w:space="0" w:color="auto"/>
                              </w:divBdr>
                            </w:div>
                            <w:div w:id="657541704">
                              <w:marLeft w:val="0"/>
                              <w:marRight w:val="0"/>
                              <w:marTop w:val="0"/>
                              <w:marBottom w:val="0"/>
                              <w:divBdr>
                                <w:top w:val="none" w:sz="0" w:space="0" w:color="auto"/>
                                <w:left w:val="none" w:sz="0" w:space="0" w:color="auto"/>
                                <w:bottom w:val="none" w:sz="0" w:space="0" w:color="auto"/>
                                <w:right w:val="none" w:sz="0" w:space="0" w:color="auto"/>
                              </w:divBdr>
                            </w:div>
                          </w:divsChild>
                        </w:div>
                        <w:div w:id="1126198152">
                          <w:marLeft w:val="0"/>
                          <w:marRight w:val="0"/>
                          <w:marTop w:val="0"/>
                          <w:marBottom w:val="0"/>
                          <w:divBdr>
                            <w:top w:val="none" w:sz="0" w:space="0" w:color="auto"/>
                            <w:left w:val="none" w:sz="0" w:space="0" w:color="auto"/>
                            <w:bottom w:val="none" w:sz="0" w:space="0" w:color="auto"/>
                            <w:right w:val="none" w:sz="0" w:space="0" w:color="auto"/>
                          </w:divBdr>
                          <w:divsChild>
                            <w:div w:id="1467354754">
                              <w:marLeft w:val="0"/>
                              <w:marRight w:val="0"/>
                              <w:marTop w:val="0"/>
                              <w:marBottom w:val="0"/>
                              <w:divBdr>
                                <w:top w:val="none" w:sz="0" w:space="0" w:color="auto"/>
                                <w:left w:val="none" w:sz="0" w:space="0" w:color="auto"/>
                                <w:bottom w:val="none" w:sz="0" w:space="0" w:color="auto"/>
                                <w:right w:val="none" w:sz="0" w:space="0" w:color="auto"/>
                              </w:divBdr>
                            </w:div>
                            <w:div w:id="1090470047">
                              <w:marLeft w:val="0"/>
                              <w:marRight w:val="0"/>
                              <w:marTop w:val="0"/>
                              <w:marBottom w:val="0"/>
                              <w:divBdr>
                                <w:top w:val="none" w:sz="0" w:space="0" w:color="auto"/>
                                <w:left w:val="none" w:sz="0" w:space="0" w:color="auto"/>
                                <w:bottom w:val="none" w:sz="0" w:space="0" w:color="auto"/>
                                <w:right w:val="none" w:sz="0" w:space="0" w:color="auto"/>
                              </w:divBdr>
                            </w:div>
                            <w:div w:id="489711267">
                              <w:marLeft w:val="0"/>
                              <w:marRight w:val="0"/>
                              <w:marTop w:val="0"/>
                              <w:marBottom w:val="0"/>
                              <w:divBdr>
                                <w:top w:val="none" w:sz="0" w:space="0" w:color="auto"/>
                                <w:left w:val="none" w:sz="0" w:space="0" w:color="auto"/>
                                <w:bottom w:val="none" w:sz="0" w:space="0" w:color="auto"/>
                                <w:right w:val="none" w:sz="0" w:space="0" w:color="auto"/>
                              </w:divBdr>
                            </w:div>
                            <w:div w:id="1725178919">
                              <w:marLeft w:val="0"/>
                              <w:marRight w:val="0"/>
                              <w:marTop w:val="0"/>
                              <w:marBottom w:val="0"/>
                              <w:divBdr>
                                <w:top w:val="none" w:sz="0" w:space="0" w:color="auto"/>
                                <w:left w:val="none" w:sz="0" w:space="0" w:color="auto"/>
                                <w:bottom w:val="none" w:sz="0" w:space="0" w:color="auto"/>
                                <w:right w:val="none" w:sz="0" w:space="0" w:color="auto"/>
                              </w:divBdr>
                            </w:div>
                            <w:div w:id="1992978959">
                              <w:marLeft w:val="0"/>
                              <w:marRight w:val="0"/>
                              <w:marTop w:val="0"/>
                              <w:marBottom w:val="0"/>
                              <w:divBdr>
                                <w:top w:val="none" w:sz="0" w:space="0" w:color="auto"/>
                                <w:left w:val="none" w:sz="0" w:space="0" w:color="auto"/>
                                <w:bottom w:val="none" w:sz="0" w:space="0" w:color="auto"/>
                                <w:right w:val="none" w:sz="0" w:space="0" w:color="auto"/>
                              </w:divBdr>
                            </w:div>
                            <w:div w:id="1198464886">
                              <w:marLeft w:val="0"/>
                              <w:marRight w:val="0"/>
                              <w:marTop w:val="0"/>
                              <w:marBottom w:val="0"/>
                              <w:divBdr>
                                <w:top w:val="none" w:sz="0" w:space="0" w:color="auto"/>
                                <w:left w:val="none" w:sz="0" w:space="0" w:color="auto"/>
                                <w:bottom w:val="none" w:sz="0" w:space="0" w:color="auto"/>
                                <w:right w:val="none" w:sz="0" w:space="0" w:color="auto"/>
                              </w:divBdr>
                            </w:div>
                            <w:div w:id="110672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611818">
                      <w:marLeft w:val="0"/>
                      <w:marRight w:val="0"/>
                      <w:marTop w:val="0"/>
                      <w:marBottom w:val="0"/>
                      <w:divBdr>
                        <w:top w:val="none" w:sz="0" w:space="0" w:color="auto"/>
                        <w:left w:val="none" w:sz="0" w:space="0" w:color="auto"/>
                        <w:bottom w:val="none" w:sz="0" w:space="0" w:color="auto"/>
                        <w:right w:val="none" w:sz="0" w:space="0" w:color="auto"/>
                      </w:divBdr>
                      <w:divsChild>
                        <w:div w:id="1307904113">
                          <w:marLeft w:val="0"/>
                          <w:marRight w:val="0"/>
                          <w:marTop w:val="0"/>
                          <w:marBottom w:val="0"/>
                          <w:divBdr>
                            <w:top w:val="none" w:sz="0" w:space="0" w:color="auto"/>
                            <w:left w:val="none" w:sz="0" w:space="0" w:color="auto"/>
                            <w:bottom w:val="none" w:sz="0" w:space="0" w:color="auto"/>
                            <w:right w:val="none" w:sz="0" w:space="0" w:color="auto"/>
                          </w:divBdr>
                        </w:div>
                        <w:div w:id="336079084">
                          <w:marLeft w:val="0"/>
                          <w:marRight w:val="0"/>
                          <w:marTop w:val="0"/>
                          <w:marBottom w:val="0"/>
                          <w:divBdr>
                            <w:top w:val="none" w:sz="0" w:space="0" w:color="auto"/>
                            <w:left w:val="none" w:sz="0" w:space="0" w:color="auto"/>
                            <w:bottom w:val="none" w:sz="0" w:space="0" w:color="auto"/>
                            <w:right w:val="none" w:sz="0" w:space="0" w:color="auto"/>
                          </w:divBdr>
                          <w:divsChild>
                            <w:div w:id="1888292716">
                              <w:marLeft w:val="0"/>
                              <w:marRight w:val="0"/>
                              <w:marTop w:val="0"/>
                              <w:marBottom w:val="0"/>
                              <w:divBdr>
                                <w:top w:val="none" w:sz="0" w:space="0" w:color="auto"/>
                                <w:left w:val="none" w:sz="0" w:space="0" w:color="auto"/>
                                <w:bottom w:val="none" w:sz="0" w:space="0" w:color="auto"/>
                                <w:right w:val="none" w:sz="0" w:space="0" w:color="auto"/>
                              </w:divBdr>
                            </w:div>
                            <w:div w:id="1440292335">
                              <w:marLeft w:val="0"/>
                              <w:marRight w:val="0"/>
                              <w:marTop w:val="0"/>
                              <w:marBottom w:val="0"/>
                              <w:divBdr>
                                <w:top w:val="none" w:sz="0" w:space="0" w:color="auto"/>
                                <w:left w:val="none" w:sz="0" w:space="0" w:color="auto"/>
                                <w:bottom w:val="none" w:sz="0" w:space="0" w:color="auto"/>
                                <w:right w:val="none" w:sz="0" w:space="0" w:color="auto"/>
                              </w:divBdr>
                            </w:div>
                            <w:div w:id="1907064336">
                              <w:marLeft w:val="0"/>
                              <w:marRight w:val="0"/>
                              <w:marTop w:val="0"/>
                              <w:marBottom w:val="0"/>
                              <w:divBdr>
                                <w:top w:val="none" w:sz="0" w:space="0" w:color="auto"/>
                                <w:left w:val="none" w:sz="0" w:space="0" w:color="auto"/>
                                <w:bottom w:val="none" w:sz="0" w:space="0" w:color="auto"/>
                                <w:right w:val="none" w:sz="0" w:space="0" w:color="auto"/>
                              </w:divBdr>
                            </w:div>
                            <w:div w:id="1337149389">
                              <w:marLeft w:val="0"/>
                              <w:marRight w:val="0"/>
                              <w:marTop w:val="0"/>
                              <w:marBottom w:val="0"/>
                              <w:divBdr>
                                <w:top w:val="none" w:sz="0" w:space="0" w:color="auto"/>
                                <w:left w:val="none" w:sz="0" w:space="0" w:color="auto"/>
                                <w:bottom w:val="none" w:sz="0" w:space="0" w:color="auto"/>
                                <w:right w:val="none" w:sz="0" w:space="0" w:color="auto"/>
                              </w:divBdr>
                            </w:div>
                            <w:div w:id="1937980986">
                              <w:marLeft w:val="0"/>
                              <w:marRight w:val="0"/>
                              <w:marTop w:val="0"/>
                              <w:marBottom w:val="0"/>
                              <w:divBdr>
                                <w:top w:val="none" w:sz="0" w:space="0" w:color="auto"/>
                                <w:left w:val="none" w:sz="0" w:space="0" w:color="auto"/>
                                <w:bottom w:val="none" w:sz="0" w:space="0" w:color="auto"/>
                                <w:right w:val="none" w:sz="0" w:space="0" w:color="auto"/>
                              </w:divBdr>
                            </w:div>
                            <w:div w:id="1569993520">
                              <w:marLeft w:val="0"/>
                              <w:marRight w:val="0"/>
                              <w:marTop w:val="0"/>
                              <w:marBottom w:val="0"/>
                              <w:divBdr>
                                <w:top w:val="none" w:sz="0" w:space="0" w:color="auto"/>
                                <w:left w:val="none" w:sz="0" w:space="0" w:color="auto"/>
                                <w:bottom w:val="none" w:sz="0" w:space="0" w:color="auto"/>
                                <w:right w:val="none" w:sz="0" w:space="0" w:color="auto"/>
                              </w:divBdr>
                            </w:div>
                            <w:div w:id="1090002384">
                              <w:marLeft w:val="0"/>
                              <w:marRight w:val="0"/>
                              <w:marTop w:val="0"/>
                              <w:marBottom w:val="0"/>
                              <w:divBdr>
                                <w:top w:val="none" w:sz="0" w:space="0" w:color="auto"/>
                                <w:left w:val="none" w:sz="0" w:space="0" w:color="auto"/>
                                <w:bottom w:val="none" w:sz="0" w:space="0" w:color="auto"/>
                                <w:right w:val="none" w:sz="0" w:space="0" w:color="auto"/>
                              </w:divBdr>
                            </w:div>
                            <w:div w:id="1301422578">
                              <w:marLeft w:val="0"/>
                              <w:marRight w:val="0"/>
                              <w:marTop w:val="0"/>
                              <w:marBottom w:val="0"/>
                              <w:divBdr>
                                <w:top w:val="none" w:sz="0" w:space="0" w:color="auto"/>
                                <w:left w:val="none" w:sz="0" w:space="0" w:color="auto"/>
                                <w:bottom w:val="none" w:sz="0" w:space="0" w:color="auto"/>
                                <w:right w:val="none" w:sz="0" w:space="0" w:color="auto"/>
                              </w:divBdr>
                            </w:div>
                            <w:div w:id="1941916056">
                              <w:marLeft w:val="0"/>
                              <w:marRight w:val="0"/>
                              <w:marTop w:val="0"/>
                              <w:marBottom w:val="0"/>
                              <w:divBdr>
                                <w:top w:val="none" w:sz="0" w:space="0" w:color="auto"/>
                                <w:left w:val="none" w:sz="0" w:space="0" w:color="auto"/>
                                <w:bottom w:val="none" w:sz="0" w:space="0" w:color="auto"/>
                                <w:right w:val="none" w:sz="0" w:space="0" w:color="auto"/>
                              </w:divBdr>
                            </w:div>
                            <w:div w:id="1803503787">
                              <w:marLeft w:val="0"/>
                              <w:marRight w:val="0"/>
                              <w:marTop w:val="0"/>
                              <w:marBottom w:val="0"/>
                              <w:divBdr>
                                <w:top w:val="none" w:sz="0" w:space="0" w:color="auto"/>
                                <w:left w:val="none" w:sz="0" w:space="0" w:color="auto"/>
                                <w:bottom w:val="none" w:sz="0" w:space="0" w:color="auto"/>
                                <w:right w:val="none" w:sz="0" w:space="0" w:color="auto"/>
                              </w:divBdr>
                            </w:div>
                            <w:div w:id="1471361188">
                              <w:marLeft w:val="0"/>
                              <w:marRight w:val="0"/>
                              <w:marTop w:val="0"/>
                              <w:marBottom w:val="0"/>
                              <w:divBdr>
                                <w:top w:val="none" w:sz="0" w:space="0" w:color="auto"/>
                                <w:left w:val="none" w:sz="0" w:space="0" w:color="auto"/>
                                <w:bottom w:val="none" w:sz="0" w:space="0" w:color="auto"/>
                                <w:right w:val="none" w:sz="0" w:space="0" w:color="auto"/>
                              </w:divBdr>
                            </w:div>
                            <w:div w:id="1912231346">
                              <w:marLeft w:val="0"/>
                              <w:marRight w:val="0"/>
                              <w:marTop w:val="0"/>
                              <w:marBottom w:val="0"/>
                              <w:divBdr>
                                <w:top w:val="none" w:sz="0" w:space="0" w:color="auto"/>
                                <w:left w:val="none" w:sz="0" w:space="0" w:color="auto"/>
                                <w:bottom w:val="none" w:sz="0" w:space="0" w:color="auto"/>
                                <w:right w:val="none" w:sz="0" w:space="0" w:color="auto"/>
                              </w:divBdr>
                            </w:div>
                            <w:div w:id="1493522562">
                              <w:marLeft w:val="0"/>
                              <w:marRight w:val="0"/>
                              <w:marTop w:val="0"/>
                              <w:marBottom w:val="0"/>
                              <w:divBdr>
                                <w:top w:val="none" w:sz="0" w:space="0" w:color="auto"/>
                                <w:left w:val="none" w:sz="0" w:space="0" w:color="auto"/>
                                <w:bottom w:val="none" w:sz="0" w:space="0" w:color="auto"/>
                                <w:right w:val="none" w:sz="0" w:space="0" w:color="auto"/>
                              </w:divBdr>
                            </w:div>
                          </w:divsChild>
                        </w:div>
                        <w:div w:id="1940525982">
                          <w:marLeft w:val="0"/>
                          <w:marRight w:val="0"/>
                          <w:marTop w:val="0"/>
                          <w:marBottom w:val="0"/>
                          <w:divBdr>
                            <w:top w:val="none" w:sz="0" w:space="0" w:color="auto"/>
                            <w:left w:val="none" w:sz="0" w:space="0" w:color="auto"/>
                            <w:bottom w:val="none" w:sz="0" w:space="0" w:color="auto"/>
                            <w:right w:val="none" w:sz="0" w:space="0" w:color="auto"/>
                          </w:divBdr>
                          <w:divsChild>
                            <w:div w:id="214968859">
                              <w:marLeft w:val="0"/>
                              <w:marRight w:val="0"/>
                              <w:marTop w:val="0"/>
                              <w:marBottom w:val="0"/>
                              <w:divBdr>
                                <w:top w:val="none" w:sz="0" w:space="0" w:color="auto"/>
                                <w:left w:val="none" w:sz="0" w:space="0" w:color="auto"/>
                                <w:bottom w:val="none" w:sz="0" w:space="0" w:color="auto"/>
                                <w:right w:val="none" w:sz="0" w:space="0" w:color="auto"/>
                              </w:divBdr>
                            </w:div>
                            <w:div w:id="1843162168">
                              <w:marLeft w:val="0"/>
                              <w:marRight w:val="0"/>
                              <w:marTop w:val="0"/>
                              <w:marBottom w:val="0"/>
                              <w:divBdr>
                                <w:top w:val="none" w:sz="0" w:space="0" w:color="auto"/>
                                <w:left w:val="none" w:sz="0" w:space="0" w:color="auto"/>
                                <w:bottom w:val="none" w:sz="0" w:space="0" w:color="auto"/>
                                <w:right w:val="none" w:sz="0" w:space="0" w:color="auto"/>
                              </w:divBdr>
                            </w:div>
                            <w:div w:id="1450390656">
                              <w:marLeft w:val="0"/>
                              <w:marRight w:val="0"/>
                              <w:marTop w:val="0"/>
                              <w:marBottom w:val="0"/>
                              <w:divBdr>
                                <w:top w:val="none" w:sz="0" w:space="0" w:color="auto"/>
                                <w:left w:val="none" w:sz="0" w:space="0" w:color="auto"/>
                                <w:bottom w:val="none" w:sz="0" w:space="0" w:color="auto"/>
                                <w:right w:val="none" w:sz="0" w:space="0" w:color="auto"/>
                              </w:divBdr>
                            </w:div>
                            <w:div w:id="1064334295">
                              <w:marLeft w:val="0"/>
                              <w:marRight w:val="0"/>
                              <w:marTop w:val="0"/>
                              <w:marBottom w:val="0"/>
                              <w:divBdr>
                                <w:top w:val="none" w:sz="0" w:space="0" w:color="auto"/>
                                <w:left w:val="none" w:sz="0" w:space="0" w:color="auto"/>
                                <w:bottom w:val="none" w:sz="0" w:space="0" w:color="auto"/>
                                <w:right w:val="none" w:sz="0" w:space="0" w:color="auto"/>
                              </w:divBdr>
                            </w:div>
                            <w:div w:id="769204128">
                              <w:marLeft w:val="0"/>
                              <w:marRight w:val="0"/>
                              <w:marTop w:val="0"/>
                              <w:marBottom w:val="0"/>
                              <w:divBdr>
                                <w:top w:val="none" w:sz="0" w:space="0" w:color="auto"/>
                                <w:left w:val="none" w:sz="0" w:space="0" w:color="auto"/>
                                <w:bottom w:val="none" w:sz="0" w:space="0" w:color="auto"/>
                                <w:right w:val="none" w:sz="0" w:space="0" w:color="auto"/>
                              </w:divBdr>
                            </w:div>
                            <w:div w:id="1400664095">
                              <w:marLeft w:val="0"/>
                              <w:marRight w:val="0"/>
                              <w:marTop w:val="0"/>
                              <w:marBottom w:val="0"/>
                              <w:divBdr>
                                <w:top w:val="none" w:sz="0" w:space="0" w:color="auto"/>
                                <w:left w:val="none" w:sz="0" w:space="0" w:color="auto"/>
                                <w:bottom w:val="none" w:sz="0" w:space="0" w:color="auto"/>
                                <w:right w:val="none" w:sz="0" w:space="0" w:color="auto"/>
                              </w:divBdr>
                            </w:div>
                            <w:div w:id="592783768">
                              <w:marLeft w:val="0"/>
                              <w:marRight w:val="0"/>
                              <w:marTop w:val="0"/>
                              <w:marBottom w:val="0"/>
                              <w:divBdr>
                                <w:top w:val="none" w:sz="0" w:space="0" w:color="auto"/>
                                <w:left w:val="none" w:sz="0" w:space="0" w:color="auto"/>
                                <w:bottom w:val="none" w:sz="0" w:space="0" w:color="auto"/>
                                <w:right w:val="none" w:sz="0" w:space="0" w:color="auto"/>
                              </w:divBdr>
                            </w:div>
                            <w:div w:id="1325009235">
                              <w:marLeft w:val="0"/>
                              <w:marRight w:val="0"/>
                              <w:marTop w:val="0"/>
                              <w:marBottom w:val="0"/>
                              <w:divBdr>
                                <w:top w:val="none" w:sz="0" w:space="0" w:color="auto"/>
                                <w:left w:val="none" w:sz="0" w:space="0" w:color="auto"/>
                                <w:bottom w:val="none" w:sz="0" w:space="0" w:color="auto"/>
                                <w:right w:val="none" w:sz="0" w:space="0" w:color="auto"/>
                              </w:divBdr>
                            </w:div>
                            <w:div w:id="1084300715">
                              <w:marLeft w:val="0"/>
                              <w:marRight w:val="0"/>
                              <w:marTop w:val="0"/>
                              <w:marBottom w:val="0"/>
                              <w:divBdr>
                                <w:top w:val="none" w:sz="0" w:space="0" w:color="auto"/>
                                <w:left w:val="none" w:sz="0" w:space="0" w:color="auto"/>
                                <w:bottom w:val="none" w:sz="0" w:space="0" w:color="auto"/>
                                <w:right w:val="none" w:sz="0" w:space="0" w:color="auto"/>
                              </w:divBdr>
                            </w:div>
                            <w:div w:id="850489667">
                              <w:marLeft w:val="0"/>
                              <w:marRight w:val="0"/>
                              <w:marTop w:val="0"/>
                              <w:marBottom w:val="0"/>
                              <w:divBdr>
                                <w:top w:val="none" w:sz="0" w:space="0" w:color="auto"/>
                                <w:left w:val="none" w:sz="0" w:space="0" w:color="auto"/>
                                <w:bottom w:val="none" w:sz="0" w:space="0" w:color="auto"/>
                                <w:right w:val="none" w:sz="0" w:space="0" w:color="auto"/>
                              </w:divBdr>
                            </w:div>
                            <w:div w:id="1028945024">
                              <w:marLeft w:val="0"/>
                              <w:marRight w:val="0"/>
                              <w:marTop w:val="0"/>
                              <w:marBottom w:val="0"/>
                              <w:divBdr>
                                <w:top w:val="none" w:sz="0" w:space="0" w:color="auto"/>
                                <w:left w:val="none" w:sz="0" w:space="0" w:color="auto"/>
                                <w:bottom w:val="none" w:sz="0" w:space="0" w:color="auto"/>
                                <w:right w:val="none" w:sz="0" w:space="0" w:color="auto"/>
                              </w:divBdr>
                            </w:div>
                          </w:divsChild>
                        </w:div>
                        <w:div w:id="1641416701">
                          <w:marLeft w:val="0"/>
                          <w:marRight w:val="0"/>
                          <w:marTop w:val="0"/>
                          <w:marBottom w:val="0"/>
                          <w:divBdr>
                            <w:top w:val="none" w:sz="0" w:space="0" w:color="auto"/>
                            <w:left w:val="none" w:sz="0" w:space="0" w:color="auto"/>
                            <w:bottom w:val="none" w:sz="0" w:space="0" w:color="auto"/>
                            <w:right w:val="none" w:sz="0" w:space="0" w:color="auto"/>
                          </w:divBdr>
                          <w:divsChild>
                            <w:div w:id="503204729">
                              <w:marLeft w:val="0"/>
                              <w:marRight w:val="0"/>
                              <w:marTop w:val="0"/>
                              <w:marBottom w:val="0"/>
                              <w:divBdr>
                                <w:top w:val="none" w:sz="0" w:space="0" w:color="auto"/>
                                <w:left w:val="none" w:sz="0" w:space="0" w:color="auto"/>
                                <w:bottom w:val="none" w:sz="0" w:space="0" w:color="auto"/>
                                <w:right w:val="none" w:sz="0" w:space="0" w:color="auto"/>
                              </w:divBdr>
                            </w:div>
                            <w:div w:id="2109041968">
                              <w:marLeft w:val="0"/>
                              <w:marRight w:val="0"/>
                              <w:marTop w:val="0"/>
                              <w:marBottom w:val="0"/>
                              <w:divBdr>
                                <w:top w:val="none" w:sz="0" w:space="0" w:color="auto"/>
                                <w:left w:val="none" w:sz="0" w:space="0" w:color="auto"/>
                                <w:bottom w:val="none" w:sz="0" w:space="0" w:color="auto"/>
                                <w:right w:val="none" w:sz="0" w:space="0" w:color="auto"/>
                              </w:divBdr>
                            </w:div>
                            <w:div w:id="1865703272">
                              <w:marLeft w:val="0"/>
                              <w:marRight w:val="0"/>
                              <w:marTop w:val="0"/>
                              <w:marBottom w:val="0"/>
                              <w:divBdr>
                                <w:top w:val="none" w:sz="0" w:space="0" w:color="auto"/>
                                <w:left w:val="none" w:sz="0" w:space="0" w:color="auto"/>
                                <w:bottom w:val="none" w:sz="0" w:space="0" w:color="auto"/>
                                <w:right w:val="none" w:sz="0" w:space="0" w:color="auto"/>
                              </w:divBdr>
                            </w:div>
                            <w:div w:id="761609762">
                              <w:marLeft w:val="0"/>
                              <w:marRight w:val="0"/>
                              <w:marTop w:val="0"/>
                              <w:marBottom w:val="0"/>
                              <w:divBdr>
                                <w:top w:val="none" w:sz="0" w:space="0" w:color="auto"/>
                                <w:left w:val="none" w:sz="0" w:space="0" w:color="auto"/>
                                <w:bottom w:val="none" w:sz="0" w:space="0" w:color="auto"/>
                                <w:right w:val="none" w:sz="0" w:space="0" w:color="auto"/>
                              </w:divBdr>
                            </w:div>
                            <w:div w:id="822046444">
                              <w:marLeft w:val="0"/>
                              <w:marRight w:val="0"/>
                              <w:marTop w:val="0"/>
                              <w:marBottom w:val="0"/>
                              <w:divBdr>
                                <w:top w:val="none" w:sz="0" w:space="0" w:color="auto"/>
                                <w:left w:val="none" w:sz="0" w:space="0" w:color="auto"/>
                                <w:bottom w:val="none" w:sz="0" w:space="0" w:color="auto"/>
                                <w:right w:val="none" w:sz="0" w:space="0" w:color="auto"/>
                              </w:divBdr>
                            </w:div>
                            <w:div w:id="1728531617">
                              <w:marLeft w:val="0"/>
                              <w:marRight w:val="0"/>
                              <w:marTop w:val="0"/>
                              <w:marBottom w:val="0"/>
                              <w:divBdr>
                                <w:top w:val="none" w:sz="0" w:space="0" w:color="auto"/>
                                <w:left w:val="none" w:sz="0" w:space="0" w:color="auto"/>
                                <w:bottom w:val="none" w:sz="0" w:space="0" w:color="auto"/>
                                <w:right w:val="none" w:sz="0" w:space="0" w:color="auto"/>
                              </w:divBdr>
                            </w:div>
                          </w:divsChild>
                        </w:div>
                        <w:div w:id="1368523419">
                          <w:marLeft w:val="0"/>
                          <w:marRight w:val="0"/>
                          <w:marTop w:val="0"/>
                          <w:marBottom w:val="0"/>
                          <w:divBdr>
                            <w:top w:val="none" w:sz="0" w:space="0" w:color="auto"/>
                            <w:left w:val="none" w:sz="0" w:space="0" w:color="auto"/>
                            <w:bottom w:val="none" w:sz="0" w:space="0" w:color="auto"/>
                            <w:right w:val="none" w:sz="0" w:space="0" w:color="auto"/>
                          </w:divBdr>
                          <w:divsChild>
                            <w:div w:id="207107008">
                              <w:marLeft w:val="0"/>
                              <w:marRight w:val="0"/>
                              <w:marTop w:val="0"/>
                              <w:marBottom w:val="0"/>
                              <w:divBdr>
                                <w:top w:val="none" w:sz="0" w:space="0" w:color="auto"/>
                                <w:left w:val="none" w:sz="0" w:space="0" w:color="auto"/>
                                <w:bottom w:val="none" w:sz="0" w:space="0" w:color="auto"/>
                                <w:right w:val="none" w:sz="0" w:space="0" w:color="auto"/>
                              </w:divBdr>
                            </w:div>
                            <w:div w:id="1379009158">
                              <w:marLeft w:val="0"/>
                              <w:marRight w:val="0"/>
                              <w:marTop w:val="0"/>
                              <w:marBottom w:val="0"/>
                              <w:divBdr>
                                <w:top w:val="none" w:sz="0" w:space="0" w:color="auto"/>
                                <w:left w:val="none" w:sz="0" w:space="0" w:color="auto"/>
                                <w:bottom w:val="none" w:sz="0" w:space="0" w:color="auto"/>
                                <w:right w:val="none" w:sz="0" w:space="0" w:color="auto"/>
                              </w:divBdr>
                            </w:div>
                            <w:div w:id="1178543139">
                              <w:marLeft w:val="0"/>
                              <w:marRight w:val="0"/>
                              <w:marTop w:val="0"/>
                              <w:marBottom w:val="0"/>
                              <w:divBdr>
                                <w:top w:val="none" w:sz="0" w:space="0" w:color="auto"/>
                                <w:left w:val="none" w:sz="0" w:space="0" w:color="auto"/>
                                <w:bottom w:val="none" w:sz="0" w:space="0" w:color="auto"/>
                                <w:right w:val="none" w:sz="0" w:space="0" w:color="auto"/>
                              </w:divBdr>
                            </w:div>
                            <w:div w:id="1544441703">
                              <w:marLeft w:val="0"/>
                              <w:marRight w:val="0"/>
                              <w:marTop w:val="0"/>
                              <w:marBottom w:val="0"/>
                              <w:divBdr>
                                <w:top w:val="none" w:sz="0" w:space="0" w:color="auto"/>
                                <w:left w:val="none" w:sz="0" w:space="0" w:color="auto"/>
                                <w:bottom w:val="none" w:sz="0" w:space="0" w:color="auto"/>
                                <w:right w:val="none" w:sz="0" w:space="0" w:color="auto"/>
                              </w:divBdr>
                            </w:div>
                          </w:divsChild>
                        </w:div>
                        <w:div w:id="724573060">
                          <w:marLeft w:val="0"/>
                          <w:marRight w:val="0"/>
                          <w:marTop w:val="0"/>
                          <w:marBottom w:val="0"/>
                          <w:divBdr>
                            <w:top w:val="none" w:sz="0" w:space="0" w:color="auto"/>
                            <w:left w:val="none" w:sz="0" w:space="0" w:color="auto"/>
                            <w:bottom w:val="none" w:sz="0" w:space="0" w:color="auto"/>
                            <w:right w:val="none" w:sz="0" w:space="0" w:color="auto"/>
                          </w:divBdr>
                          <w:divsChild>
                            <w:div w:id="11880219">
                              <w:marLeft w:val="0"/>
                              <w:marRight w:val="0"/>
                              <w:marTop w:val="0"/>
                              <w:marBottom w:val="0"/>
                              <w:divBdr>
                                <w:top w:val="none" w:sz="0" w:space="0" w:color="auto"/>
                                <w:left w:val="none" w:sz="0" w:space="0" w:color="auto"/>
                                <w:bottom w:val="none" w:sz="0" w:space="0" w:color="auto"/>
                                <w:right w:val="none" w:sz="0" w:space="0" w:color="auto"/>
                              </w:divBdr>
                            </w:div>
                            <w:div w:id="2002152203">
                              <w:marLeft w:val="0"/>
                              <w:marRight w:val="0"/>
                              <w:marTop w:val="0"/>
                              <w:marBottom w:val="0"/>
                              <w:divBdr>
                                <w:top w:val="none" w:sz="0" w:space="0" w:color="auto"/>
                                <w:left w:val="none" w:sz="0" w:space="0" w:color="auto"/>
                                <w:bottom w:val="none" w:sz="0" w:space="0" w:color="auto"/>
                                <w:right w:val="none" w:sz="0" w:space="0" w:color="auto"/>
                              </w:divBdr>
                            </w:div>
                            <w:div w:id="894511825">
                              <w:marLeft w:val="0"/>
                              <w:marRight w:val="0"/>
                              <w:marTop w:val="0"/>
                              <w:marBottom w:val="0"/>
                              <w:divBdr>
                                <w:top w:val="none" w:sz="0" w:space="0" w:color="auto"/>
                                <w:left w:val="none" w:sz="0" w:space="0" w:color="auto"/>
                                <w:bottom w:val="none" w:sz="0" w:space="0" w:color="auto"/>
                                <w:right w:val="none" w:sz="0" w:space="0" w:color="auto"/>
                              </w:divBdr>
                            </w:div>
                            <w:div w:id="70367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24220">
                      <w:marLeft w:val="0"/>
                      <w:marRight w:val="0"/>
                      <w:marTop w:val="0"/>
                      <w:marBottom w:val="0"/>
                      <w:divBdr>
                        <w:top w:val="none" w:sz="0" w:space="0" w:color="auto"/>
                        <w:left w:val="none" w:sz="0" w:space="0" w:color="auto"/>
                        <w:bottom w:val="none" w:sz="0" w:space="0" w:color="auto"/>
                        <w:right w:val="none" w:sz="0" w:space="0" w:color="auto"/>
                      </w:divBdr>
                      <w:divsChild>
                        <w:div w:id="252663976">
                          <w:marLeft w:val="0"/>
                          <w:marRight w:val="0"/>
                          <w:marTop w:val="0"/>
                          <w:marBottom w:val="0"/>
                          <w:divBdr>
                            <w:top w:val="none" w:sz="0" w:space="0" w:color="auto"/>
                            <w:left w:val="none" w:sz="0" w:space="0" w:color="auto"/>
                            <w:bottom w:val="none" w:sz="0" w:space="0" w:color="auto"/>
                            <w:right w:val="none" w:sz="0" w:space="0" w:color="auto"/>
                          </w:divBdr>
                        </w:div>
                        <w:div w:id="1218973384">
                          <w:marLeft w:val="0"/>
                          <w:marRight w:val="0"/>
                          <w:marTop w:val="0"/>
                          <w:marBottom w:val="0"/>
                          <w:divBdr>
                            <w:top w:val="none" w:sz="0" w:space="0" w:color="auto"/>
                            <w:left w:val="none" w:sz="0" w:space="0" w:color="auto"/>
                            <w:bottom w:val="none" w:sz="0" w:space="0" w:color="auto"/>
                            <w:right w:val="none" w:sz="0" w:space="0" w:color="auto"/>
                          </w:divBdr>
                          <w:divsChild>
                            <w:div w:id="1304506938">
                              <w:marLeft w:val="0"/>
                              <w:marRight w:val="0"/>
                              <w:marTop w:val="0"/>
                              <w:marBottom w:val="0"/>
                              <w:divBdr>
                                <w:top w:val="none" w:sz="0" w:space="0" w:color="auto"/>
                                <w:left w:val="none" w:sz="0" w:space="0" w:color="auto"/>
                                <w:bottom w:val="none" w:sz="0" w:space="0" w:color="auto"/>
                                <w:right w:val="none" w:sz="0" w:space="0" w:color="auto"/>
                              </w:divBdr>
                            </w:div>
                            <w:div w:id="1822038133">
                              <w:marLeft w:val="0"/>
                              <w:marRight w:val="0"/>
                              <w:marTop w:val="0"/>
                              <w:marBottom w:val="0"/>
                              <w:divBdr>
                                <w:top w:val="none" w:sz="0" w:space="0" w:color="auto"/>
                                <w:left w:val="none" w:sz="0" w:space="0" w:color="auto"/>
                                <w:bottom w:val="none" w:sz="0" w:space="0" w:color="auto"/>
                                <w:right w:val="none" w:sz="0" w:space="0" w:color="auto"/>
                              </w:divBdr>
                            </w:div>
                            <w:div w:id="1499417682">
                              <w:marLeft w:val="0"/>
                              <w:marRight w:val="0"/>
                              <w:marTop w:val="0"/>
                              <w:marBottom w:val="0"/>
                              <w:divBdr>
                                <w:top w:val="none" w:sz="0" w:space="0" w:color="auto"/>
                                <w:left w:val="none" w:sz="0" w:space="0" w:color="auto"/>
                                <w:bottom w:val="none" w:sz="0" w:space="0" w:color="auto"/>
                                <w:right w:val="none" w:sz="0" w:space="0" w:color="auto"/>
                              </w:divBdr>
                            </w:div>
                            <w:div w:id="2010592887">
                              <w:marLeft w:val="0"/>
                              <w:marRight w:val="0"/>
                              <w:marTop w:val="0"/>
                              <w:marBottom w:val="0"/>
                              <w:divBdr>
                                <w:top w:val="none" w:sz="0" w:space="0" w:color="auto"/>
                                <w:left w:val="none" w:sz="0" w:space="0" w:color="auto"/>
                                <w:bottom w:val="none" w:sz="0" w:space="0" w:color="auto"/>
                                <w:right w:val="none" w:sz="0" w:space="0" w:color="auto"/>
                              </w:divBdr>
                            </w:div>
                            <w:div w:id="234820244">
                              <w:marLeft w:val="0"/>
                              <w:marRight w:val="0"/>
                              <w:marTop w:val="0"/>
                              <w:marBottom w:val="0"/>
                              <w:divBdr>
                                <w:top w:val="none" w:sz="0" w:space="0" w:color="auto"/>
                                <w:left w:val="none" w:sz="0" w:space="0" w:color="auto"/>
                                <w:bottom w:val="none" w:sz="0" w:space="0" w:color="auto"/>
                                <w:right w:val="none" w:sz="0" w:space="0" w:color="auto"/>
                              </w:divBdr>
                            </w:div>
                            <w:div w:id="910312410">
                              <w:marLeft w:val="0"/>
                              <w:marRight w:val="0"/>
                              <w:marTop w:val="0"/>
                              <w:marBottom w:val="0"/>
                              <w:divBdr>
                                <w:top w:val="none" w:sz="0" w:space="0" w:color="auto"/>
                                <w:left w:val="none" w:sz="0" w:space="0" w:color="auto"/>
                                <w:bottom w:val="none" w:sz="0" w:space="0" w:color="auto"/>
                                <w:right w:val="none" w:sz="0" w:space="0" w:color="auto"/>
                              </w:divBdr>
                            </w:div>
                            <w:div w:id="727414632">
                              <w:marLeft w:val="0"/>
                              <w:marRight w:val="0"/>
                              <w:marTop w:val="0"/>
                              <w:marBottom w:val="0"/>
                              <w:divBdr>
                                <w:top w:val="none" w:sz="0" w:space="0" w:color="auto"/>
                                <w:left w:val="none" w:sz="0" w:space="0" w:color="auto"/>
                                <w:bottom w:val="none" w:sz="0" w:space="0" w:color="auto"/>
                                <w:right w:val="none" w:sz="0" w:space="0" w:color="auto"/>
                              </w:divBdr>
                            </w:div>
                            <w:div w:id="70080176">
                              <w:marLeft w:val="0"/>
                              <w:marRight w:val="0"/>
                              <w:marTop w:val="0"/>
                              <w:marBottom w:val="0"/>
                              <w:divBdr>
                                <w:top w:val="none" w:sz="0" w:space="0" w:color="auto"/>
                                <w:left w:val="none" w:sz="0" w:space="0" w:color="auto"/>
                                <w:bottom w:val="none" w:sz="0" w:space="0" w:color="auto"/>
                                <w:right w:val="none" w:sz="0" w:space="0" w:color="auto"/>
                              </w:divBdr>
                            </w:div>
                            <w:div w:id="983389585">
                              <w:marLeft w:val="0"/>
                              <w:marRight w:val="0"/>
                              <w:marTop w:val="0"/>
                              <w:marBottom w:val="0"/>
                              <w:divBdr>
                                <w:top w:val="none" w:sz="0" w:space="0" w:color="auto"/>
                                <w:left w:val="none" w:sz="0" w:space="0" w:color="auto"/>
                                <w:bottom w:val="none" w:sz="0" w:space="0" w:color="auto"/>
                                <w:right w:val="none" w:sz="0" w:space="0" w:color="auto"/>
                              </w:divBdr>
                            </w:div>
                          </w:divsChild>
                        </w:div>
                        <w:div w:id="1010060229">
                          <w:marLeft w:val="0"/>
                          <w:marRight w:val="0"/>
                          <w:marTop w:val="0"/>
                          <w:marBottom w:val="0"/>
                          <w:divBdr>
                            <w:top w:val="none" w:sz="0" w:space="0" w:color="auto"/>
                            <w:left w:val="none" w:sz="0" w:space="0" w:color="auto"/>
                            <w:bottom w:val="none" w:sz="0" w:space="0" w:color="auto"/>
                            <w:right w:val="none" w:sz="0" w:space="0" w:color="auto"/>
                          </w:divBdr>
                          <w:divsChild>
                            <w:div w:id="724261299">
                              <w:marLeft w:val="0"/>
                              <w:marRight w:val="0"/>
                              <w:marTop w:val="0"/>
                              <w:marBottom w:val="0"/>
                              <w:divBdr>
                                <w:top w:val="none" w:sz="0" w:space="0" w:color="auto"/>
                                <w:left w:val="none" w:sz="0" w:space="0" w:color="auto"/>
                                <w:bottom w:val="none" w:sz="0" w:space="0" w:color="auto"/>
                                <w:right w:val="none" w:sz="0" w:space="0" w:color="auto"/>
                              </w:divBdr>
                            </w:div>
                            <w:div w:id="1206219431">
                              <w:marLeft w:val="0"/>
                              <w:marRight w:val="0"/>
                              <w:marTop w:val="0"/>
                              <w:marBottom w:val="0"/>
                              <w:divBdr>
                                <w:top w:val="none" w:sz="0" w:space="0" w:color="auto"/>
                                <w:left w:val="none" w:sz="0" w:space="0" w:color="auto"/>
                                <w:bottom w:val="none" w:sz="0" w:space="0" w:color="auto"/>
                                <w:right w:val="none" w:sz="0" w:space="0" w:color="auto"/>
                              </w:divBdr>
                            </w:div>
                            <w:div w:id="153037170">
                              <w:marLeft w:val="0"/>
                              <w:marRight w:val="0"/>
                              <w:marTop w:val="0"/>
                              <w:marBottom w:val="0"/>
                              <w:divBdr>
                                <w:top w:val="none" w:sz="0" w:space="0" w:color="auto"/>
                                <w:left w:val="none" w:sz="0" w:space="0" w:color="auto"/>
                                <w:bottom w:val="none" w:sz="0" w:space="0" w:color="auto"/>
                                <w:right w:val="none" w:sz="0" w:space="0" w:color="auto"/>
                              </w:divBdr>
                            </w:div>
                            <w:div w:id="214901852">
                              <w:marLeft w:val="0"/>
                              <w:marRight w:val="0"/>
                              <w:marTop w:val="0"/>
                              <w:marBottom w:val="0"/>
                              <w:divBdr>
                                <w:top w:val="none" w:sz="0" w:space="0" w:color="auto"/>
                                <w:left w:val="none" w:sz="0" w:space="0" w:color="auto"/>
                                <w:bottom w:val="none" w:sz="0" w:space="0" w:color="auto"/>
                                <w:right w:val="none" w:sz="0" w:space="0" w:color="auto"/>
                              </w:divBdr>
                            </w:div>
                            <w:div w:id="185311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94507">
                      <w:marLeft w:val="0"/>
                      <w:marRight w:val="0"/>
                      <w:marTop w:val="0"/>
                      <w:marBottom w:val="0"/>
                      <w:divBdr>
                        <w:top w:val="none" w:sz="0" w:space="0" w:color="auto"/>
                        <w:left w:val="none" w:sz="0" w:space="0" w:color="auto"/>
                        <w:bottom w:val="none" w:sz="0" w:space="0" w:color="auto"/>
                        <w:right w:val="none" w:sz="0" w:space="0" w:color="auto"/>
                      </w:divBdr>
                      <w:divsChild>
                        <w:div w:id="2131195085">
                          <w:marLeft w:val="0"/>
                          <w:marRight w:val="0"/>
                          <w:marTop w:val="0"/>
                          <w:marBottom w:val="0"/>
                          <w:divBdr>
                            <w:top w:val="none" w:sz="0" w:space="0" w:color="auto"/>
                            <w:left w:val="none" w:sz="0" w:space="0" w:color="auto"/>
                            <w:bottom w:val="none" w:sz="0" w:space="0" w:color="auto"/>
                            <w:right w:val="none" w:sz="0" w:space="0" w:color="auto"/>
                          </w:divBdr>
                        </w:div>
                        <w:div w:id="135296096">
                          <w:marLeft w:val="0"/>
                          <w:marRight w:val="0"/>
                          <w:marTop w:val="0"/>
                          <w:marBottom w:val="0"/>
                          <w:divBdr>
                            <w:top w:val="none" w:sz="0" w:space="0" w:color="auto"/>
                            <w:left w:val="none" w:sz="0" w:space="0" w:color="auto"/>
                            <w:bottom w:val="none" w:sz="0" w:space="0" w:color="auto"/>
                            <w:right w:val="none" w:sz="0" w:space="0" w:color="auto"/>
                          </w:divBdr>
                          <w:divsChild>
                            <w:div w:id="2107459554">
                              <w:marLeft w:val="0"/>
                              <w:marRight w:val="0"/>
                              <w:marTop w:val="0"/>
                              <w:marBottom w:val="0"/>
                              <w:divBdr>
                                <w:top w:val="none" w:sz="0" w:space="0" w:color="auto"/>
                                <w:left w:val="none" w:sz="0" w:space="0" w:color="auto"/>
                                <w:bottom w:val="none" w:sz="0" w:space="0" w:color="auto"/>
                                <w:right w:val="none" w:sz="0" w:space="0" w:color="auto"/>
                              </w:divBdr>
                            </w:div>
                            <w:div w:id="1175459361">
                              <w:marLeft w:val="0"/>
                              <w:marRight w:val="0"/>
                              <w:marTop w:val="0"/>
                              <w:marBottom w:val="0"/>
                              <w:divBdr>
                                <w:top w:val="none" w:sz="0" w:space="0" w:color="auto"/>
                                <w:left w:val="none" w:sz="0" w:space="0" w:color="auto"/>
                                <w:bottom w:val="none" w:sz="0" w:space="0" w:color="auto"/>
                                <w:right w:val="none" w:sz="0" w:space="0" w:color="auto"/>
                              </w:divBdr>
                            </w:div>
                            <w:div w:id="1095785616">
                              <w:marLeft w:val="0"/>
                              <w:marRight w:val="0"/>
                              <w:marTop w:val="0"/>
                              <w:marBottom w:val="0"/>
                              <w:divBdr>
                                <w:top w:val="none" w:sz="0" w:space="0" w:color="auto"/>
                                <w:left w:val="none" w:sz="0" w:space="0" w:color="auto"/>
                                <w:bottom w:val="none" w:sz="0" w:space="0" w:color="auto"/>
                                <w:right w:val="none" w:sz="0" w:space="0" w:color="auto"/>
                              </w:divBdr>
                            </w:div>
                            <w:div w:id="809399822">
                              <w:marLeft w:val="0"/>
                              <w:marRight w:val="0"/>
                              <w:marTop w:val="0"/>
                              <w:marBottom w:val="0"/>
                              <w:divBdr>
                                <w:top w:val="none" w:sz="0" w:space="0" w:color="auto"/>
                                <w:left w:val="none" w:sz="0" w:space="0" w:color="auto"/>
                                <w:bottom w:val="none" w:sz="0" w:space="0" w:color="auto"/>
                                <w:right w:val="none" w:sz="0" w:space="0" w:color="auto"/>
                              </w:divBdr>
                            </w:div>
                            <w:div w:id="517625847">
                              <w:marLeft w:val="0"/>
                              <w:marRight w:val="0"/>
                              <w:marTop w:val="0"/>
                              <w:marBottom w:val="0"/>
                              <w:divBdr>
                                <w:top w:val="none" w:sz="0" w:space="0" w:color="auto"/>
                                <w:left w:val="none" w:sz="0" w:space="0" w:color="auto"/>
                                <w:bottom w:val="none" w:sz="0" w:space="0" w:color="auto"/>
                                <w:right w:val="none" w:sz="0" w:space="0" w:color="auto"/>
                              </w:divBdr>
                            </w:div>
                            <w:div w:id="909001123">
                              <w:marLeft w:val="0"/>
                              <w:marRight w:val="0"/>
                              <w:marTop w:val="0"/>
                              <w:marBottom w:val="0"/>
                              <w:divBdr>
                                <w:top w:val="none" w:sz="0" w:space="0" w:color="auto"/>
                                <w:left w:val="none" w:sz="0" w:space="0" w:color="auto"/>
                                <w:bottom w:val="none" w:sz="0" w:space="0" w:color="auto"/>
                                <w:right w:val="none" w:sz="0" w:space="0" w:color="auto"/>
                              </w:divBdr>
                            </w:div>
                            <w:div w:id="941491231">
                              <w:marLeft w:val="0"/>
                              <w:marRight w:val="0"/>
                              <w:marTop w:val="0"/>
                              <w:marBottom w:val="0"/>
                              <w:divBdr>
                                <w:top w:val="none" w:sz="0" w:space="0" w:color="auto"/>
                                <w:left w:val="none" w:sz="0" w:space="0" w:color="auto"/>
                                <w:bottom w:val="none" w:sz="0" w:space="0" w:color="auto"/>
                                <w:right w:val="none" w:sz="0" w:space="0" w:color="auto"/>
                              </w:divBdr>
                            </w:div>
                            <w:div w:id="888497700">
                              <w:marLeft w:val="0"/>
                              <w:marRight w:val="0"/>
                              <w:marTop w:val="0"/>
                              <w:marBottom w:val="0"/>
                              <w:divBdr>
                                <w:top w:val="none" w:sz="0" w:space="0" w:color="auto"/>
                                <w:left w:val="none" w:sz="0" w:space="0" w:color="auto"/>
                                <w:bottom w:val="none" w:sz="0" w:space="0" w:color="auto"/>
                                <w:right w:val="none" w:sz="0" w:space="0" w:color="auto"/>
                              </w:divBdr>
                            </w:div>
                            <w:div w:id="420568457">
                              <w:marLeft w:val="0"/>
                              <w:marRight w:val="0"/>
                              <w:marTop w:val="0"/>
                              <w:marBottom w:val="0"/>
                              <w:divBdr>
                                <w:top w:val="none" w:sz="0" w:space="0" w:color="auto"/>
                                <w:left w:val="none" w:sz="0" w:space="0" w:color="auto"/>
                                <w:bottom w:val="none" w:sz="0" w:space="0" w:color="auto"/>
                                <w:right w:val="none" w:sz="0" w:space="0" w:color="auto"/>
                              </w:divBdr>
                            </w:div>
                            <w:div w:id="113446626">
                              <w:marLeft w:val="0"/>
                              <w:marRight w:val="0"/>
                              <w:marTop w:val="0"/>
                              <w:marBottom w:val="0"/>
                              <w:divBdr>
                                <w:top w:val="none" w:sz="0" w:space="0" w:color="auto"/>
                                <w:left w:val="none" w:sz="0" w:space="0" w:color="auto"/>
                                <w:bottom w:val="none" w:sz="0" w:space="0" w:color="auto"/>
                                <w:right w:val="none" w:sz="0" w:space="0" w:color="auto"/>
                              </w:divBdr>
                            </w:div>
                            <w:div w:id="230846643">
                              <w:marLeft w:val="0"/>
                              <w:marRight w:val="0"/>
                              <w:marTop w:val="0"/>
                              <w:marBottom w:val="0"/>
                              <w:divBdr>
                                <w:top w:val="none" w:sz="0" w:space="0" w:color="auto"/>
                                <w:left w:val="none" w:sz="0" w:space="0" w:color="auto"/>
                                <w:bottom w:val="none" w:sz="0" w:space="0" w:color="auto"/>
                                <w:right w:val="none" w:sz="0" w:space="0" w:color="auto"/>
                              </w:divBdr>
                            </w:div>
                            <w:div w:id="1869029689">
                              <w:marLeft w:val="0"/>
                              <w:marRight w:val="0"/>
                              <w:marTop w:val="0"/>
                              <w:marBottom w:val="0"/>
                              <w:divBdr>
                                <w:top w:val="none" w:sz="0" w:space="0" w:color="auto"/>
                                <w:left w:val="none" w:sz="0" w:space="0" w:color="auto"/>
                                <w:bottom w:val="none" w:sz="0" w:space="0" w:color="auto"/>
                                <w:right w:val="none" w:sz="0" w:space="0" w:color="auto"/>
                              </w:divBdr>
                            </w:div>
                          </w:divsChild>
                        </w:div>
                        <w:div w:id="265355620">
                          <w:marLeft w:val="0"/>
                          <w:marRight w:val="0"/>
                          <w:marTop w:val="0"/>
                          <w:marBottom w:val="0"/>
                          <w:divBdr>
                            <w:top w:val="none" w:sz="0" w:space="0" w:color="auto"/>
                            <w:left w:val="none" w:sz="0" w:space="0" w:color="auto"/>
                            <w:bottom w:val="none" w:sz="0" w:space="0" w:color="auto"/>
                            <w:right w:val="none" w:sz="0" w:space="0" w:color="auto"/>
                          </w:divBdr>
                          <w:divsChild>
                            <w:div w:id="921138461">
                              <w:marLeft w:val="0"/>
                              <w:marRight w:val="0"/>
                              <w:marTop w:val="0"/>
                              <w:marBottom w:val="0"/>
                              <w:divBdr>
                                <w:top w:val="none" w:sz="0" w:space="0" w:color="auto"/>
                                <w:left w:val="none" w:sz="0" w:space="0" w:color="auto"/>
                                <w:bottom w:val="none" w:sz="0" w:space="0" w:color="auto"/>
                                <w:right w:val="none" w:sz="0" w:space="0" w:color="auto"/>
                              </w:divBdr>
                            </w:div>
                            <w:div w:id="73671720">
                              <w:marLeft w:val="0"/>
                              <w:marRight w:val="0"/>
                              <w:marTop w:val="0"/>
                              <w:marBottom w:val="0"/>
                              <w:divBdr>
                                <w:top w:val="none" w:sz="0" w:space="0" w:color="auto"/>
                                <w:left w:val="none" w:sz="0" w:space="0" w:color="auto"/>
                                <w:bottom w:val="none" w:sz="0" w:space="0" w:color="auto"/>
                                <w:right w:val="none" w:sz="0" w:space="0" w:color="auto"/>
                              </w:divBdr>
                            </w:div>
                            <w:div w:id="762185788">
                              <w:marLeft w:val="0"/>
                              <w:marRight w:val="0"/>
                              <w:marTop w:val="0"/>
                              <w:marBottom w:val="0"/>
                              <w:divBdr>
                                <w:top w:val="none" w:sz="0" w:space="0" w:color="auto"/>
                                <w:left w:val="none" w:sz="0" w:space="0" w:color="auto"/>
                                <w:bottom w:val="none" w:sz="0" w:space="0" w:color="auto"/>
                                <w:right w:val="none" w:sz="0" w:space="0" w:color="auto"/>
                              </w:divBdr>
                            </w:div>
                            <w:div w:id="1815369584">
                              <w:marLeft w:val="0"/>
                              <w:marRight w:val="0"/>
                              <w:marTop w:val="0"/>
                              <w:marBottom w:val="0"/>
                              <w:divBdr>
                                <w:top w:val="none" w:sz="0" w:space="0" w:color="auto"/>
                                <w:left w:val="none" w:sz="0" w:space="0" w:color="auto"/>
                                <w:bottom w:val="none" w:sz="0" w:space="0" w:color="auto"/>
                                <w:right w:val="none" w:sz="0" w:space="0" w:color="auto"/>
                              </w:divBdr>
                            </w:div>
                            <w:div w:id="278879642">
                              <w:marLeft w:val="0"/>
                              <w:marRight w:val="0"/>
                              <w:marTop w:val="0"/>
                              <w:marBottom w:val="0"/>
                              <w:divBdr>
                                <w:top w:val="none" w:sz="0" w:space="0" w:color="auto"/>
                                <w:left w:val="none" w:sz="0" w:space="0" w:color="auto"/>
                                <w:bottom w:val="none" w:sz="0" w:space="0" w:color="auto"/>
                                <w:right w:val="none" w:sz="0" w:space="0" w:color="auto"/>
                              </w:divBdr>
                            </w:div>
                          </w:divsChild>
                        </w:div>
                        <w:div w:id="1263881532">
                          <w:marLeft w:val="0"/>
                          <w:marRight w:val="0"/>
                          <w:marTop w:val="0"/>
                          <w:marBottom w:val="0"/>
                          <w:divBdr>
                            <w:top w:val="none" w:sz="0" w:space="0" w:color="auto"/>
                            <w:left w:val="none" w:sz="0" w:space="0" w:color="auto"/>
                            <w:bottom w:val="none" w:sz="0" w:space="0" w:color="auto"/>
                            <w:right w:val="none" w:sz="0" w:space="0" w:color="auto"/>
                          </w:divBdr>
                          <w:divsChild>
                            <w:div w:id="1785226149">
                              <w:marLeft w:val="0"/>
                              <w:marRight w:val="0"/>
                              <w:marTop w:val="0"/>
                              <w:marBottom w:val="0"/>
                              <w:divBdr>
                                <w:top w:val="none" w:sz="0" w:space="0" w:color="auto"/>
                                <w:left w:val="none" w:sz="0" w:space="0" w:color="auto"/>
                                <w:bottom w:val="none" w:sz="0" w:space="0" w:color="auto"/>
                                <w:right w:val="none" w:sz="0" w:space="0" w:color="auto"/>
                              </w:divBdr>
                            </w:div>
                            <w:div w:id="1521237285">
                              <w:marLeft w:val="0"/>
                              <w:marRight w:val="0"/>
                              <w:marTop w:val="0"/>
                              <w:marBottom w:val="0"/>
                              <w:divBdr>
                                <w:top w:val="none" w:sz="0" w:space="0" w:color="auto"/>
                                <w:left w:val="none" w:sz="0" w:space="0" w:color="auto"/>
                                <w:bottom w:val="none" w:sz="0" w:space="0" w:color="auto"/>
                                <w:right w:val="none" w:sz="0" w:space="0" w:color="auto"/>
                              </w:divBdr>
                            </w:div>
                            <w:div w:id="1060403855">
                              <w:marLeft w:val="0"/>
                              <w:marRight w:val="0"/>
                              <w:marTop w:val="0"/>
                              <w:marBottom w:val="0"/>
                              <w:divBdr>
                                <w:top w:val="none" w:sz="0" w:space="0" w:color="auto"/>
                                <w:left w:val="none" w:sz="0" w:space="0" w:color="auto"/>
                                <w:bottom w:val="none" w:sz="0" w:space="0" w:color="auto"/>
                                <w:right w:val="none" w:sz="0" w:space="0" w:color="auto"/>
                              </w:divBdr>
                            </w:div>
                            <w:div w:id="1948780038">
                              <w:marLeft w:val="0"/>
                              <w:marRight w:val="0"/>
                              <w:marTop w:val="0"/>
                              <w:marBottom w:val="0"/>
                              <w:divBdr>
                                <w:top w:val="none" w:sz="0" w:space="0" w:color="auto"/>
                                <w:left w:val="none" w:sz="0" w:space="0" w:color="auto"/>
                                <w:bottom w:val="none" w:sz="0" w:space="0" w:color="auto"/>
                                <w:right w:val="none" w:sz="0" w:space="0" w:color="auto"/>
                              </w:divBdr>
                            </w:div>
                            <w:div w:id="515340289">
                              <w:marLeft w:val="0"/>
                              <w:marRight w:val="0"/>
                              <w:marTop w:val="0"/>
                              <w:marBottom w:val="0"/>
                              <w:divBdr>
                                <w:top w:val="none" w:sz="0" w:space="0" w:color="auto"/>
                                <w:left w:val="none" w:sz="0" w:space="0" w:color="auto"/>
                                <w:bottom w:val="none" w:sz="0" w:space="0" w:color="auto"/>
                                <w:right w:val="none" w:sz="0" w:space="0" w:color="auto"/>
                              </w:divBdr>
                            </w:div>
                            <w:div w:id="1918249572">
                              <w:marLeft w:val="0"/>
                              <w:marRight w:val="0"/>
                              <w:marTop w:val="0"/>
                              <w:marBottom w:val="0"/>
                              <w:divBdr>
                                <w:top w:val="none" w:sz="0" w:space="0" w:color="auto"/>
                                <w:left w:val="none" w:sz="0" w:space="0" w:color="auto"/>
                                <w:bottom w:val="none" w:sz="0" w:space="0" w:color="auto"/>
                                <w:right w:val="none" w:sz="0" w:space="0" w:color="auto"/>
                              </w:divBdr>
                            </w:div>
                            <w:div w:id="1202981201">
                              <w:marLeft w:val="0"/>
                              <w:marRight w:val="0"/>
                              <w:marTop w:val="0"/>
                              <w:marBottom w:val="0"/>
                              <w:divBdr>
                                <w:top w:val="none" w:sz="0" w:space="0" w:color="auto"/>
                                <w:left w:val="none" w:sz="0" w:space="0" w:color="auto"/>
                                <w:bottom w:val="none" w:sz="0" w:space="0" w:color="auto"/>
                                <w:right w:val="none" w:sz="0" w:space="0" w:color="auto"/>
                              </w:divBdr>
                            </w:div>
                            <w:div w:id="380521149">
                              <w:marLeft w:val="0"/>
                              <w:marRight w:val="0"/>
                              <w:marTop w:val="0"/>
                              <w:marBottom w:val="0"/>
                              <w:divBdr>
                                <w:top w:val="none" w:sz="0" w:space="0" w:color="auto"/>
                                <w:left w:val="none" w:sz="0" w:space="0" w:color="auto"/>
                                <w:bottom w:val="none" w:sz="0" w:space="0" w:color="auto"/>
                                <w:right w:val="none" w:sz="0" w:space="0" w:color="auto"/>
                              </w:divBdr>
                            </w:div>
                            <w:div w:id="136756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49054">
                      <w:marLeft w:val="0"/>
                      <w:marRight w:val="0"/>
                      <w:marTop w:val="0"/>
                      <w:marBottom w:val="0"/>
                      <w:divBdr>
                        <w:top w:val="none" w:sz="0" w:space="0" w:color="auto"/>
                        <w:left w:val="none" w:sz="0" w:space="0" w:color="auto"/>
                        <w:bottom w:val="none" w:sz="0" w:space="0" w:color="auto"/>
                        <w:right w:val="none" w:sz="0" w:space="0" w:color="auto"/>
                      </w:divBdr>
                      <w:divsChild>
                        <w:div w:id="1660308994">
                          <w:marLeft w:val="0"/>
                          <w:marRight w:val="0"/>
                          <w:marTop w:val="0"/>
                          <w:marBottom w:val="0"/>
                          <w:divBdr>
                            <w:top w:val="none" w:sz="0" w:space="0" w:color="auto"/>
                            <w:left w:val="none" w:sz="0" w:space="0" w:color="auto"/>
                            <w:bottom w:val="none" w:sz="0" w:space="0" w:color="auto"/>
                            <w:right w:val="none" w:sz="0" w:space="0" w:color="auto"/>
                          </w:divBdr>
                        </w:div>
                        <w:div w:id="619535676">
                          <w:marLeft w:val="0"/>
                          <w:marRight w:val="0"/>
                          <w:marTop w:val="0"/>
                          <w:marBottom w:val="0"/>
                          <w:divBdr>
                            <w:top w:val="none" w:sz="0" w:space="0" w:color="auto"/>
                            <w:left w:val="none" w:sz="0" w:space="0" w:color="auto"/>
                            <w:bottom w:val="none" w:sz="0" w:space="0" w:color="auto"/>
                            <w:right w:val="none" w:sz="0" w:space="0" w:color="auto"/>
                          </w:divBdr>
                          <w:divsChild>
                            <w:div w:id="1143499524">
                              <w:marLeft w:val="0"/>
                              <w:marRight w:val="0"/>
                              <w:marTop w:val="0"/>
                              <w:marBottom w:val="0"/>
                              <w:divBdr>
                                <w:top w:val="none" w:sz="0" w:space="0" w:color="auto"/>
                                <w:left w:val="none" w:sz="0" w:space="0" w:color="auto"/>
                                <w:bottom w:val="none" w:sz="0" w:space="0" w:color="auto"/>
                                <w:right w:val="none" w:sz="0" w:space="0" w:color="auto"/>
                              </w:divBdr>
                            </w:div>
                            <w:div w:id="1975866097">
                              <w:marLeft w:val="0"/>
                              <w:marRight w:val="0"/>
                              <w:marTop w:val="0"/>
                              <w:marBottom w:val="0"/>
                              <w:divBdr>
                                <w:top w:val="none" w:sz="0" w:space="0" w:color="auto"/>
                                <w:left w:val="none" w:sz="0" w:space="0" w:color="auto"/>
                                <w:bottom w:val="none" w:sz="0" w:space="0" w:color="auto"/>
                                <w:right w:val="none" w:sz="0" w:space="0" w:color="auto"/>
                              </w:divBdr>
                            </w:div>
                            <w:div w:id="299044460">
                              <w:marLeft w:val="0"/>
                              <w:marRight w:val="0"/>
                              <w:marTop w:val="0"/>
                              <w:marBottom w:val="0"/>
                              <w:divBdr>
                                <w:top w:val="none" w:sz="0" w:space="0" w:color="auto"/>
                                <w:left w:val="none" w:sz="0" w:space="0" w:color="auto"/>
                                <w:bottom w:val="none" w:sz="0" w:space="0" w:color="auto"/>
                                <w:right w:val="none" w:sz="0" w:space="0" w:color="auto"/>
                              </w:divBdr>
                            </w:div>
                            <w:div w:id="1211306940">
                              <w:marLeft w:val="0"/>
                              <w:marRight w:val="0"/>
                              <w:marTop w:val="0"/>
                              <w:marBottom w:val="0"/>
                              <w:divBdr>
                                <w:top w:val="none" w:sz="0" w:space="0" w:color="auto"/>
                                <w:left w:val="none" w:sz="0" w:space="0" w:color="auto"/>
                                <w:bottom w:val="none" w:sz="0" w:space="0" w:color="auto"/>
                                <w:right w:val="none" w:sz="0" w:space="0" w:color="auto"/>
                              </w:divBdr>
                            </w:div>
                            <w:div w:id="528761582">
                              <w:marLeft w:val="0"/>
                              <w:marRight w:val="0"/>
                              <w:marTop w:val="0"/>
                              <w:marBottom w:val="0"/>
                              <w:divBdr>
                                <w:top w:val="none" w:sz="0" w:space="0" w:color="auto"/>
                                <w:left w:val="none" w:sz="0" w:space="0" w:color="auto"/>
                                <w:bottom w:val="none" w:sz="0" w:space="0" w:color="auto"/>
                                <w:right w:val="none" w:sz="0" w:space="0" w:color="auto"/>
                              </w:divBdr>
                            </w:div>
                            <w:div w:id="1172142240">
                              <w:marLeft w:val="0"/>
                              <w:marRight w:val="0"/>
                              <w:marTop w:val="0"/>
                              <w:marBottom w:val="0"/>
                              <w:divBdr>
                                <w:top w:val="none" w:sz="0" w:space="0" w:color="auto"/>
                                <w:left w:val="none" w:sz="0" w:space="0" w:color="auto"/>
                                <w:bottom w:val="none" w:sz="0" w:space="0" w:color="auto"/>
                                <w:right w:val="none" w:sz="0" w:space="0" w:color="auto"/>
                              </w:divBdr>
                            </w:div>
                            <w:div w:id="797725336">
                              <w:marLeft w:val="0"/>
                              <w:marRight w:val="0"/>
                              <w:marTop w:val="0"/>
                              <w:marBottom w:val="0"/>
                              <w:divBdr>
                                <w:top w:val="none" w:sz="0" w:space="0" w:color="auto"/>
                                <w:left w:val="none" w:sz="0" w:space="0" w:color="auto"/>
                                <w:bottom w:val="none" w:sz="0" w:space="0" w:color="auto"/>
                                <w:right w:val="none" w:sz="0" w:space="0" w:color="auto"/>
                              </w:divBdr>
                            </w:div>
                          </w:divsChild>
                        </w:div>
                        <w:div w:id="1706983148">
                          <w:marLeft w:val="0"/>
                          <w:marRight w:val="0"/>
                          <w:marTop w:val="0"/>
                          <w:marBottom w:val="0"/>
                          <w:divBdr>
                            <w:top w:val="none" w:sz="0" w:space="0" w:color="auto"/>
                            <w:left w:val="none" w:sz="0" w:space="0" w:color="auto"/>
                            <w:bottom w:val="none" w:sz="0" w:space="0" w:color="auto"/>
                            <w:right w:val="none" w:sz="0" w:space="0" w:color="auto"/>
                          </w:divBdr>
                          <w:divsChild>
                            <w:div w:id="1941208920">
                              <w:marLeft w:val="0"/>
                              <w:marRight w:val="0"/>
                              <w:marTop w:val="0"/>
                              <w:marBottom w:val="0"/>
                              <w:divBdr>
                                <w:top w:val="none" w:sz="0" w:space="0" w:color="auto"/>
                                <w:left w:val="none" w:sz="0" w:space="0" w:color="auto"/>
                                <w:bottom w:val="none" w:sz="0" w:space="0" w:color="auto"/>
                                <w:right w:val="none" w:sz="0" w:space="0" w:color="auto"/>
                              </w:divBdr>
                            </w:div>
                            <w:div w:id="1908805697">
                              <w:marLeft w:val="0"/>
                              <w:marRight w:val="0"/>
                              <w:marTop w:val="0"/>
                              <w:marBottom w:val="0"/>
                              <w:divBdr>
                                <w:top w:val="none" w:sz="0" w:space="0" w:color="auto"/>
                                <w:left w:val="none" w:sz="0" w:space="0" w:color="auto"/>
                                <w:bottom w:val="none" w:sz="0" w:space="0" w:color="auto"/>
                                <w:right w:val="none" w:sz="0" w:space="0" w:color="auto"/>
                              </w:divBdr>
                            </w:div>
                            <w:div w:id="341123702">
                              <w:marLeft w:val="0"/>
                              <w:marRight w:val="0"/>
                              <w:marTop w:val="0"/>
                              <w:marBottom w:val="0"/>
                              <w:divBdr>
                                <w:top w:val="none" w:sz="0" w:space="0" w:color="auto"/>
                                <w:left w:val="none" w:sz="0" w:space="0" w:color="auto"/>
                                <w:bottom w:val="none" w:sz="0" w:space="0" w:color="auto"/>
                                <w:right w:val="none" w:sz="0" w:space="0" w:color="auto"/>
                              </w:divBdr>
                            </w:div>
                            <w:div w:id="200171385">
                              <w:marLeft w:val="0"/>
                              <w:marRight w:val="0"/>
                              <w:marTop w:val="0"/>
                              <w:marBottom w:val="0"/>
                              <w:divBdr>
                                <w:top w:val="none" w:sz="0" w:space="0" w:color="auto"/>
                                <w:left w:val="none" w:sz="0" w:space="0" w:color="auto"/>
                                <w:bottom w:val="none" w:sz="0" w:space="0" w:color="auto"/>
                                <w:right w:val="none" w:sz="0" w:space="0" w:color="auto"/>
                              </w:divBdr>
                            </w:div>
                            <w:div w:id="1548179152">
                              <w:marLeft w:val="0"/>
                              <w:marRight w:val="0"/>
                              <w:marTop w:val="0"/>
                              <w:marBottom w:val="0"/>
                              <w:divBdr>
                                <w:top w:val="none" w:sz="0" w:space="0" w:color="auto"/>
                                <w:left w:val="none" w:sz="0" w:space="0" w:color="auto"/>
                                <w:bottom w:val="none" w:sz="0" w:space="0" w:color="auto"/>
                                <w:right w:val="none" w:sz="0" w:space="0" w:color="auto"/>
                              </w:divBdr>
                            </w:div>
                            <w:div w:id="49927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615346">
                  <w:marLeft w:val="0"/>
                  <w:marRight w:val="0"/>
                  <w:marTop w:val="0"/>
                  <w:marBottom w:val="0"/>
                  <w:divBdr>
                    <w:top w:val="none" w:sz="0" w:space="0" w:color="auto"/>
                    <w:left w:val="none" w:sz="0" w:space="0" w:color="auto"/>
                    <w:bottom w:val="none" w:sz="0" w:space="0" w:color="auto"/>
                    <w:right w:val="none" w:sz="0" w:space="0" w:color="auto"/>
                  </w:divBdr>
                  <w:divsChild>
                    <w:div w:id="1540557319">
                      <w:marLeft w:val="0"/>
                      <w:marRight w:val="0"/>
                      <w:marTop w:val="0"/>
                      <w:marBottom w:val="0"/>
                      <w:divBdr>
                        <w:top w:val="none" w:sz="0" w:space="0" w:color="auto"/>
                        <w:left w:val="none" w:sz="0" w:space="0" w:color="auto"/>
                        <w:bottom w:val="none" w:sz="0" w:space="0" w:color="auto"/>
                        <w:right w:val="none" w:sz="0" w:space="0" w:color="auto"/>
                      </w:divBdr>
                    </w:div>
                    <w:div w:id="1648435873">
                      <w:marLeft w:val="0"/>
                      <w:marRight w:val="0"/>
                      <w:marTop w:val="0"/>
                      <w:marBottom w:val="0"/>
                      <w:divBdr>
                        <w:top w:val="none" w:sz="0" w:space="0" w:color="auto"/>
                        <w:left w:val="none" w:sz="0" w:space="0" w:color="auto"/>
                        <w:bottom w:val="none" w:sz="0" w:space="0" w:color="auto"/>
                        <w:right w:val="none" w:sz="0" w:space="0" w:color="auto"/>
                      </w:divBdr>
                      <w:divsChild>
                        <w:div w:id="907424244">
                          <w:marLeft w:val="0"/>
                          <w:marRight w:val="0"/>
                          <w:marTop w:val="0"/>
                          <w:marBottom w:val="0"/>
                          <w:divBdr>
                            <w:top w:val="none" w:sz="0" w:space="0" w:color="auto"/>
                            <w:left w:val="none" w:sz="0" w:space="0" w:color="auto"/>
                            <w:bottom w:val="none" w:sz="0" w:space="0" w:color="auto"/>
                            <w:right w:val="none" w:sz="0" w:space="0" w:color="auto"/>
                          </w:divBdr>
                        </w:div>
                        <w:div w:id="1590652208">
                          <w:marLeft w:val="0"/>
                          <w:marRight w:val="0"/>
                          <w:marTop w:val="0"/>
                          <w:marBottom w:val="0"/>
                          <w:divBdr>
                            <w:top w:val="none" w:sz="0" w:space="0" w:color="auto"/>
                            <w:left w:val="none" w:sz="0" w:space="0" w:color="auto"/>
                            <w:bottom w:val="none" w:sz="0" w:space="0" w:color="auto"/>
                            <w:right w:val="none" w:sz="0" w:space="0" w:color="auto"/>
                          </w:divBdr>
                          <w:divsChild>
                            <w:div w:id="94832216">
                              <w:marLeft w:val="0"/>
                              <w:marRight w:val="0"/>
                              <w:marTop w:val="0"/>
                              <w:marBottom w:val="0"/>
                              <w:divBdr>
                                <w:top w:val="none" w:sz="0" w:space="0" w:color="auto"/>
                                <w:left w:val="none" w:sz="0" w:space="0" w:color="auto"/>
                                <w:bottom w:val="none" w:sz="0" w:space="0" w:color="auto"/>
                                <w:right w:val="none" w:sz="0" w:space="0" w:color="auto"/>
                              </w:divBdr>
                            </w:div>
                            <w:div w:id="467280431">
                              <w:marLeft w:val="0"/>
                              <w:marRight w:val="0"/>
                              <w:marTop w:val="0"/>
                              <w:marBottom w:val="0"/>
                              <w:divBdr>
                                <w:top w:val="none" w:sz="0" w:space="0" w:color="auto"/>
                                <w:left w:val="none" w:sz="0" w:space="0" w:color="auto"/>
                                <w:bottom w:val="none" w:sz="0" w:space="0" w:color="auto"/>
                                <w:right w:val="none" w:sz="0" w:space="0" w:color="auto"/>
                              </w:divBdr>
                            </w:div>
                            <w:div w:id="1683702196">
                              <w:marLeft w:val="0"/>
                              <w:marRight w:val="0"/>
                              <w:marTop w:val="0"/>
                              <w:marBottom w:val="0"/>
                              <w:divBdr>
                                <w:top w:val="none" w:sz="0" w:space="0" w:color="auto"/>
                                <w:left w:val="none" w:sz="0" w:space="0" w:color="auto"/>
                                <w:bottom w:val="none" w:sz="0" w:space="0" w:color="auto"/>
                                <w:right w:val="none" w:sz="0" w:space="0" w:color="auto"/>
                              </w:divBdr>
                            </w:div>
                            <w:div w:id="554238604">
                              <w:marLeft w:val="0"/>
                              <w:marRight w:val="0"/>
                              <w:marTop w:val="0"/>
                              <w:marBottom w:val="0"/>
                              <w:divBdr>
                                <w:top w:val="none" w:sz="0" w:space="0" w:color="auto"/>
                                <w:left w:val="none" w:sz="0" w:space="0" w:color="auto"/>
                                <w:bottom w:val="none" w:sz="0" w:space="0" w:color="auto"/>
                                <w:right w:val="none" w:sz="0" w:space="0" w:color="auto"/>
                              </w:divBdr>
                            </w:div>
                            <w:div w:id="1191451705">
                              <w:marLeft w:val="0"/>
                              <w:marRight w:val="0"/>
                              <w:marTop w:val="0"/>
                              <w:marBottom w:val="0"/>
                              <w:divBdr>
                                <w:top w:val="none" w:sz="0" w:space="0" w:color="auto"/>
                                <w:left w:val="none" w:sz="0" w:space="0" w:color="auto"/>
                                <w:bottom w:val="none" w:sz="0" w:space="0" w:color="auto"/>
                                <w:right w:val="none" w:sz="0" w:space="0" w:color="auto"/>
                              </w:divBdr>
                            </w:div>
                            <w:div w:id="1315068091">
                              <w:marLeft w:val="0"/>
                              <w:marRight w:val="0"/>
                              <w:marTop w:val="0"/>
                              <w:marBottom w:val="0"/>
                              <w:divBdr>
                                <w:top w:val="none" w:sz="0" w:space="0" w:color="auto"/>
                                <w:left w:val="none" w:sz="0" w:space="0" w:color="auto"/>
                                <w:bottom w:val="none" w:sz="0" w:space="0" w:color="auto"/>
                                <w:right w:val="none" w:sz="0" w:space="0" w:color="auto"/>
                              </w:divBdr>
                            </w:div>
                            <w:div w:id="563835503">
                              <w:marLeft w:val="0"/>
                              <w:marRight w:val="0"/>
                              <w:marTop w:val="0"/>
                              <w:marBottom w:val="0"/>
                              <w:divBdr>
                                <w:top w:val="none" w:sz="0" w:space="0" w:color="auto"/>
                                <w:left w:val="none" w:sz="0" w:space="0" w:color="auto"/>
                                <w:bottom w:val="none" w:sz="0" w:space="0" w:color="auto"/>
                                <w:right w:val="none" w:sz="0" w:space="0" w:color="auto"/>
                              </w:divBdr>
                            </w:div>
                            <w:div w:id="997197079">
                              <w:marLeft w:val="0"/>
                              <w:marRight w:val="0"/>
                              <w:marTop w:val="0"/>
                              <w:marBottom w:val="0"/>
                              <w:divBdr>
                                <w:top w:val="none" w:sz="0" w:space="0" w:color="auto"/>
                                <w:left w:val="none" w:sz="0" w:space="0" w:color="auto"/>
                                <w:bottom w:val="none" w:sz="0" w:space="0" w:color="auto"/>
                                <w:right w:val="none" w:sz="0" w:space="0" w:color="auto"/>
                              </w:divBdr>
                            </w:div>
                          </w:divsChild>
                        </w:div>
                        <w:div w:id="301689639">
                          <w:marLeft w:val="0"/>
                          <w:marRight w:val="0"/>
                          <w:marTop w:val="0"/>
                          <w:marBottom w:val="0"/>
                          <w:divBdr>
                            <w:top w:val="none" w:sz="0" w:space="0" w:color="auto"/>
                            <w:left w:val="none" w:sz="0" w:space="0" w:color="auto"/>
                            <w:bottom w:val="none" w:sz="0" w:space="0" w:color="auto"/>
                            <w:right w:val="none" w:sz="0" w:space="0" w:color="auto"/>
                          </w:divBdr>
                          <w:divsChild>
                            <w:div w:id="1836803862">
                              <w:marLeft w:val="0"/>
                              <w:marRight w:val="0"/>
                              <w:marTop w:val="0"/>
                              <w:marBottom w:val="0"/>
                              <w:divBdr>
                                <w:top w:val="none" w:sz="0" w:space="0" w:color="auto"/>
                                <w:left w:val="none" w:sz="0" w:space="0" w:color="auto"/>
                                <w:bottom w:val="none" w:sz="0" w:space="0" w:color="auto"/>
                                <w:right w:val="none" w:sz="0" w:space="0" w:color="auto"/>
                              </w:divBdr>
                            </w:div>
                            <w:div w:id="1393309870">
                              <w:marLeft w:val="0"/>
                              <w:marRight w:val="0"/>
                              <w:marTop w:val="0"/>
                              <w:marBottom w:val="0"/>
                              <w:divBdr>
                                <w:top w:val="none" w:sz="0" w:space="0" w:color="auto"/>
                                <w:left w:val="none" w:sz="0" w:space="0" w:color="auto"/>
                                <w:bottom w:val="none" w:sz="0" w:space="0" w:color="auto"/>
                                <w:right w:val="none" w:sz="0" w:space="0" w:color="auto"/>
                              </w:divBdr>
                            </w:div>
                            <w:div w:id="2014603078">
                              <w:marLeft w:val="0"/>
                              <w:marRight w:val="0"/>
                              <w:marTop w:val="0"/>
                              <w:marBottom w:val="0"/>
                              <w:divBdr>
                                <w:top w:val="none" w:sz="0" w:space="0" w:color="auto"/>
                                <w:left w:val="none" w:sz="0" w:space="0" w:color="auto"/>
                                <w:bottom w:val="none" w:sz="0" w:space="0" w:color="auto"/>
                                <w:right w:val="none" w:sz="0" w:space="0" w:color="auto"/>
                              </w:divBdr>
                            </w:div>
                            <w:div w:id="424696486">
                              <w:marLeft w:val="0"/>
                              <w:marRight w:val="0"/>
                              <w:marTop w:val="0"/>
                              <w:marBottom w:val="0"/>
                              <w:divBdr>
                                <w:top w:val="none" w:sz="0" w:space="0" w:color="auto"/>
                                <w:left w:val="none" w:sz="0" w:space="0" w:color="auto"/>
                                <w:bottom w:val="none" w:sz="0" w:space="0" w:color="auto"/>
                                <w:right w:val="none" w:sz="0" w:space="0" w:color="auto"/>
                              </w:divBdr>
                            </w:div>
                            <w:div w:id="745758797">
                              <w:marLeft w:val="0"/>
                              <w:marRight w:val="0"/>
                              <w:marTop w:val="0"/>
                              <w:marBottom w:val="0"/>
                              <w:divBdr>
                                <w:top w:val="none" w:sz="0" w:space="0" w:color="auto"/>
                                <w:left w:val="none" w:sz="0" w:space="0" w:color="auto"/>
                                <w:bottom w:val="none" w:sz="0" w:space="0" w:color="auto"/>
                                <w:right w:val="none" w:sz="0" w:space="0" w:color="auto"/>
                              </w:divBdr>
                            </w:div>
                            <w:div w:id="205026940">
                              <w:marLeft w:val="0"/>
                              <w:marRight w:val="0"/>
                              <w:marTop w:val="0"/>
                              <w:marBottom w:val="0"/>
                              <w:divBdr>
                                <w:top w:val="none" w:sz="0" w:space="0" w:color="auto"/>
                                <w:left w:val="none" w:sz="0" w:space="0" w:color="auto"/>
                                <w:bottom w:val="none" w:sz="0" w:space="0" w:color="auto"/>
                                <w:right w:val="none" w:sz="0" w:space="0" w:color="auto"/>
                              </w:divBdr>
                            </w:div>
                            <w:div w:id="629480741">
                              <w:marLeft w:val="0"/>
                              <w:marRight w:val="0"/>
                              <w:marTop w:val="0"/>
                              <w:marBottom w:val="0"/>
                              <w:divBdr>
                                <w:top w:val="none" w:sz="0" w:space="0" w:color="auto"/>
                                <w:left w:val="none" w:sz="0" w:space="0" w:color="auto"/>
                                <w:bottom w:val="none" w:sz="0" w:space="0" w:color="auto"/>
                                <w:right w:val="none" w:sz="0" w:space="0" w:color="auto"/>
                              </w:divBdr>
                            </w:div>
                          </w:divsChild>
                        </w:div>
                        <w:div w:id="1196578547">
                          <w:marLeft w:val="0"/>
                          <w:marRight w:val="0"/>
                          <w:marTop w:val="0"/>
                          <w:marBottom w:val="0"/>
                          <w:divBdr>
                            <w:top w:val="none" w:sz="0" w:space="0" w:color="auto"/>
                            <w:left w:val="none" w:sz="0" w:space="0" w:color="auto"/>
                            <w:bottom w:val="none" w:sz="0" w:space="0" w:color="auto"/>
                            <w:right w:val="none" w:sz="0" w:space="0" w:color="auto"/>
                          </w:divBdr>
                          <w:divsChild>
                            <w:div w:id="1775900672">
                              <w:marLeft w:val="0"/>
                              <w:marRight w:val="0"/>
                              <w:marTop w:val="0"/>
                              <w:marBottom w:val="0"/>
                              <w:divBdr>
                                <w:top w:val="none" w:sz="0" w:space="0" w:color="auto"/>
                                <w:left w:val="none" w:sz="0" w:space="0" w:color="auto"/>
                                <w:bottom w:val="none" w:sz="0" w:space="0" w:color="auto"/>
                                <w:right w:val="none" w:sz="0" w:space="0" w:color="auto"/>
                              </w:divBdr>
                            </w:div>
                            <w:div w:id="1041514517">
                              <w:marLeft w:val="0"/>
                              <w:marRight w:val="0"/>
                              <w:marTop w:val="0"/>
                              <w:marBottom w:val="0"/>
                              <w:divBdr>
                                <w:top w:val="none" w:sz="0" w:space="0" w:color="auto"/>
                                <w:left w:val="none" w:sz="0" w:space="0" w:color="auto"/>
                                <w:bottom w:val="none" w:sz="0" w:space="0" w:color="auto"/>
                                <w:right w:val="none" w:sz="0" w:space="0" w:color="auto"/>
                              </w:divBdr>
                            </w:div>
                            <w:div w:id="1951351020">
                              <w:marLeft w:val="0"/>
                              <w:marRight w:val="0"/>
                              <w:marTop w:val="0"/>
                              <w:marBottom w:val="0"/>
                              <w:divBdr>
                                <w:top w:val="none" w:sz="0" w:space="0" w:color="auto"/>
                                <w:left w:val="none" w:sz="0" w:space="0" w:color="auto"/>
                                <w:bottom w:val="none" w:sz="0" w:space="0" w:color="auto"/>
                                <w:right w:val="none" w:sz="0" w:space="0" w:color="auto"/>
                              </w:divBdr>
                            </w:div>
                            <w:div w:id="1128161465">
                              <w:marLeft w:val="0"/>
                              <w:marRight w:val="0"/>
                              <w:marTop w:val="0"/>
                              <w:marBottom w:val="0"/>
                              <w:divBdr>
                                <w:top w:val="none" w:sz="0" w:space="0" w:color="auto"/>
                                <w:left w:val="none" w:sz="0" w:space="0" w:color="auto"/>
                                <w:bottom w:val="none" w:sz="0" w:space="0" w:color="auto"/>
                                <w:right w:val="none" w:sz="0" w:space="0" w:color="auto"/>
                              </w:divBdr>
                            </w:div>
                          </w:divsChild>
                        </w:div>
                        <w:div w:id="1436554480">
                          <w:marLeft w:val="0"/>
                          <w:marRight w:val="0"/>
                          <w:marTop w:val="0"/>
                          <w:marBottom w:val="0"/>
                          <w:divBdr>
                            <w:top w:val="none" w:sz="0" w:space="0" w:color="auto"/>
                            <w:left w:val="none" w:sz="0" w:space="0" w:color="auto"/>
                            <w:bottom w:val="none" w:sz="0" w:space="0" w:color="auto"/>
                            <w:right w:val="none" w:sz="0" w:space="0" w:color="auto"/>
                          </w:divBdr>
                          <w:divsChild>
                            <w:div w:id="966200856">
                              <w:marLeft w:val="0"/>
                              <w:marRight w:val="0"/>
                              <w:marTop w:val="0"/>
                              <w:marBottom w:val="0"/>
                              <w:divBdr>
                                <w:top w:val="none" w:sz="0" w:space="0" w:color="auto"/>
                                <w:left w:val="none" w:sz="0" w:space="0" w:color="auto"/>
                                <w:bottom w:val="none" w:sz="0" w:space="0" w:color="auto"/>
                                <w:right w:val="none" w:sz="0" w:space="0" w:color="auto"/>
                              </w:divBdr>
                            </w:div>
                            <w:div w:id="1285503996">
                              <w:marLeft w:val="0"/>
                              <w:marRight w:val="0"/>
                              <w:marTop w:val="0"/>
                              <w:marBottom w:val="0"/>
                              <w:divBdr>
                                <w:top w:val="none" w:sz="0" w:space="0" w:color="auto"/>
                                <w:left w:val="none" w:sz="0" w:space="0" w:color="auto"/>
                                <w:bottom w:val="none" w:sz="0" w:space="0" w:color="auto"/>
                                <w:right w:val="none" w:sz="0" w:space="0" w:color="auto"/>
                              </w:divBdr>
                            </w:div>
                            <w:div w:id="1196775985">
                              <w:marLeft w:val="0"/>
                              <w:marRight w:val="0"/>
                              <w:marTop w:val="0"/>
                              <w:marBottom w:val="0"/>
                              <w:divBdr>
                                <w:top w:val="none" w:sz="0" w:space="0" w:color="auto"/>
                                <w:left w:val="none" w:sz="0" w:space="0" w:color="auto"/>
                                <w:bottom w:val="none" w:sz="0" w:space="0" w:color="auto"/>
                                <w:right w:val="none" w:sz="0" w:space="0" w:color="auto"/>
                              </w:divBdr>
                            </w:div>
                            <w:div w:id="1157263785">
                              <w:marLeft w:val="0"/>
                              <w:marRight w:val="0"/>
                              <w:marTop w:val="0"/>
                              <w:marBottom w:val="0"/>
                              <w:divBdr>
                                <w:top w:val="none" w:sz="0" w:space="0" w:color="auto"/>
                                <w:left w:val="none" w:sz="0" w:space="0" w:color="auto"/>
                                <w:bottom w:val="none" w:sz="0" w:space="0" w:color="auto"/>
                                <w:right w:val="none" w:sz="0" w:space="0" w:color="auto"/>
                              </w:divBdr>
                              <w:divsChild>
                                <w:div w:id="697434741">
                                  <w:marLeft w:val="0"/>
                                  <w:marRight w:val="0"/>
                                  <w:marTop w:val="0"/>
                                  <w:marBottom w:val="0"/>
                                  <w:divBdr>
                                    <w:top w:val="none" w:sz="0" w:space="0" w:color="auto"/>
                                    <w:left w:val="none" w:sz="0" w:space="0" w:color="auto"/>
                                    <w:bottom w:val="none" w:sz="0" w:space="0" w:color="auto"/>
                                    <w:right w:val="none" w:sz="0" w:space="0" w:color="auto"/>
                                  </w:divBdr>
                                </w:div>
                              </w:divsChild>
                            </w:div>
                            <w:div w:id="139618710">
                              <w:marLeft w:val="0"/>
                              <w:marRight w:val="0"/>
                              <w:marTop w:val="0"/>
                              <w:marBottom w:val="0"/>
                              <w:divBdr>
                                <w:top w:val="none" w:sz="0" w:space="0" w:color="auto"/>
                                <w:left w:val="none" w:sz="0" w:space="0" w:color="auto"/>
                                <w:bottom w:val="none" w:sz="0" w:space="0" w:color="auto"/>
                                <w:right w:val="none" w:sz="0" w:space="0" w:color="auto"/>
                              </w:divBdr>
                            </w:div>
                            <w:div w:id="1227565284">
                              <w:marLeft w:val="0"/>
                              <w:marRight w:val="0"/>
                              <w:marTop w:val="0"/>
                              <w:marBottom w:val="0"/>
                              <w:divBdr>
                                <w:top w:val="none" w:sz="0" w:space="0" w:color="auto"/>
                                <w:left w:val="none" w:sz="0" w:space="0" w:color="auto"/>
                                <w:bottom w:val="none" w:sz="0" w:space="0" w:color="auto"/>
                                <w:right w:val="none" w:sz="0" w:space="0" w:color="auto"/>
                              </w:divBdr>
                            </w:div>
                            <w:div w:id="110244057">
                              <w:marLeft w:val="0"/>
                              <w:marRight w:val="0"/>
                              <w:marTop w:val="0"/>
                              <w:marBottom w:val="0"/>
                              <w:divBdr>
                                <w:top w:val="none" w:sz="0" w:space="0" w:color="auto"/>
                                <w:left w:val="none" w:sz="0" w:space="0" w:color="auto"/>
                                <w:bottom w:val="none" w:sz="0" w:space="0" w:color="auto"/>
                                <w:right w:val="none" w:sz="0" w:space="0" w:color="auto"/>
                              </w:divBdr>
                            </w:div>
                            <w:div w:id="208037963">
                              <w:marLeft w:val="0"/>
                              <w:marRight w:val="0"/>
                              <w:marTop w:val="0"/>
                              <w:marBottom w:val="0"/>
                              <w:divBdr>
                                <w:top w:val="none" w:sz="0" w:space="0" w:color="auto"/>
                                <w:left w:val="none" w:sz="0" w:space="0" w:color="auto"/>
                                <w:bottom w:val="none" w:sz="0" w:space="0" w:color="auto"/>
                                <w:right w:val="none" w:sz="0" w:space="0" w:color="auto"/>
                              </w:divBdr>
                            </w:div>
                            <w:div w:id="714044833">
                              <w:marLeft w:val="0"/>
                              <w:marRight w:val="0"/>
                              <w:marTop w:val="0"/>
                              <w:marBottom w:val="0"/>
                              <w:divBdr>
                                <w:top w:val="none" w:sz="0" w:space="0" w:color="auto"/>
                                <w:left w:val="none" w:sz="0" w:space="0" w:color="auto"/>
                                <w:bottom w:val="none" w:sz="0" w:space="0" w:color="auto"/>
                                <w:right w:val="none" w:sz="0" w:space="0" w:color="auto"/>
                              </w:divBdr>
                            </w:div>
                            <w:div w:id="1099451723">
                              <w:marLeft w:val="0"/>
                              <w:marRight w:val="0"/>
                              <w:marTop w:val="0"/>
                              <w:marBottom w:val="0"/>
                              <w:divBdr>
                                <w:top w:val="none" w:sz="0" w:space="0" w:color="auto"/>
                                <w:left w:val="none" w:sz="0" w:space="0" w:color="auto"/>
                                <w:bottom w:val="none" w:sz="0" w:space="0" w:color="auto"/>
                                <w:right w:val="none" w:sz="0" w:space="0" w:color="auto"/>
                              </w:divBdr>
                            </w:div>
                            <w:div w:id="1256867168">
                              <w:marLeft w:val="0"/>
                              <w:marRight w:val="0"/>
                              <w:marTop w:val="0"/>
                              <w:marBottom w:val="0"/>
                              <w:divBdr>
                                <w:top w:val="none" w:sz="0" w:space="0" w:color="auto"/>
                                <w:left w:val="none" w:sz="0" w:space="0" w:color="auto"/>
                                <w:bottom w:val="none" w:sz="0" w:space="0" w:color="auto"/>
                                <w:right w:val="none" w:sz="0" w:space="0" w:color="auto"/>
                              </w:divBdr>
                            </w:div>
                            <w:div w:id="588545257">
                              <w:marLeft w:val="0"/>
                              <w:marRight w:val="0"/>
                              <w:marTop w:val="0"/>
                              <w:marBottom w:val="0"/>
                              <w:divBdr>
                                <w:top w:val="none" w:sz="0" w:space="0" w:color="auto"/>
                                <w:left w:val="none" w:sz="0" w:space="0" w:color="auto"/>
                                <w:bottom w:val="none" w:sz="0" w:space="0" w:color="auto"/>
                                <w:right w:val="none" w:sz="0" w:space="0" w:color="auto"/>
                              </w:divBdr>
                            </w:div>
                            <w:div w:id="371997872">
                              <w:marLeft w:val="0"/>
                              <w:marRight w:val="0"/>
                              <w:marTop w:val="0"/>
                              <w:marBottom w:val="0"/>
                              <w:divBdr>
                                <w:top w:val="none" w:sz="0" w:space="0" w:color="auto"/>
                                <w:left w:val="none" w:sz="0" w:space="0" w:color="auto"/>
                                <w:bottom w:val="none" w:sz="0" w:space="0" w:color="auto"/>
                                <w:right w:val="none" w:sz="0" w:space="0" w:color="auto"/>
                              </w:divBdr>
                            </w:div>
                            <w:div w:id="1013070576">
                              <w:marLeft w:val="0"/>
                              <w:marRight w:val="0"/>
                              <w:marTop w:val="0"/>
                              <w:marBottom w:val="0"/>
                              <w:divBdr>
                                <w:top w:val="none" w:sz="0" w:space="0" w:color="auto"/>
                                <w:left w:val="none" w:sz="0" w:space="0" w:color="auto"/>
                                <w:bottom w:val="none" w:sz="0" w:space="0" w:color="auto"/>
                                <w:right w:val="none" w:sz="0" w:space="0" w:color="auto"/>
                              </w:divBdr>
                            </w:div>
                            <w:div w:id="725492324">
                              <w:marLeft w:val="0"/>
                              <w:marRight w:val="0"/>
                              <w:marTop w:val="0"/>
                              <w:marBottom w:val="0"/>
                              <w:divBdr>
                                <w:top w:val="none" w:sz="0" w:space="0" w:color="auto"/>
                                <w:left w:val="none" w:sz="0" w:space="0" w:color="auto"/>
                                <w:bottom w:val="none" w:sz="0" w:space="0" w:color="auto"/>
                                <w:right w:val="none" w:sz="0" w:space="0" w:color="auto"/>
                              </w:divBdr>
                            </w:div>
                            <w:div w:id="1539735229">
                              <w:marLeft w:val="0"/>
                              <w:marRight w:val="0"/>
                              <w:marTop w:val="0"/>
                              <w:marBottom w:val="0"/>
                              <w:divBdr>
                                <w:top w:val="none" w:sz="0" w:space="0" w:color="auto"/>
                                <w:left w:val="none" w:sz="0" w:space="0" w:color="auto"/>
                                <w:bottom w:val="none" w:sz="0" w:space="0" w:color="auto"/>
                                <w:right w:val="none" w:sz="0" w:space="0" w:color="auto"/>
                              </w:divBdr>
                            </w:div>
                          </w:divsChild>
                        </w:div>
                        <w:div w:id="145125011">
                          <w:marLeft w:val="0"/>
                          <w:marRight w:val="0"/>
                          <w:marTop w:val="0"/>
                          <w:marBottom w:val="0"/>
                          <w:divBdr>
                            <w:top w:val="none" w:sz="0" w:space="0" w:color="auto"/>
                            <w:left w:val="none" w:sz="0" w:space="0" w:color="auto"/>
                            <w:bottom w:val="none" w:sz="0" w:space="0" w:color="auto"/>
                            <w:right w:val="none" w:sz="0" w:space="0" w:color="auto"/>
                          </w:divBdr>
                          <w:divsChild>
                            <w:div w:id="1133132956">
                              <w:marLeft w:val="0"/>
                              <w:marRight w:val="0"/>
                              <w:marTop w:val="0"/>
                              <w:marBottom w:val="0"/>
                              <w:divBdr>
                                <w:top w:val="none" w:sz="0" w:space="0" w:color="auto"/>
                                <w:left w:val="none" w:sz="0" w:space="0" w:color="auto"/>
                                <w:bottom w:val="none" w:sz="0" w:space="0" w:color="auto"/>
                                <w:right w:val="none" w:sz="0" w:space="0" w:color="auto"/>
                              </w:divBdr>
                            </w:div>
                            <w:div w:id="1073625640">
                              <w:marLeft w:val="0"/>
                              <w:marRight w:val="0"/>
                              <w:marTop w:val="0"/>
                              <w:marBottom w:val="0"/>
                              <w:divBdr>
                                <w:top w:val="none" w:sz="0" w:space="0" w:color="auto"/>
                                <w:left w:val="none" w:sz="0" w:space="0" w:color="auto"/>
                                <w:bottom w:val="none" w:sz="0" w:space="0" w:color="auto"/>
                                <w:right w:val="none" w:sz="0" w:space="0" w:color="auto"/>
                              </w:divBdr>
                            </w:div>
                            <w:div w:id="898826492">
                              <w:marLeft w:val="0"/>
                              <w:marRight w:val="0"/>
                              <w:marTop w:val="0"/>
                              <w:marBottom w:val="0"/>
                              <w:divBdr>
                                <w:top w:val="none" w:sz="0" w:space="0" w:color="auto"/>
                                <w:left w:val="none" w:sz="0" w:space="0" w:color="auto"/>
                                <w:bottom w:val="none" w:sz="0" w:space="0" w:color="auto"/>
                                <w:right w:val="none" w:sz="0" w:space="0" w:color="auto"/>
                              </w:divBdr>
                            </w:div>
                            <w:div w:id="1466850953">
                              <w:marLeft w:val="0"/>
                              <w:marRight w:val="0"/>
                              <w:marTop w:val="0"/>
                              <w:marBottom w:val="0"/>
                              <w:divBdr>
                                <w:top w:val="none" w:sz="0" w:space="0" w:color="auto"/>
                                <w:left w:val="none" w:sz="0" w:space="0" w:color="auto"/>
                                <w:bottom w:val="none" w:sz="0" w:space="0" w:color="auto"/>
                                <w:right w:val="none" w:sz="0" w:space="0" w:color="auto"/>
                              </w:divBdr>
                            </w:div>
                            <w:div w:id="568880852">
                              <w:marLeft w:val="0"/>
                              <w:marRight w:val="0"/>
                              <w:marTop w:val="0"/>
                              <w:marBottom w:val="0"/>
                              <w:divBdr>
                                <w:top w:val="none" w:sz="0" w:space="0" w:color="auto"/>
                                <w:left w:val="none" w:sz="0" w:space="0" w:color="auto"/>
                                <w:bottom w:val="none" w:sz="0" w:space="0" w:color="auto"/>
                                <w:right w:val="none" w:sz="0" w:space="0" w:color="auto"/>
                              </w:divBdr>
                            </w:div>
                            <w:div w:id="1782413941">
                              <w:marLeft w:val="0"/>
                              <w:marRight w:val="0"/>
                              <w:marTop w:val="0"/>
                              <w:marBottom w:val="0"/>
                              <w:divBdr>
                                <w:top w:val="none" w:sz="0" w:space="0" w:color="auto"/>
                                <w:left w:val="none" w:sz="0" w:space="0" w:color="auto"/>
                                <w:bottom w:val="none" w:sz="0" w:space="0" w:color="auto"/>
                                <w:right w:val="none" w:sz="0" w:space="0" w:color="auto"/>
                              </w:divBdr>
                            </w:div>
                          </w:divsChild>
                        </w:div>
                        <w:div w:id="964702037">
                          <w:marLeft w:val="0"/>
                          <w:marRight w:val="0"/>
                          <w:marTop w:val="0"/>
                          <w:marBottom w:val="0"/>
                          <w:divBdr>
                            <w:top w:val="none" w:sz="0" w:space="0" w:color="auto"/>
                            <w:left w:val="none" w:sz="0" w:space="0" w:color="auto"/>
                            <w:bottom w:val="none" w:sz="0" w:space="0" w:color="auto"/>
                            <w:right w:val="none" w:sz="0" w:space="0" w:color="auto"/>
                          </w:divBdr>
                          <w:divsChild>
                            <w:div w:id="454374294">
                              <w:marLeft w:val="0"/>
                              <w:marRight w:val="0"/>
                              <w:marTop w:val="0"/>
                              <w:marBottom w:val="0"/>
                              <w:divBdr>
                                <w:top w:val="none" w:sz="0" w:space="0" w:color="auto"/>
                                <w:left w:val="none" w:sz="0" w:space="0" w:color="auto"/>
                                <w:bottom w:val="none" w:sz="0" w:space="0" w:color="auto"/>
                                <w:right w:val="none" w:sz="0" w:space="0" w:color="auto"/>
                              </w:divBdr>
                            </w:div>
                            <w:div w:id="2003269698">
                              <w:marLeft w:val="0"/>
                              <w:marRight w:val="0"/>
                              <w:marTop w:val="0"/>
                              <w:marBottom w:val="0"/>
                              <w:divBdr>
                                <w:top w:val="none" w:sz="0" w:space="0" w:color="auto"/>
                                <w:left w:val="none" w:sz="0" w:space="0" w:color="auto"/>
                                <w:bottom w:val="none" w:sz="0" w:space="0" w:color="auto"/>
                                <w:right w:val="none" w:sz="0" w:space="0" w:color="auto"/>
                              </w:divBdr>
                            </w:div>
                            <w:div w:id="842357922">
                              <w:marLeft w:val="0"/>
                              <w:marRight w:val="0"/>
                              <w:marTop w:val="0"/>
                              <w:marBottom w:val="0"/>
                              <w:divBdr>
                                <w:top w:val="none" w:sz="0" w:space="0" w:color="auto"/>
                                <w:left w:val="none" w:sz="0" w:space="0" w:color="auto"/>
                                <w:bottom w:val="none" w:sz="0" w:space="0" w:color="auto"/>
                                <w:right w:val="none" w:sz="0" w:space="0" w:color="auto"/>
                              </w:divBdr>
                            </w:div>
                            <w:div w:id="1251161648">
                              <w:marLeft w:val="0"/>
                              <w:marRight w:val="0"/>
                              <w:marTop w:val="0"/>
                              <w:marBottom w:val="0"/>
                              <w:divBdr>
                                <w:top w:val="none" w:sz="0" w:space="0" w:color="auto"/>
                                <w:left w:val="none" w:sz="0" w:space="0" w:color="auto"/>
                                <w:bottom w:val="none" w:sz="0" w:space="0" w:color="auto"/>
                                <w:right w:val="none" w:sz="0" w:space="0" w:color="auto"/>
                              </w:divBdr>
                            </w:div>
                            <w:div w:id="1495872124">
                              <w:marLeft w:val="0"/>
                              <w:marRight w:val="0"/>
                              <w:marTop w:val="0"/>
                              <w:marBottom w:val="0"/>
                              <w:divBdr>
                                <w:top w:val="none" w:sz="0" w:space="0" w:color="auto"/>
                                <w:left w:val="none" w:sz="0" w:space="0" w:color="auto"/>
                                <w:bottom w:val="none" w:sz="0" w:space="0" w:color="auto"/>
                                <w:right w:val="none" w:sz="0" w:space="0" w:color="auto"/>
                              </w:divBdr>
                            </w:div>
                            <w:div w:id="1623607052">
                              <w:marLeft w:val="0"/>
                              <w:marRight w:val="0"/>
                              <w:marTop w:val="0"/>
                              <w:marBottom w:val="0"/>
                              <w:divBdr>
                                <w:top w:val="none" w:sz="0" w:space="0" w:color="auto"/>
                                <w:left w:val="none" w:sz="0" w:space="0" w:color="auto"/>
                                <w:bottom w:val="none" w:sz="0" w:space="0" w:color="auto"/>
                                <w:right w:val="none" w:sz="0" w:space="0" w:color="auto"/>
                              </w:divBdr>
                            </w:div>
                            <w:div w:id="568465688">
                              <w:marLeft w:val="0"/>
                              <w:marRight w:val="0"/>
                              <w:marTop w:val="0"/>
                              <w:marBottom w:val="0"/>
                              <w:divBdr>
                                <w:top w:val="none" w:sz="0" w:space="0" w:color="auto"/>
                                <w:left w:val="none" w:sz="0" w:space="0" w:color="auto"/>
                                <w:bottom w:val="none" w:sz="0" w:space="0" w:color="auto"/>
                                <w:right w:val="none" w:sz="0" w:space="0" w:color="auto"/>
                              </w:divBdr>
                            </w:div>
                          </w:divsChild>
                        </w:div>
                        <w:div w:id="646982137">
                          <w:marLeft w:val="0"/>
                          <w:marRight w:val="0"/>
                          <w:marTop w:val="0"/>
                          <w:marBottom w:val="0"/>
                          <w:divBdr>
                            <w:top w:val="none" w:sz="0" w:space="0" w:color="auto"/>
                            <w:left w:val="none" w:sz="0" w:space="0" w:color="auto"/>
                            <w:bottom w:val="none" w:sz="0" w:space="0" w:color="auto"/>
                            <w:right w:val="none" w:sz="0" w:space="0" w:color="auto"/>
                          </w:divBdr>
                          <w:divsChild>
                            <w:div w:id="1767457942">
                              <w:marLeft w:val="0"/>
                              <w:marRight w:val="0"/>
                              <w:marTop w:val="0"/>
                              <w:marBottom w:val="0"/>
                              <w:divBdr>
                                <w:top w:val="none" w:sz="0" w:space="0" w:color="auto"/>
                                <w:left w:val="none" w:sz="0" w:space="0" w:color="auto"/>
                                <w:bottom w:val="none" w:sz="0" w:space="0" w:color="auto"/>
                                <w:right w:val="none" w:sz="0" w:space="0" w:color="auto"/>
                              </w:divBdr>
                            </w:div>
                          </w:divsChild>
                        </w:div>
                        <w:div w:id="952056355">
                          <w:marLeft w:val="0"/>
                          <w:marRight w:val="0"/>
                          <w:marTop w:val="0"/>
                          <w:marBottom w:val="0"/>
                          <w:divBdr>
                            <w:top w:val="none" w:sz="0" w:space="0" w:color="auto"/>
                            <w:left w:val="none" w:sz="0" w:space="0" w:color="auto"/>
                            <w:bottom w:val="none" w:sz="0" w:space="0" w:color="auto"/>
                            <w:right w:val="none" w:sz="0" w:space="0" w:color="auto"/>
                          </w:divBdr>
                          <w:divsChild>
                            <w:div w:id="100755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05585">
                      <w:marLeft w:val="0"/>
                      <w:marRight w:val="0"/>
                      <w:marTop w:val="0"/>
                      <w:marBottom w:val="0"/>
                      <w:divBdr>
                        <w:top w:val="none" w:sz="0" w:space="0" w:color="auto"/>
                        <w:left w:val="none" w:sz="0" w:space="0" w:color="auto"/>
                        <w:bottom w:val="none" w:sz="0" w:space="0" w:color="auto"/>
                        <w:right w:val="none" w:sz="0" w:space="0" w:color="auto"/>
                      </w:divBdr>
                      <w:divsChild>
                        <w:div w:id="2108844010">
                          <w:marLeft w:val="0"/>
                          <w:marRight w:val="0"/>
                          <w:marTop w:val="0"/>
                          <w:marBottom w:val="0"/>
                          <w:divBdr>
                            <w:top w:val="none" w:sz="0" w:space="0" w:color="auto"/>
                            <w:left w:val="none" w:sz="0" w:space="0" w:color="auto"/>
                            <w:bottom w:val="none" w:sz="0" w:space="0" w:color="auto"/>
                            <w:right w:val="none" w:sz="0" w:space="0" w:color="auto"/>
                          </w:divBdr>
                        </w:div>
                        <w:div w:id="1300765004">
                          <w:marLeft w:val="0"/>
                          <w:marRight w:val="0"/>
                          <w:marTop w:val="0"/>
                          <w:marBottom w:val="0"/>
                          <w:divBdr>
                            <w:top w:val="none" w:sz="0" w:space="0" w:color="auto"/>
                            <w:left w:val="none" w:sz="0" w:space="0" w:color="auto"/>
                            <w:bottom w:val="none" w:sz="0" w:space="0" w:color="auto"/>
                            <w:right w:val="none" w:sz="0" w:space="0" w:color="auto"/>
                          </w:divBdr>
                          <w:divsChild>
                            <w:div w:id="695618435">
                              <w:marLeft w:val="0"/>
                              <w:marRight w:val="0"/>
                              <w:marTop w:val="0"/>
                              <w:marBottom w:val="0"/>
                              <w:divBdr>
                                <w:top w:val="none" w:sz="0" w:space="0" w:color="auto"/>
                                <w:left w:val="none" w:sz="0" w:space="0" w:color="auto"/>
                                <w:bottom w:val="none" w:sz="0" w:space="0" w:color="auto"/>
                                <w:right w:val="none" w:sz="0" w:space="0" w:color="auto"/>
                              </w:divBdr>
                            </w:div>
                            <w:div w:id="444890717">
                              <w:marLeft w:val="0"/>
                              <w:marRight w:val="0"/>
                              <w:marTop w:val="0"/>
                              <w:marBottom w:val="0"/>
                              <w:divBdr>
                                <w:top w:val="none" w:sz="0" w:space="0" w:color="auto"/>
                                <w:left w:val="none" w:sz="0" w:space="0" w:color="auto"/>
                                <w:bottom w:val="none" w:sz="0" w:space="0" w:color="auto"/>
                                <w:right w:val="none" w:sz="0" w:space="0" w:color="auto"/>
                              </w:divBdr>
                            </w:div>
                            <w:div w:id="1472403615">
                              <w:marLeft w:val="0"/>
                              <w:marRight w:val="0"/>
                              <w:marTop w:val="0"/>
                              <w:marBottom w:val="0"/>
                              <w:divBdr>
                                <w:top w:val="none" w:sz="0" w:space="0" w:color="auto"/>
                                <w:left w:val="none" w:sz="0" w:space="0" w:color="auto"/>
                                <w:bottom w:val="none" w:sz="0" w:space="0" w:color="auto"/>
                                <w:right w:val="none" w:sz="0" w:space="0" w:color="auto"/>
                              </w:divBdr>
                            </w:div>
                            <w:div w:id="198125978">
                              <w:marLeft w:val="0"/>
                              <w:marRight w:val="0"/>
                              <w:marTop w:val="0"/>
                              <w:marBottom w:val="0"/>
                              <w:divBdr>
                                <w:top w:val="none" w:sz="0" w:space="0" w:color="auto"/>
                                <w:left w:val="none" w:sz="0" w:space="0" w:color="auto"/>
                                <w:bottom w:val="none" w:sz="0" w:space="0" w:color="auto"/>
                                <w:right w:val="none" w:sz="0" w:space="0" w:color="auto"/>
                              </w:divBdr>
                            </w:div>
                            <w:div w:id="224612670">
                              <w:marLeft w:val="0"/>
                              <w:marRight w:val="0"/>
                              <w:marTop w:val="0"/>
                              <w:marBottom w:val="0"/>
                              <w:divBdr>
                                <w:top w:val="none" w:sz="0" w:space="0" w:color="auto"/>
                                <w:left w:val="none" w:sz="0" w:space="0" w:color="auto"/>
                                <w:bottom w:val="none" w:sz="0" w:space="0" w:color="auto"/>
                                <w:right w:val="none" w:sz="0" w:space="0" w:color="auto"/>
                              </w:divBdr>
                            </w:div>
                            <w:div w:id="1293366036">
                              <w:marLeft w:val="0"/>
                              <w:marRight w:val="0"/>
                              <w:marTop w:val="0"/>
                              <w:marBottom w:val="0"/>
                              <w:divBdr>
                                <w:top w:val="none" w:sz="0" w:space="0" w:color="auto"/>
                                <w:left w:val="none" w:sz="0" w:space="0" w:color="auto"/>
                                <w:bottom w:val="none" w:sz="0" w:space="0" w:color="auto"/>
                                <w:right w:val="none" w:sz="0" w:space="0" w:color="auto"/>
                              </w:divBdr>
                            </w:div>
                            <w:div w:id="736173594">
                              <w:marLeft w:val="0"/>
                              <w:marRight w:val="0"/>
                              <w:marTop w:val="0"/>
                              <w:marBottom w:val="0"/>
                              <w:divBdr>
                                <w:top w:val="none" w:sz="0" w:space="0" w:color="auto"/>
                                <w:left w:val="none" w:sz="0" w:space="0" w:color="auto"/>
                                <w:bottom w:val="none" w:sz="0" w:space="0" w:color="auto"/>
                                <w:right w:val="none" w:sz="0" w:space="0" w:color="auto"/>
                              </w:divBdr>
                            </w:div>
                            <w:div w:id="1496216151">
                              <w:marLeft w:val="0"/>
                              <w:marRight w:val="0"/>
                              <w:marTop w:val="0"/>
                              <w:marBottom w:val="0"/>
                              <w:divBdr>
                                <w:top w:val="none" w:sz="0" w:space="0" w:color="auto"/>
                                <w:left w:val="none" w:sz="0" w:space="0" w:color="auto"/>
                                <w:bottom w:val="none" w:sz="0" w:space="0" w:color="auto"/>
                                <w:right w:val="none" w:sz="0" w:space="0" w:color="auto"/>
                              </w:divBdr>
                            </w:div>
                            <w:div w:id="294289317">
                              <w:marLeft w:val="0"/>
                              <w:marRight w:val="0"/>
                              <w:marTop w:val="0"/>
                              <w:marBottom w:val="0"/>
                              <w:divBdr>
                                <w:top w:val="none" w:sz="0" w:space="0" w:color="auto"/>
                                <w:left w:val="none" w:sz="0" w:space="0" w:color="auto"/>
                                <w:bottom w:val="none" w:sz="0" w:space="0" w:color="auto"/>
                                <w:right w:val="none" w:sz="0" w:space="0" w:color="auto"/>
                              </w:divBdr>
                            </w:div>
                            <w:div w:id="2031223793">
                              <w:marLeft w:val="0"/>
                              <w:marRight w:val="0"/>
                              <w:marTop w:val="0"/>
                              <w:marBottom w:val="0"/>
                              <w:divBdr>
                                <w:top w:val="none" w:sz="0" w:space="0" w:color="auto"/>
                                <w:left w:val="none" w:sz="0" w:space="0" w:color="auto"/>
                                <w:bottom w:val="none" w:sz="0" w:space="0" w:color="auto"/>
                                <w:right w:val="none" w:sz="0" w:space="0" w:color="auto"/>
                              </w:divBdr>
                            </w:div>
                            <w:div w:id="964503183">
                              <w:marLeft w:val="0"/>
                              <w:marRight w:val="0"/>
                              <w:marTop w:val="0"/>
                              <w:marBottom w:val="0"/>
                              <w:divBdr>
                                <w:top w:val="none" w:sz="0" w:space="0" w:color="auto"/>
                                <w:left w:val="none" w:sz="0" w:space="0" w:color="auto"/>
                                <w:bottom w:val="none" w:sz="0" w:space="0" w:color="auto"/>
                                <w:right w:val="none" w:sz="0" w:space="0" w:color="auto"/>
                              </w:divBdr>
                            </w:div>
                          </w:divsChild>
                        </w:div>
                        <w:div w:id="2095545892">
                          <w:marLeft w:val="0"/>
                          <w:marRight w:val="0"/>
                          <w:marTop w:val="0"/>
                          <w:marBottom w:val="0"/>
                          <w:divBdr>
                            <w:top w:val="none" w:sz="0" w:space="0" w:color="auto"/>
                            <w:left w:val="none" w:sz="0" w:space="0" w:color="auto"/>
                            <w:bottom w:val="none" w:sz="0" w:space="0" w:color="auto"/>
                            <w:right w:val="none" w:sz="0" w:space="0" w:color="auto"/>
                          </w:divBdr>
                          <w:divsChild>
                            <w:div w:id="370419351">
                              <w:marLeft w:val="0"/>
                              <w:marRight w:val="0"/>
                              <w:marTop w:val="0"/>
                              <w:marBottom w:val="0"/>
                              <w:divBdr>
                                <w:top w:val="none" w:sz="0" w:space="0" w:color="auto"/>
                                <w:left w:val="none" w:sz="0" w:space="0" w:color="auto"/>
                                <w:bottom w:val="none" w:sz="0" w:space="0" w:color="auto"/>
                                <w:right w:val="none" w:sz="0" w:space="0" w:color="auto"/>
                              </w:divBdr>
                            </w:div>
                            <w:div w:id="2043088762">
                              <w:marLeft w:val="0"/>
                              <w:marRight w:val="0"/>
                              <w:marTop w:val="0"/>
                              <w:marBottom w:val="0"/>
                              <w:divBdr>
                                <w:top w:val="none" w:sz="0" w:space="0" w:color="auto"/>
                                <w:left w:val="none" w:sz="0" w:space="0" w:color="auto"/>
                                <w:bottom w:val="none" w:sz="0" w:space="0" w:color="auto"/>
                                <w:right w:val="none" w:sz="0" w:space="0" w:color="auto"/>
                              </w:divBdr>
                            </w:div>
                            <w:div w:id="1427768277">
                              <w:marLeft w:val="0"/>
                              <w:marRight w:val="0"/>
                              <w:marTop w:val="0"/>
                              <w:marBottom w:val="0"/>
                              <w:divBdr>
                                <w:top w:val="none" w:sz="0" w:space="0" w:color="auto"/>
                                <w:left w:val="none" w:sz="0" w:space="0" w:color="auto"/>
                                <w:bottom w:val="none" w:sz="0" w:space="0" w:color="auto"/>
                                <w:right w:val="none" w:sz="0" w:space="0" w:color="auto"/>
                              </w:divBdr>
                            </w:div>
                            <w:div w:id="182600788">
                              <w:marLeft w:val="0"/>
                              <w:marRight w:val="0"/>
                              <w:marTop w:val="0"/>
                              <w:marBottom w:val="0"/>
                              <w:divBdr>
                                <w:top w:val="none" w:sz="0" w:space="0" w:color="auto"/>
                                <w:left w:val="none" w:sz="0" w:space="0" w:color="auto"/>
                                <w:bottom w:val="none" w:sz="0" w:space="0" w:color="auto"/>
                                <w:right w:val="none" w:sz="0" w:space="0" w:color="auto"/>
                              </w:divBdr>
                            </w:div>
                            <w:div w:id="1727147655">
                              <w:marLeft w:val="0"/>
                              <w:marRight w:val="0"/>
                              <w:marTop w:val="0"/>
                              <w:marBottom w:val="0"/>
                              <w:divBdr>
                                <w:top w:val="none" w:sz="0" w:space="0" w:color="auto"/>
                                <w:left w:val="none" w:sz="0" w:space="0" w:color="auto"/>
                                <w:bottom w:val="none" w:sz="0" w:space="0" w:color="auto"/>
                                <w:right w:val="none" w:sz="0" w:space="0" w:color="auto"/>
                              </w:divBdr>
                            </w:div>
                            <w:div w:id="1955745220">
                              <w:marLeft w:val="0"/>
                              <w:marRight w:val="0"/>
                              <w:marTop w:val="0"/>
                              <w:marBottom w:val="0"/>
                              <w:divBdr>
                                <w:top w:val="none" w:sz="0" w:space="0" w:color="auto"/>
                                <w:left w:val="none" w:sz="0" w:space="0" w:color="auto"/>
                                <w:bottom w:val="none" w:sz="0" w:space="0" w:color="auto"/>
                                <w:right w:val="none" w:sz="0" w:space="0" w:color="auto"/>
                              </w:divBdr>
                            </w:div>
                          </w:divsChild>
                        </w:div>
                        <w:div w:id="1500081279">
                          <w:marLeft w:val="0"/>
                          <w:marRight w:val="0"/>
                          <w:marTop w:val="0"/>
                          <w:marBottom w:val="0"/>
                          <w:divBdr>
                            <w:top w:val="none" w:sz="0" w:space="0" w:color="auto"/>
                            <w:left w:val="none" w:sz="0" w:space="0" w:color="auto"/>
                            <w:bottom w:val="none" w:sz="0" w:space="0" w:color="auto"/>
                            <w:right w:val="none" w:sz="0" w:space="0" w:color="auto"/>
                          </w:divBdr>
                          <w:divsChild>
                            <w:div w:id="1390306087">
                              <w:marLeft w:val="0"/>
                              <w:marRight w:val="0"/>
                              <w:marTop w:val="0"/>
                              <w:marBottom w:val="0"/>
                              <w:divBdr>
                                <w:top w:val="none" w:sz="0" w:space="0" w:color="auto"/>
                                <w:left w:val="none" w:sz="0" w:space="0" w:color="auto"/>
                                <w:bottom w:val="none" w:sz="0" w:space="0" w:color="auto"/>
                                <w:right w:val="none" w:sz="0" w:space="0" w:color="auto"/>
                              </w:divBdr>
                            </w:div>
                            <w:div w:id="1376465496">
                              <w:marLeft w:val="0"/>
                              <w:marRight w:val="0"/>
                              <w:marTop w:val="0"/>
                              <w:marBottom w:val="0"/>
                              <w:divBdr>
                                <w:top w:val="none" w:sz="0" w:space="0" w:color="auto"/>
                                <w:left w:val="none" w:sz="0" w:space="0" w:color="auto"/>
                                <w:bottom w:val="none" w:sz="0" w:space="0" w:color="auto"/>
                                <w:right w:val="none" w:sz="0" w:space="0" w:color="auto"/>
                              </w:divBdr>
                            </w:div>
                            <w:div w:id="2034067257">
                              <w:marLeft w:val="0"/>
                              <w:marRight w:val="0"/>
                              <w:marTop w:val="0"/>
                              <w:marBottom w:val="0"/>
                              <w:divBdr>
                                <w:top w:val="none" w:sz="0" w:space="0" w:color="auto"/>
                                <w:left w:val="none" w:sz="0" w:space="0" w:color="auto"/>
                                <w:bottom w:val="none" w:sz="0" w:space="0" w:color="auto"/>
                                <w:right w:val="none" w:sz="0" w:space="0" w:color="auto"/>
                              </w:divBdr>
                            </w:div>
                            <w:div w:id="67870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437286">
                  <w:marLeft w:val="0"/>
                  <w:marRight w:val="0"/>
                  <w:marTop w:val="0"/>
                  <w:marBottom w:val="0"/>
                  <w:divBdr>
                    <w:top w:val="none" w:sz="0" w:space="0" w:color="auto"/>
                    <w:left w:val="none" w:sz="0" w:space="0" w:color="auto"/>
                    <w:bottom w:val="none" w:sz="0" w:space="0" w:color="auto"/>
                    <w:right w:val="none" w:sz="0" w:space="0" w:color="auto"/>
                  </w:divBdr>
                  <w:divsChild>
                    <w:div w:id="1702314154">
                      <w:marLeft w:val="0"/>
                      <w:marRight w:val="0"/>
                      <w:marTop w:val="0"/>
                      <w:marBottom w:val="0"/>
                      <w:divBdr>
                        <w:top w:val="none" w:sz="0" w:space="0" w:color="auto"/>
                        <w:left w:val="none" w:sz="0" w:space="0" w:color="auto"/>
                        <w:bottom w:val="none" w:sz="0" w:space="0" w:color="auto"/>
                        <w:right w:val="none" w:sz="0" w:space="0" w:color="auto"/>
                      </w:divBdr>
                    </w:div>
                    <w:div w:id="348872711">
                      <w:marLeft w:val="0"/>
                      <w:marRight w:val="0"/>
                      <w:marTop w:val="0"/>
                      <w:marBottom w:val="0"/>
                      <w:divBdr>
                        <w:top w:val="none" w:sz="0" w:space="0" w:color="auto"/>
                        <w:left w:val="none" w:sz="0" w:space="0" w:color="auto"/>
                        <w:bottom w:val="none" w:sz="0" w:space="0" w:color="auto"/>
                        <w:right w:val="none" w:sz="0" w:space="0" w:color="auto"/>
                      </w:divBdr>
                      <w:divsChild>
                        <w:div w:id="1407068314">
                          <w:marLeft w:val="0"/>
                          <w:marRight w:val="0"/>
                          <w:marTop w:val="0"/>
                          <w:marBottom w:val="0"/>
                          <w:divBdr>
                            <w:top w:val="none" w:sz="0" w:space="0" w:color="auto"/>
                            <w:left w:val="none" w:sz="0" w:space="0" w:color="auto"/>
                            <w:bottom w:val="none" w:sz="0" w:space="0" w:color="auto"/>
                            <w:right w:val="none" w:sz="0" w:space="0" w:color="auto"/>
                          </w:divBdr>
                        </w:div>
                        <w:div w:id="282420714">
                          <w:marLeft w:val="0"/>
                          <w:marRight w:val="0"/>
                          <w:marTop w:val="0"/>
                          <w:marBottom w:val="0"/>
                          <w:divBdr>
                            <w:top w:val="none" w:sz="0" w:space="0" w:color="auto"/>
                            <w:left w:val="none" w:sz="0" w:space="0" w:color="auto"/>
                            <w:bottom w:val="none" w:sz="0" w:space="0" w:color="auto"/>
                            <w:right w:val="none" w:sz="0" w:space="0" w:color="auto"/>
                          </w:divBdr>
                          <w:divsChild>
                            <w:div w:id="956376513">
                              <w:marLeft w:val="0"/>
                              <w:marRight w:val="0"/>
                              <w:marTop w:val="0"/>
                              <w:marBottom w:val="0"/>
                              <w:divBdr>
                                <w:top w:val="none" w:sz="0" w:space="0" w:color="auto"/>
                                <w:left w:val="none" w:sz="0" w:space="0" w:color="auto"/>
                                <w:bottom w:val="none" w:sz="0" w:space="0" w:color="auto"/>
                                <w:right w:val="none" w:sz="0" w:space="0" w:color="auto"/>
                              </w:divBdr>
                            </w:div>
                            <w:div w:id="223413240">
                              <w:marLeft w:val="0"/>
                              <w:marRight w:val="0"/>
                              <w:marTop w:val="0"/>
                              <w:marBottom w:val="0"/>
                              <w:divBdr>
                                <w:top w:val="none" w:sz="0" w:space="0" w:color="auto"/>
                                <w:left w:val="none" w:sz="0" w:space="0" w:color="auto"/>
                                <w:bottom w:val="none" w:sz="0" w:space="0" w:color="auto"/>
                                <w:right w:val="none" w:sz="0" w:space="0" w:color="auto"/>
                              </w:divBdr>
                            </w:div>
                            <w:div w:id="1088843426">
                              <w:marLeft w:val="0"/>
                              <w:marRight w:val="0"/>
                              <w:marTop w:val="0"/>
                              <w:marBottom w:val="0"/>
                              <w:divBdr>
                                <w:top w:val="none" w:sz="0" w:space="0" w:color="auto"/>
                                <w:left w:val="none" w:sz="0" w:space="0" w:color="auto"/>
                                <w:bottom w:val="none" w:sz="0" w:space="0" w:color="auto"/>
                                <w:right w:val="none" w:sz="0" w:space="0" w:color="auto"/>
                              </w:divBdr>
                            </w:div>
                            <w:div w:id="1422721572">
                              <w:marLeft w:val="0"/>
                              <w:marRight w:val="0"/>
                              <w:marTop w:val="0"/>
                              <w:marBottom w:val="0"/>
                              <w:divBdr>
                                <w:top w:val="none" w:sz="0" w:space="0" w:color="auto"/>
                                <w:left w:val="none" w:sz="0" w:space="0" w:color="auto"/>
                                <w:bottom w:val="none" w:sz="0" w:space="0" w:color="auto"/>
                                <w:right w:val="none" w:sz="0" w:space="0" w:color="auto"/>
                              </w:divBdr>
                            </w:div>
                            <w:div w:id="741023979">
                              <w:marLeft w:val="0"/>
                              <w:marRight w:val="0"/>
                              <w:marTop w:val="0"/>
                              <w:marBottom w:val="0"/>
                              <w:divBdr>
                                <w:top w:val="none" w:sz="0" w:space="0" w:color="auto"/>
                                <w:left w:val="none" w:sz="0" w:space="0" w:color="auto"/>
                                <w:bottom w:val="none" w:sz="0" w:space="0" w:color="auto"/>
                                <w:right w:val="none" w:sz="0" w:space="0" w:color="auto"/>
                              </w:divBdr>
                            </w:div>
                            <w:div w:id="1825854398">
                              <w:marLeft w:val="0"/>
                              <w:marRight w:val="0"/>
                              <w:marTop w:val="0"/>
                              <w:marBottom w:val="0"/>
                              <w:divBdr>
                                <w:top w:val="none" w:sz="0" w:space="0" w:color="auto"/>
                                <w:left w:val="none" w:sz="0" w:space="0" w:color="auto"/>
                                <w:bottom w:val="none" w:sz="0" w:space="0" w:color="auto"/>
                                <w:right w:val="none" w:sz="0" w:space="0" w:color="auto"/>
                              </w:divBdr>
                            </w:div>
                            <w:div w:id="819424480">
                              <w:marLeft w:val="0"/>
                              <w:marRight w:val="0"/>
                              <w:marTop w:val="0"/>
                              <w:marBottom w:val="0"/>
                              <w:divBdr>
                                <w:top w:val="none" w:sz="0" w:space="0" w:color="auto"/>
                                <w:left w:val="none" w:sz="0" w:space="0" w:color="auto"/>
                                <w:bottom w:val="none" w:sz="0" w:space="0" w:color="auto"/>
                                <w:right w:val="none" w:sz="0" w:space="0" w:color="auto"/>
                              </w:divBdr>
                            </w:div>
                            <w:div w:id="1973053980">
                              <w:marLeft w:val="0"/>
                              <w:marRight w:val="0"/>
                              <w:marTop w:val="0"/>
                              <w:marBottom w:val="0"/>
                              <w:divBdr>
                                <w:top w:val="none" w:sz="0" w:space="0" w:color="auto"/>
                                <w:left w:val="none" w:sz="0" w:space="0" w:color="auto"/>
                                <w:bottom w:val="none" w:sz="0" w:space="0" w:color="auto"/>
                                <w:right w:val="none" w:sz="0" w:space="0" w:color="auto"/>
                              </w:divBdr>
                            </w:div>
                            <w:div w:id="1629236671">
                              <w:marLeft w:val="0"/>
                              <w:marRight w:val="0"/>
                              <w:marTop w:val="0"/>
                              <w:marBottom w:val="0"/>
                              <w:divBdr>
                                <w:top w:val="none" w:sz="0" w:space="0" w:color="auto"/>
                                <w:left w:val="none" w:sz="0" w:space="0" w:color="auto"/>
                                <w:bottom w:val="none" w:sz="0" w:space="0" w:color="auto"/>
                                <w:right w:val="none" w:sz="0" w:space="0" w:color="auto"/>
                              </w:divBdr>
                            </w:div>
                          </w:divsChild>
                        </w:div>
                        <w:div w:id="238369333">
                          <w:marLeft w:val="0"/>
                          <w:marRight w:val="0"/>
                          <w:marTop w:val="0"/>
                          <w:marBottom w:val="0"/>
                          <w:divBdr>
                            <w:top w:val="none" w:sz="0" w:space="0" w:color="auto"/>
                            <w:left w:val="none" w:sz="0" w:space="0" w:color="auto"/>
                            <w:bottom w:val="none" w:sz="0" w:space="0" w:color="auto"/>
                            <w:right w:val="none" w:sz="0" w:space="0" w:color="auto"/>
                          </w:divBdr>
                          <w:divsChild>
                            <w:div w:id="1661035408">
                              <w:marLeft w:val="0"/>
                              <w:marRight w:val="0"/>
                              <w:marTop w:val="0"/>
                              <w:marBottom w:val="0"/>
                              <w:divBdr>
                                <w:top w:val="none" w:sz="0" w:space="0" w:color="auto"/>
                                <w:left w:val="none" w:sz="0" w:space="0" w:color="auto"/>
                                <w:bottom w:val="none" w:sz="0" w:space="0" w:color="auto"/>
                                <w:right w:val="none" w:sz="0" w:space="0" w:color="auto"/>
                              </w:divBdr>
                            </w:div>
                            <w:div w:id="937520795">
                              <w:marLeft w:val="0"/>
                              <w:marRight w:val="0"/>
                              <w:marTop w:val="0"/>
                              <w:marBottom w:val="0"/>
                              <w:divBdr>
                                <w:top w:val="none" w:sz="0" w:space="0" w:color="auto"/>
                                <w:left w:val="none" w:sz="0" w:space="0" w:color="auto"/>
                                <w:bottom w:val="none" w:sz="0" w:space="0" w:color="auto"/>
                                <w:right w:val="none" w:sz="0" w:space="0" w:color="auto"/>
                              </w:divBdr>
                            </w:div>
                            <w:div w:id="1440221124">
                              <w:marLeft w:val="0"/>
                              <w:marRight w:val="0"/>
                              <w:marTop w:val="0"/>
                              <w:marBottom w:val="0"/>
                              <w:divBdr>
                                <w:top w:val="none" w:sz="0" w:space="0" w:color="auto"/>
                                <w:left w:val="none" w:sz="0" w:space="0" w:color="auto"/>
                                <w:bottom w:val="none" w:sz="0" w:space="0" w:color="auto"/>
                                <w:right w:val="none" w:sz="0" w:space="0" w:color="auto"/>
                              </w:divBdr>
                            </w:div>
                            <w:div w:id="1393505525">
                              <w:marLeft w:val="0"/>
                              <w:marRight w:val="0"/>
                              <w:marTop w:val="0"/>
                              <w:marBottom w:val="0"/>
                              <w:divBdr>
                                <w:top w:val="none" w:sz="0" w:space="0" w:color="auto"/>
                                <w:left w:val="none" w:sz="0" w:space="0" w:color="auto"/>
                                <w:bottom w:val="none" w:sz="0" w:space="0" w:color="auto"/>
                                <w:right w:val="none" w:sz="0" w:space="0" w:color="auto"/>
                              </w:divBdr>
                            </w:div>
                            <w:div w:id="694773793">
                              <w:marLeft w:val="0"/>
                              <w:marRight w:val="0"/>
                              <w:marTop w:val="0"/>
                              <w:marBottom w:val="0"/>
                              <w:divBdr>
                                <w:top w:val="none" w:sz="0" w:space="0" w:color="auto"/>
                                <w:left w:val="none" w:sz="0" w:space="0" w:color="auto"/>
                                <w:bottom w:val="none" w:sz="0" w:space="0" w:color="auto"/>
                                <w:right w:val="none" w:sz="0" w:space="0" w:color="auto"/>
                              </w:divBdr>
                            </w:div>
                            <w:div w:id="2037150044">
                              <w:marLeft w:val="0"/>
                              <w:marRight w:val="0"/>
                              <w:marTop w:val="0"/>
                              <w:marBottom w:val="0"/>
                              <w:divBdr>
                                <w:top w:val="none" w:sz="0" w:space="0" w:color="auto"/>
                                <w:left w:val="none" w:sz="0" w:space="0" w:color="auto"/>
                                <w:bottom w:val="none" w:sz="0" w:space="0" w:color="auto"/>
                                <w:right w:val="none" w:sz="0" w:space="0" w:color="auto"/>
                              </w:divBdr>
                            </w:div>
                            <w:div w:id="127548724">
                              <w:marLeft w:val="0"/>
                              <w:marRight w:val="0"/>
                              <w:marTop w:val="0"/>
                              <w:marBottom w:val="0"/>
                              <w:divBdr>
                                <w:top w:val="none" w:sz="0" w:space="0" w:color="auto"/>
                                <w:left w:val="none" w:sz="0" w:space="0" w:color="auto"/>
                                <w:bottom w:val="none" w:sz="0" w:space="0" w:color="auto"/>
                                <w:right w:val="none" w:sz="0" w:space="0" w:color="auto"/>
                              </w:divBdr>
                            </w:div>
                            <w:div w:id="459735640">
                              <w:marLeft w:val="0"/>
                              <w:marRight w:val="0"/>
                              <w:marTop w:val="0"/>
                              <w:marBottom w:val="0"/>
                              <w:divBdr>
                                <w:top w:val="none" w:sz="0" w:space="0" w:color="auto"/>
                                <w:left w:val="none" w:sz="0" w:space="0" w:color="auto"/>
                                <w:bottom w:val="none" w:sz="0" w:space="0" w:color="auto"/>
                                <w:right w:val="none" w:sz="0" w:space="0" w:color="auto"/>
                              </w:divBdr>
                            </w:div>
                            <w:div w:id="1941864325">
                              <w:marLeft w:val="0"/>
                              <w:marRight w:val="0"/>
                              <w:marTop w:val="0"/>
                              <w:marBottom w:val="0"/>
                              <w:divBdr>
                                <w:top w:val="none" w:sz="0" w:space="0" w:color="auto"/>
                                <w:left w:val="none" w:sz="0" w:space="0" w:color="auto"/>
                                <w:bottom w:val="none" w:sz="0" w:space="0" w:color="auto"/>
                                <w:right w:val="none" w:sz="0" w:space="0" w:color="auto"/>
                              </w:divBdr>
                            </w:div>
                            <w:div w:id="1098527705">
                              <w:marLeft w:val="0"/>
                              <w:marRight w:val="0"/>
                              <w:marTop w:val="0"/>
                              <w:marBottom w:val="0"/>
                              <w:divBdr>
                                <w:top w:val="none" w:sz="0" w:space="0" w:color="auto"/>
                                <w:left w:val="none" w:sz="0" w:space="0" w:color="auto"/>
                                <w:bottom w:val="none" w:sz="0" w:space="0" w:color="auto"/>
                                <w:right w:val="none" w:sz="0" w:space="0" w:color="auto"/>
                              </w:divBdr>
                            </w:div>
                            <w:div w:id="503327514">
                              <w:marLeft w:val="0"/>
                              <w:marRight w:val="0"/>
                              <w:marTop w:val="0"/>
                              <w:marBottom w:val="0"/>
                              <w:divBdr>
                                <w:top w:val="none" w:sz="0" w:space="0" w:color="auto"/>
                                <w:left w:val="none" w:sz="0" w:space="0" w:color="auto"/>
                                <w:bottom w:val="none" w:sz="0" w:space="0" w:color="auto"/>
                                <w:right w:val="none" w:sz="0" w:space="0" w:color="auto"/>
                              </w:divBdr>
                            </w:div>
                            <w:div w:id="212691073">
                              <w:marLeft w:val="0"/>
                              <w:marRight w:val="0"/>
                              <w:marTop w:val="0"/>
                              <w:marBottom w:val="0"/>
                              <w:divBdr>
                                <w:top w:val="none" w:sz="0" w:space="0" w:color="auto"/>
                                <w:left w:val="none" w:sz="0" w:space="0" w:color="auto"/>
                                <w:bottom w:val="none" w:sz="0" w:space="0" w:color="auto"/>
                                <w:right w:val="none" w:sz="0" w:space="0" w:color="auto"/>
                              </w:divBdr>
                            </w:div>
                            <w:div w:id="858349323">
                              <w:marLeft w:val="0"/>
                              <w:marRight w:val="0"/>
                              <w:marTop w:val="0"/>
                              <w:marBottom w:val="0"/>
                              <w:divBdr>
                                <w:top w:val="none" w:sz="0" w:space="0" w:color="auto"/>
                                <w:left w:val="none" w:sz="0" w:space="0" w:color="auto"/>
                                <w:bottom w:val="none" w:sz="0" w:space="0" w:color="auto"/>
                                <w:right w:val="none" w:sz="0" w:space="0" w:color="auto"/>
                              </w:divBdr>
                            </w:div>
                            <w:div w:id="1424758579">
                              <w:marLeft w:val="0"/>
                              <w:marRight w:val="0"/>
                              <w:marTop w:val="0"/>
                              <w:marBottom w:val="0"/>
                              <w:divBdr>
                                <w:top w:val="none" w:sz="0" w:space="0" w:color="auto"/>
                                <w:left w:val="none" w:sz="0" w:space="0" w:color="auto"/>
                                <w:bottom w:val="none" w:sz="0" w:space="0" w:color="auto"/>
                                <w:right w:val="none" w:sz="0" w:space="0" w:color="auto"/>
                              </w:divBdr>
                            </w:div>
                            <w:div w:id="2110471079">
                              <w:marLeft w:val="0"/>
                              <w:marRight w:val="0"/>
                              <w:marTop w:val="0"/>
                              <w:marBottom w:val="0"/>
                              <w:divBdr>
                                <w:top w:val="none" w:sz="0" w:space="0" w:color="auto"/>
                                <w:left w:val="none" w:sz="0" w:space="0" w:color="auto"/>
                                <w:bottom w:val="none" w:sz="0" w:space="0" w:color="auto"/>
                                <w:right w:val="none" w:sz="0" w:space="0" w:color="auto"/>
                              </w:divBdr>
                            </w:div>
                          </w:divsChild>
                        </w:div>
                        <w:div w:id="2092584877">
                          <w:marLeft w:val="0"/>
                          <w:marRight w:val="0"/>
                          <w:marTop w:val="0"/>
                          <w:marBottom w:val="0"/>
                          <w:divBdr>
                            <w:top w:val="none" w:sz="0" w:space="0" w:color="auto"/>
                            <w:left w:val="none" w:sz="0" w:space="0" w:color="auto"/>
                            <w:bottom w:val="none" w:sz="0" w:space="0" w:color="auto"/>
                            <w:right w:val="none" w:sz="0" w:space="0" w:color="auto"/>
                          </w:divBdr>
                          <w:divsChild>
                            <w:div w:id="413476109">
                              <w:marLeft w:val="0"/>
                              <w:marRight w:val="0"/>
                              <w:marTop w:val="0"/>
                              <w:marBottom w:val="0"/>
                              <w:divBdr>
                                <w:top w:val="none" w:sz="0" w:space="0" w:color="auto"/>
                                <w:left w:val="none" w:sz="0" w:space="0" w:color="auto"/>
                                <w:bottom w:val="none" w:sz="0" w:space="0" w:color="auto"/>
                                <w:right w:val="none" w:sz="0" w:space="0" w:color="auto"/>
                              </w:divBdr>
                            </w:div>
                            <w:div w:id="1964460198">
                              <w:marLeft w:val="0"/>
                              <w:marRight w:val="0"/>
                              <w:marTop w:val="0"/>
                              <w:marBottom w:val="0"/>
                              <w:divBdr>
                                <w:top w:val="none" w:sz="0" w:space="0" w:color="auto"/>
                                <w:left w:val="none" w:sz="0" w:space="0" w:color="auto"/>
                                <w:bottom w:val="none" w:sz="0" w:space="0" w:color="auto"/>
                                <w:right w:val="none" w:sz="0" w:space="0" w:color="auto"/>
                              </w:divBdr>
                            </w:div>
                            <w:div w:id="422536587">
                              <w:marLeft w:val="0"/>
                              <w:marRight w:val="0"/>
                              <w:marTop w:val="0"/>
                              <w:marBottom w:val="0"/>
                              <w:divBdr>
                                <w:top w:val="none" w:sz="0" w:space="0" w:color="auto"/>
                                <w:left w:val="none" w:sz="0" w:space="0" w:color="auto"/>
                                <w:bottom w:val="none" w:sz="0" w:space="0" w:color="auto"/>
                                <w:right w:val="none" w:sz="0" w:space="0" w:color="auto"/>
                              </w:divBdr>
                            </w:div>
                            <w:div w:id="994067934">
                              <w:marLeft w:val="0"/>
                              <w:marRight w:val="0"/>
                              <w:marTop w:val="0"/>
                              <w:marBottom w:val="0"/>
                              <w:divBdr>
                                <w:top w:val="none" w:sz="0" w:space="0" w:color="auto"/>
                                <w:left w:val="none" w:sz="0" w:space="0" w:color="auto"/>
                                <w:bottom w:val="none" w:sz="0" w:space="0" w:color="auto"/>
                                <w:right w:val="none" w:sz="0" w:space="0" w:color="auto"/>
                              </w:divBdr>
                            </w:div>
                          </w:divsChild>
                        </w:div>
                        <w:div w:id="1797022732">
                          <w:marLeft w:val="0"/>
                          <w:marRight w:val="0"/>
                          <w:marTop w:val="0"/>
                          <w:marBottom w:val="0"/>
                          <w:divBdr>
                            <w:top w:val="none" w:sz="0" w:space="0" w:color="auto"/>
                            <w:left w:val="none" w:sz="0" w:space="0" w:color="auto"/>
                            <w:bottom w:val="none" w:sz="0" w:space="0" w:color="auto"/>
                            <w:right w:val="none" w:sz="0" w:space="0" w:color="auto"/>
                          </w:divBdr>
                          <w:divsChild>
                            <w:div w:id="979456266">
                              <w:marLeft w:val="0"/>
                              <w:marRight w:val="0"/>
                              <w:marTop w:val="0"/>
                              <w:marBottom w:val="0"/>
                              <w:divBdr>
                                <w:top w:val="none" w:sz="0" w:space="0" w:color="auto"/>
                                <w:left w:val="none" w:sz="0" w:space="0" w:color="auto"/>
                                <w:bottom w:val="none" w:sz="0" w:space="0" w:color="auto"/>
                                <w:right w:val="none" w:sz="0" w:space="0" w:color="auto"/>
                              </w:divBdr>
                            </w:div>
                            <w:div w:id="429274799">
                              <w:marLeft w:val="0"/>
                              <w:marRight w:val="0"/>
                              <w:marTop w:val="0"/>
                              <w:marBottom w:val="0"/>
                              <w:divBdr>
                                <w:top w:val="none" w:sz="0" w:space="0" w:color="auto"/>
                                <w:left w:val="none" w:sz="0" w:space="0" w:color="auto"/>
                                <w:bottom w:val="none" w:sz="0" w:space="0" w:color="auto"/>
                                <w:right w:val="none" w:sz="0" w:space="0" w:color="auto"/>
                              </w:divBdr>
                            </w:div>
                            <w:div w:id="1133407423">
                              <w:marLeft w:val="0"/>
                              <w:marRight w:val="0"/>
                              <w:marTop w:val="0"/>
                              <w:marBottom w:val="0"/>
                              <w:divBdr>
                                <w:top w:val="none" w:sz="0" w:space="0" w:color="auto"/>
                                <w:left w:val="none" w:sz="0" w:space="0" w:color="auto"/>
                                <w:bottom w:val="none" w:sz="0" w:space="0" w:color="auto"/>
                                <w:right w:val="none" w:sz="0" w:space="0" w:color="auto"/>
                              </w:divBdr>
                            </w:div>
                            <w:div w:id="190267496">
                              <w:marLeft w:val="0"/>
                              <w:marRight w:val="0"/>
                              <w:marTop w:val="0"/>
                              <w:marBottom w:val="0"/>
                              <w:divBdr>
                                <w:top w:val="none" w:sz="0" w:space="0" w:color="auto"/>
                                <w:left w:val="none" w:sz="0" w:space="0" w:color="auto"/>
                                <w:bottom w:val="none" w:sz="0" w:space="0" w:color="auto"/>
                                <w:right w:val="none" w:sz="0" w:space="0" w:color="auto"/>
                              </w:divBdr>
                            </w:div>
                            <w:div w:id="1881630963">
                              <w:marLeft w:val="0"/>
                              <w:marRight w:val="0"/>
                              <w:marTop w:val="0"/>
                              <w:marBottom w:val="0"/>
                              <w:divBdr>
                                <w:top w:val="none" w:sz="0" w:space="0" w:color="auto"/>
                                <w:left w:val="none" w:sz="0" w:space="0" w:color="auto"/>
                                <w:bottom w:val="none" w:sz="0" w:space="0" w:color="auto"/>
                                <w:right w:val="none" w:sz="0" w:space="0" w:color="auto"/>
                              </w:divBdr>
                            </w:div>
                            <w:div w:id="1248271490">
                              <w:marLeft w:val="0"/>
                              <w:marRight w:val="0"/>
                              <w:marTop w:val="0"/>
                              <w:marBottom w:val="0"/>
                              <w:divBdr>
                                <w:top w:val="none" w:sz="0" w:space="0" w:color="auto"/>
                                <w:left w:val="none" w:sz="0" w:space="0" w:color="auto"/>
                                <w:bottom w:val="none" w:sz="0" w:space="0" w:color="auto"/>
                                <w:right w:val="none" w:sz="0" w:space="0" w:color="auto"/>
                              </w:divBdr>
                            </w:div>
                            <w:div w:id="1093934989">
                              <w:marLeft w:val="0"/>
                              <w:marRight w:val="0"/>
                              <w:marTop w:val="0"/>
                              <w:marBottom w:val="0"/>
                              <w:divBdr>
                                <w:top w:val="none" w:sz="0" w:space="0" w:color="auto"/>
                                <w:left w:val="none" w:sz="0" w:space="0" w:color="auto"/>
                                <w:bottom w:val="none" w:sz="0" w:space="0" w:color="auto"/>
                                <w:right w:val="none" w:sz="0" w:space="0" w:color="auto"/>
                              </w:divBdr>
                            </w:div>
                          </w:divsChild>
                        </w:div>
                        <w:div w:id="1197427225">
                          <w:marLeft w:val="0"/>
                          <w:marRight w:val="0"/>
                          <w:marTop w:val="0"/>
                          <w:marBottom w:val="0"/>
                          <w:divBdr>
                            <w:top w:val="none" w:sz="0" w:space="0" w:color="auto"/>
                            <w:left w:val="none" w:sz="0" w:space="0" w:color="auto"/>
                            <w:bottom w:val="none" w:sz="0" w:space="0" w:color="auto"/>
                            <w:right w:val="none" w:sz="0" w:space="0" w:color="auto"/>
                          </w:divBdr>
                          <w:divsChild>
                            <w:div w:id="957495312">
                              <w:marLeft w:val="0"/>
                              <w:marRight w:val="0"/>
                              <w:marTop w:val="0"/>
                              <w:marBottom w:val="0"/>
                              <w:divBdr>
                                <w:top w:val="none" w:sz="0" w:space="0" w:color="auto"/>
                                <w:left w:val="none" w:sz="0" w:space="0" w:color="auto"/>
                                <w:bottom w:val="none" w:sz="0" w:space="0" w:color="auto"/>
                                <w:right w:val="none" w:sz="0" w:space="0" w:color="auto"/>
                              </w:divBdr>
                            </w:div>
                            <w:div w:id="1541237988">
                              <w:marLeft w:val="0"/>
                              <w:marRight w:val="0"/>
                              <w:marTop w:val="0"/>
                              <w:marBottom w:val="0"/>
                              <w:divBdr>
                                <w:top w:val="none" w:sz="0" w:space="0" w:color="auto"/>
                                <w:left w:val="none" w:sz="0" w:space="0" w:color="auto"/>
                                <w:bottom w:val="none" w:sz="0" w:space="0" w:color="auto"/>
                                <w:right w:val="none" w:sz="0" w:space="0" w:color="auto"/>
                              </w:divBdr>
                            </w:div>
                            <w:div w:id="130488645">
                              <w:marLeft w:val="0"/>
                              <w:marRight w:val="0"/>
                              <w:marTop w:val="0"/>
                              <w:marBottom w:val="0"/>
                              <w:divBdr>
                                <w:top w:val="none" w:sz="0" w:space="0" w:color="auto"/>
                                <w:left w:val="none" w:sz="0" w:space="0" w:color="auto"/>
                                <w:bottom w:val="none" w:sz="0" w:space="0" w:color="auto"/>
                                <w:right w:val="none" w:sz="0" w:space="0" w:color="auto"/>
                              </w:divBdr>
                            </w:div>
                            <w:div w:id="1867134378">
                              <w:marLeft w:val="0"/>
                              <w:marRight w:val="0"/>
                              <w:marTop w:val="0"/>
                              <w:marBottom w:val="0"/>
                              <w:divBdr>
                                <w:top w:val="none" w:sz="0" w:space="0" w:color="auto"/>
                                <w:left w:val="none" w:sz="0" w:space="0" w:color="auto"/>
                                <w:bottom w:val="none" w:sz="0" w:space="0" w:color="auto"/>
                                <w:right w:val="none" w:sz="0" w:space="0" w:color="auto"/>
                              </w:divBdr>
                            </w:div>
                            <w:div w:id="1193035652">
                              <w:marLeft w:val="0"/>
                              <w:marRight w:val="0"/>
                              <w:marTop w:val="0"/>
                              <w:marBottom w:val="0"/>
                              <w:divBdr>
                                <w:top w:val="none" w:sz="0" w:space="0" w:color="auto"/>
                                <w:left w:val="none" w:sz="0" w:space="0" w:color="auto"/>
                                <w:bottom w:val="none" w:sz="0" w:space="0" w:color="auto"/>
                                <w:right w:val="none" w:sz="0" w:space="0" w:color="auto"/>
                              </w:divBdr>
                            </w:div>
                            <w:div w:id="319382518">
                              <w:marLeft w:val="0"/>
                              <w:marRight w:val="0"/>
                              <w:marTop w:val="0"/>
                              <w:marBottom w:val="0"/>
                              <w:divBdr>
                                <w:top w:val="none" w:sz="0" w:space="0" w:color="auto"/>
                                <w:left w:val="none" w:sz="0" w:space="0" w:color="auto"/>
                                <w:bottom w:val="none" w:sz="0" w:space="0" w:color="auto"/>
                                <w:right w:val="none" w:sz="0" w:space="0" w:color="auto"/>
                              </w:divBdr>
                            </w:div>
                            <w:div w:id="1052654906">
                              <w:marLeft w:val="0"/>
                              <w:marRight w:val="0"/>
                              <w:marTop w:val="0"/>
                              <w:marBottom w:val="0"/>
                              <w:divBdr>
                                <w:top w:val="none" w:sz="0" w:space="0" w:color="auto"/>
                                <w:left w:val="none" w:sz="0" w:space="0" w:color="auto"/>
                                <w:bottom w:val="none" w:sz="0" w:space="0" w:color="auto"/>
                                <w:right w:val="none" w:sz="0" w:space="0" w:color="auto"/>
                              </w:divBdr>
                            </w:div>
                            <w:div w:id="1905406211">
                              <w:marLeft w:val="0"/>
                              <w:marRight w:val="0"/>
                              <w:marTop w:val="0"/>
                              <w:marBottom w:val="0"/>
                              <w:divBdr>
                                <w:top w:val="none" w:sz="0" w:space="0" w:color="auto"/>
                                <w:left w:val="none" w:sz="0" w:space="0" w:color="auto"/>
                                <w:bottom w:val="none" w:sz="0" w:space="0" w:color="auto"/>
                                <w:right w:val="none" w:sz="0" w:space="0" w:color="auto"/>
                              </w:divBdr>
                            </w:div>
                            <w:div w:id="1446314113">
                              <w:marLeft w:val="0"/>
                              <w:marRight w:val="0"/>
                              <w:marTop w:val="0"/>
                              <w:marBottom w:val="0"/>
                              <w:divBdr>
                                <w:top w:val="none" w:sz="0" w:space="0" w:color="auto"/>
                                <w:left w:val="none" w:sz="0" w:space="0" w:color="auto"/>
                                <w:bottom w:val="none" w:sz="0" w:space="0" w:color="auto"/>
                                <w:right w:val="none" w:sz="0" w:space="0" w:color="auto"/>
                              </w:divBdr>
                            </w:div>
                            <w:div w:id="1785223970">
                              <w:marLeft w:val="0"/>
                              <w:marRight w:val="0"/>
                              <w:marTop w:val="0"/>
                              <w:marBottom w:val="0"/>
                              <w:divBdr>
                                <w:top w:val="none" w:sz="0" w:space="0" w:color="auto"/>
                                <w:left w:val="none" w:sz="0" w:space="0" w:color="auto"/>
                                <w:bottom w:val="none" w:sz="0" w:space="0" w:color="auto"/>
                                <w:right w:val="none" w:sz="0" w:space="0" w:color="auto"/>
                              </w:divBdr>
                            </w:div>
                            <w:div w:id="1962226641">
                              <w:marLeft w:val="0"/>
                              <w:marRight w:val="0"/>
                              <w:marTop w:val="0"/>
                              <w:marBottom w:val="0"/>
                              <w:divBdr>
                                <w:top w:val="none" w:sz="0" w:space="0" w:color="auto"/>
                                <w:left w:val="none" w:sz="0" w:space="0" w:color="auto"/>
                                <w:bottom w:val="none" w:sz="0" w:space="0" w:color="auto"/>
                                <w:right w:val="none" w:sz="0" w:space="0" w:color="auto"/>
                              </w:divBdr>
                            </w:div>
                            <w:div w:id="1877935409">
                              <w:marLeft w:val="0"/>
                              <w:marRight w:val="0"/>
                              <w:marTop w:val="0"/>
                              <w:marBottom w:val="0"/>
                              <w:divBdr>
                                <w:top w:val="none" w:sz="0" w:space="0" w:color="auto"/>
                                <w:left w:val="none" w:sz="0" w:space="0" w:color="auto"/>
                                <w:bottom w:val="none" w:sz="0" w:space="0" w:color="auto"/>
                                <w:right w:val="none" w:sz="0" w:space="0" w:color="auto"/>
                              </w:divBdr>
                            </w:div>
                            <w:div w:id="562058643">
                              <w:marLeft w:val="0"/>
                              <w:marRight w:val="0"/>
                              <w:marTop w:val="0"/>
                              <w:marBottom w:val="0"/>
                              <w:divBdr>
                                <w:top w:val="none" w:sz="0" w:space="0" w:color="auto"/>
                                <w:left w:val="none" w:sz="0" w:space="0" w:color="auto"/>
                                <w:bottom w:val="none" w:sz="0" w:space="0" w:color="auto"/>
                                <w:right w:val="none" w:sz="0" w:space="0" w:color="auto"/>
                              </w:divBdr>
                            </w:div>
                            <w:div w:id="276566596">
                              <w:marLeft w:val="0"/>
                              <w:marRight w:val="0"/>
                              <w:marTop w:val="0"/>
                              <w:marBottom w:val="0"/>
                              <w:divBdr>
                                <w:top w:val="none" w:sz="0" w:space="0" w:color="auto"/>
                                <w:left w:val="none" w:sz="0" w:space="0" w:color="auto"/>
                                <w:bottom w:val="none" w:sz="0" w:space="0" w:color="auto"/>
                                <w:right w:val="none" w:sz="0" w:space="0" w:color="auto"/>
                              </w:divBdr>
                            </w:div>
                          </w:divsChild>
                        </w:div>
                        <w:div w:id="1065373227">
                          <w:marLeft w:val="0"/>
                          <w:marRight w:val="0"/>
                          <w:marTop w:val="0"/>
                          <w:marBottom w:val="0"/>
                          <w:divBdr>
                            <w:top w:val="none" w:sz="0" w:space="0" w:color="auto"/>
                            <w:left w:val="none" w:sz="0" w:space="0" w:color="auto"/>
                            <w:bottom w:val="none" w:sz="0" w:space="0" w:color="auto"/>
                            <w:right w:val="none" w:sz="0" w:space="0" w:color="auto"/>
                          </w:divBdr>
                          <w:divsChild>
                            <w:div w:id="1297684240">
                              <w:marLeft w:val="0"/>
                              <w:marRight w:val="0"/>
                              <w:marTop w:val="0"/>
                              <w:marBottom w:val="0"/>
                              <w:divBdr>
                                <w:top w:val="none" w:sz="0" w:space="0" w:color="auto"/>
                                <w:left w:val="none" w:sz="0" w:space="0" w:color="auto"/>
                                <w:bottom w:val="none" w:sz="0" w:space="0" w:color="auto"/>
                                <w:right w:val="none" w:sz="0" w:space="0" w:color="auto"/>
                              </w:divBdr>
                            </w:div>
                            <w:div w:id="1464274110">
                              <w:marLeft w:val="0"/>
                              <w:marRight w:val="0"/>
                              <w:marTop w:val="0"/>
                              <w:marBottom w:val="0"/>
                              <w:divBdr>
                                <w:top w:val="none" w:sz="0" w:space="0" w:color="auto"/>
                                <w:left w:val="none" w:sz="0" w:space="0" w:color="auto"/>
                                <w:bottom w:val="none" w:sz="0" w:space="0" w:color="auto"/>
                                <w:right w:val="none" w:sz="0" w:space="0" w:color="auto"/>
                              </w:divBdr>
                            </w:div>
                            <w:div w:id="1945571137">
                              <w:marLeft w:val="0"/>
                              <w:marRight w:val="0"/>
                              <w:marTop w:val="0"/>
                              <w:marBottom w:val="0"/>
                              <w:divBdr>
                                <w:top w:val="none" w:sz="0" w:space="0" w:color="auto"/>
                                <w:left w:val="none" w:sz="0" w:space="0" w:color="auto"/>
                                <w:bottom w:val="none" w:sz="0" w:space="0" w:color="auto"/>
                                <w:right w:val="none" w:sz="0" w:space="0" w:color="auto"/>
                              </w:divBdr>
                            </w:div>
                            <w:div w:id="1262949724">
                              <w:marLeft w:val="0"/>
                              <w:marRight w:val="0"/>
                              <w:marTop w:val="0"/>
                              <w:marBottom w:val="0"/>
                              <w:divBdr>
                                <w:top w:val="none" w:sz="0" w:space="0" w:color="auto"/>
                                <w:left w:val="none" w:sz="0" w:space="0" w:color="auto"/>
                                <w:bottom w:val="none" w:sz="0" w:space="0" w:color="auto"/>
                                <w:right w:val="none" w:sz="0" w:space="0" w:color="auto"/>
                              </w:divBdr>
                            </w:div>
                            <w:div w:id="1871381763">
                              <w:marLeft w:val="0"/>
                              <w:marRight w:val="0"/>
                              <w:marTop w:val="0"/>
                              <w:marBottom w:val="0"/>
                              <w:divBdr>
                                <w:top w:val="none" w:sz="0" w:space="0" w:color="auto"/>
                                <w:left w:val="none" w:sz="0" w:space="0" w:color="auto"/>
                                <w:bottom w:val="none" w:sz="0" w:space="0" w:color="auto"/>
                                <w:right w:val="none" w:sz="0" w:space="0" w:color="auto"/>
                              </w:divBdr>
                            </w:div>
                            <w:div w:id="59839203">
                              <w:marLeft w:val="0"/>
                              <w:marRight w:val="0"/>
                              <w:marTop w:val="0"/>
                              <w:marBottom w:val="0"/>
                              <w:divBdr>
                                <w:top w:val="none" w:sz="0" w:space="0" w:color="auto"/>
                                <w:left w:val="none" w:sz="0" w:space="0" w:color="auto"/>
                                <w:bottom w:val="none" w:sz="0" w:space="0" w:color="auto"/>
                                <w:right w:val="none" w:sz="0" w:space="0" w:color="auto"/>
                              </w:divBdr>
                            </w:div>
                            <w:div w:id="488834590">
                              <w:marLeft w:val="0"/>
                              <w:marRight w:val="0"/>
                              <w:marTop w:val="0"/>
                              <w:marBottom w:val="0"/>
                              <w:divBdr>
                                <w:top w:val="none" w:sz="0" w:space="0" w:color="auto"/>
                                <w:left w:val="none" w:sz="0" w:space="0" w:color="auto"/>
                                <w:bottom w:val="none" w:sz="0" w:space="0" w:color="auto"/>
                                <w:right w:val="none" w:sz="0" w:space="0" w:color="auto"/>
                              </w:divBdr>
                            </w:div>
                            <w:div w:id="773675573">
                              <w:marLeft w:val="0"/>
                              <w:marRight w:val="0"/>
                              <w:marTop w:val="0"/>
                              <w:marBottom w:val="0"/>
                              <w:divBdr>
                                <w:top w:val="none" w:sz="0" w:space="0" w:color="auto"/>
                                <w:left w:val="none" w:sz="0" w:space="0" w:color="auto"/>
                                <w:bottom w:val="none" w:sz="0" w:space="0" w:color="auto"/>
                                <w:right w:val="none" w:sz="0" w:space="0" w:color="auto"/>
                              </w:divBdr>
                            </w:div>
                            <w:div w:id="1388526040">
                              <w:marLeft w:val="0"/>
                              <w:marRight w:val="0"/>
                              <w:marTop w:val="0"/>
                              <w:marBottom w:val="0"/>
                              <w:divBdr>
                                <w:top w:val="none" w:sz="0" w:space="0" w:color="auto"/>
                                <w:left w:val="none" w:sz="0" w:space="0" w:color="auto"/>
                                <w:bottom w:val="none" w:sz="0" w:space="0" w:color="auto"/>
                                <w:right w:val="none" w:sz="0" w:space="0" w:color="auto"/>
                              </w:divBdr>
                            </w:div>
                          </w:divsChild>
                        </w:div>
                        <w:div w:id="1968781730">
                          <w:marLeft w:val="0"/>
                          <w:marRight w:val="0"/>
                          <w:marTop w:val="0"/>
                          <w:marBottom w:val="0"/>
                          <w:divBdr>
                            <w:top w:val="none" w:sz="0" w:space="0" w:color="auto"/>
                            <w:left w:val="none" w:sz="0" w:space="0" w:color="auto"/>
                            <w:bottom w:val="none" w:sz="0" w:space="0" w:color="auto"/>
                            <w:right w:val="none" w:sz="0" w:space="0" w:color="auto"/>
                          </w:divBdr>
                          <w:divsChild>
                            <w:div w:id="1702826090">
                              <w:marLeft w:val="0"/>
                              <w:marRight w:val="0"/>
                              <w:marTop w:val="0"/>
                              <w:marBottom w:val="0"/>
                              <w:divBdr>
                                <w:top w:val="none" w:sz="0" w:space="0" w:color="auto"/>
                                <w:left w:val="none" w:sz="0" w:space="0" w:color="auto"/>
                                <w:bottom w:val="none" w:sz="0" w:space="0" w:color="auto"/>
                                <w:right w:val="none" w:sz="0" w:space="0" w:color="auto"/>
                              </w:divBdr>
                            </w:div>
                            <w:div w:id="413019557">
                              <w:marLeft w:val="0"/>
                              <w:marRight w:val="0"/>
                              <w:marTop w:val="0"/>
                              <w:marBottom w:val="0"/>
                              <w:divBdr>
                                <w:top w:val="none" w:sz="0" w:space="0" w:color="auto"/>
                                <w:left w:val="none" w:sz="0" w:space="0" w:color="auto"/>
                                <w:bottom w:val="none" w:sz="0" w:space="0" w:color="auto"/>
                                <w:right w:val="none" w:sz="0" w:space="0" w:color="auto"/>
                              </w:divBdr>
                            </w:div>
                            <w:div w:id="575819038">
                              <w:marLeft w:val="0"/>
                              <w:marRight w:val="0"/>
                              <w:marTop w:val="0"/>
                              <w:marBottom w:val="0"/>
                              <w:divBdr>
                                <w:top w:val="none" w:sz="0" w:space="0" w:color="auto"/>
                                <w:left w:val="none" w:sz="0" w:space="0" w:color="auto"/>
                                <w:bottom w:val="none" w:sz="0" w:space="0" w:color="auto"/>
                                <w:right w:val="none" w:sz="0" w:space="0" w:color="auto"/>
                              </w:divBdr>
                            </w:div>
                            <w:div w:id="233904857">
                              <w:marLeft w:val="0"/>
                              <w:marRight w:val="0"/>
                              <w:marTop w:val="0"/>
                              <w:marBottom w:val="0"/>
                              <w:divBdr>
                                <w:top w:val="none" w:sz="0" w:space="0" w:color="auto"/>
                                <w:left w:val="none" w:sz="0" w:space="0" w:color="auto"/>
                                <w:bottom w:val="none" w:sz="0" w:space="0" w:color="auto"/>
                                <w:right w:val="none" w:sz="0" w:space="0" w:color="auto"/>
                              </w:divBdr>
                            </w:div>
                            <w:div w:id="20876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698952">
                      <w:marLeft w:val="0"/>
                      <w:marRight w:val="0"/>
                      <w:marTop w:val="0"/>
                      <w:marBottom w:val="0"/>
                      <w:divBdr>
                        <w:top w:val="none" w:sz="0" w:space="0" w:color="auto"/>
                        <w:left w:val="none" w:sz="0" w:space="0" w:color="auto"/>
                        <w:bottom w:val="none" w:sz="0" w:space="0" w:color="auto"/>
                        <w:right w:val="none" w:sz="0" w:space="0" w:color="auto"/>
                      </w:divBdr>
                      <w:divsChild>
                        <w:div w:id="252978424">
                          <w:marLeft w:val="0"/>
                          <w:marRight w:val="0"/>
                          <w:marTop w:val="0"/>
                          <w:marBottom w:val="0"/>
                          <w:divBdr>
                            <w:top w:val="none" w:sz="0" w:space="0" w:color="auto"/>
                            <w:left w:val="none" w:sz="0" w:space="0" w:color="auto"/>
                            <w:bottom w:val="none" w:sz="0" w:space="0" w:color="auto"/>
                            <w:right w:val="none" w:sz="0" w:space="0" w:color="auto"/>
                          </w:divBdr>
                        </w:div>
                        <w:div w:id="978612391">
                          <w:marLeft w:val="0"/>
                          <w:marRight w:val="0"/>
                          <w:marTop w:val="0"/>
                          <w:marBottom w:val="0"/>
                          <w:divBdr>
                            <w:top w:val="none" w:sz="0" w:space="0" w:color="auto"/>
                            <w:left w:val="none" w:sz="0" w:space="0" w:color="auto"/>
                            <w:bottom w:val="none" w:sz="0" w:space="0" w:color="auto"/>
                            <w:right w:val="none" w:sz="0" w:space="0" w:color="auto"/>
                          </w:divBdr>
                          <w:divsChild>
                            <w:div w:id="1361511552">
                              <w:marLeft w:val="0"/>
                              <w:marRight w:val="0"/>
                              <w:marTop w:val="0"/>
                              <w:marBottom w:val="0"/>
                              <w:divBdr>
                                <w:top w:val="none" w:sz="0" w:space="0" w:color="auto"/>
                                <w:left w:val="none" w:sz="0" w:space="0" w:color="auto"/>
                                <w:bottom w:val="none" w:sz="0" w:space="0" w:color="auto"/>
                                <w:right w:val="none" w:sz="0" w:space="0" w:color="auto"/>
                              </w:divBdr>
                            </w:div>
                            <w:div w:id="625241620">
                              <w:marLeft w:val="0"/>
                              <w:marRight w:val="0"/>
                              <w:marTop w:val="0"/>
                              <w:marBottom w:val="0"/>
                              <w:divBdr>
                                <w:top w:val="none" w:sz="0" w:space="0" w:color="auto"/>
                                <w:left w:val="none" w:sz="0" w:space="0" w:color="auto"/>
                                <w:bottom w:val="none" w:sz="0" w:space="0" w:color="auto"/>
                                <w:right w:val="none" w:sz="0" w:space="0" w:color="auto"/>
                              </w:divBdr>
                            </w:div>
                            <w:div w:id="696273372">
                              <w:marLeft w:val="0"/>
                              <w:marRight w:val="0"/>
                              <w:marTop w:val="0"/>
                              <w:marBottom w:val="0"/>
                              <w:divBdr>
                                <w:top w:val="none" w:sz="0" w:space="0" w:color="auto"/>
                                <w:left w:val="none" w:sz="0" w:space="0" w:color="auto"/>
                                <w:bottom w:val="none" w:sz="0" w:space="0" w:color="auto"/>
                                <w:right w:val="none" w:sz="0" w:space="0" w:color="auto"/>
                              </w:divBdr>
                            </w:div>
                            <w:div w:id="654914195">
                              <w:marLeft w:val="0"/>
                              <w:marRight w:val="0"/>
                              <w:marTop w:val="0"/>
                              <w:marBottom w:val="0"/>
                              <w:divBdr>
                                <w:top w:val="none" w:sz="0" w:space="0" w:color="auto"/>
                                <w:left w:val="none" w:sz="0" w:space="0" w:color="auto"/>
                                <w:bottom w:val="none" w:sz="0" w:space="0" w:color="auto"/>
                                <w:right w:val="none" w:sz="0" w:space="0" w:color="auto"/>
                              </w:divBdr>
                            </w:div>
                            <w:div w:id="1239944314">
                              <w:marLeft w:val="0"/>
                              <w:marRight w:val="0"/>
                              <w:marTop w:val="0"/>
                              <w:marBottom w:val="0"/>
                              <w:divBdr>
                                <w:top w:val="none" w:sz="0" w:space="0" w:color="auto"/>
                                <w:left w:val="none" w:sz="0" w:space="0" w:color="auto"/>
                                <w:bottom w:val="none" w:sz="0" w:space="0" w:color="auto"/>
                                <w:right w:val="none" w:sz="0" w:space="0" w:color="auto"/>
                              </w:divBdr>
                            </w:div>
                            <w:div w:id="761146249">
                              <w:marLeft w:val="0"/>
                              <w:marRight w:val="0"/>
                              <w:marTop w:val="0"/>
                              <w:marBottom w:val="0"/>
                              <w:divBdr>
                                <w:top w:val="none" w:sz="0" w:space="0" w:color="auto"/>
                                <w:left w:val="none" w:sz="0" w:space="0" w:color="auto"/>
                                <w:bottom w:val="none" w:sz="0" w:space="0" w:color="auto"/>
                                <w:right w:val="none" w:sz="0" w:space="0" w:color="auto"/>
                              </w:divBdr>
                            </w:div>
                            <w:div w:id="686322781">
                              <w:marLeft w:val="0"/>
                              <w:marRight w:val="0"/>
                              <w:marTop w:val="0"/>
                              <w:marBottom w:val="0"/>
                              <w:divBdr>
                                <w:top w:val="none" w:sz="0" w:space="0" w:color="auto"/>
                                <w:left w:val="none" w:sz="0" w:space="0" w:color="auto"/>
                                <w:bottom w:val="none" w:sz="0" w:space="0" w:color="auto"/>
                                <w:right w:val="none" w:sz="0" w:space="0" w:color="auto"/>
                              </w:divBdr>
                            </w:div>
                          </w:divsChild>
                        </w:div>
                        <w:div w:id="1270238748">
                          <w:marLeft w:val="0"/>
                          <w:marRight w:val="0"/>
                          <w:marTop w:val="0"/>
                          <w:marBottom w:val="0"/>
                          <w:divBdr>
                            <w:top w:val="none" w:sz="0" w:space="0" w:color="auto"/>
                            <w:left w:val="none" w:sz="0" w:space="0" w:color="auto"/>
                            <w:bottom w:val="none" w:sz="0" w:space="0" w:color="auto"/>
                            <w:right w:val="none" w:sz="0" w:space="0" w:color="auto"/>
                          </w:divBdr>
                          <w:divsChild>
                            <w:div w:id="1584487012">
                              <w:marLeft w:val="0"/>
                              <w:marRight w:val="0"/>
                              <w:marTop w:val="0"/>
                              <w:marBottom w:val="0"/>
                              <w:divBdr>
                                <w:top w:val="none" w:sz="0" w:space="0" w:color="auto"/>
                                <w:left w:val="none" w:sz="0" w:space="0" w:color="auto"/>
                                <w:bottom w:val="none" w:sz="0" w:space="0" w:color="auto"/>
                                <w:right w:val="none" w:sz="0" w:space="0" w:color="auto"/>
                              </w:divBdr>
                            </w:div>
                            <w:div w:id="1000694038">
                              <w:marLeft w:val="0"/>
                              <w:marRight w:val="0"/>
                              <w:marTop w:val="0"/>
                              <w:marBottom w:val="0"/>
                              <w:divBdr>
                                <w:top w:val="none" w:sz="0" w:space="0" w:color="auto"/>
                                <w:left w:val="none" w:sz="0" w:space="0" w:color="auto"/>
                                <w:bottom w:val="none" w:sz="0" w:space="0" w:color="auto"/>
                                <w:right w:val="none" w:sz="0" w:space="0" w:color="auto"/>
                              </w:divBdr>
                            </w:div>
                            <w:div w:id="820006694">
                              <w:marLeft w:val="0"/>
                              <w:marRight w:val="0"/>
                              <w:marTop w:val="0"/>
                              <w:marBottom w:val="0"/>
                              <w:divBdr>
                                <w:top w:val="none" w:sz="0" w:space="0" w:color="auto"/>
                                <w:left w:val="none" w:sz="0" w:space="0" w:color="auto"/>
                                <w:bottom w:val="none" w:sz="0" w:space="0" w:color="auto"/>
                                <w:right w:val="none" w:sz="0" w:space="0" w:color="auto"/>
                              </w:divBdr>
                            </w:div>
                            <w:div w:id="23144083">
                              <w:marLeft w:val="0"/>
                              <w:marRight w:val="0"/>
                              <w:marTop w:val="0"/>
                              <w:marBottom w:val="0"/>
                              <w:divBdr>
                                <w:top w:val="none" w:sz="0" w:space="0" w:color="auto"/>
                                <w:left w:val="none" w:sz="0" w:space="0" w:color="auto"/>
                                <w:bottom w:val="none" w:sz="0" w:space="0" w:color="auto"/>
                                <w:right w:val="none" w:sz="0" w:space="0" w:color="auto"/>
                              </w:divBdr>
                            </w:div>
                            <w:div w:id="1653020826">
                              <w:marLeft w:val="0"/>
                              <w:marRight w:val="0"/>
                              <w:marTop w:val="0"/>
                              <w:marBottom w:val="0"/>
                              <w:divBdr>
                                <w:top w:val="none" w:sz="0" w:space="0" w:color="auto"/>
                                <w:left w:val="none" w:sz="0" w:space="0" w:color="auto"/>
                                <w:bottom w:val="none" w:sz="0" w:space="0" w:color="auto"/>
                                <w:right w:val="none" w:sz="0" w:space="0" w:color="auto"/>
                              </w:divBdr>
                            </w:div>
                            <w:div w:id="2070226953">
                              <w:marLeft w:val="0"/>
                              <w:marRight w:val="0"/>
                              <w:marTop w:val="0"/>
                              <w:marBottom w:val="0"/>
                              <w:divBdr>
                                <w:top w:val="none" w:sz="0" w:space="0" w:color="auto"/>
                                <w:left w:val="none" w:sz="0" w:space="0" w:color="auto"/>
                                <w:bottom w:val="none" w:sz="0" w:space="0" w:color="auto"/>
                                <w:right w:val="none" w:sz="0" w:space="0" w:color="auto"/>
                              </w:divBdr>
                            </w:div>
                            <w:div w:id="1785540713">
                              <w:marLeft w:val="0"/>
                              <w:marRight w:val="0"/>
                              <w:marTop w:val="0"/>
                              <w:marBottom w:val="0"/>
                              <w:divBdr>
                                <w:top w:val="none" w:sz="0" w:space="0" w:color="auto"/>
                                <w:left w:val="none" w:sz="0" w:space="0" w:color="auto"/>
                                <w:bottom w:val="none" w:sz="0" w:space="0" w:color="auto"/>
                                <w:right w:val="none" w:sz="0" w:space="0" w:color="auto"/>
                              </w:divBdr>
                            </w:div>
                          </w:divsChild>
                        </w:div>
                        <w:div w:id="1008871384">
                          <w:marLeft w:val="0"/>
                          <w:marRight w:val="0"/>
                          <w:marTop w:val="0"/>
                          <w:marBottom w:val="0"/>
                          <w:divBdr>
                            <w:top w:val="none" w:sz="0" w:space="0" w:color="auto"/>
                            <w:left w:val="none" w:sz="0" w:space="0" w:color="auto"/>
                            <w:bottom w:val="none" w:sz="0" w:space="0" w:color="auto"/>
                            <w:right w:val="none" w:sz="0" w:space="0" w:color="auto"/>
                          </w:divBdr>
                          <w:divsChild>
                            <w:div w:id="861433120">
                              <w:marLeft w:val="0"/>
                              <w:marRight w:val="0"/>
                              <w:marTop w:val="0"/>
                              <w:marBottom w:val="0"/>
                              <w:divBdr>
                                <w:top w:val="none" w:sz="0" w:space="0" w:color="auto"/>
                                <w:left w:val="none" w:sz="0" w:space="0" w:color="auto"/>
                                <w:bottom w:val="none" w:sz="0" w:space="0" w:color="auto"/>
                                <w:right w:val="none" w:sz="0" w:space="0" w:color="auto"/>
                              </w:divBdr>
                            </w:div>
                            <w:div w:id="49696889">
                              <w:marLeft w:val="0"/>
                              <w:marRight w:val="0"/>
                              <w:marTop w:val="0"/>
                              <w:marBottom w:val="0"/>
                              <w:divBdr>
                                <w:top w:val="none" w:sz="0" w:space="0" w:color="auto"/>
                                <w:left w:val="none" w:sz="0" w:space="0" w:color="auto"/>
                                <w:bottom w:val="none" w:sz="0" w:space="0" w:color="auto"/>
                                <w:right w:val="none" w:sz="0" w:space="0" w:color="auto"/>
                              </w:divBdr>
                            </w:div>
                            <w:div w:id="1500609458">
                              <w:marLeft w:val="0"/>
                              <w:marRight w:val="0"/>
                              <w:marTop w:val="0"/>
                              <w:marBottom w:val="0"/>
                              <w:divBdr>
                                <w:top w:val="none" w:sz="0" w:space="0" w:color="auto"/>
                                <w:left w:val="none" w:sz="0" w:space="0" w:color="auto"/>
                                <w:bottom w:val="none" w:sz="0" w:space="0" w:color="auto"/>
                                <w:right w:val="none" w:sz="0" w:space="0" w:color="auto"/>
                              </w:divBdr>
                            </w:div>
                            <w:div w:id="293490709">
                              <w:marLeft w:val="0"/>
                              <w:marRight w:val="0"/>
                              <w:marTop w:val="0"/>
                              <w:marBottom w:val="0"/>
                              <w:divBdr>
                                <w:top w:val="none" w:sz="0" w:space="0" w:color="auto"/>
                                <w:left w:val="none" w:sz="0" w:space="0" w:color="auto"/>
                                <w:bottom w:val="none" w:sz="0" w:space="0" w:color="auto"/>
                                <w:right w:val="none" w:sz="0" w:space="0" w:color="auto"/>
                              </w:divBdr>
                            </w:div>
                            <w:div w:id="1478379235">
                              <w:marLeft w:val="0"/>
                              <w:marRight w:val="0"/>
                              <w:marTop w:val="0"/>
                              <w:marBottom w:val="0"/>
                              <w:divBdr>
                                <w:top w:val="none" w:sz="0" w:space="0" w:color="auto"/>
                                <w:left w:val="none" w:sz="0" w:space="0" w:color="auto"/>
                                <w:bottom w:val="none" w:sz="0" w:space="0" w:color="auto"/>
                                <w:right w:val="none" w:sz="0" w:space="0" w:color="auto"/>
                              </w:divBdr>
                            </w:div>
                            <w:div w:id="266012830">
                              <w:marLeft w:val="0"/>
                              <w:marRight w:val="0"/>
                              <w:marTop w:val="0"/>
                              <w:marBottom w:val="0"/>
                              <w:divBdr>
                                <w:top w:val="none" w:sz="0" w:space="0" w:color="auto"/>
                                <w:left w:val="none" w:sz="0" w:space="0" w:color="auto"/>
                                <w:bottom w:val="none" w:sz="0" w:space="0" w:color="auto"/>
                                <w:right w:val="none" w:sz="0" w:space="0" w:color="auto"/>
                              </w:divBdr>
                            </w:div>
                            <w:div w:id="665935831">
                              <w:marLeft w:val="0"/>
                              <w:marRight w:val="0"/>
                              <w:marTop w:val="0"/>
                              <w:marBottom w:val="0"/>
                              <w:divBdr>
                                <w:top w:val="none" w:sz="0" w:space="0" w:color="auto"/>
                                <w:left w:val="none" w:sz="0" w:space="0" w:color="auto"/>
                                <w:bottom w:val="none" w:sz="0" w:space="0" w:color="auto"/>
                                <w:right w:val="none" w:sz="0" w:space="0" w:color="auto"/>
                              </w:divBdr>
                            </w:div>
                            <w:div w:id="1472792293">
                              <w:marLeft w:val="0"/>
                              <w:marRight w:val="0"/>
                              <w:marTop w:val="0"/>
                              <w:marBottom w:val="0"/>
                              <w:divBdr>
                                <w:top w:val="none" w:sz="0" w:space="0" w:color="auto"/>
                                <w:left w:val="none" w:sz="0" w:space="0" w:color="auto"/>
                                <w:bottom w:val="none" w:sz="0" w:space="0" w:color="auto"/>
                                <w:right w:val="none" w:sz="0" w:space="0" w:color="auto"/>
                              </w:divBdr>
                            </w:div>
                            <w:div w:id="444234997">
                              <w:marLeft w:val="0"/>
                              <w:marRight w:val="0"/>
                              <w:marTop w:val="0"/>
                              <w:marBottom w:val="0"/>
                              <w:divBdr>
                                <w:top w:val="none" w:sz="0" w:space="0" w:color="auto"/>
                                <w:left w:val="none" w:sz="0" w:space="0" w:color="auto"/>
                                <w:bottom w:val="none" w:sz="0" w:space="0" w:color="auto"/>
                                <w:right w:val="none" w:sz="0" w:space="0" w:color="auto"/>
                              </w:divBdr>
                            </w:div>
                            <w:div w:id="1833519275">
                              <w:marLeft w:val="0"/>
                              <w:marRight w:val="0"/>
                              <w:marTop w:val="0"/>
                              <w:marBottom w:val="0"/>
                              <w:divBdr>
                                <w:top w:val="none" w:sz="0" w:space="0" w:color="auto"/>
                                <w:left w:val="none" w:sz="0" w:space="0" w:color="auto"/>
                                <w:bottom w:val="none" w:sz="0" w:space="0" w:color="auto"/>
                                <w:right w:val="none" w:sz="0" w:space="0" w:color="auto"/>
                              </w:divBdr>
                            </w:div>
                            <w:div w:id="2017657220">
                              <w:marLeft w:val="0"/>
                              <w:marRight w:val="0"/>
                              <w:marTop w:val="0"/>
                              <w:marBottom w:val="0"/>
                              <w:divBdr>
                                <w:top w:val="none" w:sz="0" w:space="0" w:color="auto"/>
                                <w:left w:val="none" w:sz="0" w:space="0" w:color="auto"/>
                                <w:bottom w:val="none" w:sz="0" w:space="0" w:color="auto"/>
                                <w:right w:val="none" w:sz="0" w:space="0" w:color="auto"/>
                              </w:divBdr>
                            </w:div>
                          </w:divsChild>
                        </w:div>
                        <w:div w:id="1246768481">
                          <w:marLeft w:val="0"/>
                          <w:marRight w:val="0"/>
                          <w:marTop w:val="0"/>
                          <w:marBottom w:val="0"/>
                          <w:divBdr>
                            <w:top w:val="none" w:sz="0" w:space="0" w:color="auto"/>
                            <w:left w:val="none" w:sz="0" w:space="0" w:color="auto"/>
                            <w:bottom w:val="none" w:sz="0" w:space="0" w:color="auto"/>
                            <w:right w:val="none" w:sz="0" w:space="0" w:color="auto"/>
                          </w:divBdr>
                          <w:divsChild>
                            <w:div w:id="454836654">
                              <w:marLeft w:val="0"/>
                              <w:marRight w:val="0"/>
                              <w:marTop w:val="0"/>
                              <w:marBottom w:val="0"/>
                              <w:divBdr>
                                <w:top w:val="none" w:sz="0" w:space="0" w:color="auto"/>
                                <w:left w:val="none" w:sz="0" w:space="0" w:color="auto"/>
                                <w:bottom w:val="none" w:sz="0" w:space="0" w:color="auto"/>
                                <w:right w:val="none" w:sz="0" w:space="0" w:color="auto"/>
                              </w:divBdr>
                            </w:div>
                          </w:divsChild>
                        </w:div>
                        <w:div w:id="1388794588">
                          <w:marLeft w:val="0"/>
                          <w:marRight w:val="0"/>
                          <w:marTop w:val="0"/>
                          <w:marBottom w:val="0"/>
                          <w:divBdr>
                            <w:top w:val="none" w:sz="0" w:space="0" w:color="auto"/>
                            <w:left w:val="none" w:sz="0" w:space="0" w:color="auto"/>
                            <w:bottom w:val="none" w:sz="0" w:space="0" w:color="auto"/>
                            <w:right w:val="none" w:sz="0" w:space="0" w:color="auto"/>
                          </w:divBdr>
                          <w:divsChild>
                            <w:div w:id="1843427576">
                              <w:marLeft w:val="0"/>
                              <w:marRight w:val="0"/>
                              <w:marTop w:val="0"/>
                              <w:marBottom w:val="0"/>
                              <w:divBdr>
                                <w:top w:val="none" w:sz="0" w:space="0" w:color="auto"/>
                                <w:left w:val="none" w:sz="0" w:space="0" w:color="auto"/>
                                <w:bottom w:val="none" w:sz="0" w:space="0" w:color="auto"/>
                                <w:right w:val="none" w:sz="0" w:space="0" w:color="auto"/>
                              </w:divBdr>
                            </w:div>
                            <w:div w:id="2010792106">
                              <w:marLeft w:val="0"/>
                              <w:marRight w:val="0"/>
                              <w:marTop w:val="0"/>
                              <w:marBottom w:val="0"/>
                              <w:divBdr>
                                <w:top w:val="none" w:sz="0" w:space="0" w:color="auto"/>
                                <w:left w:val="none" w:sz="0" w:space="0" w:color="auto"/>
                                <w:bottom w:val="none" w:sz="0" w:space="0" w:color="auto"/>
                                <w:right w:val="none" w:sz="0" w:space="0" w:color="auto"/>
                              </w:divBdr>
                            </w:div>
                            <w:div w:id="1667319887">
                              <w:marLeft w:val="0"/>
                              <w:marRight w:val="0"/>
                              <w:marTop w:val="0"/>
                              <w:marBottom w:val="0"/>
                              <w:divBdr>
                                <w:top w:val="none" w:sz="0" w:space="0" w:color="auto"/>
                                <w:left w:val="none" w:sz="0" w:space="0" w:color="auto"/>
                                <w:bottom w:val="none" w:sz="0" w:space="0" w:color="auto"/>
                                <w:right w:val="none" w:sz="0" w:space="0" w:color="auto"/>
                              </w:divBdr>
                            </w:div>
                            <w:div w:id="351494309">
                              <w:marLeft w:val="0"/>
                              <w:marRight w:val="0"/>
                              <w:marTop w:val="0"/>
                              <w:marBottom w:val="0"/>
                              <w:divBdr>
                                <w:top w:val="none" w:sz="0" w:space="0" w:color="auto"/>
                                <w:left w:val="none" w:sz="0" w:space="0" w:color="auto"/>
                                <w:bottom w:val="none" w:sz="0" w:space="0" w:color="auto"/>
                                <w:right w:val="none" w:sz="0" w:space="0" w:color="auto"/>
                              </w:divBdr>
                            </w:div>
                            <w:div w:id="510409065">
                              <w:marLeft w:val="0"/>
                              <w:marRight w:val="0"/>
                              <w:marTop w:val="0"/>
                              <w:marBottom w:val="0"/>
                              <w:divBdr>
                                <w:top w:val="none" w:sz="0" w:space="0" w:color="auto"/>
                                <w:left w:val="none" w:sz="0" w:space="0" w:color="auto"/>
                                <w:bottom w:val="none" w:sz="0" w:space="0" w:color="auto"/>
                                <w:right w:val="none" w:sz="0" w:space="0" w:color="auto"/>
                              </w:divBdr>
                            </w:div>
                            <w:div w:id="472647936">
                              <w:marLeft w:val="0"/>
                              <w:marRight w:val="0"/>
                              <w:marTop w:val="0"/>
                              <w:marBottom w:val="0"/>
                              <w:divBdr>
                                <w:top w:val="none" w:sz="0" w:space="0" w:color="auto"/>
                                <w:left w:val="none" w:sz="0" w:space="0" w:color="auto"/>
                                <w:bottom w:val="none" w:sz="0" w:space="0" w:color="auto"/>
                                <w:right w:val="none" w:sz="0" w:space="0" w:color="auto"/>
                              </w:divBdr>
                            </w:div>
                          </w:divsChild>
                        </w:div>
                        <w:div w:id="1049843205">
                          <w:marLeft w:val="0"/>
                          <w:marRight w:val="0"/>
                          <w:marTop w:val="0"/>
                          <w:marBottom w:val="0"/>
                          <w:divBdr>
                            <w:top w:val="none" w:sz="0" w:space="0" w:color="auto"/>
                            <w:left w:val="none" w:sz="0" w:space="0" w:color="auto"/>
                            <w:bottom w:val="none" w:sz="0" w:space="0" w:color="auto"/>
                            <w:right w:val="none" w:sz="0" w:space="0" w:color="auto"/>
                          </w:divBdr>
                          <w:divsChild>
                            <w:div w:id="1757290756">
                              <w:marLeft w:val="0"/>
                              <w:marRight w:val="0"/>
                              <w:marTop w:val="0"/>
                              <w:marBottom w:val="0"/>
                              <w:divBdr>
                                <w:top w:val="none" w:sz="0" w:space="0" w:color="auto"/>
                                <w:left w:val="none" w:sz="0" w:space="0" w:color="auto"/>
                                <w:bottom w:val="none" w:sz="0" w:space="0" w:color="auto"/>
                                <w:right w:val="none" w:sz="0" w:space="0" w:color="auto"/>
                              </w:divBdr>
                            </w:div>
                            <w:div w:id="725764914">
                              <w:marLeft w:val="0"/>
                              <w:marRight w:val="0"/>
                              <w:marTop w:val="0"/>
                              <w:marBottom w:val="0"/>
                              <w:divBdr>
                                <w:top w:val="none" w:sz="0" w:space="0" w:color="auto"/>
                                <w:left w:val="none" w:sz="0" w:space="0" w:color="auto"/>
                                <w:bottom w:val="none" w:sz="0" w:space="0" w:color="auto"/>
                                <w:right w:val="none" w:sz="0" w:space="0" w:color="auto"/>
                              </w:divBdr>
                            </w:div>
                            <w:div w:id="1446000235">
                              <w:marLeft w:val="0"/>
                              <w:marRight w:val="0"/>
                              <w:marTop w:val="0"/>
                              <w:marBottom w:val="0"/>
                              <w:divBdr>
                                <w:top w:val="none" w:sz="0" w:space="0" w:color="auto"/>
                                <w:left w:val="none" w:sz="0" w:space="0" w:color="auto"/>
                                <w:bottom w:val="none" w:sz="0" w:space="0" w:color="auto"/>
                                <w:right w:val="none" w:sz="0" w:space="0" w:color="auto"/>
                              </w:divBdr>
                            </w:div>
                            <w:div w:id="898781255">
                              <w:marLeft w:val="0"/>
                              <w:marRight w:val="0"/>
                              <w:marTop w:val="0"/>
                              <w:marBottom w:val="0"/>
                              <w:divBdr>
                                <w:top w:val="none" w:sz="0" w:space="0" w:color="auto"/>
                                <w:left w:val="none" w:sz="0" w:space="0" w:color="auto"/>
                                <w:bottom w:val="none" w:sz="0" w:space="0" w:color="auto"/>
                                <w:right w:val="none" w:sz="0" w:space="0" w:color="auto"/>
                              </w:divBdr>
                            </w:div>
                            <w:div w:id="1545873308">
                              <w:marLeft w:val="0"/>
                              <w:marRight w:val="0"/>
                              <w:marTop w:val="0"/>
                              <w:marBottom w:val="0"/>
                              <w:divBdr>
                                <w:top w:val="none" w:sz="0" w:space="0" w:color="auto"/>
                                <w:left w:val="none" w:sz="0" w:space="0" w:color="auto"/>
                                <w:bottom w:val="none" w:sz="0" w:space="0" w:color="auto"/>
                                <w:right w:val="none" w:sz="0" w:space="0" w:color="auto"/>
                              </w:divBdr>
                            </w:div>
                            <w:div w:id="262761665">
                              <w:marLeft w:val="0"/>
                              <w:marRight w:val="0"/>
                              <w:marTop w:val="0"/>
                              <w:marBottom w:val="0"/>
                              <w:divBdr>
                                <w:top w:val="none" w:sz="0" w:space="0" w:color="auto"/>
                                <w:left w:val="none" w:sz="0" w:space="0" w:color="auto"/>
                                <w:bottom w:val="none" w:sz="0" w:space="0" w:color="auto"/>
                                <w:right w:val="none" w:sz="0" w:space="0" w:color="auto"/>
                              </w:divBdr>
                            </w:div>
                          </w:divsChild>
                        </w:div>
                        <w:div w:id="536163259">
                          <w:marLeft w:val="0"/>
                          <w:marRight w:val="0"/>
                          <w:marTop w:val="0"/>
                          <w:marBottom w:val="0"/>
                          <w:divBdr>
                            <w:top w:val="none" w:sz="0" w:space="0" w:color="auto"/>
                            <w:left w:val="none" w:sz="0" w:space="0" w:color="auto"/>
                            <w:bottom w:val="none" w:sz="0" w:space="0" w:color="auto"/>
                            <w:right w:val="none" w:sz="0" w:space="0" w:color="auto"/>
                          </w:divBdr>
                          <w:divsChild>
                            <w:div w:id="325522168">
                              <w:marLeft w:val="0"/>
                              <w:marRight w:val="0"/>
                              <w:marTop w:val="0"/>
                              <w:marBottom w:val="0"/>
                              <w:divBdr>
                                <w:top w:val="none" w:sz="0" w:space="0" w:color="auto"/>
                                <w:left w:val="none" w:sz="0" w:space="0" w:color="auto"/>
                                <w:bottom w:val="none" w:sz="0" w:space="0" w:color="auto"/>
                                <w:right w:val="none" w:sz="0" w:space="0" w:color="auto"/>
                              </w:divBdr>
                            </w:div>
                            <w:div w:id="1888372081">
                              <w:marLeft w:val="0"/>
                              <w:marRight w:val="0"/>
                              <w:marTop w:val="0"/>
                              <w:marBottom w:val="0"/>
                              <w:divBdr>
                                <w:top w:val="none" w:sz="0" w:space="0" w:color="auto"/>
                                <w:left w:val="none" w:sz="0" w:space="0" w:color="auto"/>
                                <w:bottom w:val="none" w:sz="0" w:space="0" w:color="auto"/>
                                <w:right w:val="none" w:sz="0" w:space="0" w:color="auto"/>
                              </w:divBdr>
                            </w:div>
                            <w:div w:id="432167587">
                              <w:marLeft w:val="0"/>
                              <w:marRight w:val="0"/>
                              <w:marTop w:val="0"/>
                              <w:marBottom w:val="0"/>
                              <w:divBdr>
                                <w:top w:val="none" w:sz="0" w:space="0" w:color="auto"/>
                                <w:left w:val="none" w:sz="0" w:space="0" w:color="auto"/>
                                <w:bottom w:val="none" w:sz="0" w:space="0" w:color="auto"/>
                                <w:right w:val="none" w:sz="0" w:space="0" w:color="auto"/>
                              </w:divBdr>
                            </w:div>
                            <w:div w:id="990717780">
                              <w:marLeft w:val="0"/>
                              <w:marRight w:val="0"/>
                              <w:marTop w:val="0"/>
                              <w:marBottom w:val="0"/>
                              <w:divBdr>
                                <w:top w:val="none" w:sz="0" w:space="0" w:color="auto"/>
                                <w:left w:val="none" w:sz="0" w:space="0" w:color="auto"/>
                                <w:bottom w:val="none" w:sz="0" w:space="0" w:color="auto"/>
                                <w:right w:val="none" w:sz="0" w:space="0" w:color="auto"/>
                              </w:divBdr>
                            </w:div>
                            <w:div w:id="1728797925">
                              <w:marLeft w:val="0"/>
                              <w:marRight w:val="0"/>
                              <w:marTop w:val="0"/>
                              <w:marBottom w:val="0"/>
                              <w:divBdr>
                                <w:top w:val="none" w:sz="0" w:space="0" w:color="auto"/>
                                <w:left w:val="none" w:sz="0" w:space="0" w:color="auto"/>
                                <w:bottom w:val="none" w:sz="0" w:space="0" w:color="auto"/>
                                <w:right w:val="none" w:sz="0" w:space="0" w:color="auto"/>
                              </w:divBdr>
                            </w:div>
                            <w:div w:id="2138647042">
                              <w:marLeft w:val="0"/>
                              <w:marRight w:val="0"/>
                              <w:marTop w:val="0"/>
                              <w:marBottom w:val="0"/>
                              <w:divBdr>
                                <w:top w:val="none" w:sz="0" w:space="0" w:color="auto"/>
                                <w:left w:val="none" w:sz="0" w:space="0" w:color="auto"/>
                                <w:bottom w:val="none" w:sz="0" w:space="0" w:color="auto"/>
                                <w:right w:val="none" w:sz="0" w:space="0" w:color="auto"/>
                              </w:divBdr>
                            </w:div>
                          </w:divsChild>
                        </w:div>
                        <w:div w:id="448552036">
                          <w:marLeft w:val="0"/>
                          <w:marRight w:val="0"/>
                          <w:marTop w:val="0"/>
                          <w:marBottom w:val="0"/>
                          <w:divBdr>
                            <w:top w:val="none" w:sz="0" w:space="0" w:color="auto"/>
                            <w:left w:val="none" w:sz="0" w:space="0" w:color="auto"/>
                            <w:bottom w:val="none" w:sz="0" w:space="0" w:color="auto"/>
                            <w:right w:val="none" w:sz="0" w:space="0" w:color="auto"/>
                          </w:divBdr>
                          <w:divsChild>
                            <w:div w:id="596790722">
                              <w:marLeft w:val="0"/>
                              <w:marRight w:val="0"/>
                              <w:marTop w:val="0"/>
                              <w:marBottom w:val="0"/>
                              <w:divBdr>
                                <w:top w:val="none" w:sz="0" w:space="0" w:color="auto"/>
                                <w:left w:val="none" w:sz="0" w:space="0" w:color="auto"/>
                                <w:bottom w:val="none" w:sz="0" w:space="0" w:color="auto"/>
                                <w:right w:val="none" w:sz="0" w:space="0" w:color="auto"/>
                              </w:divBdr>
                            </w:div>
                            <w:div w:id="1552233745">
                              <w:marLeft w:val="0"/>
                              <w:marRight w:val="0"/>
                              <w:marTop w:val="0"/>
                              <w:marBottom w:val="0"/>
                              <w:divBdr>
                                <w:top w:val="none" w:sz="0" w:space="0" w:color="auto"/>
                                <w:left w:val="none" w:sz="0" w:space="0" w:color="auto"/>
                                <w:bottom w:val="none" w:sz="0" w:space="0" w:color="auto"/>
                                <w:right w:val="none" w:sz="0" w:space="0" w:color="auto"/>
                              </w:divBdr>
                            </w:div>
                            <w:div w:id="1771506663">
                              <w:marLeft w:val="0"/>
                              <w:marRight w:val="0"/>
                              <w:marTop w:val="0"/>
                              <w:marBottom w:val="0"/>
                              <w:divBdr>
                                <w:top w:val="none" w:sz="0" w:space="0" w:color="auto"/>
                                <w:left w:val="none" w:sz="0" w:space="0" w:color="auto"/>
                                <w:bottom w:val="none" w:sz="0" w:space="0" w:color="auto"/>
                                <w:right w:val="none" w:sz="0" w:space="0" w:color="auto"/>
                              </w:divBdr>
                            </w:div>
                            <w:div w:id="814181906">
                              <w:marLeft w:val="0"/>
                              <w:marRight w:val="0"/>
                              <w:marTop w:val="0"/>
                              <w:marBottom w:val="0"/>
                              <w:divBdr>
                                <w:top w:val="none" w:sz="0" w:space="0" w:color="auto"/>
                                <w:left w:val="none" w:sz="0" w:space="0" w:color="auto"/>
                                <w:bottom w:val="none" w:sz="0" w:space="0" w:color="auto"/>
                                <w:right w:val="none" w:sz="0" w:space="0" w:color="auto"/>
                              </w:divBdr>
                            </w:div>
                            <w:div w:id="1188838064">
                              <w:marLeft w:val="0"/>
                              <w:marRight w:val="0"/>
                              <w:marTop w:val="0"/>
                              <w:marBottom w:val="0"/>
                              <w:divBdr>
                                <w:top w:val="none" w:sz="0" w:space="0" w:color="auto"/>
                                <w:left w:val="none" w:sz="0" w:space="0" w:color="auto"/>
                                <w:bottom w:val="none" w:sz="0" w:space="0" w:color="auto"/>
                                <w:right w:val="none" w:sz="0" w:space="0" w:color="auto"/>
                              </w:divBdr>
                            </w:div>
                          </w:divsChild>
                        </w:div>
                        <w:div w:id="536241115">
                          <w:marLeft w:val="0"/>
                          <w:marRight w:val="0"/>
                          <w:marTop w:val="0"/>
                          <w:marBottom w:val="0"/>
                          <w:divBdr>
                            <w:top w:val="none" w:sz="0" w:space="0" w:color="auto"/>
                            <w:left w:val="none" w:sz="0" w:space="0" w:color="auto"/>
                            <w:bottom w:val="none" w:sz="0" w:space="0" w:color="auto"/>
                            <w:right w:val="none" w:sz="0" w:space="0" w:color="auto"/>
                          </w:divBdr>
                          <w:divsChild>
                            <w:div w:id="30365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69089">
                      <w:marLeft w:val="0"/>
                      <w:marRight w:val="0"/>
                      <w:marTop w:val="0"/>
                      <w:marBottom w:val="0"/>
                      <w:divBdr>
                        <w:top w:val="none" w:sz="0" w:space="0" w:color="auto"/>
                        <w:left w:val="none" w:sz="0" w:space="0" w:color="auto"/>
                        <w:bottom w:val="none" w:sz="0" w:space="0" w:color="auto"/>
                        <w:right w:val="none" w:sz="0" w:space="0" w:color="auto"/>
                      </w:divBdr>
                      <w:divsChild>
                        <w:div w:id="992292368">
                          <w:marLeft w:val="0"/>
                          <w:marRight w:val="0"/>
                          <w:marTop w:val="0"/>
                          <w:marBottom w:val="0"/>
                          <w:divBdr>
                            <w:top w:val="none" w:sz="0" w:space="0" w:color="auto"/>
                            <w:left w:val="none" w:sz="0" w:space="0" w:color="auto"/>
                            <w:bottom w:val="none" w:sz="0" w:space="0" w:color="auto"/>
                            <w:right w:val="none" w:sz="0" w:space="0" w:color="auto"/>
                          </w:divBdr>
                        </w:div>
                        <w:div w:id="422141396">
                          <w:marLeft w:val="0"/>
                          <w:marRight w:val="0"/>
                          <w:marTop w:val="0"/>
                          <w:marBottom w:val="0"/>
                          <w:divBdr>
                            <w:top w:val="none" w:sz="0" w:space="0" w:color="auto"/>
                            <w:left w:val="none" w:sz="0" w:space="0" w:color="auto"/>
                            <w:bottom w:val="none" w:sz="0" w:space="0" w:color="auto"/>
                            <w:right w:val="none" w:sz="0" w:space="0" w:color="auto"/>
                          </w:divBdr>
                          <w:divsChild>
                            <w:div w:id="656542684">
                              <w:marLeft w:val="0"/>
                              <w:marRight w:val="0"/>
                              <w:marTop w:val="0"/>
                              <w:marBottom w:val="0"/>
                              <w:divBdr>
                                <w:top w:val="none" w:sz="0" w:space="0" w:color="auto"/>
                                <w:left w:val="none" w:sz="0" w:space="0" w:color="auto"/>
                                <w:bottom w:val="none" w:sz="0" w:space="0" w:color="auto"/>
                                <w:right w:val="none" w:sz="0" w:space="0" w:color="auto"/>
                              </w:divBdr>
                            </w:div>
                            <w:div w:id="180434726">
                              <w:marLeft w:val="0"/>
                              <w:marRight w:val="0"/>
                              <w:marTop w:val="0"/>
                              <w:marBottom w:val="0"/>
                              <w:divBdr>
                                <w:top w:val="none" w:sz="0" w:space="0" w:color="auto"/>
                                <w:left w:val="none" w:sz="0" w:space="0" w:color="auto"/>
                                <w:bottom w:val="none" w:sz="0" w:space="0" w:color="auto"/>
                                <w:right w:val="none" w:sz="0" w:space="0" w:color="auto"/>
                              </w:divBdr>
                            </w:div>
                            <w:div w:id="1216311896">
                              <w:marLeft w:val="0"/>
                              <w:marRight w:val="0"/>
                              <w:marTop w:val="0"/>
                              <w:marBottom w:val="0"/>
                              <w:divBdr>
                                <w:top w:val="none" w:sz="0" w:space="0" w:color="auto"/>
                                <w:left w:val="none" w:sz="0" w:space="0" w:color="auto"/>
                                <w:bottom w:val="none" w:sz="0" w:space="0" w:color="auto"/>
                                <w:right w:val="none" w:sz="0" w:space="0" w:color="auto"/>
                              </w:divBdr>
                            </w:div>
                            <w:div w:id="833491881">
                              <w:marLeft w:val="0"/>
                              <w:marRight w:val="0"/>
                              <w:marTop w:val="0"/>
                              <w:marBottom w:val="0"/>
                              <w:divBdr>
                                <w:top w:val="none" w:sz="0" w:space="0" w:color="auto"/>
                                <w:left w:val="none" w:sz="0" w:space="0" w:color="auto"/>
                                <w:bottom w:val="none" w:sz="0" w:space="0" w:color="auto"/>
                                <w:right w:val="none" w:sz="0" w:space="0" w:color="auto"/>
                              </w:divBdr>
                            </w:div>
                            <w:div w:id="1508247565">
                              <w:marLeft w:val="0"/>
                              <w:marRight w:val="0"/>
                              <w:marTop w:val="0"/>
                              <w:marBottom w:val="0"/>
                              <w:divBdr>
                                <w:top w:val="none" w:sz="0" w:space="0" w:color="auto"/>
                                <w:left w:val="none" w:sz="0" w:space="0" w:color="auto"/>
                                <w:bottom w:val="none" w:sz="0" w:space="0" w:color="auto"/>
                                <w:right w:val="none" w:sz="0" w:space="0" w:color="auto"/>
                              </w:divBdr>
                            </w:div>
                            <w:div w:id="1424716337">
                              <w:marLeft w:val="0"/>
                              <w:marRight w:val="0"/>
                              <w:marTop w:val="0"/>
                              <w:marBottom w:val="0"/>
                              <w:divBdr>
                                <w:top w:val="none" w:sz="0" w:space="0" w:color="auto"/>
                                <w:left w:val="none" w:sz="0" w:space="0" w:color="auto"/>
                                <w:bottom w:val="none" w:sz="0" w:space="0" w:color="auto"/>
                                <w:right w:val="none" w:sz="0" w:space="0" w:color="auto"/>
                              </w:divBdr>
                            </w:div>
                            <w:div w:id="1612543176">
                              <w:marLeft w:val="0"/>
                              <w:marRight w:val="0"/>
                              <w:marTop w:val="0"/>
                              <w:marBottom w:val="0"/>
                              <w:divBdr>
                                <w:top w:val="none" w:sz="0" w:space="0" w:color="auto"/>
                                <w:left w:val="none" w:sz="0" w:space="0" w:color="auto"/>
                                <w:bottom w:val="none" w:sz="0" w:space="0" w:color="auto"/>
                                <w:right w:val="none" w:sz="0" w:space="0" w:color="auto"/>
                              </w:divBdr>
                            </w:div>
                            <w:div w:id="959608324">
                              <w:marLeft w:val="0"/>
                              <w:marRight w:val="0"/>
                              <w:marTop w:val="0"/>
                              <w:marBottom w:val="0"/>
                              <w:divBdr>
                                <w:top w:val="none" w:sz="0" w:space="0" w:color="auto"/>
                                <w:left w:val="none" w:sz="0" w:space="0" w:color="auto"/>
                                <w:bottom w:val="none" w:sz="0" w:space="0" w:color="auto"/>
                                <w:right w:val="none" w:sz="0" w:space="0" w:color="auto"/>
                              </w:divBdr>
                            </w:div>
                            <w:div w:id="853299149">
                              <w:marLeft w:val="0"/>
                              <w:marRight w:val="0"/>
                              <w:marTop w:val="0"/>
                              <w:marBottom w:val="0"/>
                              <w:divBdr>
                                <w:top w:val="none" w:sz="0" w:space="0" w:color="auto"/>
                                <w:left w:val="none" w:sz="0" w:space="0" w:color="auto"/>
                                <w:bottom w:val="none" w:sz="0" w:space="0" w:color="auto"/>
                                <w:right w:val="none" w:sz="0" w:space="0" w:color="auto"/>
                              </w:divBdr>
                            </w:div>
                            <w:div w:id="413281564">
                              <w:marLeft w:val="0"/>
                              <w:marRight w:val="0"/>
                              <w:marTop w:val="0"/>
                              <w:marBottom w:val="0"/>
                              <w:divBdr>
                                <w:top w:val="none" w:sz="0" w:space="0" w:color="auto"/>
                                <w:left w:val="none" w:sz="0" w:space="0" w:color="auto"/>
                                <w:bottom w:val="none" w:sz="0" w:space="0" w:color="auto"/>
                                <w:right w:val="none" w:sz="0" w:space="0" w:color="auto"/>
                              </w:divBdr>
                            </w:div>
                          </w:divsChild>
                        </w:div>
                        <w:div w:id="308362277">
                          <w:marLeft w:val="0"/>
                          <w:marRight w:val="0"/>
                          <w:marTop w:val="0"/>
                          <w:marBottom w:val="0"/>
                          <w:divBdr>
                            <w:top w:val="none" w:sz="0" w:space="0" w:color="auto"/>
                            <w:left w:val="none" w:sz="0" w:space="0" w:color="auto"/>
                            <w:bottom w:val="none" w:sz="0" w:space="0" w:color="auto"/>
                            <w:right w:val="none" w:sz="0" w:space="0" w:color="auto"/>
                          </w:divBdr>
                          <w:divsChild>
                            <w:div w:id="892692061">
                              <w:marLeft w:val="0"/>
                              <w:marRight w:val="0"/>
                              <w:marTop w:val="0"/>
                              <w:marBottom w:val="0"/>
                              <w:divBdr>
                                <w:top w:val="none" w:sz="0" w:space="0" w:color="auto"/>
                                <w:left w:val="none" w:sz="0" w:space="0" w:color="auto"/>
                                <w:bottom w:val="none" w:sz="0" w:space="0" w:color="auto"/>
                                <w:right w:val="none" w:sz="0" w:space="0" w:color="auto"/>
                              </w:divBdr>
                            </w:div>
                            <w:div w:id="927613644">
                              <w:marLeft w:val="0"/>
                              <w:marRight w:val="0"/>
                              <w:marTop w:val="0"/>
                              <w:marBottom w:val="0"/>
                              <w:divBdr>
                                <w:top w:val="none" w:sz="0" w:space="0" w:color="auto"/>
                                <w:left w:val="none" w:sz="0" w:space="0" w:color="auto"/>
                                <w:bottom w:val="none" w:sz="0" w:space="0" w:color="auto"/>
                                <w:right w:val="none" w:sz="0" w:space="0" w:color="auto"/>
                              </w:divBdr>
                            </w:div>
                            <w:div w:id="799109203">
                              <w:marLeft w:val="0"/>
                              <w:marRight w:val="0"/>
                              <w:marTop w:val="0"/>
                              <w:marBottom w:val="0"/>
                              <w:divBdr>
                                <w:top w:val="none" w:sz="0" w:space="0" w:color="auto"/>
                                <w:left w:val="none" w:sz="0" w:space="0" w:color="auto"/>
                                <w:bottom w:val="none" w:sz="0" w:space="0" w:color="auto"/>
                                <w:right w:val="none" w:sz="0" w:space="0" w:color="auto"/>
                              </w:divBdr>
                            </w:div>
                            <w:div w:id="1401832322">
                              <w:marLeft w:val="0"/>
                              <w:marRight w:val="0"/>
                              <w:marTop w:val="0"/>
                              <w:marBottom w:val="0"/>
                              <w:divBdr>
                                <w:top w:val="none" w:sz="0" w:space="0" w:color="auto"/>
                                <w:left w:val="none" w:sz="0" w:space="0" w:color="auto"/>
                                <w:bottom w:val="none" w:sz="0" w:space="0" w:color="auto"/>
                                <w:right w:val="none" w:sz="0" w:space="0" w:color="auto"/>
                              </w:divBdr>
                            </w:div>
                            <w:div w:id="2093769013">
                              <w:marLeft w:val="0"/>
                              <w:marRight w:val="0"/>
                              <w:marTop w:val="0"/>
                              <w:marBottom w:val="0"/>
                              <w:divBdr>
                                <w:top w:val="none" w:sz="0" w:space="0" w:color="auto"/>
                                <w:left w:val="none" w:sz="0" w:space="0" w:color="auto"/>
                                <w:bottom w:val="none" w:sz="0" w:space="0" w:color="auto"/>
                                <w:right w:val="none" w:sz="0" w:space="0" w:color="auto"/>
                              </w:divBdr>
                            </w:div>
                            <w:div w:id="1105491890">
                              <w:marLeft w:val="0"/>
                              <w:marRight w:val="0"/>
                              <w:marTop w:val="0"/>
                              <w:marBottom w:val="0"/>
                              <w:divBdr>
                                <w:top w:val="none" w:sz="0" w:space="0" w:color="auto"/>
                                <w:left w:val="none" w:sz="0" w:space="0" w:color="auto"/>
                                <w:bottom w:val="none" w:sz="0" w:space="0" w:color="auto"/>
                                <w:right w:val="none" w:sz="0" w:space="0" w:color="auto"/>
                              </w:divBdr>
                            </w:div>
                            <w:div w:id="441607204">
                              <w:marLeft w:val="0"/>
                              <w:marRight w:val="0"/>
                              <w:marTop w:val="0"/>
                              <w:marBottom w:val="0"/>
                              <w:divBdr>
                                <w:top w:val="none" w:sz="0" w:space="0" w:color="auto"/>
                                <w:left w:val="none" w:sz="0" w:space="0" w:color="auto"/>
                                <w:bottom w:val="none" w:sz="0" w:space="0" w:color="auto"/>
                                <w:right w:val="none" w:sz="0" w:space="0" w:color="auto"/>
                              </w:divBdr>
                            </w:div>
                            <w:div w:id="1718041311">
                              <w:marLeft w:val="0"/>
                              <w:marRight w:val="0"/>
                              <w:marTop w:val="0"/>
                              <w:marBottom w:val="0"/>
                              <w:divBdr>
                                <w:top w:val="none" w:sz="0" w:space="0" w:color="auto"/>
                                <w:left w:val="none" w:sz="0" w:space="0" w:color="auto"/>
                                <w:bottom w:val="none" w:sz="0" w:space="0" w:color="auto"/>
                                <w:right w:val="none" w:sz="0" w:space="0" w:color="auto"/>
                              </w:divBdr>
                            </w:div>
                            <w:div w:id="492456042">
                              <w:marLeft w:val="0"/>
                              <w:marRight w:val="0"/>
                              <w:marTop w:val="0"/>
                              <w:marBottom w:val="0"/>
                              <w:divBdr>
                                <w:top w:val="none" w:sz="0" w:space="0" w:color="auto"/>
                                <w:left w:val="none" w:sz="0" w:space="0" w:color="auto"/>
                                <w:bottom w:val="none" w:sz="0" w:space="0" w:color="auto"/>
                                <w:right w:val="none" w:sz="0" w:space="0" w:color="auto"/>
                              </w:divBdr>
                            </w:div>
                            <w:div w:id="601493193">
                              <w:marLeft w:val="0"/>
                              <w:marRight w:val="0"/>
                              <w:marTop w:val="0"/>
                              <w:marBottom w:val="0"/>
                              <w:divBdr>
                                <w:top w:val="none" w:sz="0" w:space="0" w:color="auto"/>
                                <w:left w:val="none" w:sz="0" w:space="0" w:color="auto"/>
                                <w:bottom w:val="none" w:sz="0" w:space="0" w:color="auto"/>
                                <w:right w:val="none" w:sz="0" w:space="0" w:color="auto"/>
                              </w:divBdr>
                            </w:div>
                            <w:div w:id="1316760351">
                              <w:marLeft w:val="0"/>
                              <w:marRight w:val="0"/>
                              <w:marTop w:val="0"/>
                              <w:marBottom w:val="0"/>
                              <w:divBdr>
                                <w:top w:val="none" w:sz="0" w:space="0" w:color="auto"/>
                                <w:left w:val="none" w:sz="0" w:space="0" w:color="auto"/>
                                <w:bottom w:val="none" w:sz="0" w:space="0" w:color="auto"/>
                                <w:right w:val="none" w:sz="0" w:space="0" w:color="auto"/>
                              </w:divBdr>
                            </w:div>
                            <w:div w:id="1808939012">
                              <w:marLeft w:val="0"/>
                              <w:marRight w:val="0"/>
                              <w:marTop w:val="0"/>
                              <w:marBottom w:val="0"/>
                              <w:divBdr>
                                <w:top w:val="none" w:sz="0" w:space="0" w:color="auto"/>
                                <w:left w:val="none" w:sz="0" w:space="0" w:color="auto"/>
                                <w:bottom w:val="none" w:sz="0" w:space="0" w:color="auto"/>
                                <w:right w:val="none" w:sz="0" w:space="0" w:color="auto"/>
                              </w:divBdr>
                            </w:div>
                            <w:div w:id="348803329">
                              <w:marLeft w:val="0"/>
                              <w:marRight w:val="0"/>
                              <w:marTop w:val="0"/>
                              <w:marBottom w:val="0"/>
                              <w:divBdr>
                                <w:top w:val="none" w:sz="0" w:space="0" w:color="auto"/>
                                <w:left w:val="none" w:sz="0" w:space="0" w:color="auto"/>
                                <w:bottom w:val="none" w:sz="0" w:space="0" w:color="auto"/>
                                <w:right w:val="none" w:sz="0" w:space="0" w:color="auto"/>
                              </w:divBdr>
                            </w:div>
                            <w:div w:id="631641011">
                              <w:marLeft w:val="0"/>
                              <w:marRight w:val="0"/>
                              <w:marTop w:val="0"/>
                              <w:marBottom w:val="0"/>
                              <w:divBdr>
                                <w:top w:val="none" w:sz="0" w:space="0" w:color="auto"/>
                                <w:left w:val="none" w:sz="0" w:space="0" w:color="auto"/>
                                <w:bottom w:val="none" w:sz="0" w:space="0" w:color="auto"/>
                                <w:right w:val="none" w:sz="0" w:space="0" w:color="auto"/>
                              </w:divBdr>
                            </w:div>
                            <w:div w:id="1251161049">
                              <w:marLeft w:val="0"/>
                              <w:marRight w:val="0"/>
                              <w:marTop w:val="0"/>
                              <w:marBottom w:val="0"/>
                              <w:divBdr>
                                <w:top w:val="none" w:sz="0" w:space="0" w:color="auto"/>
                                <w:left w:val="none" w:sz="0" w:space="0" w:color="auto"/>
                                <w:bottom w:val="none" w:sz="0" w:space="0" w:color="auto"/>
                                <w:right w:val="none" w:sz="0" w:space="0" w:color="auto"/>
                              </w:divBdr>
                            </w:div>
                            <w:div w:id="769396575">
                              <w:marLeft w:val="0"/>
                              <w:marRight w:val="0"/>
                              <w:marTop w:val="0"/>
                              <w:marBottom w:val="0"/>
                              <w:divBdr>
                                <w:top w:val="none" w:sz="0" w:space="0" w:color="auto"/>
                                <w:left w:val="none" w:sz="0" w:space="0" w:color="auto"/>
                                <w:bottom w:val="none" w:sz="0" w:space="0" w:color="auto"/>
                                <w:right w:val="none" w:sz="0" w:space="0" w:color="auto"/>
                              </w:divBdr>
                            </w:div>
                            <w:div w:id="92213446">
                              <w:marLeft w:val="0"/>
                              <w:marRight w:val="0"/>
                              <w:marTop w:val="0"/>
                              <w:marBottom w:val="0"/>
                              <w:divBdr>
                                <w:top w:val="none" w:sz="0" w:space="0" w:color="auto"/>
                                <w:left w:val="none" w:sz="0" w:space="0" w:color="auto"/>
                                <w:bottom w:val="none" w:sz="0" w:space="0" w:color="auto"/>
                                <w:right w:val="none" w:sz="0" w:space="0" w:color="auto"/>
                              </w:divBdr>
                            </w:div>
                          </w:divsChild>
                        </w:div>
                        <w:div w:id="2130277315">
                          <w:marLeft w:val="0"/>
                          <w:marRight w:val="0"/>
                          <w:marTop w:val="0"/>
                          <w:marBottom w:val="0"/>
                          <w:divBdr>
                            <w:top w:val="none" w:sz="0" w:space="0" w:color="auto"/>
                            <w:left w:val="none" w:sz="0" w:space="0" w:color="auto"/>
                            <w:bottom w:val="none" w:sz="0" w:space="0" w:color="auto"/>
                            <w:right w:val="none" w:sz="0" w:space="0" w:color="auto"/>
                          </w:divBdr>
                          <w:divsChild>
                            <w:div w:id="1735467119">
                              <w:marLeft w:val="0"/>
                              <w:marRight w:val="0"/>
                              <w:marTop w:val="0"/>
                              <w:marBottom w:val="0"/>
                              <w:divBdr>
                                <w:top w:val="none" w:sz="0" w:space="0" w:color="auto"/>
                                <w:left w:val="none" w:sz="0" w:space="0" w:color="auto"/>
                                <w:bottom w:val="none" w:sz="0" w:space="0" w:color="auto"/>
                                <w:right w:val="none" w:sz="0" w:space="0" w:color="auto"/>
                              </w:divBdr>
                            </w:div>
                            <w:div w:id="1408266424">
                              <w:marLeft w:val="0"/>
                              <w:marRight w:val="0"/>
                              <w:marTop w:val="0"/>
                              <w:marBottom w:val="0"/>
                              <w:divBdr>
                                <w:top w:val="none" w:sz="0" w:space="0" w:color="auto"/>
                                <w:left w:val="none" w:sz="0" w:space="0" w:color="auto"/>
                                <w:bottom w:val="none" w:sz="0" w:space="0" w:color="auto"/>
                                <w:right w:val="none" w:sz="0" w:space="0" w:color="auto"/>
                              </w:divBdr>
                            </w:div>
                            <w:div w:id="1653371333">
                              <w:marLeft w:val="0"/>
                              <w:marRight w:val="0"/>
                              <w:marTop w:val="0"/>
                              <w:marBottom w:val="0"/>
                              <w:divBdr>
                                <w:top w:val="none" w:sz="0" w:space="0" w:color="auto"/>
                                <w:left w:val="none" w:sz="0" w:space="0" w:color="auto"/>
                                <w:bottom w:val="none" w:sz="0" w:space="0" w:color="auto"/>
                                <w:right w:val="none" w:sz="0" w:space="0" w:color="auto"/>
                              </w:divBdr>
                            </w:div>
                            <w:div w:id="1241257389">
                              <w:marLeft w:val="0"/>
                              <w:marRight w:val="0"/>
                              <w:marTop w:val="0"/>
                              <w:marBottom w:val="0"/>
                              <w:divBdr>
                                <w:top w:val="none" w:sz="0" w:space="0" w:color="auto"/>
                                <w:left w:val="none" w:sz="0" w:space="0" w:color="auto"/>
                                <w:bottom w:val="none" w:sz="0" w:space="0" w:color="auto"/>
                                <w:right w:val="none" w:sz="0" w:space="0" w:color="auto"/>
                              </w:divBdr>
                            </w:div>
                            <w:div w:id="722682648">
                              <w:marLeft w:val="0"/>
                              <w:marRight w:val="0"/>
                              <w:marTop w:val="0"/>
                              <w:marBottom w:val="0"/>
                              <w:divBdr>
                                <w:top w:val="none" w:sz="0" w:space="0" w:color="auto"/>
                                <w:left w:val="none" w:sz="0" w:space="0" w:color="auto"/>
                                <w:bottom w:val="none" w:sz="0" w:space="0" w:color="auto"/>
                                <w:right w:val="none" w:sz="0" w:space="0" w:color="auto"/>
                              </w:divBdr>
                            </w:div>
                          </w:divsChild>
                        </w:div>
                        <w:div w:id="1141772101">
                          <w:marLeft w:val="0"/>
                          <w:marRight w:val="0"/>
                          <w:marTop w:val="0"/>
                          <w:marBottom w:val="0"/>
                          <w:divBdr>
                            <w:top w:val="none" w:sz="0" w:space="0" w:color="auto"/>
                            <w:left w:val="none" w:sz="0" w:space="0" w:color="auto"/>
                            <w:bottom w:val="none" w:sz="0" w:space="0" w:color="auto"/>
                            <w:right w:val="none" w:sz="0" w:space="0" w:color="auto"/>
                          </w:divBdr>
                          <w:divsChild>
                            <w:div w:id="781221172">
                              <w:marLeft w:val="0"/>
                              <w:marRight w:val="0"/>
                              <w:marTop w:val="0"/>
                              <w:marBottom w:val="0"/>
                              <w:divBdr>
                                <w:top w:val="none" w:sz="0" w:space="0" w:color="auto"/>
                                <w:left w:val="none" w:sz="0" w:space="0" w:color="auto"/>
                                <w:bottom w:val="none" w:sz="0" w:space="0" w:color="auto"/>
                                <w:right w:val="none" w:sz="0" w:space="0" w:color="auto"/>
                              </w:divBdr>
                            </w:div>
                            <w:div w:id="1599874508">
                              <w:marLeft w:val="0"/>
                              <w:marRight w:val="0"/>
                              <w:marTop w:val="0"/>
                              <w:marBottom w:val="0"/>
                              <w:divBdr>
                                <w:top w:val="none" w:sz="0" w:space="0" w:color="auto"/>
                                <w:left w:val="none" w:sz="0" w:space="0" w:color="auto"/>
                                <w:bottom w:val="none" w:sz="0" w:space="0" w:color="auto"/>
                                <w:right w:val="none" w:sz="0" w:space="0" w:color="auto"/>
                              </w:divBdr>
                            </w:div>
                            <w:div w:id="233207138">
                              <w:marLeft w:val="0"/>
                              <w:marRight w:val="0"/>
                              <w:marTop w:val="0"/>
                              <w:marBottom w:val="0"/>
                              <w:divBdr>
                                <w:top w:val="none" w:sz="0" w:space="0" w:color="auto"/>
                                <w:left w:val="none" w:sz="0" w:space="0" w:color="auto"/>
                                <w:bottom w:val="none" w:sz="0" w:space="0" w:color="auto"/>
                                <w:right w:val="none" w:sz="0" w:space="0" w:color="auto"/>
                              </w:divBdr>
                            </w:div>
                            <w:div w:id="1704674975">
                              <w:marLeft w:val="0"/>
                              <w:marRight w:val="0"/>
                              <w:marTop w:val="0"/>
                              <w:marBottom w:val="0"/>
                              <w:divBdr>
                                <w:top w:val="none" w:sz="0" w:space="0" w:color="auto"/>
                                <w:left w:val="none" w:sz="0" w:space="0" w:color="auto"/>
                                <w:bottom w:val="none" w:sz="0" w:space="0" w:color="auto"/>
                                <w:right w:val="none" w:sz="0" w:space="0" w:color="auto"/>
                              </w:divBdr>
                            </w:div>
                            <w:div w:id="1289244257">
                              <w:marLeft w:val="0"/>
                              <w:marRight w:val="0"/>
                              <w:marTop w:val="0"/>
                              <w:marBottom w:val="0"/>
                              <w:divBdr>
                                <w:top w:val="none" w:sz="0" w:space="0" w:color="auto"/>
                                <w:left w:val="none" w:sz="0" w:space="0" w:color="auto"/>
                                <w:bottom w:val="none" w:sz="0" w:space="0" w:color="auto"/>
                                <w:right w:val="none" w:sz="0" w:space="0" w:color="auto"/>
                              </w:divBdr>
                            </w:div>
                            <w:div w:id="2082866830">
                              <w:marLeft w:val="0"/>
                              <w:marRight w:val="0"/>
                              <w:marTop w:val="0"/>
                              <w:marBottom w:val="0"/>
                              <w:divBdr>
                                <w:top w:val="none" w:sz="0" w:space="0" w:color="auto"/>
                                <w:left w:val="none" w:sz="0" w:space="0" w:color="auto"/>
                                <w:bottom w:val="none" w:sz="0" w:space="0" w:color="auto"/>
                                <w:right w:val="none" w:sz="0" w:space="0" w:color="auto"/>
                              </w:divBdr>
                            </w:div>
                            <w:div w:id="187761329">
                              <w:marLeft w:val="0"/>
                              <w:marRight w:val="0"/>
                              <w:marTop w:val="0"/>
                              <w:marBottom w:val="0"/>
                              <w:divBdr>
                                <w:top w:val="none" w:sz="0" w:space="0" w:color="auto"/>
                                <w:left w:val="none" w:sz="0" w:space="0" w:color="auto"/>
                                <w:bottom w:val="none" w:sz="0" w:space="0" w:color="auto"/>
                                <w:right w:val="none" w:sz="0" w:space="0" w:color="auto"/>
                              </w:divBdr>
                            </w:div>
                          </w:divsChild>
                        </w:div>
                        <w:div w:id="1627352518">
                          <w:marLeft w:val="0"/>
                          <w:marRight w:val="0"/>
                          <w:marTop w:val="0"/>
                          <w:marBottom w:val="0"/>
                          <w:divBdr>
                            <w:top w:val="none" w:sz="0" w:space="0" w:color="auto"/>
                            <w:left w:val="none" w:sz="0" w:space="0" w:color="auto"/>
                            <w:bottom w:val="none" w:sz="0" w:space="0" w:color="auto"/>
                            <w:right w:val="none" w:sz="0" w:space="0" w:color="auto"/>
                          </w:divBdr>
                          <w:divsChild>
                            <w:div w:id="1656689725">
                              <w:marLeft w:val="0"/>
                              <w:marRight w:val="0"/>
                              <w:marTop w:val="0"/>
                              <w:marBottom w:val="0"/>
                              <w:divBdr>
                                <w:top w:val="none" w:sz="0" w:space="0" w:color="auto"/>
                                <w:left w:val="none" w:sz="0" w:space="0" w:color="auto"/>
                                <w:bottom w:val="none" w:sz="0" w:space="0" w:color="auto"/>
                                <w:right w:val="none" w:sz="0" w:space="0" w:color="auto"/>
                              </w:divBdr>
                            </w:div>
                            <w:div w:id="369036776">
                              <w:marLeft w:val="0"/>
                              <w:marRight w:val="0"/>
                              <w:marTop w:val="0"/>
                              <w:marBottom w:val="0"/>
                              <w:divBdr>
                                <w:top w:val="none" w:sz="0" w:space="0" w:color="auto"/>
                                <w:left w:val="none" w:sz="0" w:space="0" w:color="auto"/>
                                <w:bottom w:val="none" w:sz="0" w:space="0" w:color="auto"/>
                                <w:right w:val="none" w:sz="0" w:space="0" w:color="auto"/>
                              </w:divBdr>
                            </w:div>
                            <w:div w:id="1096092458">
                              <w:marLeft w:val="0"/>
                              <w:marRight w:val="0"/>
                              <w:marTop w:val="0"/>
                              <w:marBottom w:val="0"/>
                              <w:divBdr>
                                <w:top w:val="none" w:sz="0" w:space="0" w:color="auto"/>
                                <w:left w:val="none" w:sz="0" w:space="0" w:color="auto"/>
                                <w:bottom w:val="none" w:sz="0" w:space="0" w:color="auto"/>
                                <w:right w:val="none" w:sz="0" w:space="0" w:color="auto"/>
                              </w:divBdr>
                            </w:div>
                          </w:divsChild>
                        </w:div>
                        <w:div w:id="969868983">
                          <w:marLeft w:val="0"/>
                          <w:marRight w:val="0"/>
                          <w:marTop w:val="0"/>
                          <w:marBottom w:val="0"/>
                          <w:divBdr>
                            <w:top w:val="none" w:sz="0" w:space="0" w:color="auto"/>
                            <w:left w:val="none" w:sz="0" w:space="0" w:color="auto"/>
                            <w:bottom w:val="none" w:sz="0" w:space="0" w:color="auto"/>
                            <w:right w:val="none" w:sz="0" w:space="0" w:color="auto"/>
                          </w:divBdr>
                          <w:divsChild>
                            <w:div w:id="2033914206">
                              <w:marLeft w:val="0"/>
                              <w:marRight w:val="0"/>
                              <w:marTop w:val="0"/>
                              <w:marBottom w:val="0"/>
                              <w:divBdr>
                                <w:top w:val="none" w:sz="0" w:space="0" w:color="auto"/>
                                <w:left w:val="none" w:sz="0" w:space="0" w:color="auto"/>
                                <w:bottom w:val="none" w:sz="0" w:space="0" w:color="auto"/>
                                <w:right w:val="none" w:sz="0" w:space="0" w:color="auto"/>
                              </w:divBdr>
                            </w:div>
                            <w:div w:id="1512837635">
                              <w:marLeft w:val="0"/>
                              <w:marRight w:val="0"/>
                              <w:marTop w:val="0"/>
                              <w:marBottom w:val="0"/>
                              <w:divBdr>
                                <w:top w:val="none" w:sz="0" w:space="0" w:color="auto"/>
                                <w:left w:val="none" w:sz="0" w:space="0" w:color="auto"/>
                                <w:bottom w:val="none" w:sz="0" w:space="0" w:color="auto"/>
                                <w:right w:val="none" w:sz="0" w:space="0" w:color="auto"/>
                              </w:divBdr>
                            </w:div>
                            <w:div w:id="463237119">
                              <w:marLeft w:val="0"/>
                              <w:marRight w:val="0"/>
                              <w:marTop w:val="0"/>
                              <w:marBottom w:val="0"/>
                              <w:divBdr>
                                <w:top w:val="none" w:sz="0" w:space="0" w:color="auto"/>
                                <w:left w:val="none" w:sz="0" w:space="0" w:color="auto"/>
                                <w:bottom w:val="none" w:sz="0" w:space="0" w:color="auto"/>
                                <w:right w:val="none" w:sz="0" w:space="0" w:color="auto"/>
                              </w:divBdr>
                            </w:div>
                            <w:div w:id="616833755">
                              <w:marLeft w:val="0"/>
                              <w:marRight w:val="0"/>
                              <w:marTop w:val="0"/>
                              <w:marBottom w:val="0"/>
                              <w:divBdr>
                                <w:top w:val="none" w:sz="0" w:space="0" w:color="auto"/>
                                <w:left w:val="none" w:sz="0" w:space="0" w:color="auto"/>
                                <w:bottom w:val="none" w:sz="0" w:space="0" w:color="auto"/>
                                <w:right w:val="none" w:sz="0" w:space="0" w:color="auto"/>
                              </w:divBdr>
                            </w:div>
                          </w:divsChild>
                        </w:div>
                        <w:div w:id="1461267520">
                          <w:marLeft w:val="0"/>
                          <w:marRight w:val="0"/>
                          <w:marTop w:val="0"/>
                          <w:marBottom w:val="0"/>
                          <w:divBdr>
                            <w:top w:val="none" w:sz="0" w:space="0" w:color="auto"/>
                            <w:left w:val="none" w:sz="0" w:space="0" w:color="auto"/>
                            <w:bottom w:val="none" w:sz="0" w:space="0" w:color="auto"/>
                            <w:right w:val="none" w:sz="0" w:space="0" w:color="auto"/>
                          </w:divBdr>
                          <w:divsChild>
                            <w:div w:id="318311941">
                              <w:marLeft w:val="0"/>
                              <w:marRight w:val="0"/>
                              <w:marTop w:val="0"/>
                              <w:marBottom w:val="0"/>
                              <w:divBdr>
                                <w:top w:val="none" w:sz="0" w:space="0" w:color="auto"/>
                                <w:left w:val="none" w:sz="0" w:space="0" w:color="auto"/>
                                <w:bottom w:val="none" w:sz="0" w:space="0" w:color="auto"/>
                                <w:right w:val="none" w:sz="0" w:space="0" w:color="auto"/>
                              </w:divBdr>
                            </w:div>
                            <w:div w:id="1742748115">
                              <w:marLeft w:val="0"/>
                              <w:marRight w:val="0"/>
                              <w:marTop w:val="0"/>
                              <w:marBottom w:val="0"/>
                              <w:divBdr>
                                <w:top w:val="none" w:sz="0" w:space="0" w:color="auto"/>
                                <w:left w:val="none" w:sz="0" w:space="0" w:color="auto"/>
                                <w:bottom w:val="none" w:sz="0" w:space="0" w:color="auto"/>
                                <w:right w:val="none" w:sz="0" w:space="0" w:color="auto"/>
                              </w:divBdr>
                            </w:div>
                            <w:div w:id="1829127970">
                              <w:marLeft w:val="0"/>
                              <w:marRight w:val="0"/>
                              <w:marTop w:val="0"/>
                              <w:marBottom w:val="0"/>
                              <w:divBdr>
                                <w:top w:val="none" w:sz="0" w:space="0" w:color="auto"/>
                                <w:left w:val="none" w:sz="0" w:space="0" w:color="auto"/>
                                <w:bottom w:val="none" w:sz="0" w:space="0" w:color="auto"/>
                                <w:right w:val="none" w:sz="0" w:space="0" w:color="auto"/>
                              </w:divBdr>
                            </w:div>
                            <w:div w:id="1337077129">
                              <w:marLeft w:val="0"/>
                              <w:marRight w:val="0"/>
                              <w:marTop w:val="0"/>
                              <w:marBottom w:val="0"/>
                              <w:divBdr>
                                <w:top w:val="none" w:sz="0" w:space="0" w:color="auto"/>
                                <w:left w:val="none" w:sz="0" w:space="0" w:color="auto"/>
                                <w:bottom w:val="none" w:sz="0" w:space="0" w:color="auto"/>
                                <w:right w:val="none" w:sz="0" w:space="0" w:color="auto"/>
                              </w:divBdr>
                            </w:div>
                            <w:div w:id="1842424121">
                              <w:marLeft w:val="0"/>
                              <w:marRight w:val="0"/>
                              <w:marTop w:val="0"/>
                              <w:marBottom w:val="0"/>
                              <w:divBdr>
                                <w:top w:val="none" w:sz="0" w:space="0" w:color="auto"/>
                                <w:left w:val="none" w:sz="0" w:space="0" w:color="auto"/>
                                <w:bottom w:val="none" w:sz="0" w:space="0" w:color="auto"/>
                                <w:right w:val="none" w:sz="0" w:space="0" w:color="auto"/>
                              </w:divBdr>
                            </w:div>
                            <w:div w:id="544886">
                              <w:marLeft w:val="0"/>
                              <w:marRight w:val="0"/>
                              <w:marTop w:val="0"/>
                              <w:marBottom w:val="0"/>
                              <w:divBdr>
                                <w:top w:val="none" w:sz="0" w:space="0" w:color="auto"/>
                                <w:left w:val="none" w:sz="0" w:space="0" w:color="auto"/>
                                <w:bottom w:val="none" w:sz="0" w:space="0" w:color="auto"/>
                                <w:right w:val="none" w:sz="0" w:space="0" w:color="auto"/>
                              </w:divBdr>
                            </w:div>
                            <w:div w:id="1070809087">
                              <w:marLeft w:val="0"/>
                              <w:marRight w:val="0"/>
                              <w:marTop w:val="0"/>
                              <w:marBottom w:val="0"/>
                              <w:divBdr>
                                <w:top w:val="none" w:sz="0" w:space="0" w:color="auto"/>
                                <w:left w:val="none" w:sz="0" w:space="0" w:color="auto"/>
                                <w:bottom w:val="none" w:sz="0" w:space="0" w:color="auto"/>
                                <w:right w:val="none" w:sz="0" w:space="0" w:color="auto"/>
                              </w:divBdr>
                            </w:div>
                            <w:div w:id="582030702">
                              <w:marLeft w:val="0"/>
                              <w:marRight w:val="0"/>
                              <w:marTop w:val="0"/>
                              <w:marBottom w:val="0"/>
                              <w:divBdr>
                                <w:top w:val="none" w:sz="0" w:space="0" w:color="auto"/>
                                <w:left w:val="none" w:sz="0" w:space="0" w:color="auto"/>
                                <w:bottom w:val="none" w:sz="0" w:space="0" w:color="auto"/>
                                <w:right w:val="none" w:sz="0" w:space="0" w:color="auto"/>
                              </w:divBdr>
                            </w:div>
                            <w:div w:id="843201609">
                              <w:marLeft w:val="0"/>
                              <w:marRight w:val="0"/>
                              <w:marTop w:val="0"/>
                              <w:marBottom w:val="0"/>
                              <w:divBdr>
                                <w:top w:val="none" w:sz="0" w:space="0" w:color="auto"/>
                                <w:left w:val="none" w:sz="0" w:space="0" w:color="auto"/>
                                <w:bottom w:val="none" w:sz="0" w:space="0" w:color="auto"/>
                                <w:right w:val="none" w:sz="0" w:space="0" w:color="auto"/>
                              </w:divBdr>
                            </w:div>
                            <w:div w:id="1090128754">
                              <w:marLeft w:val="0"/>
                              <w:marRight w:val="0"/>
                              <w:marTop w:val="0"/>
                              <w:marBottom w:val="0"/>
                              <w:divBdr>
                                <w:top w:val="none" w:sz="0" w:space="0" w:color="auto"/>
                                <w:left w:val="none" w:sz="0" w:space="0" w:color="auto"/>
                                <w:bottom w:val="none" w:sz="0" w:space="0" w:color="auto"/>
                                <w:right w:val="none" w:sz="0" w:space="0" w:color="auto"/>
                              </w:divBdr>
                            </w:div>
                            <w:div w:id="607548341">
                              <w:marLeft w:val="0"/>
                              <w:marRight w:val="0"/>
                              <w:marTop w:val="0"/>
                              <w:marBottom w:val="0"/>
                              <w:divBdr>
                                <w:top w:val="none" w:sz="0" w:space="0" w:color="auto"/>
                                <w:left w:val="none" w:sz="0" w:space="0" w:color="auto"/>
                                <w:bottom w:val="none" w:sz="0" w:space="0" w:color="auto"/>
                                <w:right w:val="none" w:sz="0" w:space="0" w:color="auto"/>
                              </w:divBdr>
                            </w:div>
                            <w:div w:id="225919172">
                              <w:marLeft w:val="0"/>
                              <w:marRight w:val="0"/>
                              <w:marTop w:val="0"/>
                              <w:marBottom w:val="0"/>
                              <w:divBdr>
                                <w:top w:val="none" w:sz="0" w:space="0" w:color="auto"/>
                                <w:left w:val="none" w:sz="0" w:space="0" w:color="auto"/>
                                <w:bottom w:val="none" w:sz="0" w:space="0" w:color="auto"/>
                                <w:right w:val="none" w:sz="0" w:space="0" w:color="auto"/>
                              </w:divBdr>
                            </w:div>
                            <w:div w:id="1193036808">
                              <w:marLeft w:val="0"/>
                              <w:marRight w:val="0"/>
                              <w:marTop w:val="0"/>
                              <w:marBottom w:val="0"/>
                              <w:divBdr>
                                <w:top w:val="none" w:sz="0" w:space="0" w:color="auto"/>
                                <w:left w:val="none" w:sz="0" w:space="0" w:color="auto"/>
                                <w:bottom w:val="none" w:sz="0" w:space="0" w:color="auto"/>
                                <w:right w:val="none" w:sz="0" w:space="0" w:color="auto"/>
                              </w:divBdr>
                            </w:div>
                            <w:div w:id="1357736983">
                              <w:marLeft w:val="0"/>
                              <w:marRight w:val="0"/>
                              <w:marTop w:val="0"/>
                              <w:marBottom w:val="0"/>
                              <w:divBdr>
                                <w:top w:val="none" w:sz="0" w:space="0" w:color="auto"/>
                                <w:left w:val="none" w:sz="0" w:space="0" w:color="auto"/>
                                <w:bottom w:val="none" w:sz="0" w:space="0" w:color="auto"/>
                                <w:right w:val="none" w:sz="0" w:space="0" w:color="auto"/>
                              </w:divBdr>
                            </w:div>
                            <w:div w:id="1310329894">
                              <w:marLeft w:val="0"/>
                              <w:marRight w:val="0"/>
                              <w:marTop w:val="0"/>
                              <w:marBottom w:val="0"/>
                              <w:divBdr>
                                <w:top w:val="none" w:sz="0" w:space="0" w:color="auto"/>
                                <w:left w:val="none" w:sz="0" w:space="0" w:color="auto"/>
                                <w:bottom w:val="none" w:sz="0" w:space="0" w:color="auto"/>
                                <w:right w:val="none" w:sz="0" w:space="0" w:color="auto"/>
                              </w:divBdr>
                            </w:div>
                            <w:div w:id="586770828">
                              <w:marLeft w:val="0"/>
                              <w:marRight w:val="0"/>
                              <w:marTop w:val="0"/>
                              <w:marBottom w:val="0"/>
                              <w:divBdr>
                                <w:top w:val="none" w:sz="0" w:space="0" w:color="auto"/>
                                <w:left w:val="none" w:sz="0" w:space="0" w:color="auto"/>
                                <w:bottom w:val="none" w:sz="0" w:space="0" w:color="auto"/>
                                <w:right w:val="none" w:sz="0" w:space="0" w:color="auto"/>
                              </w:divBdr>
                            </w:div>
                          </w:divsChild>
                        </w:div>
                        <w:div w:id="1671717965">
                          <w:marLeft w:val="0"/>
                          <w:marRight w:val="0"/>
                          <w:marTop w:val="0"/>
                          <w:marBottom w:val="0"/>
                          <w:divBdr>
                            <w:top w:val="none" w:sz="0" w:space="0" w:color="auto"/>
                            <w:left w:val="none" w:sz="0" w:space="0" w:color="auto"/>
                            <w:bottom w:val="none" w:sz="0" w:space="0" w:color="auto"/>
                            <w:right w:val="none" w:sz="0" w:space="0" w:color="auto"/>
                          </w:divBdr>
                          <w:divsChild>
                            <w:div w:id="519970817">
                              <w:marLeft w:val="0"/>
                              <w:marRight w:val="0"/>
                              <w:marTop w:val="0"/>
                              <w:marBottom w:val="0"/>
                              <w:divBdr>
                                <w:top w:val="none" w:sz="0" w:space="0" w:color="auto"/>
                                <w:left w:val="none" w:sz="0" w:space="0" w:color="auto"/>
                                <w:bottom w:val="none" w:sz="0" w:space="0" w:color="auto"/>
                                <w:right w:val="none" w:sz="0" w:space="0" w:color="auto"/>
                              </w:divBdr>
                            </w:div>
                            <w:div w:id="1058624079">
                              <w:marLeft w:val="0"/>
                              <w:marRight w:val="0"/>
                              <w:marTop w:val="0"/>
                              <w:marBottom w:val="0"/>
                              <w:divBdr>
                                <w:top w:val="none" w:sz="0" w:space="0" w:color="auto"/>
                                <w:left w:val="none" w:sz="0" w:space="0" w:color="auto"/>
                                <w:bottom w:val="none" w:sz="0" w:space="0" w:color="auto"/>
                                <w:right w:val="none" w:sz="0" w:space="0" w:color="auto"/>
                              </w:divBdr>
                            </w:div>
                            <w:div w:id="130909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750230">
                      <w:marLeft w:val="0"/>
                      <w:marRight w:val="0"/>
                      <w:marTop w:val="0"/>
                      <w:marBottom w:val="0"/>
                      <w:divBdr>
                        <w:top w:val="none" w:sz="0" w:space="0" w:color="auto"/>
                        <w:left w:val="none" w:sz="0" w:space="0" w:color="auto"/>
                        <w:bottom w:val="none" w:sz="0" w:space="0" w:color="auto"/>
                        <w:right w:val="none" w:sz="0" w:space="0" w:color="auto"/>
                      </w:divBdr>
                      <w:divsChild>
                        <w:div w:id="562571605">
                          <w:marLeft w:val="0"/>
                          <w:marRight w:val="0"/>
                          <w:marTop w:val="0"/>
                          <w:marBottom w:val="0"/>
                          <w:divBdr>
                            <w:top w:val="none" w:sz="0" w:space="0" w:color="auto"/>
                            <w:left w:val="none" w:sz="0" w:space="0" w:color="auto"/>
                            <w:bottom w:val="none" w:sz="0" w:space="0" w:color="auto"/>
                            <w:right w:val="none" w:sz="0" w:space="0" w:color="auto"/>
                          </w:divBdr>
                        </w:div>
                        <w:div w:id="2134983557">
                          <w:marLeft w:val="0"/>
                          <w:marRight w:val="0"/>
                          <w:marTop w:val="0"/>
                          <w:marBottom w:val="0"/>
                          <w:divBdr>
                            <w:top w:val="none" w:sz="0" w:space="0" w:color="auto"/>
                            <w:left w:val="none" w:sz="0" w:space="0" w:color="auto"/>
                            <w:bottom w:val="none" w:sz="0" w:space="0" w:color="auto"/>
                            <w:right w:val="none" w:sz="0" w:space="0" w:color="auto"/>
                          </w:divBdr>
                          <w:divsChild>
                            <w:div w:id="857280854">
                              <w:marLeft w:val="0"/>
                              <w:marRight w:val="0"/>
                              <w:marTop w:val="0"/>
                              <w:marBottom w:val="0"/>
                              <w:divBdr>
                                <w:top w:val="none" w:sz="0" w:space="0" w:color="auto"/>
                                <w:left w:val="none" w:sz="0" w:space="0" w:color="auto"/>
                                <w:bottom w:val="none" w:sz="0" w:space="0" w:color="auto"/>
                                <w:right w:val="none" w:sz="0" w:space="0" w:color="auto"/>
                              </w:divBdr>
                            </w:div>
                            <w:div w:id="339817559">
                              <w:marLeft w:val="0"/>
                              <w:marRight w:val="0"/>
                              <w:marTop w:val="0"/>
                              <w:marBottom w:val="0"/>
                              <w:divBdr>
                                <w:top w:val="none" w:sz="0" w:space="0" w:color="auto"/>
                                <w:left w:val="none" w:sz="0" w:space="0" w:color="auto"/>
                                <w:bottom w:val="none" w:sz="0" w:space="0" w:color="auto"/>
                                <w:right w:val="none" w:sz="0" w:space="0" w:color="auto"/>
                              </w:divBdr>
                            </w:div>
                            <w:div w:id="44255002">
                              <w:marLeft w:val="0"/>
                              <w:marRight w:val="0"/>
                              <w:marTop w:val="0"/>
                              <w:marBottom w:val="0"/>
                              <w:divBdr>
                                <w:top w:val="none" w:sz="0" w:space="0" w:color="auto"/>
                                <w:left w:val="none" w:sz="0" w:space="0" w:color="auto"/>
                                <w:bottom w:val="none" w:sz="0" w:space="0" w:color="auto"/>
                                <w:right w:val="none" w:sz="0" w:space="0" w:color="auto"/>
                              </w:divBdr>
                            </w:div>
                            <w:div w:id="1446122640">
                              <w:marLeft w:val="0"/>
                              <w:marRight w:val="0"/>
                              <w:marTop w:val="0"/>
                              <w:marBottom w:val="0"/>
                              <w:divBdr>
                                <w:top w:val="none" w:sz="0" w:space="0" w:color="auto"/>
                                <w:left w:val="none" w:sz="0" w:space="0" w:color="auto"/>
                                <w:bottom w:val="none" w:sz="0" w:space="0" w:color="auto"/>
                                <w:right w:val="none" w:sz="0" w:space="0" w:color="auto"/>
                              </w:divBdr>
                            </w:div>
                            <w:div w:id="1495536857">
                              <w:marLeft w:val="0"/>
                              <w:marRight w:val="0"/>
                              <w:marTop w:val="0"/>
                              <w:marBottom w:val="0"/>
                              <w:divBdr>
                                <w:top w:val="none" w:sz="0" w:space="0" w:color="auto"/>
                                <w:left w:val="none" w:sz="0" w:space="0" w:color="auto"/>
                                <w:bottom w:val="none" w:sz="0" w:space="0" w:color="auto"/>
                                <w:right w:val="none" w:sz="0" w:space="0" w:color="auto"/>
                              </w:divBdr>
                            </w:div>
                            <w:div w:id="1741753531">
                              <w:marLeft w:val="0"/>
                              <w:marRight w:val="0"/>
                              <w:marTop w:val="0"/>
                              <w:marBottom w:val="0"/>
                              <w:divBdr>
                                <w:top w:val="none" w:sz="0" w:space="0" w:color="auto"/>
                                <w:left w:val="none" w:sz="0" w:space="0" w:color="auto"/>
                                <w:bottom w:val="none" w:sz="0" w:space="0" w:color="auto"/>
                                <w:right w:val="none" w:sz="0" w:space="0" w:color="auto"/>
                              </w:divBdr>
                            </w:div>
                            <w:div w:id="1879395881">
                              <w:marLeft w:val="0"/>
                              <w:marRight w:val="0"/>
                              <w:marTop w:val="0"/>
                              <w:marBottom w:val="0"/>
                              <w:divBdr>
                                <w:top w:val="none" w:sz="0" w:space="0" w:color="auto"/>
                                <w:left w:val="none" w:sz="0" w:space="0" w:color="auto"/>
                                <w:bottom w:val="none" w:sz="0" w:space="0" w:color="auto"/>
                                <w:right w:val="none" w:sz="0" w:space="0" w:color="auto"/>
                              </w:divBdr>
                            </w:div>
                            <w:div w:id="634413054">
                              <w:marLeft w:val="0"/>
                              <w:marRight w:val="0"/>
                              <w:marTop w:val="0"/>
                              <w:marBottom w:val="0"/>
                              <w:divBdr>
                                <w:top w:val="none" w:sz="0" w:space="0" w:color="auto"/>
                                <w:left w:val="none" w:sz="0" w:space="0" w:color="auto"/>
                                <w:bottom w:val="none" w:sz="0" w:space="0" w:color="auto"/>
                                <w:right w:val="none" w:sz="0" w:space="0" w:color="auto"/>
                              </w:divBdr>
                            </w:div>
                            <w:div w:id="650525173">
                              <w:marLeft w:val="0"/>
                              <w:marRight w:val="0"/>
                              <w:marTop w:val="0"/>
                              <w:marBottom w:val="0"/>
                              <w:divBdr>
                                <w:top w:val="none" w:sz="0" w:space="0" w:color="auto"/>
                                <w:left w:val="none" w:sz="0" w:space="0" w:color="auto"/>
                                <w:bottom w:val="none" w:sz="0" w:space="0" w:color="auto"/>
                                <w:right w:val="none" w:sz="0" w:space="0" w:color="auto"/>
                              </w:divBdr>
                            </w:div>
                            <w:div w:id="149371201">
                              <w:marLeft w:val="0"/>
                              <w:marRight w:val="0"/>
                              <w:marTop w:val="0"/>
                              <w:marBottom w:val="0"/>
                              <w:divBdr>
                                <w:top w:val="none" w:sz="0" w:space="0" w:color="auto"/>
                                <w:left w:val="none" w:sz="0" w:space="0" w:color="auto"/>
                                <w:bottom w:val="none" w:sz="0" w:space="0" w:color="auto"/>
                                <w:right w:val="none" w:sz="0" w:space="0" w:color="auto"/>
                              </w:divBdr>
                            </w:div>
                          </w:divsChild>
                        </w:div>
                        <w:div w:id="475340115">
                          <w:marLeft w:val="0"/>
                          <w:marRight w:val="0"/>
                          <w:marTop w:val="0"/>
                          <w:marBottom w:val="0"/>
                          <w:divBdr>
                            <w:top w:val="none" w:sz="0" w:space="0" w:color="auto"/>
                            <w:left w:val="none" w:sz="0" w:space="0" w:color="auto"/>
                            <w:bottom w:val="none" w:sz="0" w:space="0" w:color="auto"/>
                            <w:right w:val="none" w:sz="0" w:space="0" w:color="auto"/>
                          </w:divBdr>
                          <w:divsChild>
                            <w:div w:id="1505242422">
                              <w:marLeft w:val="0"/>
                              <w:marRight w:val="0"/>
                              <w:marTop w:val="0"/>
                              <w:marBottom w:val="0"/>
                              <w:divBdr>
                                <w:top w:val="none" w:sz="0" w:space="0" w:color="auto"/>
                                <w:left w:val="none" w:sz="0" w:space="0" w:color="auto"/>
                                <w:bottom w:val="none" w:sz="0" w:space="0" w:color="auto"/>
                                <w:right w:val="none" w:sz="0" w:space="0" w:color="auto"/>
                              </w:divBdr>
                            </w:div>
                            <w:div w:id="1793552095">
                              <w:marLeft w:val="0"/>
                              <w:marRight w:val="0"/>
                              <w:marTop w:val="0"/>
                              <w:marBottom w:val="0"/>
                              <w:divBdr>
                                <w:top w:val="none" w:sz="0" w:space="0" w:color="auto"/>
                                <w:left w:val="none" w:sz="0" w:space="0" w:color="auto"/>
                                <w:bottom w:val="none" w:sz="0" w:space="0" w:color="auto"/>
                                <w:right w:val="none" w:sz="0" w:space="0" w:color="auto"/>
                              </w:divBdr>
                            </w:div>
                            <w:div w:id="2123912775">
                              <w:marLeft w:val="0"/>
                              <w:marRight w:val="0"/>
                              <w:marTop w:val="0"/>
                              <w:marBottom w:val="0"/>
                              <w:divBdr>
                                <w:top w:val="none" w:sz="0" w:space="0" w:color="auto"/>
                                <w:left w:val="none" w:sz="0" w:space="0" w:color="auto"/>
                                <w:bottom w:val="none" w:sz="0" w:space="0" w:color="auto"/>
                                <w:right w:val="none" w:sz="0" w:space="0" w:color="auto"/>
                              </w:divBdr>
                            </w:div>
                            <w:div w:id="332031597">
                              <w:marLeft w:val="0"/>
                              <w:marRight w:val="0"/>
                              <w:marTop w:val="0"/>
                              <w:marBottom w:val="0"/>
                              <w:divBdr>
                                <w:top w:val="none" w:sz="0" w:space="0" w:color="auto"/>
                                <w:left w:val="none" w:sz="0" w:space="0" w:color="auto"/>
                                <w:bottom w:val="none" w:sz="0" w:space="0" w:color="auto"/>
                                <w:right w:val="none" w:sz="0" w:space="0" w:color="auto"/>
                              </w:divBdr>
                            </w:div>
                            <w:div w:id="12022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71885">
                      <w:marLeft w:val="0"/>
                      <w:marRight w:val="0"/>
                      <w:marTop w:val="0"/>
                      <w:marBottom w:val="0"/>
                      <w:divBdr>
                        <w:top w:val="none" w:sz="0" w:space="0" w:color="auto"/>
                        <w:left w:val="none" w:sz="0" w:space="0" w:color="auto"/>
                        <w:bottom w:val="none" w:sz="0" w:space="0" w:color="auto"/>
                        <w:right w:val="none" w:sz="0" w:space="0" w:color="auto"/>
                      </w:divBdr>
                      <w:divsChild>
                        <w:div w:id="800728211">
                          <w:marLeft w:val="0"/>
                          <w:marRight w:val="0"/>
                          <w:marTop w:val="0"/>
                          <w:marBottom w:val="0"/>
                          <w:divBdr>
                            <w:top w:val="none" w:sz="0" w:space="0" w:color="auto"/>
                            <w:left w:val="none" w:sz="0" w:space="0" w:color="auto"/>
                            <w:bottom w:val="none" w:sz="0" w:space="0" w:color="auto"/>
                            <w:right w:val="none" w:sz="0" w:space="0" w:color="auto"/>
                          </w:divBdr>
                        </w:div>
                        <w:div w:id="1451898825">
                          <w:marLeft w:val="0"/>
                          <w:marRight w:val="0"/>
                          <w:marTop w:val="0"/>
                          <w:marBottom w:val="0"/>
                          <w:divBdr>
                            <w:top w:val="none" w:sz="0" w:space="0" w:color="auto"/>
                            <w:left w:val="none" w:sz="0" w:space="0" w:color="auto"/>
                            <w:bottom w:val="none" w:sz="0" w:space="0" w:color="auto"/>
                            <w:right w:val="none" w:sz="0" w:space="0" w:color="auto"/>
                          </w:divBdr>
                          <w:divsChild>
                            <w:div w:id="826673128">
                              <w:marLeft w:val="0"/>
                              <w:marRight w:val="0"/>
                              <w:marTop w:val="0"/>
                              <w:marBottom w:val="0"/>
                              <w:divBdr>
                                <w:top w:val="none" w:sz="0" w:space="0" w:color="auto"/>
                                <w:left w:val="none" w:sz="0" w:space="0" w:color="auto"/>
                                <w:bottom w:val="none" w:sz="0" w:space="0" w:color="auto"/>
                                <w:right w:val="none" w:sz="0" w:space="0" w:color="auto"/>
                              </w:divBdr>
                            </w:div>
                            <w:div w:id="1371301163">
                              <w:marLeft w:val="0"/>
                              <w:marRight w:val="0"/>
                              <w:marTop w:val="0"/>
                              <w:marBottom w:val="0"/>
                              <w:divBdr>
                                <w:top w:val="none" w:sz="0" w:space="0" w:color="auto"/>
                                <w:left w:val="none" w:sz="0" w:space="0" w:color="auto"/>
                                <w:bottom w:val="none" w:sz="0" w:space="0" w:color="auto"/>
                                <w:right w:val="none" w:sz="0" w:space="0" w:color="auto"/>
                              </w:divBdr>
                            </w:div>
                            <w:div w:id="1281719962">
                              <w:marLeft w:val="0"/>
                              <w:marRight w:val="0"/>
                              <w:marTop w:val="0"/>
                              <w:marBottom w:val="0"/>
                              <w:divBdr>
                                <w:top w:val="none" w:sz="0" w:space="0" w:color="auto"/>
                                <w:left w:val="none" w:sz="0" w:space="0" w:color="auto"/>
                                <w:bottom w:val="none" w:sz="0" w:space="0" w:color="auto"/>
                                <w:right w:val="none" w:sz="0" w:space="0" w:color="auto"/>
                              </w:divBdr>
                            </w:div>
                            <w:div w:id="1207571652">
                              <w:marLeft w:val="0"/>
                              <w:marRight w:val="0"/>
                              <w:marTop w:val="0"/>
                              <w:marBottom w:val="0"/>
                              <w:divBdr>
                                <w:top w:val="none" w:sz="0" w:space="0" w:color="auto"/>
                                <w:left w:val="none" w:sz="0" w:space="0" w:color="auto"/>
                                <w:bottom w:val="none" w:sz="0" w:space="0" w:color="auto"/>
                                <w:right w:val="none" w:sz="0" w:space="0" w:color="auto"/>
                              </w:divBdr>
                            </w:div>
                            <w:div w:id="1008482451">
                              <w:marLeft w:val="0"/>
                              <w:marRight w:val="0"/>
                              <w:marTop w:val="0"/>
                              <w:marBottom w:val="0"/>
                              <w:divBdr>
                                <w:top w:val="none" w:sz="0" w:space="0" w:color="auto"/>
                                <w:left w:val="none" w:sz="0" w:space="0" w:color="auto"/>
                                <w:bottom w:val="none" w:sz="0" w:space="0" w:color="auto"/>
                                <w:right w:val="none" w:sz="0" w:space="0" w:color="auto"/>
                              </w:divBdr>
                            </w:div>
                            <w:div w:id="8311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178325">
                  <w:marLeft w:val="0"/>
                  <w:marRight w:val="0"/>
                  <w:marTop w:val="0"/>
                  <w:marBottom w:val="0"/>
                  <w:divBdr>
                    <w:top w:val="none" w:sz="0" w:space="0" w:color="auto"/>
                    <w:left w:val="none" w:sz="0" w:space="0" w:color="auto"/>
                    <w:bottom w:val="none" w:sz="0" w:space="0" w:color="auto"/>
                    <w:right w:val="none" w:sz="0" w:space="0" w:color="auto"/>
                  </w:divBdr>
                  <w:divsChild>
                    <w:div w:id="773748967">
                      <w:marLeft w:val="0"/>
                      <w:marRight w:val="0"/>
                      <w:marTop w:val="0"/>
                      <w:marBottom w:val="0"/>
                      <w:divBdr>
                        <w:top w:val="none" w:sz="0" w:space="0" w:color="auto"/>
                        <w:left w:val="none" w:sz="0" w:space="0" w:color="auto"/>
                        <w:bottom w:val="none" w:sz="0" w:space="0" w:color="auto"/>
                        <w:right w:val="none" w:sz="0" w:space="0" w:color="auto"/>
                      </w:divBdr>
                    </w:div>
                    <w:div w:id="251747246">
                      <w:marLeft w:val="0"/>
                      <w:marRight w:val="0"/>
                      <w:marTop w:val="0"/>
                      <w:marBottom w:val="0"/>
                      <w:divBdr>
                        <w:top w:val="none" w:sz="0" w:space="0" w:color="auto"/>
                        <w:left w:val="none" w:sz="0" w:space="0" w:color="auto"/>
                        <w:bottom w:val="none" w:sz="0" w:space="0" w:color="auto"/>
                        <w:right w:val="none" w:sz="0" w:space="0" w:color="auto"/>
                      </w:divBdr>
                      <w:divsChild>
                        <w:div w:id="1638221772">
                          <w:marLeft w:val="0"/>
                          <w:marRight w:val="0"/>
                          <w:marTop w:val="0"/>
                          <w:marBottom w:val="0"/>
                          <w:divBdr>
                            <w:top w:val="none" w:sz="0" w:space="0" w:color="auto"/>
                            <w:left w:val="none" w:sz="0" w:space="0" w:color="auto"/>
                            <w:bottom w:val="none" w:sz="0" w:space="0" w:color="auto"/>
                            <w:right w:val="none" w:sz="0" w:space="0" w:color="auto"/>
                          </w:divBdr>
                        </w:div>
                        <w:div w:id="1963417107">
                          <w:marLeft w:val="0"/>
                          <w:marRight w:val="0"/>
                          <w:marTop w:val="0"/>
                          <w:marBottom w:val="0"/>
                          <w:divBdr>
                            <w:top w:val="none" w:sz="0" w:space="0" w:color="auto"/>
                            <w:left w:val="none" w:sz="0" w:space="0" w:color="auto"/>
                            <w:bottom w:val="none" w:sz="0" w:space="0" w:color="auto"/>
                            <w:right w:val="none" w:sz="0" w:space="0" w:color="auto"/>
                          </w:divBdr>
                        </w:div>
                        <w:div w:id="808597905">
                          <w:marLeft w:val="0"/>
                          <w:marRight w:val="0"/>
                          <w:marTop w:val="0"/>
                          <w:marBottom w:val="0"/>
                          <w:divBdr>
                            <w:top w:val="none" w:sz="0" w:space="0" w:color="auto"/>
                            <w:left w:val="none" w:sz="0" w:space="0" w:color="auto"/>
                            <w:bottom w:val="none" w:sz="0" w:space="0" w:color="auto"/>
                            <w:right w:val="none" w:sz="0" w:space="0" w:color="auto"/>
                          </w:divBdr>
                        </w:div>
                        <w:div w:id="418141784">
                          <w:marLeft w:val="0"/>
                          <w:marRight w:val="0"/>
                          <w:marTop w:val="0"/>
                          <w:marBottom w:val="0"/>
                          <w:divBdr>
                            <w:top w:val="none" w:sz="0" w:space="0" w:color="auto"/>
                            <w:left w:val="none" w:sz="0" w:space="0" w:color="auto"/>
                            <w:bottom w:val="none" w:sz="0" w:space="0" w:color="auto"/>
                            <w:right w:val="none" w:sz="0" w:space="0" w:color="auto"/>
                          </w:divBdr>
                        </w:div>
                      </w:divsChild>
                    </w:div>
                    <w:div w:id="1872456772">
                      <w:marLeft w:val="0"/>
                      <w:marRight w:val="0"/>
                      <w:marTop w:val="0"/>
                      <w:marBottom w:val="0"/>
                      <w:divBdr>
                        <w:top w:val="none" w:sz="0" w:space="0" w:color="auto"/>
                        <w:left w:val="none" w:sz="0" w:space="0" w:color="auto"/>
                        <w:bottom w:val="none" w:sz="0" w:space="0" w:color="auto"/>
                        <w:right w:val="none" w:sz="0" w:space="0" w:color="auto"/>
                      </w:divBdr>
                      <w:divsChild>
                        <w:div w:id="945041437">
                          <w:marLeft w:val="0"/>
                          <w:marRight w:val="0"/>
                          <w:marTop w:val="0"/>
                          <w:marBottom w:val="0"/>
                          <w:divBdr>
                            <w:top w:val="none" w:sz="0" w:space="0" w:color="auto"/>
                            <w:left w:val="none" w:sz="0" w:space="0" w:color="auto"/>
                            <w:bottom w:val="none" w:sz="0" w:space="0" w:color="auto"/>
                            <w:right w:val="none" w:sz="0" w:space="0" w:color="auto"/>
                          </w:divBdr>
                        </w:div>
                        <w:div w:id="1024747691">
                          <w:marLeft w:val="0"/>
                          <w:marRight w:val="0"/>
                          <w:marTop w:val="0"/>
                          <w:marBottom w:val="0"/>
                          <w:divBdr>
                            <w:top w:val="none" w:sz="0" w:space="0" w:color="auto"/>
                            <w:left w:val="none" w:sz="0" w:space="0" w:color="auto"/>
                            <w:bottom w:val="none" w:sz="0" w:space="0" w:color="auto"/>
                            <w:right w:val="none" w:sz="0" w:space="0" w:color="auto"/>
                          </w:divBdr>
                        </w:div>
                        <w:div w:id="33046984">
                          <w:marLeft w:val="0"/>
                          <w:marRight w:val="0"/>
                          <w:marTop w:val="0"/>
                          <w:marBottom w:val="0"/>
                          <w:divBdr>
                            <w:top w:val="none" w:sz="0" w:space="0" w:color="auto"/>
                            <w:left w:val="none" w:sz="0" w:space="0" w:color="auto"/>
                            <w:bottom w:val="none" w:sz="0" w:space="0" w:color="auto"/>
                            <w:right w:val="none" w:sz="0" w:space="0" w:color="auto"/>
                          </w:divBdr>
                        </w:div>
                        <w:div w:id="846822646">
                          <w:marLeft w:val="0"/>
                          <w:marRight w:val="0"/>
                          <w:marTop w:val="0"/>
                          <w:marBottom w:val="0"/>
                          <w:divBdr>
                            <w:top w:val="none" w:sz="0" w:space="0" w:color="auto"/>
                            <w:left w:val="none" w:sz="0" w:space="0" w:color="auto"/>
                            <w:bottom w:val="none" w:sz="0" w:space="0" w:color="auto"/>
                            <w:right w:val="none" w:sz="0" w:space="0" w:color="auto"/>
                          </w:divBdr>
                        </w:div>
                        <w:div w:id="437797946">
                          <w:marLeft w:val="0"/>
                          <w:marRight w:val="0"/>
                          <w:marTop w:val="0"/>
                          <w:marBottom w:val="0"/>
                          <w:divBdr>
                            <w:top w:val="none" w:sz="0" w:space="0" w:color="auto"/>
                            <w:left w:val="none" w:sz="0" w:space="0" w:color="auto"/>
                            <w:bottom w:val="none" w:sz="0" w:space="0" w:color="auto"/>
                            <w:right w:val="none" w:sz="0" w:space="0" w:color="auto"/>
                          </w:divBdr>
                        </w:div>
                      </w:divsChild>
                    </w:div>
                    <w:div w:id="676888096">
                      <w:marLeft w:val="0"/>
                      <w:marRight w:val="0"/>
                      <w:marTop w:val="0"/>
                      <w:marBottom w:val="0"/>
                      <w:divBdr>
                        <w:top w:val="none" w:sz="0" w:space="0" w:color="auto"/>
                        <w:left w:val="none" w:sz="0" w:space="0" w:color="auto"/>
                        <w:bottom w:val="none" w:sz="0" w:space="0" w:color="auto"/>
                        <w:right w:val="none" w:sz="0" w:space="0" w:color="auto"/>
                      </w:divBdr>
                      <w:divsChild>
                        <w:div w:id="574702753">
                          <w:marLeft w:val="0"/>
                          <w:marRight w:val="0"/>
                          <w:marTop w:val="0"/>
                          <w:marBottom w:val="0"/>
                          <w:divBdr>
                            <w:top w:val="none" w:sz="0" w:space="0" w:color="auto"/>
                            <w:left w:val="none" w:sz="0" w:space="0" w:color="auto"/>
                            <w:bottom w:val="none" w:sz="0" w:space="0" w:color="auto"/>
                            <w:right w:val="none" w:sz="0" w:space="0" w:color="auto"/>
                          </w:divBdr>
                        </w:div>
                        <w:div w:id="1808626408">
                          <w:marLeft w:val="0"/>
                          <w:marRight w:val="0"/>
                          <w:marTop w:val="0"/>
                          <w:marBottom w:val="0"/>
                          <w:divBdr>
                            <w:top w:val="none" w:sz="0" w:space="0" w:color="auto"/>
                            <w:left w:val="none" w:sz="0" w:space="0" w:color="auto"/>
                            <w:bottom w:val="none" w:sz="0" w:space="0" w:color="auto"/>
                            <w:right w:val="none" w:sz="0" w:space="0" w:color="auto"/>
                          </w:divBdr>
                        </w:div>
                        <w:div w:id="1659268573">
                          <w:marLeft w:val="0"/>
                          <w:marRight w:val="0"/>
                          <w:marTop w:val="0"/>
                          <w:marBottom w:val="0"/>
                          <w:divBdr>
                            <w:top w:val="none" w:sz="0" w:space="0" w:color="auto"/>
                            <w:left w:val="none" w:sz="0" w:space="0" w:color="auto"/>
                            <w:bottom w:val="none" w:sz="0" w:space="0" w:color="auto"/>
                            <w:right w:val="none" w:sz="0" w:space="0" w:color="auto"/>
                          </w:divBdr>
                        </w:div>
                        <w:div w:id="1320693986">
                          <w:marLeft w:val="0"/>
                          <w:marRight w:val="0"/>
                          <w:marTop w:val="0"/>
                          <w:marBottom w:val="0"/>
                          <w:divBdr>
                            <w:top w:val="none" w:sz="0" w:space="0" w:color="auto"/>
                            <w:left w:val="none" w:sz="0" w:space="0" w:color="auto"/>
                            <w:bottom w:val="none" w:sz="0" w:space="0" w:color="auto"/>
                            <w:right w:val="none" w:sz="0" w:space="0" w:color="auto"/>
                          </w:divBdr>
                        </w:div>
                        <w:div w:id="261187889">
                          <w:marLeft w:val="0"/>
                          <w:marRight w:val="0"/>
                          <w:marTop w:val="0"/>
                          <w:marBottom w:val="0"/>
                          <w:divBdr>
                            <w:top w:val="none" w:sz="0" w:space="0" w:color="auto"/>
                            <w:left w:val="none" w:sz="0" w:space="0" w:color="auto"/>
                            <w:bottom w:val="none" w:sz="0" w:space="0" w:color="auto"/>
                            <w:right w:val="none" w:sz="0" w:space="0" w:color="auto"/>
                          </w:divBdr>
                        </w:div>
                      </w:divsChild>
                    </w:div>
                    <w:div w:id="1491947926">
                      <w:marLeft w:val="0"/>
                      <w:marRight w:val="0"/>
                      <w:marTop w:val="0"/>
                      <w:marBottom w:val="0"/>
                      <w:divBdr>
                        <w:top w:val="none" w:sz="0" w:space="0" w:color="auto"/>
                        <w:left w:val="none" w:sz="0" w:space="0" w:color="auto"/>
                        <w:bottom w:val="none" w:sz="0" w:space="0" w:color="auto"/>
                        <w:right w:val="none" w:sz="0" w:space="0" w:color="auto"/>
                      </w:divBdr>
                      <w:divsChild>
                        <w:div w:id="843666028">
                          <w:marLeft w:val="0"/>
                          <w:marRight w:val="0"/>
                          <w:marTop w:val="0"/>
                          <w:marBottom w:val="0"/>
                          <w:divBdr>
                            <w:top w:val="none" w:sz="0" w:space="0" w:color="auto"/>
                            <w:left w:val="none" w:sz="0" w:space="0" w:color="auto"/>
                            <w:bottom w:val="none" w:sz="0" w:space="0" w:color="auto"/>
                            <w:right w:val="none" w:sz="0" w:space="0" w:color="auto"/>
                          </w:divBdr>
                        </w:div>
                        <w:div w:id="443618417">
                          <w:marLeft w:val="0"/>
                          <w:marRight w:val="0"/>
                          <w:marTop w:val="0"/>
                          <w:marBottom w:val="0"/>
                          <w:divBdr>
                            <w:top w:val="none" w:sz="0" w:space="0" w:color="auto"/>
                            <w:left w:val="none" w:sz="0" w:space="0" w:color="auto"/>
                            <w:bottom w:val="none" w:sz="0" w:space="0" w:color="auto"/>
                            <w:right w:val="none" w:sz="0" w:space="0" w:color="auto"/>
                          </w:divBdr>
                        </w:div>
                        <w:div w:id="971908214">
                          <w:marLeft w:val="0"/>
                          <w:marRight w:val="0"/>
                          <w:marTop w:val="0"/>
                          <w:marBottom w:val="0"/>
                          <w:divBdr>
                            <w:top w:val="none" w:sz="0" w:space="0" w:color="auto"/>
                            <w:left w:val="none" w:sz="0" w:space="0" w:color="auto"/>
                            <w:bottom w:val="none" w:sz="0" w:space="0" w:color="auto"/>
                            <w:right w:val="none" w:sz="0" w:space="0" w:color="auto"/>
                          </w:divBdr>
                        </w:div>
                        <w:div w:id="390928366">
                          <w:marLeft w:val="0"/>
                          <w:marRight w:val="0"/>
                          <w:marTop w:val="0"/>
                          <w:marBottom w:val="0"/>
                          <w:divBdr>
                            <w:top w:val="none" w:sz="0" w:space="0" w:color="auto"/>
                            <w:left w:val="none" w:sz="0" w:space="0" w:color="auto"/>
                            <w:bottom w:val="none" w:sz="0" w:space="0" w:color="auto"/>
                            <w:right w:val="none" w:sz="0" w:space="0" w:color="auto"/>
                          </w:divBdr>
                        </w:div>
                        <w:div w:id="91166611">
                          <w:marLeft w:val="0"/>
                          <w:marRight w:val="0"/>
                          <w:marTop w:val="0"/>
                          <w:marBottom w:val="0"/>
                          <w:divBdr>
                            <w:top w:val="none" w:sz="0" w:space="0" w:color="auto"/>
                            <w:left w:val="none" w:sz="0" w:space="0" w:color="auto"/>
                            <w:bottom w:val="none" w:sz="0" w:space="0" w:color="auto"/>
                            <w:right w:val="none" w:sz="0" w:space="0" w:color="auto"/>
                          </w:divBdr>
                        </w:div>
                        <w:div w:id="947392225">
                          <w:marLeft w:val="0"/>
                          <w:marRight w:val="0"/>
                          <w:marTop w:val="0"/>
                          <w:marBottom w:val="0"/>
                          <w:divBdr>
                            <w:top w:val="none" w:sz="0" w:space="0" w:color="auto"/>
                            <w:left w:val="none" w:sz="0" w:space="0" w:color="auto"/>
                            <w:bottom w:val="none" w:sz="0" w:space="0" w:color="auto"/>
                            <w:right w:val="none" w:sz="0" w:space="0" w:color="auto"/>
                          </w:divBdr>
                        </w:div>
                        <w:div w:id="1468936554">
                          <w:marLeft w:val="0"/>
                          <w:marRight w:val="0"/>
                          <w:marTop w:val="0"/>
                          <w:marBottom w:val="0"/>
                          <w:divBdr>
                            <w:top w:val="none" w:sz="0" w:space="0" w:color="auto"/>
                            <w:left w:val="none" w:sz="0" w:space="0" w:color="auto"/>
                            <w:bottom w:val="none" w:sz="0" w:space="0" w:color="auto"/>
                            <w:right w:val="none" w:sz="0" w:space="0" w:color="auto"/>
                          </w:divBdr>
                        </w:div>
                      </w:divsChild>
                    </w:div>
                    <w:div w:id="620114509">
                      <w:marLeft w:val="0"/>
                      <w:marRight w:val="0"/>
                      <w:marTop w:val="0"/>
                      <w:marBottom w:val="0"/>
                      <w:divBdr>
                        <w:top w:val="none" w:sz="0" w:space="0" w:color="auto"/>
                        <w:left w:val="none" w:sz="0" w:space="0" w:color="auto"/>
                        <w:bottom w:val="none" w:sz="0" w:space="0" w:color="auto"/>
                        <w:right w:val="none" w:sz="0" w:space="0" w:color="auto"/>
                      </w:divBdr>
                      <w:divsChild>
                        <w:div w:id="379204735">
                          <w:marLeft w:val="0"/>
                          <w:marRight w:val="0"/>
                          <w:marTop w:val="0"/>
                          <w:marBottom w:val="0"/>
                          <w:divBdr>
                            <w:top w:val="none" w:sz="0" w:space="0" w:color="auto"/>
                            <w:left w:val="none" w:sz="0" w:space="0" w:color="auto"/>
                            <w:bottom w:val="none" w:sz="0" w:space="0" w:color="auto"/>
                            <w:right w:val="none" w:sz="0" w:space="0" w:color="auto"/>
                          </w:divBdr>
                        </w:div>
                        <w:div w:id="2132549089">
                          <w:marLeft w:val="0"/>
                          <w:marRight w:val="0"/>
                          <w:marTop w:val="0"/>
                          <w:marBottom w:val="0"/>
                          <w:divBdr>
                            <w:top w:val="none" w:sz="0" w:space="0" w:color="auto"/>
                            <w:left w:val="none" w:sz="0" w:space="0" w:color="auto"/>
                            <w:bottom w:val="none" w:sz="0" w:space="0" w:color="auto"/>
                            <w:right w:val="none" w:sz="0" w:space="0" w:color="auto"/>
                          </w:divBdr>
                        </w:div>
                        <w:div w:id="1647399069">
                          <w:marLeft w:val="0"/>
                          <w:marRight w:val="0"/>
                          <w:marTop w:val="0"/>
                          <w:marBottom w:val="0"/>
                          <w:divBdr>
                            <w:top w:val="none" w:sz="0" w:space="0" w:color="auto"/>
                            <w:left w:val="none" w:sz="0" w:space="0" w:color="auto"/>
                            <w:bottom w:val="none" w:sz="0" w:space="0" w:color="auto"/>
                            <w:right w:val="none" w:sz="0" w:space="0" w:color="auto"/>
                          </w:divBdr>
                        </w:div>
                      </w:divsChild>
                    </w:div>
                    <w:div w:id="1581214205">
                      <w:marLeft w:val="0"/>
                      <w:marRight w:val="0"/>
                      <w:marTop w:val="0"/>
                      <w:marBottom w:val="0"/>
                      <w:divBdr>
                        <w:top w:val="none" w:sz="0" w:space="0" w:color="auto"/>
                        <w:left w:val="none" w:sz="0" w:space="0" w:color="auto"/>
                        <w:bottom w:val="none" w:sz="0" w:space="0" w:color="auto"/>
                        <w:right w:val="none" w:sz="0" w:space="0" w:color="auto"/>
                      </w:divBdr>
                      <w:divsChild>
                        <w:div w:id="1327516365">
                          <w:marLeft w:val="0"/>
                          <w:marRight w:val="0"/>
                          <w:marTop w:val="0"/>
                          <w:marBottom w:val="0"/>
                          <w:divBdr>
                            <w:top w:val="none" w:sz="0" w:space="0" w:color="auto"/>
                            <w:left w:val="none" w:sz="0" w:space="0" w:color="auto"/>
                            <w:bottom w:val="none" w:sz="0" w:space="0" w:color="auto"/>
                            <w:right w:val="none" w:sz="0" w:space="0" w:color="auto"/>
                          </w:divBdr>
                        </w:div>
                        <w:div w:id="915238992">
                          <w:marLeft w:val="0"/>
                          <w:marRight w:val="0"/>
                          <w:marTop w:val="0"/>
                          <w:marBottom w:val="0"/>
                          <w:divBdr>
                            <w:top w:val="none" w:sz="0" w:space="0" w:color="auto"/>
                            <w:left w:val="none" w:sz="0" w:space="0" w:color="auto"/>
                            <w:bottom w:val="none" w:sz="0" w:space="0" w:color="auto"/>
                            <w:right w:val="none" w:sz="0" w:space="0" w:color="auto"/>
                          </w:divBdr>
                        </w:div>
                        <w:div w:id="1811090537">
                          <w:marLeft w:val="0"/>
                          <w:marRight w:val="0"/>
                          <w:marTop w:val="0"/>
                          <w:marBottom w:val="0"/>
                          <w:divBdr>
                            <w:top w:val="none" w:sz="0" w:space="0" w:color="auto"/>
                            <w:left w:val="none" w:sz="0" w:space="0" w:color="auto"/>
                            <w:bottom w:val="none" w:sz="0" w:space="0" w:color="auto"/>
                            <w:right w:val="none" w:sz="0" w:space="0" w:color="auto"/>
                          </w:divBdr>
                        </w:div>
                        <w:div w:id="627853289">
                          <w:marLeft w:val="0"/>
                          <w:marRight w:val="0"/>
                          <w:marTop w:val="0"/>
                          <w:marBottom w:val="0"/>
                          <w:divBdr>
                            <w:top w:val="none" w:sz="0" w:space="0" w:color="auto"/>
                            <w:left w:val="none" w:sz="0" w:space="0" w:color="auto"/>
                            <w:bottom w:val="none" w:sz="0" w:space="0" w:color="auto"/>
                            <w:right w:val="none" w:sz="0" w:space="0" w:color="auto"/>
                          </w:divBdr>
                        </w:div>
                      </w:divsChild>
                    </w:div>
                    <w:div w:id="960111688">
                      <w:marLeft w:val="0"/>
                      <w:marRight w:val="0"/>
                      <w:marTop w:val="0"/>
                      <w:marBottom w:val="0"/>
                      <w:divBdr>
                        <w:top w:val="none" w:sz="0" w:space="0" w:color="auto"/>
                        <w:left w:val="none" w:sz="0" w:space="0" w:color="auto"/>
                        <w:bottom w:val="none" w:sz="0" w:space="0" w:color="auto"/>
                        <w:right w:val="none" w:sz="0" w:space="0" w:color="auto"/>
                      </w:divBdr>
                      <w:divsChild>
                        <w:div w:id="1098673811">
                          <w:marLeft w:val="0"/>
                          <w:marRight w:val="0"/>
                          <w:marTop w:val="0"/>
                          <w:marBottom w:val="0"/>
                          <w:divBdr>
                            <w:top w:val="none" w:sz="0" w:space="0" w:color="auto"/>
                            <w:left w:val="none" w:sz="0" w:space="0" w:color="auto"/>
                            <w:bottom w:val="none" w:sz="0" w:space="0" w:color="auto"/>
                            <w:right w:val="none" w:sz="0" w:space="0" w:color="auto"/>
                          </w:divBdr>
                        </w:div>
                        <w:div w:id="354230868">
                          <w:marLeft w:val="0"/>
                          <w:marRight w:val="0"/>
                          <w:marTop w:val="0"/>
                          <w:marBottom w:val="0"/>
                          <w:divBdr>
                            <w:top w:val="none" w:sz="0" w:space="0" w:color="auto"/>
                            <w:left w:val="none" w:sz="0" w:space="0" w:color="auto"/>
                            <w:bottom w:val="none" w:sz="0" w:space="0" w:color="auto"/>
                            <w:right w:val="none" w:sz="0" w:space="0" w:color="auto"/>
                          </w:divBdr>
                        </w:div>
                        <w:div w:id="662588015">
                          <w:marLeft w:val="0"/>
                          <w:marRight w:val="0"/>
                          <w:marTop w:val="0"/>
                          <w:marBottom w:val="0"/>
                          <w:divBdr>
                            <w:top w:val="none" w:sz="0" w:space="0" w:color="auto"/>
                            <w:left w:val="none" w:sz="0" w:space="0" w:color="auto"/>
                            <w:bottom w:val="none" w:sz="0" w:space="0" w:color="auto"/>
                            <w:right w:val="none" w:sz="0" w:space="0" w:color="auto"/>
                          </w:divBdr>
                        </w:div>
                        <w:div w:id="40025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450847">
                  <w:marLeft w:val="0"/>
                  <w:marRight w:val="0"/>
                  <w:marTop w:val="0"/>
                  <w:marBottom w:val="0"/>
                  <w:divBdr>
                    <w:top w:val="none" w:sz="0" w:space="0" w:color="auto"/>
                    <w:left w:val="none" w:sz="0" w:space="0" w:color="auto"/>
                    <w:bottom w:val="none" w:sz="0" w:space="0" w:color="auto"/>
                    <w:right w:val="none" w:sz="0" w:space="0" w:color="auto"/>
                  </w:divBdr>
                  <w:divsChild>
                    <w:div w:id="1314914502">
                      <w:marLeft w:val="0"/>
                      <w:marRight w:val="0"/>
                      <w:marTop w:val="0"/>
                      <w:marBottom w:val="0"/>
                      <w:divBdr>
                        <w:top w:val="none" w:sz="0" w:space="0" w:color="auto"/>
                        <w:left w:val="none" w:sz="0" w:space="0" w:color="auto"/>
                        <w:bottom w:val="none" w:sz="0" w:space="0" w:color="auto"/>
                        <w:right w:val="none" w:sz="0" w:space="0" w:color="auto"/>
                      </w:divBdr>
                    </w:div>
                    <w:div w:id="192574643">
                      <w:marLeft w:val="0"/>
                      <w:marRight w:val="0"/>
                      <w:marTop w:val="0"/>
                      <w:marBottom w:val="0"/>
                      <w:divBdr>
                        <w:top w:val="none" w:sz="0" w:space="0" w:color="auto"/>
                        <w:left w:val="none" w:sz="0" w:space="0" w:color="auto"/>
                        <w:bottom w:val="none" w:sz="0" w:space="0" w:color="auto"/>
                        <w:right w:val="none" w:sz="0" w:space="0" w:color="auto"/>
                      </w:divBdr>
                      <w:divsChild>
                        <w:div w:id="584388332">
                          <w:marLeft w:val="0"/>
                          <w:marRight w:val="0"/>
                          <w:marTop w:val="0"/>
                          <w:marBottom w:val="0"/>
                          <w:divBdr>
                            <w:top w:val="none" w:sz="0" w:space="0" w:color="auto"/>
                            <w:left w:val="none" w:sz="0" w:space="0" w:color="auto"/>
                            <w:bottom w:val="none" w:sz="0" w:space="0" w:color="auto"/>
                            <w:right w:val="none" w:sz="0" w:space="0" w:color="auto"/>
                          </w:divBdr>
                        </w:div>
                        <w:div w:id="1940596233">
                          <w:marLeft w:val="0"/>
                          <w:marRight w:val="0"/>
                          <w:marTop w:val="0"/>
                          <w:marBottom w:val="0"/>
                          <w:divBdr>
                            <w:top w:val="none" w:sz="0" w:space="0" w:color="auto"/>
                            <w:left w:val="none" w:sz="0" w:space="0" w:color="auto"/>
                            <w:bottom w:val="none" w:sz="0" w:space="0" w:color="auto"/>
                            <w:right w:val="none" w:sz="0" w:space="0" w:color="auto"/>
                          </w:divBdr>
                          <w:divsChild>
                            <w:div w:id="1836798490">
                              <w:marLeft w:val="0"/>
                              <w:marRight w:val="0"/>
                              <w:marTop w:val="0"/>
                              <w:marBottom w:val="0"/>
                              <w:divBdr>
                                <w:top w:val="none" w:sz="0" w:space="0" w:color="auto"/>
                                <w:left w:val="none" w:sz="0" w:space="0" w:color="auto"/>
                                <w:bottom w:val="none" w:sz="0" w:space="0" w:color="auto"/>
                                <w:right w:val="none" w:sz="0" w:space="0" w:color="auto"/>
                              </w:divBdr>
                            </w:div>
                            <w:div w:id="1655446010">
                              <w:marLeft w:val="0"/>
                              <w:marRight w:val="0"/>
                              <w:marTop w:val="0"/>
                              <w:marBottom w:val="0"/>
                              <w:divBdr>
                                <w:top w:val="none" w:sz="0" w:space="0" w:color="auto"/>
                                <w:left w:val="none" w:sz="0" w:space="0" w:color="auto"/>
                                <w:bottom w:val="none" w:sz="0" w:space="0" w:color="auto"/>
                                <w:right w:val="none" w:sz="0" w:space="0" w:color="auto"/>
                              </w:divBdr>
                            </w:div>
                            <w:div w:id="689642841">
                              <w:marLeft w:val="0"/>
                              <w:marRight w:val="0"/>
                              <w:marTop w:val="0"/>
                              <w:marBottom w:val="0"/>
                              <w:divBdr>
                                <w:top w:val="none" w:sz="0" w:space="0" w:color="auto"/>
                                <w:left w:val="none" w:sz="0" w:space="0" w:color="auto"/>
                                <w:bottom w:val="none" w:sz="0" w:space="0" w:color="auto"/>
                                <w:right w:val="none" w:sz="0" w:space="0" w:color="auto"/>
                              </w:divBdr>
                            </w:div>
                            <w:div w:id="1607075350">
                              <w:marLeft w:val="0"/>
                              <w:marRight w:val="0"/>
                              <w:marTop w:val="0"/>
                              <w:marBottom w:val="0"/>
                              <w:divBdr>
                                <w:top w:val="none" w:sz="0" w:space="0" w:color="auto"/>
                                <w:left w:val="none" w:sz="0" w:space="0" w:color="auto"/>
                                <w:bottom w:val="none" w:sz="0" w:space="0" w:color="auto"/>
                                <w:right w:val="none" w:sz="0" w:space="0" w:color="auto"/>
                              </w:divBdr>
                            </w:div>
                          </w:divsChild>
                        </w:div>
                        <w:div w:id="210923671">
                          <w:marLeft w:val="0"/>
                          <w:marRight w:val="0"/>
                          <w:marTop w:val="0"/>
                          <w:marBottom w:val="0"/>
                          <w:divBdr>
                            <w:top w:val="none" w:sz="0" w:space="0" w:color="auto"/>
                            <w:left w:val="none" w:sz="0" w:space="0" w:color="auto"/>
                            <w:bottom w:val="none" w:sz="0" w:space="0" w:color="auto"/>
                            <w:right w:val="none" w:sz="0" w:space="0" w:color="auto"/>
                          </w:divBdr>
                          <w:divsChild>
                            <w:div w:id="1211304085">
                              <w:marLeft w:val="0"/>
                              <w:marRight w:val="0"/>
                              <w:marTop w:val="0"/>
                              <w:marBottom w:val="0"/>
                              <w:divBdr>
                                <w:top w:val="none" w:sz="0" w:space="0" w:color="auto"/>
                                <w:left w:val="none" w:sz="0" w:space="0" w:color="auto"/>
                                <w:bottom w:val="none" w:sz="0" w:space="0" w:color="auto"/>
                                <w:right w:val="none" w:sz="0" w:space="0" w:color="auto"/>
                              </w:divBdr>
                            </w:div>
                            <w:div w:id="482040025">
                              <w:marLeft w:val="0"/>
                              <w:marRight w:val="0"/>
                              <w:marTop w:val="0"/>
                              <w:marBottom w:val="0"/>
                              <w:divBdr>
                                <w:top w:val="none" w:sz="0" w:space="0" w:color="auto"/>
                                <w:left w:val="none" w:sz="0" w:space="0" w:color="auto"/>
                                <w:bottom w:val="none" w:sz="0" w:space="0" w:color="auto"/>
                                <w:right w:val="none" w:sz="0" w:space="0" w:color="auto"/>
                              </w:divBdr>
                            </w:div>
                            <w:div w:id="456458573">
                              <w:marLeft w:val="0"/>
                              <w:marRight w:val="0"/>
                              <w:marTop w:val="0"/>
                              <w:marBottom w:val="0"/>
                              <w:divBdr>
                                <w:top w:val="none" w:sz="0" w:space="0" w:color="auto"/>
                                <w:left w:val="none" w:sz="0" w:space="0" w:color="auto"/>
                                <w:bottom w:val="none" w:sz="0" w:space="0" w:color="auto"/>
                                <w:right w:val="none" w:sz="0" w:space="0" w:color="auto"/>
                              </w:divBdr>
                            </w:div>
                            <w:div w:id="1555433364">
                              <w:marLeft w:val="0"/>
                              <w:marRight w:val="0"/>
                              <w:marTop w:val="0"/>
                              <w:marBottom w:val="0"/>
                              <w:divBdr>
                                <w:top w:val="none" w:sz="0" w:space="0" w:color="auto"/>
                                <w:left w:val="none" w:sz="0" w:space="0" w:color="auto"/>
                                <w:bottom w:val="none" w:sz="0" w:space="0" w:color="auto"/>
                                <w:right w:val="none" w:sz="0" w:space="0" w:color="auto"/>
                              </w:divBdr>
                            </w:div>
                            <w:div w:id="1114639417">
                              <w:marLeft w:val="0"/>
                              <w:marRight w:val="0"/>
                              <w:marTop w:val="0"/>
                              <w:marBottom w:val="0"/>
                              <w:divBdr>
                                <w:top w:val="none" w:sz="0" w:space="0" w:color="auto"/>
                                <w:left w:val="none" w:sz="0" w:space="0" w:color="auto"/>
                                <w:bottom w:val="none" w:sz="0" w:space="0" w:color="auto"/>
                                <w:right w:val="none" w:sz="0" w:space="0" w:color="auto"/>
                              </w:divBdr>
                            </w:div>
                            <w:div w:id="868881133">
                              <w:marLeft w:val="0"/>
                              <w:marRight w:val="0"/>
                              <w:marTop w:val="0"/>
                              <w:marBottom w:val="0"/>
                              <w:divBdr>
                                <w:top w:val="none" w:sz="0" w:space="0" w:color="auto"/>
                                <w:left w:val="none" w:sz="0" w:space="0" w:color="auto"/>
                                <w:bottom w:val="none" w:sz="0" w:space="0" w:color="auto"/>
                                <w:right w:val="none" w:sz="0" w:space="0" w:color="auto"/>
                              </w:divBdr>
                            </w:div>
                            <w:div w:id="755399201">
                              <w:marLeft w:val="0"/>
                              <w:marRight w:val="0"/>
                              <w:marTop w:val="0"/>
                              <w:marBottom w:val="0"/>
                              <w:divBdr>
                                <w:top w:val="none" w:sz="0" w:space="0" w:color="auto"/>
                                <w:left w:val="none" w:sz="0" w:space="0" w:color="auto"/>
                                <w:bottom w:val="none" w:sz="0" w:space="0" w:color="auto"/>
                                <w:right w:val="none" w:sz="0" w:space="0" w:color="auto"/>
                              </w:divBdr>
                            </w:div>
                            <w:div w:id="2070879144">
                              <w:marLeft w:val="0"/>
                              <w:marRight w:val="0"/>
                              <w:marTop w:val="0"/>
                              <w:marBottom w:val="0"/>
                              <w:divBdr>
                                <w:top w:val="none" w:sz="0" w:space="0" w:color="auto"/>
                                <w:left w:val="none" w:sz="0" w:space="0" w:color="auto"/>
                                <w:bottom w:val="none" w:sz="0" w:space="0" w:color="auto"/>
                                <w:right w:val="none" w:sz="0" w:space="0" w:color="auto"/>
                              </w:divBdr>
                            </w:div>
                          </w:divsChild>
                        </w:div>
                        <w:div w:id="155266814">
                          <w:marLeft w:val="0"/>
                          <w:marRight w:val="0"/>
                          <w:marTop w:val="0"/>
                          <w:marBottom w:val="0"/>
                          <w:divBdr>
                            <w:top w:val="none" w:sz="0" w:space="0" w:color="auto"/>
                            <w:left w:val="none" w:sz="0" w:space="0" w:color="auto"/>
                            <w:bottom w:val="none" w:sz="0" w:space="0" w:color="auto"/>
                            <w:right w:val="none" w:sz="0" w:space="0" w:color="auto"/>
                          </w:divBdr>
                          <w:divsChild>
                            <w:div w:id="90199208">
                              <w:marLeft w:val="0"/>
                              <w:marRight w:val="0"/>
                              <w:marTop w:val="0"/>
                              <w:marBottom w:val="0"/>
                              <w:divBdr>
                                <w:top w:val="none" w:sz="0" w:space="0" w:color="auto"/>
                                <w:left w:val="none" w:sz="0" w:space="0" w:color="auto"/>
                                <w:bottom w:val="none" w:sz="0" w:space="0" w:color="auto"/>
                                <w:right w:val="none" w:sz="0" w:space="0" w:color="auto"/>
                              </w:divBdr>
                            </w:div>
                            <w:div w:id="1350986494">
                              <w:marLeft w:val="0"/>
                              <w:marRight w:val="0"/>
                              <w:marTop w:val="0"/>
                              <w:marBottom w:val="0"/>
                              <w:divBdr>
                                <w:top w:val="none" w:sz="0" w:space="0" w:color="auto"/>
                                <w:left w:val="none" w:sz="0" w:space="0" w:color="auto"/>
                                <w:bottom w:val="none" w:sz="0" w:space="0" w:color="auto"/>
                                <w:right w:val="none" w:sz="0" w:space="0" w:color="auto"/>
                              </w:divBdr>
                            </w:div>
                            <w:div w:id="855920907">
                              <w:marLeft w:val="0"/>
                              <w:marRight w:val="0"/>
                              <w:marTop w:val="0"/>
                              <w:marBottom w:val="0"/>
                              <w:divBdr>
                                <w:top w:val="none" w:sz="0" w:space="0" w:color="auto"/>
                                <w:left w:val="none" w:sz="0" w:space="0" w:color="auto"/>
                                <w:bottom w:val="none" w:sz="0" w:space="0" w:color="auto"/>
                                <w:right w:val="none" w:sz="0" w:space="0" w:color="auto"/>
                              </w:divBdr>
                            </w:div>
                            <w:div w:id="778987558">
                              <w:marLeft w:val="0"/>
                              <w:marRight w:val="0"/>
                              <w:marTop w:val="0"/>
                              <w:marBottom w:val="0"/>
                              <w:divBdr>
                                <w:top w:val="none" w:sz="0" w:space="0" w:color="auto"/>
                                <w:left w:val="none" w:sz="0" w:space="0" w:color="auto"/>
                                <w:bottom w:val="none" w:sz="0" w:space="0" w:color="auto"/>
                                <w:right w:val="none" w:sz="0" w:space="0" w:color="auto"/>
                              </w:divBdr>
                            </w:div>
                            <w:div w:id="15663116">
                              <w:marLeft w:val="0"/>
                              <w:marRight w:val="0"/>
                              <w:marTop w:val="0"/>
                              <w:marBottom w:val="0"/>
                              <w:divBdr>
                                <w:top w:val="none" w:sz="0" w:space="0" w:color="auto"/>
                                <w:left w:val="none" w:sz="0" w:space="0" w:color="auto"/>
                                <w:bottom w:val="none" w:sz="0" w:space="0" w:color="auto"/>
                                <w:right w:val="none" w:sz="0" w:space="0" w:color="auto"/>
                              </w:divBdr>
                            </w:div>
                            <w:div w:id="1146438062">
                              <w:marLeft w:val="0"/>
                              <w:marRight w:val="0"/>
                              <w:marTop w:val="0"/>
                              <w:marBottom w:val="0"/>
                              <w:divBdr>
                                <w:top w:val="none" w:sz="0" w:space="0" w:color="auto"/>
                                <w:left w:val="none" w:sz="0" w:space="0" w:color="auto"/>
                                <w:bottom w:val="none" w:sz="0" w:space="0" w:color="auto"/>
                                <w:right w:val="none" w:sz="0" w:space="0" w:color="auto"/>
                              </w:divBdr>
                            </w:div>
                            <w:div w:id="974678293">
                              <w:marLeft w:val="0"/>
                              <w:marRight w:val="0"/>
                              <w:marTop w:val="0"/>
                              <w:marBottom w:val="0"/>
                              <w:divBdr>
                                <w:top w:val="none" w:sz="0" w:space="0" w:color="auto"/>
                                <w:left w:val="none" w:sz="0" w:space="0" w:color="auto"/>
                                <w:bottom w:val="none" w:sz="0" w:space="0" w:color="auto"/>
                                <w:right w:val="none" w:sz="0" w:space="0" w:color="auto"/>
                              </w:divBdr>
                            </w:div>
                            <w:div w:id="56175389">
                              <w:marLeft w:val="0"/>
                              <w:marRight w:val="0"/>
                              <w:marTop w:val="0"/>
                              <w:marBottom w:val="0"/>
                              <w:divBdr>
                                <w:top w:val="none" w:sz="0" w:space="0" w:color="auto"/>
                                <w:left w:val="none" w:sz="0" w:space="0" w:color="auto"/>
                                <w:bottom w:val="none" w:sz="0" w:space="0" w:color="auto"/>
                                <w:right w:val="none" w:sz="0" w:space="0" w:color="auto"/>
                              </w:divBdr>
                            </w:div>
                            <w:div w:id="225530432">
                              <w:marLeft w:val="0"/>
                              <w:marRight w:val="0"/>
                              <w:marTop w:val="0"/>
                              <w:marBottom w:val="0"/>
                              <w:divBdr>
                                <w:top w:val="none" w:sz="0" w:space="0" w:color="auto"/>
                                <w:left w:val="none" w:sz="0" w:space="0" w:color="auto"/>
                                <w:bottom w:val="none" w:sz="0" w:space="0" w:color="auto"/>
                                <w:right w:val="none" w:sz="0" w:space="0" w:color="auto"/>
                              </w:divBdr>
                            </w:div>
                            <w:div w:id="302926729">
                              <w:marLeft w:val="0"/>
                              <w:marRight w:val="0"/>
                              <w:marTop w:val="0"/>
                              <w:marBottom w:val="0"/>
                              <w:divBdr>
                                <w:top w:val="none" w:sz="0" w:space="0" w:color="auto"/>
                                <w:left w:val="none" w:sz="0" w:space="0" w:color="auto"/>
                                <w:bottom w:val="none" w:sz="0" w:space="0" w:color="auto"/>
                                <w:right w:val="none" w:sz="0" w:space="0" w:color="auto"/>
                              </w:divBdr>
                            </w:div>
                            <w:div w:id="1764759439">
                              <w:marLeft w:val="0"/>
                              <w:marRight w:val="0"/>
                              <w:marTop w:val="0"/>
                              <w:marBottom w:val="0"/>
                              <w:divBdr>
                                <w:top w:val="none" w:sz="0" w:space="0" w:color="auto"/>
                                <w:left w:val="none" w:sz="0" w:space="0" w:color="auto"/>
                                <w:bottom w:val="none" w:sz="0" w:space="0" w:color="auto"/>
                                <w:right w:val="none" w:sz="0" w:space="0" w:color="auto"/>
                              </w:divBdr>
                            </w:div>
                            <w:div w:id="1467163100">
                              <w:marLeft w:val="0"/>
                              <w:marRight w:val="0"/>
                              <w:marTop w:val="0"/>
                              <w:marBottom w:val="0"/>
                              <w:divBdr>
                                <w:top w:val="none" w:sz="0" w:space="0" w:color="auto"/>
                                <w:left w:val="none" w:sz="0" w:space="0" w:color="auto"/>
                                <w:bottom w:val="none" w:sz="0" w:space="0" w:color="auto"/>
                                <w:right w:val="none" w:sz="0" w:space="0" w:color="auto"/>
                              </w:divBdr>
                            </w:div>
                          </w:divsChild>
                        </w:div>
                        <w:div w:id="529800577">
                          <w:marLeft w:val="0"/>
                          <w:marRight w:val="0"/>
                          <w:marTop w:val="0"/>
                          <w:marBottom w:val="0"/>
                          <w:divBdr>
                            <w:top w:val="none" w:sz="0" w:space="0" w:color="auto"/>
                            <w:left w:val="none" w:sz="0" w:space="0" w:color="auto"/>
                            <w:bottom w:val="none" w:sz="0" w:space="0" w:color="auto"/>
                            <w:right w:val="none" w:sz="0" w:space="0" w:color="auto"/>
                          </w:divBdr>
                          <w:divsChild>
                            <w:div w:id="1661884172">
                              <w:marLeft w:val="0"/>
                              <w:marRight w:val="0"/>
                              <w:marTop w:val="0"/>
                              <w:marBottom w:val="0"/>
                              <w:divBdr>
                                <w:top w:val="none" w:sz="0" w:space="0" w:color="auto"/>
                                <w:left w:val="none" w:sz="0" w:space="0" w:color="auto"/>
                                <w:bottom w:val="none" w:sz="0" w:space="0" w:color="auto"/>
                                <w:right w:val="none" w:sz="0" w:space="0" w:color="auto"/>
                              </w:divBdr>
                            </w:div>
                            <w:div w:id="215118697">
                              <w:marLeft w:val="0"/>
                              <w:marRight w:val="0"/>
                              <w:marTop w:val="0"/>
                              <w:marBottom w:val="0"/>
                              <w:divBdr>
                                <w:top w:val="none" w:sz="0" w:space="0" w:color="auto"/>
                                <w:left w:val="none" w:sz="0" w:space="0" w:color="auto"/>
                                <w:bottom w:val="none" w:sz="0" w:space="0" w:color="auto"/>
                                <w:right w:val="none" w:sz="0" w:space="0" w:color="auto"/>
                              </w:divBdr>
                            </w:div>
                            <w:div w:id="926303655">
                              <w:marLeft w:val="0"/>
                              <w:marRight w:val="0"/>
                              <w:marTop w:val="0"/>
                              <w:marBottom w:val="0"/>
                              <w:divBdr>
                                <w:top w:val="none" w:sz="0" w:space="0" w:color="auto"/>
                                <w:left w:val="none" w:sz="0" w:space="0" w:color="auto"/>
                                <w:bottom w:val="none" w:sz="0" w:space="0" w:color="auto"/>
                                <w:right w:val="none" w:sz="0" w:space="0" w:color="auto"/>
                              </w:divBdr>
                            </w:div>
                            <w:div w:id="857355992">
                              <w:marLeft w:val="0"/>
                              <w:marRight w:val="0"/>
                              <w:marTop w:val="0"/>
                              <w:marBottom w:val="0"/>
                              <w:divBdr>
                                <w:top w:val="none" w:sz="0" w:space="0" w:color="auto"/>
                                <w:left w:val="none" w:sz="0" w:space="0" w:color="auto"/>
                                <w:bottom w:val="none" w:sz="0" w:space="0" w:color="auto"/>
                                <w:right w:val="none" w:sz="0" w:space="0" w:color="auto"/>
                              </w:divBdr>
                            </w:div>
                          </w:divsChild>
                        </w:div>
                        <w:div w:id="1885285315">
                          <w:marLeft w:val="0"/>
                          <w:marRight w:val="0"/>
                          <w:marTop w:val="0"/>
                          <w:marBottom w:val="0"/>
                          <w:divBdr>
                            <w:top w:val="none" w:sz="0" w:space="0" w:color="auto"/>
                            <w:left w:val="none" w:sz="0" w:space="0" w:color="auto"/>
                            <w:bottom w:val="none" w:sz="0" w:space="0" w:color="auto"/>
                            <w:right w:val="none" w:sz="0" w:space="0" w:color="auto"/>
                          </w:divBdr>
                          <w:divsChild>
                            <w:div w:id="1844320762">
                              <w:marLeft w:val="0"/>
                              <w:marRight w:val="0"/>
                              <w:marTop w:val="0"/>
                              <w:marBottom w:val="0"/>
                              <w:divBdr>
                                <w:top w:val="none" w:sz="0" w:space="0" w:color="auto"/>
                                <w:left w:val="none" w:sz="0" w:space="0" w:color="auto"/>
                                <w:bottom w:val="none" w:sz="0" w:space="0" w:color="auto"/>
                                <w:right w:val="none" w:sz="0" w:space="0" w:color="auto"/>
                              </w:divBdr>
                            </w:div>
                            <w:div w:id="530725986">
                              <w:marLeft w:val="0"/>
                              <w:marRight w:val="0"/>
                              <w:marTop w:val="0"/>
                              <w:marBottom w:val="0"/>
                              <w:divBdr>
                                <w:top w:val="none" w:sz="0" w:space="0" w:color="auto"/>
                                <w:left w:val="none" w:sz="0" w:space="0" w:color="auto"/>
                                <w:bottom w:val="none" w:sz="0" w:space="0" w:color="auto"/>
                                <w:right w:val="none" w:sz="0" w:space="0" w:color="auto"/>
                              </w:divBdr>
                            </w:div>
                            <w:div w:id="267931243">
                              <w:marLeft w:val="0"/>
                              <w:marRight w:val="0"/>
                              <w:marTop w:val="0"/>
                              <w:marBottom w:val="0"/>
                              <w:divBdr>
                                <w:top w:val="none" w:sz="0" w:space="0" w:color="auto"/>
                                <w:left w:val="none" w:sz="0" w:space="0" w:color="auto"/>
                                <w:bottom w:val="none" w:sz="0" w:space="0" w:color="auto"/>
                                <w:right w:val="none" w:sz="0" w:space="0" w:color="auto"/>
                              </w:divBdr>
                            </w:div>
                            <w:div w:id="244726822">
                              <w:marLeft w:val="0"/>
                              <w:marRight w:val="0"/>
                              <w:marTop w:val="0"/>
                              <w:marBottom w:val="0"/>
                              <w:divBdr>
                                <w:top w:val="none" w:sz="0" w:space="0" w:color="auto"/>
                                <w:left w:val="none" w:sz="0" w:space="0" w:color="auto"/>
                                <w:bottom w:val="none" w:sz="0" w:space="0" w:color="auto"/>
                                <w:right w:val="none" w:sz="0" w:space="0" w:color="auto"/>
                              </w:divBdr>
                            </w:div>
                            <w:div w:id="320816539">
                              <w:marLeft w:val="0"/>
                              <w:marRight w:val="0"/>
                              <w:marTop w:val="0"/>
                              <w:marBottom w:val="0"/>
                              <w:divBdr>
                                <w:top w:val="none" w:sz="0" w:space="0" w:color="auto"/>
                                <w:left w:val="none" w:sz="0" w:space="0" w:color="auto"/>
                                <w:bottom w:val="none" w:sz="0" w:space="0" w:color="auto"/>
                                <w:right w:val="none" w:sz="0" w:space="0" w:color="auto"/>
                              </w:divBdr>
                            </w:div>
                          </w:divsChild>
                        </w:div>
                        <w:div w:id="1781561739">
                          <w:marLeft w:val="0"/>
                          <w:marRight w:val="0"/>
                          <w:marTop w:val="0"/>
                          <w:marBottom w:val="0"/>
                          <w:divBdr>
                            <w:top w:val="none" w:sz="0" w:space="0" w:color="auto"/>
                            <w:left w:val="none" w:sz="0" w:space="0" w:color="auto"/>
                            <w:bottom w:val="none" w:sz="0" w:space="0" w:color="auto"/>
                            <w:right w:val="none" w:sz="0" w:space="0" w:color="auto"/>
                          </w:divBdr>
                          <w:divsChild>
                            <w:div w:id="2093693168">
                              <w:marLeft w:val="0"/>
                              <w:marRight w:val="0"/>
                              <w:marTop w:val="0"/>
                              <w:marBottom w:val="0"/>
                              <w:divBdr>
                                <w:top w:val="none" w:sz="0" w:space="0" w:color="auto"/>
                                <w:left w:val="none" w:sz="0" w:space="0" w:color="auto"/>
                                <w:bottom w:val="none" w:sz="0" w:space="0" w:color="auto"/>
                                <w:right w:val="none" w:sz="0" w:space="0" w:color="auto"/>
                              </w:divBdr>
                            </w:div>
                          </w:divsChild>
                        </w:div>
                        <w:div w:id="492451323">
                          <w:marLeft w:val="0"/>
                          <w:marRight w:val="0"/>
                          <w:marTop w:val="0"/>
                          <w:marBottom w:val="0"/>
                          <w:divBdr>
                            <w:top w:val="none" w:sz="0" w:space="0" w:color="auto"/>
                            <w:left w:val="none" w:sz="0" w:space="0" w:color="auto"/>
                            <w:bottom w:val="none" w:sz="0" w:space="0" w:color="auto"/>
                            <w:right w:val="none" w:sz="0" w:space="0" w:color="auto"/>
                          </w:divBdr>
                          <w:divsChild>
                            <w:div w:id="1760055896">
                              <w:marLeft w:val="0"/>
                              <w:marRight w:val="0"/>
                              <w:marTop w:val="0"/>
                              <w:marBottom w:val="0"/>
                              <w:divBdr>
                                <w:top w:val="none" w:sz="0" w:space="0" w:color="auto"/>
                                <w:left w:val="none" w:sz="0" w:space="0" w:color="auto"/>
                                <w:bottom w:val="none" w:sz="0" w:space="0" w:color="auto"/>
                                <w:right w:val="none" w:sz="0" w:space="0" w:color="auto"/>
                              </w:divBdr>
                            </w:div>
                          </w:divsChild>
                        </w:div>
                        <w:div w:id="37049030">
                          <w:marLeft w:val="0"/>
                          <w:marRight w:val="0"/>
                          <w:marTop w:val="0"/>
                          <w:marBottom w:val="0"/>
                          <w:divBdr>
                            <w:top w:val="none" w:sz="0" w:space="0" w:color="auto"/>
                            <w:left w:val="none" w:sz="0" w:space="0" w:color="auto"/>
                            <w:bottom w:val="none" w:sz="0" w:space="0" w:color="auto"/>
                            <w:right w:val="none" w:sz="0" w:space="0" w:color="auto"/>
                          </w:divBdr>
                          <w:divsChild>
                            <w:div w:id="2023967636">
                              <w:marLeft w:val="0"/>
                              <w:marRight w:val="0"/>
                              <w:marTop w:val="0"/>
                              <w:marBottom w:val="0"/>
                              <w:divBdr>
                                <w:top w:val="none" w:sz="0" w:space="0" w:color="auto"/>
                                <w:left w:val="none" w:sz="0" w:space="0" w:color="auto"/>
                                <w:bottom w:val="none" w:sz="0" w:space="0" w:color="auto"/>
                                <w:right w:val="none" w:sz="0" w:space="0" w:color="auto"/>
                              </w:divBdr>
                            </w:div>
                            <w:div w:id="366954850">
                              <w:marLeft w:val="0"/>
                              <w:marRight w:val="0"/>
                              <w:marTop w:val="0"/>
                              <w:marBottom w:val="0"/>
                              <w:divBdr>
                                <w:top w:val="none" w:sz="0" w:space="0" w:color="auto"/>
                                <w:left w:val="none" w:sz="0" w:space="0" w:color="auto"/>
                                <w:bottom w:val="none" w:sz="0" w:space="0" w:color="auto"/>
                                <w:right w:val="none" w:sz="0" w:space="0" w:color="auto"/>
                              </w:divBdr>
                            </w:div>
                            <w:div w:id="1457025976">
                              <w:marLeft w:val="0"/>
                              <w:marRight w:val="0"/>
                              <w:marTop w:val="0"/>
                              <w:marBottom w:val="0"/>
                              <w:divBdr>
                                <w:top w:val="none" w:sz="0" w:space="0" w:color="auto"/>
                                <w:left w:val="none" w:sz="0" w:space="0" w:color="auto"/>
                                <w:bottom w:val="none" w:sz="0" w:space="0" w:color="auto"/>
                                <w:right w:val="none" w:sz="0" w:space="0" w:color="auto"/>
                              </w:divBdr>
                            </w:div>
                          </w:divsChild>
                        </w:div>
                        <w:div w:id="85421053">
                          <w:marLeft w:val="0"/>
                          <w:marRight w:val="0"/>
                          <w:marTop w:val="0"/>
                          <w:marBottom w:val="0"/>
                          <w:divBdr>
                            <w:top w:val="none" w:sz="0" w:space="0" w:color="auto"/>
                            <w:left w:val="none" w:sz="0" w:space="0" w:color="auto"/>
                            <w:bottom w:val="none" w:sz="0" w:space="0" w:color="auto"/>
                            <w:right w:val="none" w:sz="0" w:space="0" w:color="auto"/>
                          </w:divBdr>
                          <w:divsChild>
                            <w:div w:id="677536578">
                              <w:marLeft w:val="0"/>
                              <w:marRight w:val="0"/>
                              <w:marTop w:val="0"/>
                              <w:marBottom w:val="0"/>
                              <w:divBdr>
                                <w:top w:val="none" w:sz="0" w:space="0" w:color="auto"/>
                                <w:left w:val="none" w:sz="0" w:space="0" w:color="auto"/>
                                <w:bottom w:val="none" w:sz="0" w:space="0" w:color="auto"/>
                                <w:right w:val="none" w:sz="0" w:space="0" w:color="auto"/>
                              </w:divBdr>
                            </w:div>
                          </w:divsChild>
                        </w:div>
                        <w:div w:id="772169855">
                          <w:marLeft w:val="0"/>
                          <w:marRight w:val="0"/>
                          <w:marTop w:val="0"/>
                          <w:marBottom w:val="0"/>
                          <w:divBdr>
                            <w:top w:val="none" w:sz="0" w:space="0" w:color="auto"/>
                            <w:left w:val="none" w:sz="0" w:space="0" w:color="auto"/>
                            <w:bottom w:val="none" w:sz="0" w:space="0" w:color="auto"/>
                            <w:right w:val="none" w:sz="0" w:space="0" w:color="auto"/>
                          </w:divBdr>
                          <w:divsChild>
                            <w:div w:id="1879003445">
                              <w:marLeft w:val="0"/>
                              <w:marRight w:val="0"/>
                              <w:marTop w:val="0"/>
                              <w:marBottom w:val="0"/>
                              <w:divBdr>
                                <w:top w:val="none" w:sz="0" w:space="0" w:color="auto"/>
                                <w:left w:val="none" w:sz="0" w:space="0" w:color="auto"/>
                                <w:bottom w:val="none" w:sz="0" w:space="0" w:color="auto"/>
                                <w:right w:val="none" w:sz="0" w:space="0" w:color="auto"/>
                              </w:divBdr>
                            </w:div>
                            <w:div w:id="92676878">
                              <w:marLeft w:val="0"/>
                              <w:marRight w:val="0"/>
                              <w:marTop w:val="0"/>
                              <w:marBottom w:val="0"/>
                              <w:divBdr>
                                <w:top w:val="none" w:sz="0" w:space="0" w:color="auto"/>
                                <w:left w:val="none" w:sz="0" w:space="0" w:color="auto"/>
                                <w:bottom w:val="none" w:sz="0" w:space="0" w:color="auto"/>
                                <w:right w:val="none" w:sz="0" w:space="0" w:color="auto"/>
                              </w:divBdr>
                            </w:div>
                            <w:div w:id="1575581060">
                              <w:marLeft w:val="0"/>
                              <w:marRight w:val="0"/>
                              <w:marTop w:val="0"/>
                              <w:marBottom w:val="0"/>
                              <w:divBdr>
                                <w:top w:val="none" w:sz="0" w:space="0" w:color="auto"/>
                                <w:left w:val="none" w:sz="0" w:space="0" w:color="auto"/>
                                <w:bottom w:val="none" w:sz="0" w:space="0" w:color="auto"/>
                                <w:right w:val="none" w:sz="0" w:space="0" w:color="auto"/>
                              </w:divBdr>
                            </w:div>
                            <w:div w:id="1894265954">
                              <w:marLeft w:val="0"/>
                              <w:marRight w:val="0"/>
                              <w:marTop w:val="0"/>
                              <w:marBottom w:val="0"/>
                              <w:divBdr>
                                <w:top w:val="none" w:sz="0" w:space="0" w:color="auto"/>
                                <w:left w:val="none" w:sz="0" w:space="0" w:color="auto"/>
                                <w:bottom w:val="none" w:sz="0" w:space="0" w:color="auto"/>
                                <w:right w:val="none" w:sz="0" w:space="0" w:color="auto"/>
                              </w:divBdr>
                            </w:div>
                          </w:divsChild>
                        </w:div>
                        <w:div w:id="1894001608">
                          <w:marLeft w:val="0"/>
                          <w:marRight w:val="0"/>
                          <w:marTop w:val="0"/>
                          <w:marBottom w:val="0"/>
                          <w:divBdr>
                            <w:top w:val="none" w:sz="0" w:space="0" w:color="auto"/>
                            <w:left w:val="none" w:sz="0" w:space="0" w:color="auto"/>
                            <w:bottom w:val="none" w:sz="0" w:space="0" w:color="auto"/>
                            <w:right w:val="none" w:sz="0" w:space="0" w:color="auto"/>
                          </w:divBdr>
                          <w:divsChild>
                            <w:div w:id="466317638">
                              <w:marLeft w:val="0"/>
                              <w:marRight w:val="0"/>
                              <w:marTop w:val="0"/>
                              <w:marBottom w:val="0"/>
                              <w:divBdr>
                                <w:top w:val="none" w:sz="0" w:space="0" w:color="auto"/>
                                <w:left w:val="none" w:sz="0" w:space="0" w:color="auto"/>
                                <w:bottom w:val="none" w:sz="0" w:space="0" w:color="auto"/>
                                <w:right w:val="none" w:sz="0" w:space="0" w:color="auto"/>
                              </w:divBdr>
                            </w:div>
                            <w:div w:id="1405108639">
                              <w:marLeft w:val="0"/>
                              <w:marRight w:val="0"/>
                              <w:marTop w:val="0"/>
                              <w:marBottom w:val="0"/>
                              <w:divBdr>
                                <w:top w:val="none" w:sz="0" w:space="0" w:color="auto"/>
                                <w:left w:val="none" w:sz="0" w:space="0" w:color="auto"/>
                                <w:bottom w:val="none" w:sz="0" w:space="0" w:color="auto"/>
                                <w:right w:val="none" w:sz="0" w:space="0" w:color="auto"/>
                              </w:divBdr>
                            </w:div>
                            <w:div w:id="1252666037">
                              <w:marLeft w:val="0"/>
                              <w:marRight w:val="0"/>
                              <w:marTop w:val="0"/>
                              <w:marBottom w:val="0"/>
                              <w:divBdr>
                                <w:top w:val="none" w:sz="0" w:space="0" w:color="auto"/>
                                <w:left w:val="none" w:sz="0" w:space="0" w:color="auto"/>
                                <w:bottom w:val="none" w:sz="0" w:space="0" w:color="auto"/>
                                <w:right w:val="none" w:sz="0" w:space="0" w:color="auto"/>
                              </w:divBdr>
                            </w:div>
                            <w:div w:id="1800998786">
                              <w:marLeft w:val="0"/>
                              <w:marRight w:val="0"/>
                              <w:marTop w:val="0"/>
                              <w:marBottom w:val="0"/>
                              <w:divBdr>
                                <w:top w:val="none" w:sz="0" w:space="0" w:color="auto"/>
                                <w:left w:val="none" w:sz="0" w:space="0" w:color="auto"/>
                                <w:bottom w:val="none" w:sz="0" w:space="0" w:color="auto"/>
                                <w:right w:val="none" w:sz="0" w:space="0" w:color="auto"/>
                              </w:divBdr>
                            </w:div>
                            <w:div w:id="1792936170">
                              <w:marLeft w:val="0"/>
                              <w:marRight w:val="0"/>
                              <w:marTop w:val="0"/>
                              <w:marBottom w:val="0"/>
                              <w:divBdr>
                                <w:top w:val="none" w:sz="0" w:space="0" w:color="auto"/>
                                <w:left w:val="none" w:sz="0" w:space="0" w:color="auto"/>
                                <w:bottom w:val="none" w:sz="0" w:space="0" w:color="auto"/>
                                <w:right w:val="none" w:sz="0" w:space="0" w:color="auto"/>
                              </w:divBdr>
                            </w:div>
                            <w:div w:id="157694569">
                              <w:marLeft w:val="0"/>
                              <w:marRight w:val="0"/>
                              <w:marTop w:val="0"/>
                              <w:marBottom w:val="0"/>
                              <w:divBdr>
                                <w:top w:val="none" w:sz="0" w:space="0" w:color="auto"/>
                                <w:left w:val="none" w:sz="0" w:space="0" w:color="auto"/>
                                <w:bottom w:val="none" w:sz="0" w:space="0" w:color="auto"/>
                                <w:right w:val="none" w:sz="0" w:space="0" w:color="auto"/>
                              </w:divBdr>
                            </w:div>
                            <w:div w:id="1491677182">
                              <w:marLeft w:val="0"/>
                              <w:marRight w:val="0"/>
                              <w:marTop w:val="0"/>
                              <w:marBottom w:val="0"/>
                              <w:divBdr>
                                <w:top w:val="none" w:sz="0" w:space="0" w:color="auto"/>
                                <w:left w:val="none" w:sz="0" w:space="0" w:color="auto"/>
                                <w:bottom w:val="none" w:sz="0" w:space="0" w:color="auto"/>
                                <w:right w:val="none" w:sz="0" w:space="0" w:color="auto"/>
                              </w:divBdr>
                            </w:div>
                            <w:div w:id="1222210054">
                              <w:marLeft w:val="0"/>
                              <w:marRight w:val="0"/>
                              <w:marTop w:val="0"/>
                              <w:marBottom w:val="0"/>
                              <w:divBdr>
                                <w:top w:val="none" w:sz="0" w:space="0" w:color="auto"/>
                                <w:left w:val="none" w:sz="0" w:space="0" w:color="auto"/>
                                <w:bottom w:val="none" w:sz="0" w:space="0" w:color="auto"/>
                                <w:right w:val="none" w:sz="0" w:space="0" w:color="auto"/>
                              </w:divBdr>
                            </w:div>
                            <w:div w:id="221408256">
                              <w:marLeft w:val="0"/>
                              <w:marRight w:val="0"/>
                              <w:marTop w:val="0"/>
                              <w:marBottom w:val="0"/>
                              <w:divBdr>
                                <w:top w:val="none" w:sz="0" w:space="0" w:color="auto"/>
                                <w:left w:val="none" w:sz="0" w:space="0" w:color="auto"/>
                                <w:bottom w:val="none" w:sz="0" w:space="0" w:color="auto"/>
                                <w:right w:val="none" w:sz="0" w:space="0" w:color="auto"/>
                              </w:divBdr>
                            </w:div>
                          </w:divsChild>
                        </w:div>
                        <w:div w:id="687293947">
                          <w:marLeft w:val="0"/>
                          <w:marRight w:val="0"/>
                          <w:marTop w:val="0"/>
                          <w:marBottom w:val="0"/>
                          <w:divBdr>
                            <w:top w:val="none" w:sz="0" w:space="0" w:color="auto"/>
                            <w:left w:val="none" w:sz="0" w:space="0" w:color="auto"/>
                            <w:bottom w:val="none" w:sz="0" w:space="0" w:color="auto"/>
                            <w:right w:val="none" w:sz="0" w:space="0" w:color="auto"/>
                          </w:divBdr>
                          <w:divsChild>
                            <w:div w:id="595744847">
                              <w:marLeft w:val="0"/>
                              <w:marRight w:val="0"/>
                              <w:marTop w:val="0"/>
                              <w:marBottom w:val="0"/>
                              <w:divBdr>
                                <w:top w:val="none" w:sz="0" w:space="0" w:color="auto"/>
                                <w:left w:val="none" w:sz="0" w:space="0" w:color="auto"/>
                                <w:bottom w:val="none" w:sz="0" w:space="0" w:color="auto"/>
                                <w:right w:val="none" w:sz="0" w:space="0" w:color="auto"/>
                              </w:divBdr>
                            </w:div>
                            <w:div w:id="415251703">
                              <w:marLeft w:val="0"/>
                              <w:marRight w:val="0"/>
                              <w:marTop w:val="0"/>
                              <w:marBottom w:val="0"/>
                              <w:divBdr>
                                <w:top w:val="none" w:sz="0" w:space="0" w:color="auto"/>
                                <w:left w:val="none" w:sz="0" w:space="0" w:color="auto"/>
                                <w:bottom w:val="none" w:sz="0" w:space="0" w:color="auto"/>
                                <w:right w:val="none" w:sz="0" w:space="0" w:color="auto"/>
                              </w:divBdr>
                            </w:div>
                            <w:div w:id="984242208">
                              <w:marLeft w:val="0"/>
                              <w:marRight w:val="0"/>
                              <w:marTop w:val="0"/>
                              <w:marBottom w:val="0"/>
                              <w:divBdr>
                                <w:top w:val="none" w:sz="0" w:space="0" w:color="auto"/>
                                <w:left w:val="none" w:sz="0" w:space="0" w:color="auto"/>
                                <w:bottom w:val="none" w:sz="0" w:space="0" w:color="auto"/>
                                <w:right w:val="none" w:sz="0" w:space="0" w:color="auto"/>
                              </w:divBdr>
                            </w:div>
                            <w:div w:id="232664803">
                              <w:marLeft w:val="0"/>
                              <w:marRight w:val="0"/>
                              <w:marTop w:val="0"/>
                              <w:marBottom w:val="0"/>
                              <w:divBdr>
                                <w:top w:val="none" w:sz="0" w:space="0" w:color="auto"/>
                                <w:left w:val="none" w:sz="0" w:space="0" w:color="auto"/>
                                <w:bottom w:val="none" w:sz="0" w:space="0" w:color="auto"/>
                                <w:right w:val="none" w:sz="0" w:space="0" w:color="auto"/>
                              </w:divBdr>
                            </w:div>
                            <w:div w:id="1091581444">
                              <w:marLeft w:val="0"/>
                              <w:marRight w:val="0"/>
                              <w:marTop w:val="0"/>
                              <w:marBottom w:val="0"/>
                              <w:divBdr>
                                <w:top w:val="none" w:sz="0" w:space="0" w:color="auto"/>
                                <w:left w:val="none" w:sz="0" w:space="0" w:color="auto"/>
                                <w:bottom w:val="none" w:sz="0" w:space="0" w:color="auto"/>
                                <w:right w:val="none" w:sz="0" w:space="0" w:color="auto"/>
                              </w:divBdr>
                            </w:div>
                            <w:div w:id="1521042333">
                              <w:marLeft w:val="0"/>
                              <w:marRight w:val="0"/>
                              <w:marTop w:val="0"/>
                              <w:marBottom w:val="0"/>
                              <w:divBdr>
                                <w:top w:val="none" w:sz="0" w:space="0" w:color="auto"/>
                                <w:left w:val="none" w:sz="0" w:space="0" w:color="auto"/>
                                <w:bottom w:val="none" w:sz="0" w:space="0" w:color="auto"/>
                                <w:right w:val="none" w:sz="0" w:space="0" w:color="auto"/>
                              </w:divBdr>
                            </w:div>
                            <w:div w:id="62528294">
                              <w:marLeft w:val="0"/>
                              <w:marRight w:val="0"/>
                              <w:marTop w:val="0"/>
                              <w:marBottom w:val="0"/>
                              <w:divBdr>
                                <w:top w:val="none" w:sz="0" w:space="0" w:color="auto"/>
                                <w:left w:val="none" w:sz="0" w:space="0" w:color="auto"/>
                                <w:bottom w:val="none" w:sz="0" w:space="0" w:color="auto"/>
                                <w:right w:val="none" w:sz="0" w:space="0" w:color="auto"/>
                              </w:divBdr>
                            </w:div>
                            <w:div w:id="112098653">
                              <w:marLeft w:val="0"/>
                              <w:marRight w:val="0"/>
                              <w:marTop w:val="0"/>
                              <w:marBottom w:val="0"/>
                              <w:divBdr>
                                <w:top w:val="none" w:sz="0" w:space="0" w:color="auto"/>
                                <w:left w:val="none" w:sz="0" w:space="0" w:color="auto"/>
                                <w:bottom w:val="none" w:sz="0" w:space="0" w:color="auto"/>
                                <w:right w:val="none" w:sz="0" w:space="0" w:color="auto"/>
                              </w:divBdr>
                            </w:div>
                            <w:div w:id="33507147">
                              <w:marLeft w:val="0"/>
                              <w:marRight w:val="0"/>
                              <w:marTop w:val="0"/>
                              <w:marBottom w:val="0"/>
                              <w:divBdr>
                                <w:top w:val="none" w:sz="0" w:space="0" w:color="auto"/>
                                <w:left w:val="none" w:sz="0" w:space="0" w:color="auto"/>
                                <w:bottom w:val="none" w:sz="0" w:space="0" w:color="auto"/>
                                <w:right w:val="none" w:sz="0" w:space="0" w:color="auto"/>
                              </w:divBdr>
                            </w:div>
                          </w:divsChild>
                        </w:div>
                        <w:div w:id="10558">
                          <w:marLeft w:val="0"/>
                          <w:marRight w:val="0"/>
                          <w:marTop w:val="0"/>
                          <w:marBottom w:val="0"/>
                          <w:divBdr>
                            <w:top w:val="none" w:sz="0" w:space="0" w:color="auto"/>
                            <w:left w:val="none" w:sz="0" w:space="0" w:color="auto"/>
                            <w:bottom w:val="none" w:sz="0" w:space="0" w:color="auto"/>
                            <w:right w:val="none" w:sz="0" w:space="0" w:color="auto"/>
                          </w:divBdr>
                          <w:divsChild>
                            <w:div w:id="1231768974">
                              <w:marLeft w:val="0"/>
                              <w:marRight w:val="0"/>
                              <w:marTop w:val="0"/>
                              <w:marBottom w:val="0"/>
                              <w:divBdr>
                                <w:top w:val="none" w:sz="0" w:space="0" w:color="auto"/>
                                <w:left w:val="none" w:sz="0" w:space="0" w:color="auto"/>
                                <w:bottom w:val="none" w:sz="0" w:space="0" w:color="auto"/>
                                <w:right w:val="none" w:sz="0" w:space="0" w:color="auto"/>
                              </w:divBdr>
                            </w:div>
                            <w:div w:id="693188779">
                              <w:marLeft w:val="0"/>
                              <w:marRight w:val="0"/>
                              <w:marTop w:val="0"/>
                              <w:marBottom w:val="0"/>
                              <w:divBdr>
                                <w:top w:val="none" w:sz="0" w:space="0" w:color="auto"/>
                                <w:left w:val="none" w:sz="0" w:space="0" w:color="auto"/>
                                <w:bottom w:val="none" w:sz="0" w:space="0" w:color="auto"/>
                                <w:right w:val="none" w:sz="0" w:space="0" w:color="auto"/>
                              </w:divBdr>
                            </w:div>
                            <w:div w:id="2128549400">
                              <w:marLeft w:val="0"/>
                              <w:marRight w:val="0"/>
                              <w:marTop w:val="0"/>
                              <w:marBottom w:val="0"/>
                              <w:divBdr>
                                <w:top w:val="none" w:sz="0" w:space="0" w:color="auto"/>
                                <w:left w:val="none" w:sz="0" w:space="0" w:color="auto"/>
                                <w:bottom w:val="none" w:sz="0" w:space="0" w:color="auto"/>
                                <w:right w:val="none" w:sz="0" w:space="0" w:color="auto"/>
                              </w:divBdr>
                            </w:div>
                            <w:div w:id="1014726508">
                              <w:marLeft w:val="0"/>
                              <w:marRight w:val="0"/>
                              <w:marTop w:val="0"/>
                              <w:marBottom w:val="0"/>
                              <w:divBdr>
                                <w:top w:val="none" w:sz="0" w:space="0" w:color="auto"/>
                                <w:left w:val="none" w:sz="0" w:space="0" w:color="auto"/>
                                <w:bottom w:val="none" w:sz="0" w:space="0" w:color="auto"/>
                                <w:right w:val="none" w:sz="0" w:space="0" w:color="auto"/>
                              </w:divBdr>
                            </w:div>
                            <w:div w:id="1995598897">
                              <w:marLeft w:val="0"/>
                              <w:marRight w:val="0"/>
                              <w:marTop w:val="0"/>
                              <w:marBottom w:val="0"/>
                              <w:divBdr>
                                <w:top w:val="none" w:sz="0" w:space="0" w:color="auto"/>
                                <w:left w:val="none" w:sz="0" w:space="0" w:color="auto"/>
                                <w:bottom w:val="none" w:sz="0" w:space="0" w:color="auto"/>
                                <w:right w:val="none" w:sz="0" w:space="0" w:color="auto"/>
                              </w:divBdr>
                            </w:div>
                            <w:div w:id="851646201">
                              <w:marLeft w:val="0"/>
                              <w:marRight w:val="0"/>
                              <w:marTop w:val="0"/>
                              <w:marBottom w:val="0"/>
                              <w:divBdr>
                                <w:top w:val="none" w:sz="0" w:space="0" w:color="auto"/>
                                <w:left w:val="none" w:sz="0" w:space="0" w:color="auto"/>
                                <w:bottom w:val="none" w:sz="0" w:space="0" w:color="auto"/>
                                <w:right w:val="none" w:sz="0" w:space="0" w:color="auto"/>
                              </w:divBdr>
                            </w:div>
                            <w:div w:id="1617828286">
                              <w:marLeft w:val="0"/>
                              <w:marRight w:val="0"/>
                              <w:marTop w:val="0"/>
                              <w:marBottom w:val="0"/>
                              <w:divBdr>
                                <w:top w:val="none" w:sz="0" w:space="0" w:color="auto"/>
                                <w:left w:val="none" w:sz="0" w:space="0" w:color="auto"/>
                                <w:bottom w:val="none" w:sz="0" w:space="0" w:color="auto"/>
                                <w:right w:val="none" w:sz="0" w:space="0" w:color="auto"/>
                              </w:divBdr>
                            </w:div>
                            <w:div w:id="295532812">
                              <w:marLeft w:val="0"/>
                              <w:marRight w:val="0"/>
                              <w:marTop w:val="0"/>
                              <w:marBottom w:val="0"/>
                              <w:divBdr>
                                <w:top w:val="none" w:sz="0" w:space="0" w:color="auto"/>
                                <w:left w:val="none" w:sz="0" w:space="0" w:color="auto"/>
                                <w:bottom w:val="none" w:sz="0" w:space="0" w:color="auto"/>
                                <w:right w:val="none" w:sz="0" w:space="0" w:color="auto"/>
                              </w:divBdr>
                            </w:div>
                          </w:divsChild>
                        </w:div>
                        <w:div w:id="490685029">
                          <w:marLeft w:val="0"/>
                          <w:marRight w:val="0"/>
                          <w:marTop w:val="0"/>
                          <w:marBottom w:val="0"/>
                          <w:divBdr>
                            <w:top w:val="none" w:sz="0" w:space="0" w:color="auto"/>
                            <w:left w:val="none" w:sz="0" w:space="0" w:color="auto"/>
                            <w:bottom w:val="none" w:sz="0" w:space="0" w:color="auto"/>
                            <w:right w:val="none" w:sz="0" w:space="0" w:color="auto"/>
                          </w:divBdr>
                          <w:divsChild>
                            <w:div w:id="1287547040">
                              <w:marLeft w:val="0"/>
                              <w:marRight w:val="0"/>
                              <w:marTop w:val="0"/>
                              <w:marBottom w:val="0"/>
                              <w:divBdr>
                                <w:top w:val="none" w:sz="0" w:space="0" w:color="auto"/>
                                <w:left w:val="none" w:sz="0" w:space="0" w:color="auto"/>
                                <w:bottom w:val="none" w:sz="0" w:space="0" w:color="auto"/>
                                <w:right w:val="none" w:sz="0" w:space="0" w:color="auto"/>
                              </w:divBdr>
                            </w:div>
                            <w:div w:id="1769153823">
                              <w:marLeft w:val="0"/>
                              <w:marRight w:val="0"/>
                              <w:marTop w:val="0"/>
                              <w:marBottom w:val="0"/>
                              <w:divBdr>
                                <w:top w:val="none" w:sz="0" w:space="0" w:color="auto"/>
                                <w:left w:val="none" w:sz="0" w:space="0" w:color="auto"/>
                                <w:bottom w:val="none" w:sz="0" w:space="0" w:color="auto"/>
                                <w:right w:val="none" w:sz="0" w:space="0" w:color="auto"/>
                              </w:divBdr>
                            </w:div>
                            <w:div w:id="539515815">
                              <w:marLeft w:val="0"/>
                              <w:marRight w:val="0"/>
                              <w:marTop w:val="0"/>
                              <w:marBottom w:val="0"/>
                              <w:divBdr>
                                <w:top w:val="none" w:sz="0" w:space="0" w:color="auto"/>
                                <w:left w:val="none" w:sz="0" w:space="0" w:color="auto"/>
                                <w:bottom w:val="none" w:sz="0" w:space="0" w:color="auto"/>
                                <w:right w:val="none" w:sz="0" w:space="0" w:color="auto"/>
                              </w:divBdr>
                            </w:div>
                            <w:div w:id="995258570">
                              <w:marLeft w:val="0"/>
                              <w:marRight w:val="0"/>
                              <w:marTop w:val="0"/>
                              <w:marBottom w:val="0"/>
                              <w:divBdr>
                                <w:top w:val="none" w:sz="0" w:space="0" w:color="auto"/>
                                <w:left w:val="none" w:sz="0" w:space="0" w:color="auto"/>
                                <w:bottom w:val="none" w:sz="0" w:space="0" w:color="auto"/>
                                <w:right w:val="none" w:sz="0" w:space="0" w:color="auto"/>
                              </w:divBdr>
                            </w:div>
                          </w:divsChild>
                        </w:div>
                        <w:div w:id="2032998517">
                          <w:marLeft w:val="0"/>
                          <w:marRight w:val="0"/>
                          <w:marTop w:val="0"/>
                          <w:marBottom w:val="0"/>
                          <w:divBdr>
                            <w:top w:val="none" w:sz="0" w:space="0" w:color="auto"/>
                            <w:left w:val="none" w:sz="0" w:space="0" w:color="auto"/>
                            <w:bottom w:val="none" w:sz="0" w:space="0" w:color="auto"/>
                            <w:right w:val="none" w:sz="0" w:space="0" w:color="auto"/>
                          </w:divBdr>
                          <w:divsChild>
                            <w:div w:id="1210998780">
                              <w:marLeft w:val="0"/>
                              <w:marRight w:val="0"/>
                              <w:marTop w:val="0"/>
                              <w:marBottom w:val="0"/>
                              <w:divBdr>
                                <w:top w:val="none" w:sz="0" w:space="0" w:color="auto"/>
                                <w:left w:val="none" w:sz="0" w:space="0" w:color="auto"/>
                                <w:bottom w:val="none" w:sz="0" w:space="0" w:color="auto"/>
                                <w:right w:val="none" w:sz="0" w:space="0" w:color="auto"/>
                              </w:divBdr>
                            </w:div>
                            <w:div w:id="2100716388">
                              <w:marLeft w:val="0"/>
                              <w:marRight w:val="0"/>
                              <w:marTop w:val="0"/>
                              <w:marBottom w:val="0"/>
                              <w:divBdr>
                                <w:top w:val="none" w:sz="0" w:space="0" w:color="auto"/>
                                <w:left w:val="none" w:sz="0" w:space="0" w:color="auto"/>
                                <w:bottom w:val="none" w:sz="0" w:space="0" w:color="auto"/>
                                <w:right w:val="none" w:sz="0" w:space="0" w:color="auto"/>
                              </w:divBdr>
                            </w:div>
                            <w:div w:id="691763763">
                              <w:marLeft w:val="0"/>
                              <w:marRight w:val="0"/>
                              <w:marTop w:val="0"/>
                              <w:marBottom w:val="0"/>
                              <w:divBdr>
                                <w:top w:val="none" w:sz="0" w:space="0" w:color="auto"/>
                                <w:left w:val="none" w:sz="0" w:space="0" w:color="auto"/>
                                <w:bottom w:val="none" w:sz="0" w:space="0" w:color="auto"/>
                                <w:right w:val="none" w:sz="0" w:space="0" w:color="auto"/>
                              </w:divBdr>
                            </w:div>
                            <w:div w:id="654794781">
                              <w:marLeft w:val="0"/>
                              <w:marRight w:val="0"/>
                              <w:marTop w:val="0"/>
                              <w:marBottom w:val="0"/>
                              <w:divBdr>
                                <w:top w:val="none" w:sz="0" w:space="0" w:color="auto"/>
                                <w:left w:val="none" w:sz="0" w:space="0" w:color="auto"/>
                                <w:bottom w:val="none" w:sz="0" w:space="0" w:color="auto"/>
                                <w:right w:val="none" w:sz="0" w:space="0" w:color="auto"/>
                              </w:divBdr>
                            </w:div>
                            <w:div w:id="1604730281">
                              <w:marLeft w:val="0"/>
                              <w:marRight w:val="0"/>
                              <w:marTop w:val="0"/>
                              <w:marBottom w:val="0"/>
                              <w:divBdr>
                                <w:top w:val="none" w:sz="0" w:space="0" w:color="auto"/>
                                <w:left w:val="none" w:sz="0" w:space="0" w:color="auto"/>
                                <w:bottom w:val="none" w:sz="0" w:space="0" w:color="auto"/>
                                <w:right w:val="none" w:sz="0" w:space="0" w:color="auto"/>
                              </w:divBdr>
                            </w:div>
                            <w:div w:id="242879986">
                              <w:marLeft w:val="0"/>
                              <w:marRight w:val="0"/>
                              <w:marTop w:val="0"/>
                              <w:marBottom w:val="0"/>
                              <w:divBdr>
                                <w:top w:val="none" w:sz="0" w:space="0" w:color="auto"/>
                                <w:left w:val="none" w:sz="0" w:space="0" w:color="auto"/>
                                <w:bottom w:val="none" w:sz="0" w:space="0" w:color="auto"/>
                                <w:right w:val="none" w:sz="0" w:space="0" w:color="auto"/>
                              </w:divBdr>
                            </w:div>
                          </w:divsChild>
                        </w:div>
                        <w:div w:id="642349872">
                          <w:marLeft w:val="0"/>
                          <w:marRight w:val="0"/>
                          <w:marTop w:val="0"/>
                          <w:marBottom w:val="0"/>
                          <w:divBdr>
                            <w:top w:val="none" w:sz="0" w:space="0" w:color="auto"/>
                            <w:left w:val="none" w:sz="0" w:space="0" w:color="auto"/>
                            <w:bottom w:val="none" w:sz="0" w:space="0" w:color="auto"/>
                            <w:right w:val="none" w:sz="0" w:space="0" w:color="auto"/>
                          </w:divBdr>
                          <w:divsChild>
                            <w:div w:id="1504468713">
                              <w:marLeft w:val="0"/>
                              <w:marRight w:val="0"/>
                              <w:marTop w:val="0"/>
                              <w:marBottom w:val="0"/>
                              <w:divBdr>
                                <w:top w:val="none" w:sz="0" w:space="0" w:color="auto"/>
                                <w:left w:val="none" w:sz="0" w:space="0" w:color="auto"/>
                                <w:bottom w:val="none" w:sz="0" w:space="0" w:color="auto"/>
                                <w:right w:val="none" w:sz="0" w:space="0" w:color="auto"/>
                              </w:divBdr>
                            </w:div>
                            <w:div w:id="1200317604">
                              <w:marLeft w:val="0"/>
                              <w:marRight w:val="0"/>
                              <w:marTop w:val="0"/>
                              <w:marBottom w:val="0"/>
                              <w:divBdr>
                                <w:top w:val="none" w:sz="0" w:space="0" w:color="auto"/>
                                <w:left w:val="none" w:sz="0" w:space="0" w:color="auto"/>
                                <w:bottom w:val="none" w:sz="0" w:space="0" w:color="auto"/>
                                <w:right w:val="none" w:sz="0" w:space="0" w:color="auto"/>
                              </w:divBdr>
                            </w:div>
                            <w:div w:id="209397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30505">
                      <w:marLeft w:val="0"/>
                      <w:marRight w:val="0"/>
                      <w:marTop w:val="0"/>
                      <w:marBottom w:val="0"/>
                      <w:divBdr>
                        <w:top w:val="none" w:sz="0" w:space="0" w:color="auto"/>
                        <w:left w:val="none" w:sz="0" w:space="0" w:color="auto"/>
                        <w:bottom w:val="none" w:sz="0" w:space="0" w:color="auto"/>
                        <w:right w:val="none" w:sz="0" w:space="0" w:color="auto"/>
                      </w:divBdr>
                      <w:divsChild>
                        <w:div w:id="570385124">
                          <w:marLeft w:val="0"/>
                          <w:marRight w:val="0"/>
                          <w:marTop w:val="0"/>
                          <w:marBottom w:val="0"/>
                          <w:divBdr>
                            <w:top w:val="none" w:sz="0" w:space="0" w:color="auto"/>
                            <w:left w:val="none" w:sz="0" w:space="0" w:color="auto"/>
                            <w:bottom w:val="none" w:sz="0" w:space="0" w:color="auto"/>
                            <w:right w:val="none" w:sz="0" w:space="0" w:color="auto"/>
                          </w:divBdr>
                        </w:div>
                        <w:div w:id="1270240779">
                          <w:marLeft w:val="0"/>
                          <w:marRight w:val="0"/>
                          <w:marTop w:val="0"/>
                          <w:marBottom w:val="0"/>
                          <w:divBdr>
                            <w:top w:val="none" w:sz="0" w:space="0" w:color="auto"/>
                            <w:left w:val="none" w:sz="0" w:space="0" w:color="auto"/>
                            <w:bottom w:val="none" w:sz="0" w:space="0" w:color="auto"/>
                            <w:right w:val="none" w:sz="0" w:space="0" w:color="auto"/>
                          </w:divBdr>
                          <w:divsChild>
                            <w:div w:id="1543251160">
                              <w:marLeft w:val="0"/>
                              <w:marRight w:val="0"/>
                              <w:marTop w:val="0"/>
                              <w:marBottom w:val="0"/>
                              <w:divBdr>
                                <w:top w:val="none" w:sz="0" w:space="0" w:color="auto"/>
                                <w:left w:val="none" w:sz="0" w:space="0" w:color="auto"/>
                                <w:bottom w:val="none" w:sz="0" w:space="0" w:color="auto"/>
                                <w:right w:val="none" w:sz="0" w:space="0" w:color="auto"/>
                              </w:divBdr>
                            </w:div>
                            <w:div w:id="585067451">
                              <w:marLeft w:val="0"/>
                              <w:marRight w:val="0"/>
                              <w:marTop w:val="0"/>
                              <w:marBottom w:val="0"/>
                              <w:divBdr>
                                <w:top w:val="none" w:sz="0" w:space="0" w:color="auto"/>
                                <w:left w:val="none" w:sz="0" w:space="0" w:color="auto"/>
                                <w:bottom w:val="none" w:sz="0" w:space="0" w:color="auto"/>
                                <w:right w:val="none" w:sz="0" w:space="0" w:color="auto"/>
                              </w:divBdr>
                            </w:div>
                            <w:div w:id="199637266">
                              <w:marLeft w:val="0"/>
                              <w:marRight w:val="0"/>
                              <w:marTop w:val="0"/>
                              <w:marBottom w:val="0"/>
                              <w:divBdr>
                                <w:top w:val="none" w:sz="0" w:space="0" w:color="auto"/>
                                <w:left w:val="none" w:sz="0" w:space="0" w:color="auto"/>
                                <w:bottom w:val="none" w:sz="0" w:space="0" w:color="auto"/>
                                <w:right w:val="none" w:sz="0" w:space="0" w:color="auto"/>
                              </w:divBdr>
                            </w:div>
                            <w:div w:id="2058045959">
                              <w:marLeft w:val="0"/>
                              <w:marRight w:val="0"/>
                              <w:marTop w:val="0"/>
                              <w:marBottom w:val="0"/>
                              <w:divBdr>
                                <w:top w:val="none" w:sz="0" w:space="0" w:color="auto"/>
                                <w:left w:val="none" w:sz="0" w:space="0" w:color="auto"/>
                                <w:bottom w:val="none" w:sz="0" w:space="0" w:color="auto"/>
                                <w:right w:val="none" w:sz="0" w:space="0" w:color="auto"/>
                              </w:divBdr>
                            </w:div>
                            <w:div w:id="1633710187">
                              <w:marLeft w:val="0"/>
                              <w:marRight w:val="0"/>
                              <w:marTop w:val="0"/>
                              <w:marBottom w:val="0"/>
                              <w:divBdr>
                                <w:top w:val="none" w:sz="0" w:space="0" w:color="auto"/>
                                <w:left w:val="none" w:sz="0" w:space="0" w:color="auto"/>
                                <w:bottom w:val="none" w:sz="0" w:space="0" w:color="auto"/>
                                <w:right w:val="none" w:sz="0" w:space="0" w:color="auto"/>
                              </w:divBdr>
                            </w:div>
                            <w:div w:id="509369657">
                              <w:marLeft w:val="0"/>
                              <w:marRight w:val="0"/>
                              <w:marTop w:val="0"/>
                              <w:marBottom w:val="0"/>
                              <w:divBdr>
                                <w:top w:val="none" w:sz="0" w:space="0" w:color="auto"/>
                                <w:left w:val="none" w:sz="0" w:space="0" w:color="auto"/>
                                <w:bottom w:val="none" w:sz="0" w:space="0" w:color="auto"/>
                                <w:right w:val="none" w:sz="0" w:space="0" w:color="auto"/>
                              </w:divBdr>
                            </w:div>
                            <w:div w:id="1984891608">
                              <w:marLeft w:val="0"/>
                              <w:marRight w:val="0"/>
                              <w:marTop w:val="0"/>
                              <w:marBottom w:val="0"/>
                              <w:divBdr>
                                <w:top w:val="none" w:sz="0" w:space="0" w:color="auto"/>
                                <w:left w:val="none" w:sz="0" w:space="0" w:color="auto"/>
                                <w:bottom w:val="none" w:sz="0" w:space="0" w:color="auto"/>
                                <w:right w:val="none" w:sz="0" w:space="0" w:color="auto"/>
                              </w:divBdr>
                            </w:div>
                            <w:div w:id="167334862">
                              <w:marLeft w:val="0"/>
                              <w:marRight w:val="0"/>
                              <w:marTop w:val="0"/>
                              <w:marBottom w:val="0"/>
                              <w:divBdr>
                                <w:top w:val="none" w:sz="0" w:space="0" w:color="auto"/>
                                <w:left w:val="none" w:sz="0" w:space="0" w:color="auto"/>
                                <w:bottom w:val="none" w:sz="0" w:space="0" w:color="auto"/>
                                <w:right w:val="none" w:sz="0" w:space="0" w:color="auto"/>
                              </w:divBdr>
                            </w:div>
                            <w:div w:id="356001506">
                              <w:marLeft w:val="0"/>
                              <w:marRight w:val="0"/>
                              <w:marTop w:val="0"/>
                              <w:marBottom w:val="0"/>
                              <w:divBdr>
                                <w:top w:val="none" w:sz="0" w:space="0" w:color="auto"/>
                                <w:left w:val="none" w:sz="0" w:space="0" w:color="auto"/>
                                <w:bottom w:val="none" w:sz="0" w:space="0" w:color="auto"/>
                                <w:right w:val="none" w:sz="0" w:space="0" w:color="auto"/>
                              </w:divBdr>
                            </w:div>
                          </w:divsChild>
                        </w:div>
                        <w:div w:id="1221018215">
                          <w:marLeft w:val="0"/>
                          <w:marRight w:val="0"/>
                          <w:marTop w:val="0"/>
                          <w:marBottom w:val="0"/>
                          <w:divBdr>
                            <w:top w:val="none" w:sz="0" w:space="0" w:color="auto"/>
                            <w:left w:val="none" w:sz="0" w:space="0" w:color="auto"/>
                            <w:bottom w:val="none" w:sz="0" w:space="0" w:color="auto"/>
                            <w:right w:val="none" w:sz="0" w:space="0" w:color="auto"/>
                          </w:divBdr>
                          <w:divsChild>
                            <w:div w:id="2100829649">
                              <w:marLeft w:val="0"/>
                              <w:marRight w:val="0"/>
                              <w:marTop w:val="0"/>
                              <w:marBottom w:val="0"/>
                              <w:divBdr>
                                <w:top w:val="none" w:sz="0" w:space="0" w:color="auto"/>
                                <w:left w:val="none" w:sz="0" w:space="0" w:color="auto"/>
                                <w:bottom w:val="none" w:sz="0" w:space="0" w:color="auto"/>
                                <w:right w:val="none" w:sz="0" w:space="0" w:color="auto"/>
                              </w:divBdr>
                            </w:div>
                            <w:div w:id="1802385703">
                              <w:marLeft w:val="0"/>
                              <w:marRight w:val="0"/>
                              <w:marTop w:val="0"/>
                              <w:marBottom w:val="0"/>
                              <w:divBdr>
                                <w:top w:val="none" w:sz="0" w:space="0" w:color="auto"/>
                                <w:left w:val="none" w:sz="0" w:space="0" w:color="auto"/>
                                <w:bottom w:val="none" w:sz="0" w:space="0" w:color="auto"/>
                                <w:right w:val="none" w:sz="0" w:space="0" w:color="auto"/>
                              </w:divBdr>
                            </w:div>
                            <w:div w:id="854613195">
                              <w:marLeft w:val="0"/>
                              <w:marRight w:val="0"/>
                              <w:marTop w:val="0"/>
                              <w:marBottom w:val="0"/>
                              <w:divBdr>
                                <w:top w:val="none" w:sz="0" w:space="0" w:color="auto"/>
                                <w:left w:val="none" w:sz="0" w:space="0" w:color="auto"/>
                                <w:bottom w:val="none" w:sz="0" w:space="0" w:color="auto"/>
                                <w:right w:val="none" w:sz="0" w:space="0" w:color="auto"/>
                              </w:divBdr>
                            </w:div>
                            <w:div w:id="1936866078">
                              <w:marLeft w:val="0"/>
                              <w:marRight w:val="0"/>
                              <w:marTop w:val="0"/>
                              <w:marBottom w:val="0"/>
                              <w:divBdr>
                                <w:top w:val="none" w:sz="0" w:space="0" w:color="auto"/>
                                <w:left w:val="none" w:sz="0" w:space="0" w:color="auto"/>
                                <w:bottom w:val="none" w:sz="0" w:space="0" w:color="auto"/>
                                <w:right w:val="none" w:sz="0" w:space="0" w:color="auto"/>
                              </w:divBdr>
                            </w:div>
                            <w:div w:id="23948506">
                              <w:marLeft w:val="0"/>
                              <w:marRight w:val="0"/>
                              <w:marTop w:val="0"/>
                              <w:marBottom w:val="0"/>
                              <w:divBdr>
                                <w:top w:val="none" w:sz="0" w:space="0" w:color="auto"/>
                                <w:left w:val="none" w:sz="0" w:space="0" w:color="auto"/>
                                <w:bottom w:val="none" w:sz="0" w:space="0" w:color="auto"/>
                                <w:right w:val="none" w:sz="0" w:space="0" w:color="auto"/>
                              </w:divBdr>
                            </w:div>
                            <w:div w:id="2224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996841">
                      <w:marLeft w:val="0"/>
                      <w:marRight w:val="0"/>
                      <w:marTop w:val="0"/>
                      <w:marBottom w:val="0"/>
                      <w:divBdr>
                        <w:top w:val="none" w:sz="0" w:space="0" w:color="auto"/>
                        <w:left w:val="none" w:sz="0" w:space="0" w:color="auto"/>
                        <w:bottom w:val="none" w:sz="0" w:space="0" w:color="auto"/>
                        <w:right w:val="none" w:sz="0" w:space="0" w:color="auto"/>
                      </w:divBdr>
                      <w:divsChild>
                        <w:div w:id="1601373750">
                          <w:marLeft w:val="0"/>
                          <w:marRight w:val="0"/>
                          <w:marTop w:val="0"/>
                          <w:marBottom w:val="0"/>
                          <w:divBdr>
                            <w:top w:val="none" w:sz="0" w:space="0" w:color="auto"/>
                            <w:left w:val="none" w:sz="0" w:space="0" w:color="auto"/>
                            <w:bottom w:val="none" w:sz="0" w:space="0" w:color="auto"/>
                            <w:right w:val="none" w:sz="0" w:space="0" w:color="auto"/>
                          </w:divBdr>
                        </w:div>
                        <w:div w:id="1583831041">
                          <w:marLeft w:val="0"/>
                          <w:marRight w:val="0"/>
                          <w:marTop w:val="0"/>
                          <w:marBottom w:val="0"/>
                          <w:divBdr>
                            <w:top w:val="none" w:sz="0" w:space="0" w:color="auto"/>
                            <w:left w:val="none" w:sz="0" w:space="0" w:color="auto"/>
                            <w:bottom w:val="none" w:sz="0" w:space="0" w:color="auto"/>
                            <w:right w:val="none" w:sz="0" w:space="0" w:color="auto"/>
                          </w:divBdr>
                          <w:divsChild>
                            <w:div w:id="1186485826">
                              <w:marLeft w:val="0"/>
                              <w:marRight w:val="0"/>
                              <w:marTop w:val="0"/>
                              <w:marBottom w:val="0"/>
                              <w:divBdr>
                                <w:top w:val="none" w:sz="0" w:space="0" w:color="auto"/>
                                <w:left w:val="none" w:sz="0" w:space="0" w:color="auto"/>
                                <w:bottom w:val="none" w:sz="0" w:space="0" w:color="auto"/>
                                <w:right w:val="none" w:sz="0" w:space="0" w:color="auto"/>
                              </w:divBdr>
                            </w:div>
                            <w:div w:id="1127162963">
                              <w:marLeft w:val="0"/>
                              <w:marRight w:val="0"/>
                              <w:marTop w:val="0"/>
                              <w:marBottom w:val="0"/>
                              <w:divBdr>
                                <w:top w:val="none" w:sz="0" w:space="0" w:color="auto"/>
                                <w:left w:val="none" w:sz="0" w:space="0" w:color="auto"/>
                                <w:bottom w:val="none" w:sz="0" w:space="0" w:color="auto"/>
                                <w:right w:val="none" w:sz="0" w:space="0" w:color="auto"/>
                              </w:divBdr>
                            </w:div>
                            <w:div w:id="115950264">
                              <w:marLeft w:val="0"/>
                              <w:marRight w:val="0"/>
                              <w:marTop w:val="0"/>
                              <w:marBottom w:val="0"/>
                              <w:divBdr>
                                <w:top w:val="none" w:sz="0" w:space="0" w:color="auto"/>
                                <w:left w:val="none" w:sz="0" w:space="0" w:color="auto"/>
                                <w:bottom w:val="none" w:sz="0" w:space="0" w:color="auto"/>
                                <w:right w:val="none" w:sz="0" w:space="0" w:color="auto"/>
                              </w:divBdr>
                            </w:div>
                            <w:div w:id="196090168">
                              <w:marLeft w:val="0"/>
                              <w:marRight w:val="0"/>
                              <w:marTop w:val="0"/>
                              <w:marBottom w:val="0"/>
                              <w:divBdr>
                                <w:top w:val="none" w:sz="0" w:space="0" w:color="auto"/>
                                <w:left w:val="none" w:sz="0" w:space="0" w:color="auto"/>
                                <w:bottom w:val="none" w:sz="0" w:space="0" w:color="auto"/>
                                <w:right w:val="none" w:sz="0" w:space="0" w:color="auto"/>
                              </w:divBdr>
                            </w:div>
                            <w:div w:id="103235521">
                              <w:marLeft w:val="0"/>
                              <w:marRight w:val="0"/>
                              <w:marTop w:val="0"/>
                              <w:marBottom w:val="0"/>
                              <w:divBdr>
                                <w:top w:val="none" w:sz="0" w:space="0" w:color="auto"/>
                                <w:left w:val="none" w:sz="0" w:space="0" w:color="auto"/>
                                <w:bottom w:val="none" w:sz="0" w:space="0" w:color="auto"/>
                                <w:right w:val="none" w:sz="0" w:space="0" w:color="auto"/>
                              </w:divBdr>
                            </w:div>
                            <w:div w:id="2030567489">
                              <w:marLeft w:val="0"/>
                              <w:marRight w:val="0"/>
                              <w:marTop w:val="0"/>
                              <w:marBottom w:val="0"/>
                              <w:divBdr>
                                <w:top w:val="none" w:sz="0" w:space="0" w:color="auto"/>
                                <w:left w:val="none" w:sz="0" w:space="0" w:color="auto"/>
                                <w:bottom w:val="none" w:sz="0" w:space="0" w:color="auto"/>
                                <w:right w:val="none" w:sz="0" w:space="0" w:color="auto"/>
                              </w:divBdr>
                            </w:div>
                            <w:div w:id="1203177845">
                              <w:marLeft w:val="0"/>
                              <w:marRight w:val="0"/>
                              <w:marTop w:val="0"/>
                              <w:marBottom w:val="0"/>
                              <w:divBdr>
                                <w:top w:val="none" w:sz="0" w:space="0" w:color="auto"/>
                                <w:left w:val="none" w:sz="0" w:space="0" w:color="auto"/>
                                <w:bottom w:val="none" w:sz="0" w:space="0" w:color="auto"/>
                                <w:right w:val="none" w:sz="0" w:space="0" w:color="auto"/>
                              </w:divBdr>
                            </w:div>
                          </w:divsChild>
                        </w:div>
                        <w:div w:id="893345319">
                          <w:marLeft w:val="0"/>
                          <w:marRight w:val="0"/>
                          <w:marTop w:val="0"/>
                          <w:marBottom w:val="0"/>
                          <w:divBdr>
                            <w:top w:val="none" w:sz="0" w:space="0" w:color="auto"/>
                            <w:left w:val="none" w:sz="0" w:space="0" w:color="auto"/>
                            <w:bottom w:val="none" w:sz="0" w:space="0" w:color="auto"/>
                            <w:right w:val="none" w:sz="0" w:space="0" w:color="auto"/>
                          </w:divBdr>
                          <w:divsChild>
                            <w:div w:id="928464301">
                              <w:marLeft w:val="0"/>
                              <w:marRight w:val="0"/>
                              <w:marTop w:val="0"/>
                              <w:marBottom w:val="0"/>
                              <w:divBdr>
                                <w:top w:val="none" w:sz="0" w:space="0" w:color="auto"/>
                                <w:left w:val="none" w:sz="0" w:space="0" w:color="auto"/>
                                <w:bottom w:val="none" w:sz="0" w:space="0" w:color="auto"/>
                                <w:right w:val="none" w:sz="0" w:space="0" w:color="auto"/>
                              </w:divBdr>
                            </w:div>
                            <w:div w:id="140392526">
                              <w:marLeft w:val="0"/>
                              <w:marRight w:val="0"/>
                              <w:marTop w:val="0"/>
                              <w:marBottom w:val="0"/>
                              <w:divBdr>
                                <w:top w:val="none" w:sz="0" w:space="0" w:color="auto"/>
                                <w:left w:val="none" w:sz="0" w:space="0" w:color="auto"/>
                                <w:bottom w:val="none" w:sz="0" w:space="0" w:color="auto"/>
                                <w:right w:val="none" w:sz="0" w:space="0" w:color="auto"/>
                              </w:divBdr>
                            </w:div>
                            <w:div w:id="691103302">
                              <w:marLeft w:val="0"/>
                              <w:marRight w:val="0"/>
                              <w:marTop w:val="0"/>
                              <w:marBottom w:val="0"/>
                              <w:divBdr>
                                <w:top w:val="none" w:sz="0" w:space="0" w:color="auto"/>
                                <w:left w:val="none" w:sz="0" w:space="0" w:color="auto"/>
                                <w:bottom w:val="none" w:sz="0" w:space="0" w:color="auto"/>
                                <w:right w:val="none" w:sz="0" w:space="0" w:color="auto"/>
                              </w:divBdr>
                            </w:div>
                          </w:divsChild>
                        </w:div>
                        <w:div w:id="182788067">
                          <w:marLeft w:val="0"/>
                          <w:marRight w:val="0"/>
                          <w:marTop w:val="0"/>
                          <w:marBottom w:val="0"/>
                          <w:divBdr>
                            <w:top w:val="none" w:sz="0" w:space="0" w:color="auto"/>
                            <w:left w:val="none" w:sz="0" w:space="0" w:color="auto"/>
                            <w:bottom w:val="none" w:sz="0" w:space="0" w:color="auto"/>
                            <w:right w:val="none" w:sz="0" w:space="0" w:color="auto"/>
                          </w:divBdr>
                          <w:divsChild>
                            <w:div w:id="793790753">
                              <w:marLeft w:val="0"/>
                              <w:marRight w:val="0"/>
                              <w:marTop w:val="0"/>
                              <w:marBottom w:val="0"/>
                              <w:divBdr>
                                <w:top w:val="none" w:sz="0" w:space="0" w:color="auto"/>
                                <w:left w:val="none" w:sz="0" w:space="0" w:color="auto"/>
                                <w:bottom w:val="none" w:sz="0" w:space="0" w:color="auto"/>
                                <w:right w:val="none" w:sz="0" w:space="0" w:color="auto"/>
                              </w:divBdr>
                            </w:div>
                            <w:div w:id="162940265">
                              <w:marLeft w:val="0"/>
                              <w:marRight w:val="0"/>
                              <w:marTop w:val="0"/>
                              <w:marBottom w:val="0"/>
                              <w:divBdr>
                                <w:top w:val="none" w:sz="0" w:space="0" w:color="auto"/>
                                <w:left w:val="none" w:sz="0" w:space="0" w:color="auto"/>
                                <w:bottom w:val="none" w:sz="0" w:space="0" w:color="auto"/>
                                <w:right w:val="none" w:sz="0" w:space="0" w:color="auto"/>
                              </w:divBdr>
                            </w:div>
                            <w:div w:id="1389767743">
                              <w:marLeft w:val="0"/>
                              <w:marRight w:val="0"/>
                              <w:marTop w:val="0"/>
                              <w:marBottom w:val="0"/>
                              <w:divBdr>
                                <w:top w:val="none" w:sz="0" w:space="0" w:color="auto"/>
                                <w:left w:val="none" w:sz="0" w:space="0" w:color="auto"/>
                                <w:bottom w:val="none" w:sz="0" w:space="0" w:color="auto"/>
                                <w:right w:val="none" w:sz="0" w:space="0" w:color="auto"/>
                              </w:divBdr>
                            </w:div>
                          </w:divsChild>
                        </w:div>
                        <w:div w:id="708339076">
                          <w:marLeft w:val="0"/>
                          <w:marRight w:val="0"/>
                          <w:marTop w:val="0"/>
                          <w:marBottom w:val="0"/>
                          <w:divBdr>
                            <w:top w:val="none" w:sz="0" w:space="0" w:color="auto"/>
                            <w:left w:val="none" w:sz="0" w:space="0" w:color="auto"/>
                            <w:bottom w:val="none" w:sz="0" w:space="0" w:color="auto"/>
                            <w:right w:val="none" w:sz="0" w:space="0" w:color="auto"/>
                          </w:divBdr>
                          <w:divsChild>
                            <w:div w:id="1244559921">
                              <w:marLeft w:val="0"/>
                              <w:marRight w:val="0"/>
                              <w:marTop w:val="0"/>
                              <w:marBottom w:val="0"/>
                              <w:divBdr>
                                <w:top w:val="none" w:sz="0" w:space="0" w:color="auto"/>
                                <w:left w:val="none" w:sz="0" w:space="0" w:color="auto"/>
                                <w:bottom w:val="none" w:sz="0" w:space="0" w:color="auto"/>
                                <w:right w:val="none" w:sz="0" w:space="0" w:color="auto"/>
                              </w:divBdr>
                            </w:div>
                            <w:div w:id="1373647474">
                              <w:marLeft w:val="0"/>
                              <w:marRight w:val="0"/>
                              <w:marTop w:val="0"/>
                              <w:marBottom w:val="0"/>
                              <w:divBdr>
                                <w:top w:val="none" w:sz="0" w:space="0" w:color="auto"/>
                                <w:left w:val="none" w:sz="0" w:space="0" w:color="auto"/>
                                <w:bottom w:val="none" w:sz="0" w:space="0" w:color="auto"/>
                                <w:right w:val="none" w:sz="0" w:space="0" w:color="auto"/>
                              </w:divBdr>
                            </w:div>
                            <w:div w:id="1504004551">
                              <w:marLeft w:val="0"/>
                              <w:marRight w:val="0"/>
                              <w:marTop w:val="0"/>
                              <w:marBottom w:val="0"/>
                              <w:divBdr>
                                <w:top w:val="none" w:sz="0" w:space="0" w:color="auto"/>
                                <w:left w:val="none" w:sz="0" w:space="0" w:color="auto"/>
                                <w:bottom w:val="none" w:sz="0" w:space="0" w:color="auto"/>
                                <w:right w:val="none" w:sz="0" w:space="0" w:color="auto"/>
                              </w:divBdr>
                            </w:div>
                            <w:div w:id="1688213116">
                              <w:marLeft w:val="0"/>
                              <w:marRight w:val="0"/>
                              <w:marTop w:val="0"/>
                              <w:marBottom w:val="0"/>
                              <w:divBdr>
                                <w:top w:val="none" w:sz="0" w:space="0" w:color="auto"/>
                                <w:left w:val="none" w:sz="0" w:space="0" w:color="auto"/>
                                <w:bottom w:val="none" w:sz="0" w:space="0" w:color="auto"/>
                                <w:right w:val="none" w:sz="0" w:space="0" w:color="auto"/>
                              </w:divBdr>
                            </w:div>
                            <w:div w:id="625350035">
                              <w:marLeft w:val="0"/>
                              <w:marRight w:val="0"/>
                              <w:marTop w:val="0"/>
                              <w:marBottom w:val="0"/>
                              <w:divBdr>
                                <w:top w:val="none" w:sz="0" w:space="0" w:color="auto"/>
                                <w:left w:val="none" w:sz="0" w:space="0" w:color="auto"/>
                                <w:bottom w:val="none" w:sz="0" w:space="0" w:color="auto"/>
                                <w:right w:val="none" w:sz="0" w:space="0" w:color="auto"/>
                              </w:divBdr>
                            </w:div>
                          </w:divsChild>
                        </w:div>
                        <w:div w:id="172300752">
                          <w:marLeft w:val="0"/>
                          <w:marRight w:val="0"/>
                          <w:marTop w:val="0"/>
                          <w:marBottom w:val="0"/>
                          <w:divBdr>
                            <w:top w:val="none" w:sz="0" w:space="0" w:color="auto"/>
                            <w:left w:val="none" w:sz="0" w:space="0" w:color="auto"/>
                            <w:bottom w:val="none" w:sz="0" w:space="0" w:color="auto"/>
                            <w:right w:val="none" w:sz="0" w:space="0" w:color="auto"/>
                          </w:divBdr>
                          <w:divsChild>
                            <w:div w:id="282470157">
                              <w:marLeft w:val="0"/>
                              <w:marRight w:val="0"/>
                              <w:marTop w:val="0"/>
                              <w:marBottom w:val="0"/>
                              <w:divBdr>
                                <w:top w:val="none" w:sz="0" w:space="0" w:color="auto"/>
                                <w:left w:val="none" w:sz="0" w:space="0" w:color="auto"/>
                                <w:bottom w:val="none" w:sz="0" w:space="0" w:color="auto"/>
                                <w:right w:val="none" w:sz="0" w:space="0" w:color="auto"/>
                              </w:divBdr>
                            </w:div>
                            <w:div w:id="1109425519">
                              <w:marLeft w:val="0"/>
                              <w:marRight w:val="0"/>
                              <w:marTop w:val="0"/>
                              <w:marBottom w:val="0"/>
                              <w:divBdr>
                                <w:top w:val="none" w:sz="0" w:space="0" w:color="auto"/>
                                <w:left w:val="none" w:sz="0" w:space="0" w:color="auto"/>
                                <w:bottom w:val="none" w:sz="0" w:space="0" w:color="auto"/>
                                <w:right w:val="none" w:sz="0" w:space="0" w:color="auto"/>
                              </w:divBdr>
                            </w:div>
                            <w:div w:id="1149781916">
                              <w:marLeft w:val="0"/>
                              <w:marRight w:val="0"/>
                              <w:marTop w:val="0"/>
                              <w:marBottom w:val="0"/>
                              <w:divBdr>
                                <w:top w:val="none" w:sz="0" w:space="0" w:color="auto"/>
                                <w:left w:val="none" w:sz="0" w:space="0" w:color="auto"/>
                                <w:bottom w:val="none" w:sz="0" w:space="0" w:color="auto"/>
                                <w:right w:val="none" w:sz="0" w:space="0" w:color="auto"/>
                              </w:divBdr>
                            </w:div>
                            <w:div w:id="1275093813">
                              <w:marLeft w:val="0"/>
                              <w:marRight w:val="0"/>
                              <w:marTop w:val="0"/>
                              <w:marBottom w:val="0"/>
                              <w:divBdr>
                                <w:top w:val="none" w:sz="0" w:space="0" w:color="auto"/>
                                <w:left w:val="none" w:sz="0" w:space="0" w:color="auto"/>
                                <w:bottom w:val="none" w:sz="0" w:space="0" w:color="auto"/>
                                <w:right w:val="none" w:sz="0" w:space="0" w:color="auto"/>
                              </w:divBdr>
                            </w:div>
                          </w:divsChild>
                        </w:div>
                        <w:div w:id="233511358">
                          <w:marLeft w:val="0"/>
                          <w:marRight w:val="0"/>
                          <w:marTop w:val="0"/>
                          <w:marBottom w:val="0"/>
                          <w:divBdr>
                            <w:top w:val="none" w:sz="0" w:space="0" w:color="auto"/>
                            <w:left w:val="none" w:sz="0" w:space="0" w:color="auto"/>
                            <w:bottom w:val="none" w:sz="0" w:space="0" w:color="auto"/>
                            <w:right w:val="none" w:sz="0" w:space="0" w:color="auto"/>
                          </w:divBdr>
                          <w:divsChild>
                            <w:div w:id="155754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227375">
                      <w:marLeft w:val="0"/>
                      <w:marRight w:val="0"/>
                      <w:marTop w:val="0"/>
                      <w:marBottom w:val="0"/>
                      <w:divBdr>
                        <w:top w:val="none" w:sz="0" w:space="0" w:color="auto"/>
                        <w:left w:val="none" w:sz="0" w:space="0" w:color="auto"/>
                        <w:bottom w:val="none" w:sz="0" w:space="0" w:color="auto"/>
                        <w:right w:val="none" w:sz="0" w:space="0" w:color="auto"/>
                      </w:divBdr>
                      <w:divsChild>
                        <w:div w:id="2013406378">
                          <w:marLeft w:val="0"/>
                          <w:marRight w:val="0"/>
                          <w:marTop w:val="0"/>
                          <w:marBottom w:val="0"/>
                          <w:divBdr>
                            <w:top w:val="none" w:sz="0" w:space="0" w:color="auto"/>
                            <w:left w:val="none" w:sz="0" w:space="0" w:color="auto"/>
                            <w:bottom w:val="none" w:sz="0" w:space="0" w:color="auto"/>
                            <w:right w:val="none" w:sz="0" w:space="0" w:color="auto"/>
                          </w:divBdr>
                        </w:div>
                        <w:div w:id="1056472261">
                          <w:marLeft w:val="0"/>
                          <w:marRight w:val="0"/>
                          <w:marTop w:val="0"/>
                          <w:marBottom w:val="0"/>
                          <w:divBdr>
                            <w:top w:val="none" w:sz="0" w:space="0" w:color="auto"/>
                            <w:left w:val="none" w:sz="0" w:space="0" w:color="auto"/>
                            <w:bottom w:val="none" w:sz="0" w:space="0" w:color="auto"/>
                            <w:right w:val="none" w:sz="0" w:space="0" w:color="auto"/>
                          </w:divBdr>
                          <w:divsChild>
                            <w:div w:id="751588284">
                              <w:marLeft w:val="0"/>
                              <w:marRight w:val="0"/>
                              <w:marTop w:val="0"/>
                              <w:marBottom w:val="0"/>
                              <w:divBdr>
                                <w:top w:val="none" w:sz="0" w:space="0" w:color="auto"/>
                                <w:left w:val="none" w:sz="0" w:space="0" w:color="auto"/>
                                <w:bottom w:val="none" w:sz="0" w:space="0" w:color="auto"/>
                                <w:right w:val="none" w:sz="0" w:space="0" w:color="auto"/>
                              </w:divBdr>
                            </w:div>
                            <w:div w:id="1983995232">
                              <w:marLeft w:val="0"/>
                              <w:marRight w:val="0"/>
                              <w:marTop w:val="0"/>
                              <w:marBottom w:val="0"/>
                              <w:divBdr>
                                <w:top w:val="none" w:sz="0" w:space="0" w:color="auto"/>
                                <w:left w:val="none" w:sz="0" w:space="0" w:color="auto"/>
                                <w:bottom w:val="none" w:sz="0" w:space="0" w:color="auto"/>
                                <w:right w:val="none" w:sz="0" w:space="0" w:color="auto"/>
                              </w:divBdr>
                            </w:div>
                            <w:div w:id="1162044521">
                              <w:marLeft w:val="0"/>
                              <w:marRight w:val="0"/>
                              <w:marTop w:val="0"/>
                              <w:marBottom w:val="0"/>
                              <w:divBdr>
                                <w:top w:val="none" w:sz="0" w:space="0" w:color="auto"/>
                                <w:left w:val="none" w:sz="0" w:space="0" w:color="auto"/>
                                <w:bottom w:val="none" w:sz="0" w:space="0" w:color="auto"/>
                                <w:right w:val="none" w:sz="0" w:space="0" w:color="auto"/>
                              </w:divBdr>
                            </w:div>
                            <w:div w:id="606543459">
                              <w:marLeft w:val="0"/>
                              <w:marRight w:val="0"/>
                              <w:marTop w:val="0"/>
                              <w:marBottom w:val="0"/>
                              <w:divBdr>
                                <w:top w:val="none" w:sz="0" w:space="0" w:color="auto"/>
                                <w:left w:val="none" w:sz="0" w:space="0" w:color="auto"/>
                                <w:bottom w:val="none" w:sz="0" w:space="0" w:color="auto"/>
                                <w:right w:val="none" w:sz="0" w:space="0" w:color="auto"/>
                              </w:divBdr>
                            </w:div>
                            <w:div w:id="1002976746">
                              <w:marLeft w:val="0"/>
                              <w:marRight w:val="0"/>
                              <w:marTop w:val="0"/>
                              <w:marBottom w:val="0"/>
                              <w:divBdr>
                                <w:top w:val="none" w:sz="0" w:space="0" w:color="auto"/>
                                <w:left w:val="none" w:sz="0" w:space="0" w:color="auto"/>
                                <w:bottom w:val="none" w:sz="0" w:space="0" w:color="auto"/>
                                <w:right w:val="none" w:sz="0" w:space="0" w:color="auto"/>
                              </w:divBdr>
                            </w:div>
                            <w:div w:id="1040547186">
                              <w:marLeft w:val="0"/>
                              <w:marRight w:val="0"/>
                              <w:marTop w:val="0"/>
                              <w:marBottom w:val="0"/>
                              <w:divBdr>
                                <w:top w:val="none" w:sz="0" w:space="0" w:color="auto"/>
                                <w:left w:val="none" w:sz="0" w:space="0" w:color="auto"/>
                                <w:bottom w:val="none" w:sz="0" w:space="0" w:color="auto"/>
                                <w:right w:val="none" w:sz="0" w:space="0" w:color="auto"/>
                              </w:divBdr>
                            </w:div>
                          </w:divsChild>
                        </w:div>
                        <w:div w:id="481846053">
                          <w:marLeft w:val="0"/>
                          <w:marRight w:val="0"/>
                          <w:marTop w:val="0"/>
                          <w:marBottom w:val="0"/>
                          <w:divBdr>
                            <w:top w:val="none" w:sz="0" w:space="0" w:color="auto"/>
                            <w:left w:val="none" w:sz="0" w:space="0" w:color="auto"/>
                            <w:bottom w:val="none" w:sz="0" w:space="0" w:color="auto"/>
                            <w:right w:val="none" w:sz="0" w:space="0" w:color="auto"/>
                          </w:divBdr>
                          <w:divsChild>
                            <w:div w:id="1053624699">
                              <w:marLeft w:val="0"/>
                              <w:marRight w:val="0"/>
                              <w:marTop w:val="0"/>
                              <w:marBottom w:val="0"/>
                              <w:divBdr>
                                <w:top w:val="none" w:sz="0" w:space="0" w:color="auto"/>
                                <w:left w:val="none" w:sz="0" w:space="0" w:color="auto"/>
                                <w:bottom w:val="none" w:sz="0" w:space="0" w:color="auto"/>
                                <w:right w:val="none" w:sz="0" w:space="0" w:color="auto"/>
                              </w:divBdr>
                            </w:div>
                            <w:div w:id="1367607133">
                              <w:marLeft w:val="0"/>
                              <w:marRight w:val="0"/>
                              <w:marTop w:val="0"/>
                              <w:marBottom w:val="0"/>
                              <w:divBdr>
                                <w:top w:val="none" w:sz="0" w:space="0" w:color="auto"/>
                                <w:left w:val="none" w:sz="0" w:space="0" w:color="auto"/>
                                <w:bottom w:val="none" w:sz="0" w:space="0" w:color="auto"/>
                                <w:right w:val="none" w:sz="0" w:space="0" w:color="auto"/>
                              </w:divBdr>
                            </w:div>
                            <w:div w:id="262422962">
                              <w:marLeft w:val="0"/>
                              <w:marRight w:val="0"/>
                              <w:marTop w:val="0"/>
                              <w:marBottom w:val="0"/>
                              <w:divBdr>
                                <w:top w:val="none" w:sz="0" w:space="0" w:color="auto"/>
                                <w:left w:val="none" w:sz="0" w:space="0" w:color="auto"/>
                                <w:bottom w:val="none" w:sz="0" w:space="0" w:color="auto"/>
                                <w:right w:val="none" w:sz="0" w:space="0" w:color="auto"/>
                              </w:divBdr>
                            </w:div>
                            <w:div w:id="1672758157">
                              <w:marLeft w:val="0"/>
                              <w:marRight w:val="0"/>
                              <w:marTop w:val="0"/>
                              <w:marBottom w:val="0"/>
                              <w:divBdr>
                                <w:top w:val="none" w:sz="0" w:space="0" w:color="auto"/>
                                <w:left w:val="none" w:sz="0" w:space="0" w:color="auto"/>
                                <w:bottom w:val="none" w:sz="0" w:space="0" w:color="auto"/>
                                <w:right w:val="none" w:sz="0" w:space="0" w:color="auto"/>
                              </w:divBdr>
                            </w:div>
                          </w:divsChild>
                        </w:div>
                        <w:div w:id="993951336">
                          <w:marLeft w:val="0"/>
                          <w:marRight w:val="0"/>
                          <w:marTop w:val="0"/>
                          <w:marBottom w:val="0"/>
                          <w:divBdr>
                            <w:top w:val="none" w:sz="0" w:space="0" w:color="auto"/>
                            <w:left w:val="none" w:sz="0" w:space="0" w:color="auto"/>
                            <w:bottom w:val="none" w:sz="0" w:space="0" w:color="auto"/>
                            <w:right w:val="none" w:sz="0" w:space="0" w:color="auto"/>
                          </w:divBdr>
                          <w:divsChild>
                            <w:div w:id="890507474">
                              <w:marLeft w:val="0"/>
                              <w:marRight w:val="0"/>
                              <w:marTop w:val="0"/>
                              <w:marBottom w:val="0"/>
                              <w:divBdr>
                                <w:top w:val="none" w:sz="0" w:space="0" w:color="auto"/>
                                <w:left w:val="none" w:sz="0" w:space="0" w:color="auto"/>
                                <w:bottom w:val="none" w:sz="0" w:space="0" w:color="auto"/>
                                <w:right w:val="none" w:sz="0" w:space="0" w:color="auto"/>
                              </w:divBdr>
                            </w:div>
                            <w:div w:id="1197498973">
                              <w:marLeft w:val="0"/>
                              <w:marRight w:val="0"/>
                              <w:marTop w:val="0"/>
                              <w:marBottom w:val="0"/>
                              <w:divBdr>
                                <w:top w:val="none" w:sz="0" w:space="0" w:color="auto"/>
                                <w:left w:val="none" w:sz="0" w:space="0" w:color="auto"/>
                                <w:bottom w:val="none" w:sz="0" w:space="0" w:color="auto"/>
                                <w:right w:val="none" w:sz="0" w:space="0" w:color="auto"/>
                              </w:divBdr>
                            </w:div>
                            <w:div w:id="1034503247">
                              <w:marLeft w:val="0"/>
                              <w:marRight w:val="0"/>
                              <w:marTop w:val="0"/>
                              <w:marBottom w:val="0"/>
                              <w:divBdr>
                                <w:top w:val="none" w:sz="0" w:space="0" w:color="auto"/>
                                <w:left w:val="none" w:sz="0" w:space="0" w:color="auto"/>
                                <w:bottom w:val="none" w:sz="0" w:space="0" w:color="auto"/>
                                <w:right w:val="none" w:sz="0" w:space="0" w:color="auto"/>
                              </w:divBdr>
                            </w:div>
                            <w:div w:id="400376231">
                              <w:marLeft w:val="0"/>
                              <w:marRight w:val="0"/>
                              <w:marTop w:val="0"/>
                              <w:marBottom w:val="0"/>
                              <w:divBdr>
                                <w:top w:val="none" w:sz="0" w:space="0" w:color="auto"/>
                                <w:left w:val="none" w:sz="0" w:space="0" w:color="auto"/>
                                <w:bottom w:val="none" w:sz="0" w:space="0" w:color="auto"/>
                                <w:right w:val="none" w:sz="0" w:space="0" w:color="auto"/>
                              </w:divBdr>
                            </w:div>
                            <w:div w:id="1124540676">
                              <w:marLeft w:val="0"/>
                              <w:marRight w:val="0"/>
                              <w:marTop w:val="0"/>
                              <w:marBottom w:val="0"/>
                              <w:divBdr>
                                <w:top w:val="none" w:sz="0" w:space="0" w:color="auto"/>
                                <w:left w:val="none" w:sz="0" w:space="0" w:color="auto"/>
                                <w:bottom w:val="none" w:sz="0" w:space="0" w:color="auto"/>
                                <w:right w:val="none" w:sz="0" w:space="0" w:color="auto"/>
                              </w:divBdr>
                            </w:div>
                            <w:div w:id="1740668552">
                              <w:marLeft w:val="0"/>
                              <w:marRight w:val="0"/>
                              <w:marTop w:val="0"/>
                              <w:marBottom w:val="0"/>
                              <w:divBdr>
                                <w:top w:val="none" w:sz="0" w:space="0" w:color="auto"/>
                                <w:left w:val="none" w:sz="0" w:space="0" w:color="auto"/>
                                <w:bottom w:val="none" w:sz="0" w:space="0" w:color="auto"/>
                                <w:right w:val="none" w:sz="0" w:space="0" w:color="auto"/>
                              </w:divBdr>
                            </w:div>
                            <w:div w:id="2116434845">
                              <w:marLeft w:val="0"/>
                              <w:marRight w:val="0"/>
                              <w:marTop w:val="0"/>
                              <w:marBottom w:val="0"/>
                              <w:divBdr>
                                <w:top w:val="none" w:sz="0" w:space="0" w:color="auto"/>
                                <w:left w:val="none" w:sz="0" w:space="0" w:color="auto"/>
                                <w:bottom w:val="none" w:sz="0" w:space="0" w:color="auto"/>
                                <w:right w:val="none" w:sz="0" w:space="0" w:color="auto"/>
                              </w:divBdr>
                            </w:div>
                            <w:div w:id="1880387267">
                              <w:marLeft w:val="0"/>
                              <w:marRight w:val="0"/>
                              <w:marTop w:val="0"/>
                              <w:marBottom w:val="0"/>
                              <w:divBdr>
                                <w:top w:val="none" w:sz="0" w:space="0" w:color="auto"/>
                                <w:left w:val="none" w:sz="0" w:space="0" w:color="auto"/>
                                <w:bottom w:val="none" w:sz="0" w:space="0" w:color="auto"/>
                                <w:right w:val="none" w:sz="0" w:space="0" w:color="auto"/>
                              </w:divBdr>
                            </w:div>
                            <w:div w:id="775760220">
                              <w:marLeft w:val="0"/>
                              <w:marRight w:val="0"/>
                              <w:marTop w:val="0"/>
                              <w:marBottom w:val="0"/>
                              <w:divBdr>
                                <w:top w:val="none" w:sz="0" w:space="0" w:color="auto"/>
                                <w:left w:val="none" w:sz="0" w:space="0" w:color="auto"/>
                                <w:bottom w:val="none" w:sz="0" w:space="0" w:color="auto"/>
                                <w:right w:val="none" w:sz="0" w:space="0" w:color="auto"/>
                              </w:divBdr>
                            </w:div>
                          </w:divsChild>
                        </w:div>
                        <w:div w:id="1799033832">
                          <w:marLeft w:val="0"/>
                          <w:marRight w:val="0"/>
                          <w:marTop w:val="0"/>
                          <w:marBottom w:val="0"/>
                          <w:divBdr>
                            <w:top w:val="none" w:sz="0" w:space="0" w:color="auto"/>
                            <w:left w:val="none" w:sz="0" w:space="0" w:color="auto"/>
                            <w:bottom w:val="none" w:sz="0" w:space="0" w:color="auto"/>
                            <w:right w:val="none" w:sz="0" w:space="0" w:color="auto"/>
                          </w:divBdr>
                          <w:divsChild>
                            <w:div w:id="188375945">
                              <w:marLeft w:val="0"/>
                              <w:marRight w:val="0"/>
                              <w:marTop w:val="0"/>
                              <w:marBottom w:val="0"/>
                              <w:divBdr>
                                <w:top w:val="none" w:sz="0" w:space="0" w:color="auto"/>
                                <w:left w:val="none" w:sz="0" w:space="0" w:color="auto"/>
                                <w:bottom w:val="none" w:sz="0" w:space="0" w:color="auto"/>
                                <w:right w:val="none" w:sz="0" w:space="0" w:color="auto"/>
                              </w:divBdr>
                            </w:div>
                            <w:div w:id="1245649521">
                              <w:marLeft w:val="0"/>
                              <w:marRight w:val="0"/>
                              <w:marTop w:val="0"/>
                              <w:marBottom w:val="0"/>
                              <w:divBdr>
                                <w:top w:val="none" w:sz="0" w:space="0" w:color="auto"/>
                                <w:left w:val="none" w:sz="0" w:space="0" w:color="auto"/>
                                <w:bottom w:val="none" w:sz="0" w:space="0" w:color="auto"/>
                                <w:right w:val="none" w:sz="0" w:space="0" w:color="auto"/>
                              </w:divBdr>
                            </w:div>
                            <w:div w:id="1660384847">
                              <w:marLeft w:val="0"/>
                              <w:marRight w:val="0"/>
                              <w:marTop w:val="0"/>
                              <w:marBottom w:val="0"/>
                              <w:divBdr>
                                <w:top w:val="none" w:sz="0" w:space="0" w:color="auto"/>
                                <w:left w:val="none" w:sz="0" w:space="0" w:color="auto"/>
                                <w:bottom w:val="none" w:sz="0" w:space="0" w:color="auto"/>
                                <w:right w:val="none" w:sz="0" w:space="0" w:color="auto"/>
                              </w:divBdr>
                            </w:div>
                            <w:div w:id="1900676353">
                              <w:marLeft w:val="0"/>
                              <w:marRight w:val="0"/>
                              <w:marTop w:val="0"/>
                              <w:marBottom w:val="0"/>
                              <w:divBdr>
                                <w:top w:val="none" w:sz="0" w:space="0" w:color="auto"/>
                                <w:left w:val="none" w:sz="0" w:space="0" w:color="auto"/>
                                <w:bottom w:val="none" w:sz="0" w:space="0" w:color="auto"/>
                                <w:right w:val="none" w:sz="0" w:space="0" w:color="auto"/>
                              </w:divBdr>
                            </w:div>
                            <w:div w:id="185453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291936">
                      <w:marLeft w:val="0"/>
                      <w:marRight w:val="0"/>
                      <w:marTop w:val="0"/>
                      <w:marBottom w:val="0"/>
                      <w:divBdr>
                        <w:top w:val="none" w:sz="0" w:space="0" w:color="auto"/>
                        <w:left w:val="none" w:sz="0" w:space="0" w:color="auto"/>
                        <w:bottom w:val="none" w:sz="0" w:space="0" w:color="auto"/>
                        <w:right w:val="none" w:sz="0" w:space="0" w:color="auto"/>
                      </w:divBdr>
                      <w:divsChild>
                        <w:div w:id="1764648239">
                          <w:marLeft w:val="0"/>
                          <w:marRight w:val="0"/>
                          <w:marTop w:val="0"/>
                          <w:marBottom w:val="0"/>
                          <w:divBdr>
                            <w:top w:val="none" w:sz="0" w:space="0" w:color="auto"/>
                            <w:left w:val="none" w:sz="0" w:space="0" w:color="auto"/>
                            <w:bottom w:val="none" w:sz="0" w:space="0" w:color="auto"/>
                            <w:right w:val="none" w:sz="0" w:space="0" w:color="auto"/>
                          </w:divBdr>
                        </w:div>
                        <w:div w:id="33778594">
                          <w:marLeft w:val="0"/>
                          <w:marRight w:val="0"/>
                          <w:marTop w:val="0"/>
                          <w:marBottom w:val="0"/>
                          <w:divBdr>
                            <w:top w:val="none" w:sz="0" w:space="0" w:color="auto"/>
                            <w:left w:val="none" w:sz="0" w:space="0" w:color="auto"/>
                            <w:bottom w:val="none" w:sz="0" w:space="0" w:color="auto"/>
                            <w:right w:val="none" w:sz="0" w:space="0" w:color="auto"/>
                          </w:divBdr>
                          <w:divsChild>
                            <w:div w:id="1424492711">
                              <w:marLeft w:val="0"/>
                              <w:marRight w:val="0"/>
                              <w:marTop w:val="0"/>
                              <w:marBottom w:val="0"/>
                              <w:divBdr>
                                <w:top w:val="none" w:sz="0" w:space="0" w:color="auto"/>
                                <w:left w:val="none" w:sz="0" w:space="0" w:color="auto"/>
                                <w:bottom w:val="none" w:sz="0" w:space="0" w:color="auto"/>
                                <w:right w:val="none" w:sz="0" w:space="0" w:color="auto"/>
                              </w:divBdr>
                            </w:div>
                          </w:divsChild>
                        </w:div>
                        <w:div w:id="313946844">
                          <w:marLeft w:val="0"/>
                          <w:marRight w:val="0"/>
                          <w:marTop w:val="0"/>
                          <w:marBottom w:val="0"/>
                          <w:divBdr>
                            <w:top w:val="none" w:sz="0" w:space="0" w:color="auto"/>
                            <w:left w:val="none" w:sz="0" w:space="0" w:color="auto"/>
                            <w:bottom w:val="none" w:sz="0" w:space="0" w:color="auto"/>
                            <w:right w:val="none" w:sz="0" w:space="0" w:color="auto"/>
                          </w:divBdr>
                          <w:divsChild>
                            <w:div w:id="1510214529">
                              <w:marLeft w:val="0"/>
                              <w:marRight w:val="0"/>
                              <w:marTop w:val="0"/>
                              <w:marBottom w:val="0"/>
                              <w:divBdr>
                                <w:top w:val="none" w:sz="0" w:space="0" w:color="auto"/>
                                <w:left w:val="none" w:sz="0" w:space="0" w:color="auto"/>
                                <w:bottom w:val="none" w:sz="0" w:space="0" w:color="auto"/>
                                <w:right w:val="none" w:sz="0" w:space="0" w:color="auto"/>
                              </w:divBdr>
                            </w:div>
                            <w:div w:id="1796481599">
                              <w:marLeft w:val="0"/>
                              <w:marRight w:val="0"/>
                              <w:marTop w:val="0"/>
                              <w:marBottom w:val="0"/>
                              <w:divBdr>
                                <w:top w:val="none" w:sz="0" w:space="0" w:color="auto"/>
                                <w:left w:val="none" w:sz="0" w:space="0" w:color="auto"/>
                                <w:bottom w:val="none" w:sz="0" w:space="0" w:color="auto"/>
                                <w:right w:val="none" w:sz="0" w:space="0" w:color="auto"/>
                              </w:divBdr>
                            </w:div>
                            <w:div w:id="1095054467">
                              <w:marLeft w:val="0"/>
                              <w:marRight w:val="0"/>
                              <w:marTop w:val="0"/>
                              <w:marBottom w:val="0"/>
                              <w:divBdr>
                                <w:top w:val="none" w:sz="0" w:space="0" w:color="auto"/>
                                <w:left w:val="none" w:sz="0" w:space="0" w:color="auto"/>
                                <w:bottom w:val="none" w:sz="0" w:space="0" w:color="auto"/>
                                <w:right w:val="none" w:sz="0" w:space="0" w:color="auto"/>
                              </w:divBdr>
                            </w:div>
                            <w:div w:id="1592858984">
                              <w:marLeft w:val="0"/>
                              <w:marRight w:val="0"/>
                              <w:marTop w:val="0"/>
                              <w:marBottom w:val="0"/>
                              <w:divBdr>
                                <w:top w:val="none" w:sz="0" w:space="0" w:color="auto"/>
                                <w:left w:val="none" w:sz="0" w:space="0" w:color="auto"/>
                                <w:bottom w:val="none" w:sz="0" w:space="0" w:color="auto"/>
                                <w:right w:val="none" w:sz="0" w:space="0" w:color="auto"/>
                              </w:divBdr>
                            </w:div>
                            <w:div w:id="930813931">
                              <w:marLeft w:val="0"/>
                              <w:marRight w:val="0"/>
                              <w:marTop w:val="0"/>
                              <w:marBottom w:val="0"/>
                              <w:divBdr>
                                <w:top w:val="none" w:sz="0" w:space="0" w:color="auto"/>
                                <w:left w:val="none" w:sz="0" w:space="0" w:color="auto"/>
                                <w:bottom w:val="none" w:sz="0" w:space="0" w:color="auto"/>
                                <w:right w:val="none" w:sz="0" w:space="0" w:color="auto"/>
                              </w:divBdr>
                            </w:div>
                            <w:div w:id="476655343">
                              <w:marLeft w:val="0"/>
                              <w:marRight w:val="0"/>
                              <w:marTop w:val="0"/>
                              <w:marBottom w:val="0"/>
                              <w:divBdr>
                                <w:top w:val="none" w:sz="0" w:space="0" w:color="auto"/>
                                <w:left w:val="none" w:sz="0" w:space="0" w:color="auto"/>
                                <w:bottom w:val="none" w:sz="0" w:space="0" w:color="auto"/>
                                <w:right w:val="none" w:sz="0" w:space="0" w:color="auto"/>
                              </w:divBdr>
                            </w:div>
                          </w:divsChild>
                        </w:div>
                        <w:div w:id="1645893708">
                          <w:marLeft w:val="0"/>
                          <w:marRight w:val="0"/>
                          <w:marTop w:val="0"/>
                          <w:marBottom w:val="0"/>
                          <w:divBdr>
                            <w:top w:val="none" w:sz="0" w:space="0" w:color="auto"/>
                            <w:left w:val="none" w:sz="0" w:space="0" w:color="auto"/>
                            <w:bottom w:val="none" w:sz="0" w:space="0" w:color="auto"/>
                            <w:right w:val="none" w:sz="0" w:space="0" w:color="auto"/>
                          </w:divBdr>
                          <w:divsChild>
                            <w:div w:id="322857315">
                              <w:marLeft w:val="0"/>
                              <w:marRight w:val="0"/>
                              <w:marTop w:val="0"/>
                              <w:marBottom w:val="0"/>
                              <w:divBdr>
                                <w:top w:val="none" w:sz="0" w:space="0" w:color="auto"/>
                                <w:left w:val="none" w:sz="0" w:space="0" w:color="auto"/>
                                <w:bottom w:val="none" w:sz="0" w:space="0" w:color="auto"/>
                                <w:right w:val="none" w:sz="0" w:space="0" w:color="auto"/>
                              </w:divBdr>
                            </w:div>
                            <w:div w:id="58528971">
                              <w:marLeft w:val="0"/>
                              <w:marRight w:val="0"/>
                              <w:marTop w:val="0"/>
                              <w:marBottom w:val="0"/>
                              <w:divBdr>
                                <w:top w:val="none" w:sz="0" w:space="0" w:color="auto"/>
                                <w:left w:val="none" w:sz="0" w:space="0" w:color="auto"/>
                                <w:bottom w:val="none" w:sz="0" w:space="0" w:color="auto"/>
                                <w:right w:val="none" w:sz="0" w:space="0" w:color="auto"/>
                              </w:divBdr>
                            </w:div>
                            <w:div w:id="839810299">
                              <w:marLeft w:val="0"/>
                              <w:marRight w:val="0"/>
                              <w:marTop w:val="0"/>
                              <w:marBottom w:val="0"/>
                              <w:divBdr>
                                <w:top w:val="none" w:sz="0" w:space="0" w:color="auto"/>
                                <w:left w:val="none" w:sz="0" w:space="0" w:color="auto"/>
                                <w:bottom w:val="none" w:sz="0" w:space="0" w:color="auto"/>
                                <w:right w:val="none" w:sz="0" w:space="0" w:color="auto"/>
                              </w:divBdr>
                            </w:div>
                            <w:div w:id="1742871248">
                              <w:marLeft w:val="0"/>
                              <w:marRight w:val="0"/>
                              <w:marTop w:val="0"/>
                              <w:marBottom w:val="0"/>
                              <w:divBdr>
                                <w:top w:val="none" w:sz="0" w:space="0" w:color="auto"/>
                                <w:left w:val="none" w:sz="0" w:space="0" w:color="auto"/>
                                <w:bottom w:val="none" w:sz="0" w:space="0" w:color="auto"/>
                                <w:right w:val="none" w:sz="0" w:space="0" w:color="auto"/>
                              </w:divBdr>
                            </w:div>
                            <w:div w:id="770050070">
                              <w:marLeft w:val="0"/>
                              <w:marRight w:val="0"/>
                              <w:marTop w:val="0"/>
                              <w:marBottom w:val="0"/>
                              <w:divBdr>
                                <w:top w:val="none" w:sz="0" w:space="0" w:color="auto"/>
                                <w:left w:val="none" w:sz="0" w:space="0" w:color="auto"/>
                                <w:bottom w:val="none" w:sz="0" w:space="0" w:color="auto"/>
                                <w:right w:val="none" w:sz="0" w:space="0" w:color="auto"/>
                              </w:divBdr>
                            </w:div>
                            <w:div w:id="1237085622">
                              <w:marLeft w:val="0"/>
                              <w:marRight w:val="0"/>
                              <w:marTop w:val="0"/>
                              <w:marBottom w:val="0"/>
                              <w:divBdr>
                                <w:top w:val="none" w:sz="0" w:space="0" w:color="auto"/>
                                <w:left w:val="none" w:sz="0" w:space="0" w:color="auto"/>
                                <w:bottom w:val="none" w:sz="0" w:space="0" w:color="auto"/>
                                <w:right w:val="none" w:sz="0" w:space="0" w:color="auto"/>
                              </w:divBdr>
                            </w:div>
                            <w:div w:id="1939676995">
                              <w:marLeft w:val="0"/>
                              <w:marRight w:val="0"/>
                              <w:marTop w:val="0"/>
                              <w:marBottom w:val="0"/>
                              <w:divBdr>
                                <w:top w:val="none" w:sz="0" w:space="0" w:color="auto"/>
                                <w:left w:val="none" w:sz="0" w:space="0" w:color="auto"/>
                                <w:bottom w:val="none" w:sz="0" w:space="0" w:color="auto"/>
                                <w:right w:val="none" w:sz="0" w:space="0" w:color="auto"/>
                              </w:divBdr>
                            </w:div>
                            <w:div w:id="1753309026">
                              <w:marLeft w:val="0"/>
                              <w:marRight w:val="0"/>
                              <w:marTop w:val="0"/>
                              <w:marBottom w:val="0"/>
                              <w:divBdr>
                                <w:top w:val="none" w:sz="0" w:space="0" w:color="auto"/>
                                <w:left w:val="none" w:sz="0" w:space="0" w:color="auto"/>
                                <w:bottom w:val="none" w:sz="0" w:space="0" w:color="auto"/>
                                <w:right w:val="none" w:sz="0" w:space="0" w:color="auto"/>
                              </w:divBdr>
                            </w:div>
                          </w:divsChild>
                        </w:div>
                        <w:div w:id="470367815">
                          <w:marLeft w:val="0"/>
                          <w:marRight w:val="0"/>
                          <w:marTop w:val="0"/>
                          <w:marBottom w:val="0"/>
                          <w:divBdr>
                            <w:top w:val="none" w:sz="0" w:space="0" w:color="auto"/>
                            <w:left w:val="none" w:sz="0" w:space="0" w:color="auto"/>
                            <w:bottom w:val="none" w:sz="0" w:space="0" w:color="auto"/>
                            <w:right w:val="none" w:sz="0" w:space="0" w:color="auto"/>
                          </w:divBdr>
                          <w:divsChild>
                            <w:div w:id="1827893111">
                              <w:marLeft w:val="0"/>
                              <w:marRight w:val="0"/>
                              <w:marTop w:val="0"/>
                              <w:marBottom w:val="0"/>
                              <w:divBdr>
                                <w:top w:val="none" w:sz="0" w:space="0" w:color="auto"/>
                                <w:left w:val="none" w:sz="0" w:space="0" w:color="auto"/>
                                <w:bottom w:val="none" w:sz="0" w:space="0" w:color="auto"/>
                                <w:right w:val="none" w:sz="0" w:space="0" w:color="auto"/>
                              </w:divBdr>
                            </w:div>
                            <w:div w:id="1522209863">
                              <w:marLeft w:val="0"/>
                              <w:marRight w:val="0"/>
                              <w:marTop w:val="0"/>
                              <w:marBottom w:val="0"/>
                              <w:divBdr>
                                <w:top w:val="none" w:sz="0" w:space="0" w:color="auto"/>
                                <w:left w:val="none" w:sz="0" w:space="0" w:color="auto"/>
                                <w:bottom w:val="none" w:sz="0" w:space="0" w:color="auto"/>
                                <w:right w:val="none" w:sz="0" w:space="0" w:color="auto"/>
                              </w:divBdr>
                            </w:div>
                            <w:div w:id="1889947299">
                              <w:marLeft w:val="0"/>
                              <w:marRight w:val="0"/>
                              <w:marTop w:val="0"/>
                              <w:marBottom w:val="0"/>
                              <w:divBdr>
                                <w:top w:val="none" w:sz="0" w:space="0" w:color="auto"/>
                                <w:left w:val="none" w:sz="0" w:space="0" w:color="auto"/>
                                <w:bottom w:val="none" w:sz="0" w:space="0" w:color="auto"/>
                                <w:right w:val="none" w:sz="0" w:space="0" w:color="auto"/>
                              </w:divBdr>
                            </w:div>
                            <w:div w:id="1476409266">
                              <w:marLeft w:val="0"/>
                              <w:marRight w:val="0"/>
                              <w:marTop w:val="0"/>
                              <w:marBottom w:val="0"/>
                              <w:divBdr>
                                <w:top w:val="none" w:sz="0" w:space="0" w:color="auto"/>
                                <w:left w:val="none" w:sz="0" w:space="0" w:color="auto"/>
                                <w:bottom w:val="none" w:sz="0" w:space="0" w:color="auto"/>
                                <w:right w:val="none" w:sz="0" w:space="0" w:color="auto"/>
                              </w:divBdr>
                            </w:div>
                            <w:div w:id="1254822284">
                              <w:marLeft w:val="0"/>
                              <w:marRight w:val="0"/>
                              <w:marTop w:val="0"/>
                              <w:marBottom w:val="0"/>
                              <w:divBdr>
                                <w:top w:val="none" w:sz="0" w:space="0" w:color="auto"/>
                                <w:left w:val="none" w:sz="0" w:space="0" w:color="auto"/>
                                <w:bottom w:val="none" w:sz="0" w:space="0" w:color="auto"/>
                                <w:right w:val="none" w:sz="0" w:space="0" w:color="auto"/>
                              </w:divBdr>
                            </w:div>
                            <w:div w:id="1071779244">
                              <w:marLeft w:val="0"/>
                              <w:marRight w:val="0"/>
                              <w:marTop w:val="0"/>
                              <w:marBottom w:val="0"/>
                              <w:divBdr>
                                <w:top w:val="none" w:sz="0" w:space="0" w:color="auto"/>
                                <w:left w:val="none" w:sz="0" w:space="0" w:color="auto"/>
                                <w:bottom w:val="none" w:sz="0" w:space="0" w:color="auto"/>
                                <w:right w:val="none" w:sz="0" w:space="0" w:color="auto"/>
                              </w:divBdr>
                            </w:div>
                            <w:div w:id="2130122265">
                              <w:marLeft w:val="0"/>
                              <w:marRight w:val="0"/>
                              <w:marTop w:val="0"/>
                              <w:marBottom w:val="0"/>
                              <w:divBdr>
                                <w:top w:val="none" w:sz="0" w:space="0" w:color="auto"/>
                                <w:left w:val="none" w:sz="0" w:space="0" w:color="auto"/>
                                <w:bottom w:val="none" w:sz="0" w:space="0" w:color="auto"/>
                                <w:right w:val="none" w:sz="0" w:space="0" w:color="auto"/>
                              </w:divBdr>
                            </w:div>
                            <w:div w:id="1136878348">
                              <w:marLeft w:val="0"/>
                              <w:marRight w:val="0"/>
                              <w:marTop w:val="0"/>
                              <w:marBottom w:val="0"/>
                              <w:divBdr>
                                <w:top w:val="none" w:sz="0" w:space="0" w:color="auto"/>
                                <w:left w:val="none" w:sz="0" w:space="0" w:color="auto"/>
                                <w:bottom w:val="none" w:sz="0" w:space="0" w:color="auto"/>
                                <w:right w:val="none" w:sz="0" w:space="0" w:color="auto"/>
                              </w:divBdr>
                            </w:div>
                            <w:div w:id="2003391378">
                              <w:marLeft w:val="0"/>
                              <w:marRight w:val="0"/>
                              <w:marTop w:val="0"/>
                              <w:marBottom w:val="0"/>
                              <w:divBdr>
                                <w:top w:val="none" w:sz="0" w:space="0" w:color="auto"/>
                                <w:left w:val="none" w:sz="0" w:space="0" w:color="auto"/>
                                <w:bottom w:val="none" w:sz="0" w:space="0" w:color="auto"/>
                                <w:right w:val="none" w:sz="0" w:space="0" w:color="auto"/>
                              </w:divBdr>
                            </w:div>
                            <w:div w:id="943615646">
                              <w:marLeft w:val="0"/>
                              <w:marRight w:val="0"/>
                              <w:marTop w:val="0"/>
                              <w:marBottom w:val="0"/>
                              <w:divBdr>
                                <w:top w:val="none" w:sz="0" w:space="0" w:color="auto"/>
                                <w:left w:val="none" w:sz="0" w:space="0" w:color="auto"/>
                                <w:bottom w:val="none" w:sz="0" w:space="0" w:color="auto"/>
                                <w:right w:val="none" w:sz="0" w:space="0" w:color="auto"/>
                              </w:divBdr>
                            </w:div>
                            <w:div w:id="1576473494">
                              <w:marLeft w:val="0"/>
                              <w:marRight w:val="0"/>
                              <w:marTop w:val="0"/>
                              <w:marBottom w:val="0"/>
                              <w:divBdr>
                                <w:top w:val="none" w:sz="0" w:space="0" w:color="auto"/>
                                <w:left w:val="none" w:sz="0" w:space="0" w:color="auto"/>
                                <w:bottom w:val="none" w:sz="0" w:space="0" w:color="auto"/>
                                <w:right w:val="none" w:sz="0" w:space="0" w:color="auto"/>
                              </w:divBdr>
                            </w:div>
                            <w:div w:id="1558593735">
                              <w:marLeft w:val="0"/>
                              <w:marRight w:val="0"/>
                              <w:marTop w:val="0"/>
                              <w:marBottom w:val="0"/>
                              <w:divBdr>
                                <w:top w:val="none" w:sz="0" w:space="0" w:color="auto"/>
                                <w:left w:val="none" w:sz="0" w:space="0" w:color="auto"/>
                                <w:bottom w:val="none" w:sz="0" w:space="0" w:color="auto"/>
                                <w:right w:val="none" w:sz="0" w:space="0" w:color="auto"/>
                              </w:divBdr>
                            </w:div>
                          </w:divsChild>
                        </w:div>
                        <w:div w:id="558328718">
                          <w:marLeft w:val="0"/>
                          <w:marRight w:val="0"/>
                          <w:marTop w:val="0"/>
                          <w:marBottom w:val="0"/>
                          <w:divBdr>
                            <w:top w:val="none" w:sz="0" w:space="0" w:color="auto"/>
                            <w:left w:val="none" w:sz="0" w:space="0" w:color="auto"/>
                            <w:bottom w:val="none" w:sz="0" w:space="0" w:color="auto"/>
                            <w:right w:val="none" w:sz="0" w:space="0" w:color="auto"/>
                          </w:divBdr>
                          <w:divsChild>
                            <w:div w:id="849493190">
                              <w:marLeft w:val="0"/>
                              <w:marRight w:val="0"/>
                              <w:marTop w:val="0"/>
                              <w:marBottom w:val="0"/>
                              <w:divBdr>
                                <w:top w:val="none" w:sz="0" w:space="0" w:color="auto"/>
                                <w:left w:val="none" w:sz="0" w:space="0" w:color="auto"/>
                                <w:bottom w:val="none" w:sz="0" w:space="0" w:color="auto"/>
                                <w:right w:val="none" w:sz="0" w:space="0" w:color="auto"/>
                              </w:divBdr>
                            </w:div>
                            <w:div w:id="585043586">
                              <w:marLeft w:val="0"/>
                              <w:marRight w:val="0"/>
                              <w:marTop w:val="0"/>
                              <w:marBottom w:val="0"/>
                              <w:divBdr>
                                <w:top w:val="none" w:sz="0" w:space="0" w:color="auto"/>
                                <w:left w:val="none" w:sz="0" w:space="0" w:color="auto"/>
                                <w:bottom w:val="none" w:sz="0" w:space="0" w:color="auto"/>
                                <w:right w:val="none" w:sz="0" w:space="0" w:color="auto"/>
                              </w:divBdr>
                            </w:div>
                            <w:div w:id="1692758952">
                              <w:marLeft w:val="0"/>
                              <w:marRight w:val="0"/>
                              <w:marTop w:val="0"/>
                              <w:marBottom w:val="0"/>
                              <w:divBdr>
                                <w:top w:val="none" w:sz="0" w:space="0" w:color="auto"/>
                                <w:left w:val="none" w:sz="0" w:space="0" w:color="auto"/>
                                <w:bottom w:val="none" w:sz="0" w:space="0" w:color="auto"/>
                                <w:right w:val="none" w:sz="0" w:space="0" w:color="auto"/>
                              </w:divBdr>
                            </w:div>
                          </w:divsChild>
                        </w:div>
                        <w:div w:id="1384326672">
                          <w:marLeft w:val="0"/>
                          <w:marRight w:val="0"/>
                          <w:marTop w:val="0"/>
                          <w:marBottom w:val="0"/>
                          <w:divBdr>
                            <w:top w:val="none" w:sz="0" w:space="0" w:color="auto"/>
                            <w:left w:val="none" w:sz="0" w:space="0" w:color="auto"/>
                            <w:bottom w:val="none" w:sz="0" w:space="0" w:color="auto"/>
                            <w:right w:val="none" w:sz="0" w:space="0" w:color="auto"/>
                          </w:divBdr>
                          <w:divsChild>
                            <w:div w:id="1362243748">
                              <w:marLeft w:val="0"/>
                              <w:marRight w:val="0"/>
                              <w:marTop w:val="0"/>
                              <w:marBottom w:val="0"/>
                              <w:divBdr>
                                <w:top w:val="none" w:sz="0" w:space="0" w:color="auto"/>
                                <w:left w:val="none" w:sz="0" w:space="0" w:color="auto"/>
                                <w:bottom w:val="none" w:sz="0" w:space="0" w:color="auto"/>
                                <w:right w:val="none" w:sz="0" w:space="0" w:color="auto"/>
                              </w:divBdr>
                            </w:div>
                            <w:div w:id="636305427">
                              <w:marLeft w:val="0"/>
                              <w:marRight w:val="0"/>
                              <w:marTop w:val="0"/>
                              <w:marBottom w:val="0"/>
                              <w:divBdr>
                                <w:top w:val="none" w:sz="0" w:space="0" w:color="auto"/>
                                <w:left w:val="none" w:sz="0" w:space="0" w:color="auto"/>
                                <w:bottom w:val="none" w:sz="0" w:space="0" w:color="auto"/>
                                <w:right w:val="none" w:sz="0" w:space="0" w:color="auto"/>
                              </w:divBdr>
                            </w:div>
                            <w:div w:id="821627867">
                              <w:marLeft w:val="0"/>
                              <w:marRight w:val="0"/>
                              <w:marTop w:val="0"/>
                              <w:marBottom w:val="0"/>
                              <w:divBdr>
                                <w:top w:val="none" w:sz="0" w:space="0" w:color="auto"/>
                                <w:left w:val="none" w:sz="0" w:space="0" w:color="auto"/>
                                <w:bottom w:val="none" w:sz="0" w:space="0" w:color="auto"/>
                                <w:right w:val="none" w:sz="0" w:space="0" w:color="auto"/>
                              </w:divBdr>
                            </w:div>
                            <w:div w:id="1642610448">
                              <w:marLeft w:val="0"/>
                              <w:marRight w:val="0"/>
                              <w:marTop w:val="0"/>
                              <w:marBottom w:val="0"/>
                              <w:divBdr>
                                <w:top w:val="none" w:sz="0" w:space="0" w:color="auto"/>
                                <w:left w:val="none" w:sz="0" w:space="0" w:color="auto"/>
                                <w:bottom w:val="none" w:sz="0" w:space="0" w:color="auto"/>
                                <w:right w:val="none" w:sz="0" w:space="0" w:color="auto"/>
                              </w:divBdr>
                            </w:div>
                          </w:divsChild>
                        </w:div>
                        <w:div w:id="988092143">
                          <w:marLeft w:val="0"/>
                          <w:marRight w:val="0"/>
                          <w:marTop w:val="0"/>
                          <w:marBottom w:val="0"/>
                          <w:divBdr>
                            <w:top w:val="none" w:sz="0" w:space="0" w:color="auto"/>
                            <w:left w:val="none" w:sz="0" w:space="0" w:color="auto"/>
                            <w:bottom w:val="none" w:sz="0" w:space="0" w:color="auto"/>
                            <w:right w:val="none" w:sz="0" w:space="0" w:color="auto"/>
                          </w:divBdr>
                          <w:divsChild>
                            <w:div w:id="1287927034">
                              <w:marLeft w:val="0"/>
                              <w:marRight w:val="0"/>
                              <w:marTop w:val="0"/>
                              <w:marBottom w:val="0"/>
                              <w:divBdr>
                                <w:top w:val="none" w:sz="0" w:space="0" w:color="auto"/>
                                <w:left w:val="none" w:sz="0" w:space="0" w:color="auto"/>
                                <w:bottom w:val="none" w:sz="0" w:space="0" w:color="auto"/>
                                <w:right w:val="none" w:sz="0" w:space="0" w:color="auto"/>
                              </w:divBdr>
                            </w:div>
                            <w:div w:id="1794202926">
                              <w:marLeft w:val="0"/>
                              <w:marRight w:val="0"/>
                              <w:marTop w:val="0"/>
                              <w:marBottom w:val="0"/>
                              <w:divBdr>
                                <w:top w:val="none" w:sz="0" w:space="0" w:color="auto"/>
                                <w:left w:val="none" w:sz="0" w:space="0" w:color="auto"/>
                                <w:bottom w:val="none" w:sz="0" w:space="0" w:color="auto"/>
                                <w:right w:val="none" w:sz="0" w:space="0" w:color="auto"/>
                              </w:divBdr>
                            </w:div>
                            <w:div w:id="1070809918">
                              <w:marLeft w:val="0"/>
                              <w:marRight w:val="0"/>
                              <w:marTop w:val="0"/>
                              <w:marBottom w:val="0"/>
                              <w:divBdr>
                                <w:top w:val="none" w:sz="0" w:space="0" w:color="auto"/>
                                <w:left w:val="none" w:sz="0" w:space="0" w:color="auto"/>
                                <w:bottom w:val="none" w:sz="0" w:space="0" w:color="auto"/>
                                <w:right w:val="none" w:sz="0" w:space="0" w:color="auto"/>
                              </w:divBdr>
                            </w:div>
                          </w:divsChild>
                        </w:div>
                        <w:div w:id="174542495">
                          <w:marLeft w:val="0"/>
                          <w:marRight w:val="0"/>
                          <w:marTop w:val="0"/>
                          <w:marBottom w:val="0"/>
                          <w:divBdr>
                            <w:top w:val="none" w:sz="0" w:space="0" w:color="auto"/>
                            <w:left w:val="none" w:sz="0" w:space="0" w:color="auto"/>
                            <w:bottom w:val="none" w:sz="0" w:space="0" w:color="auto"/>
                            <w:right w:val="none" w:sz="0" w:space="0" w:color="auto"/>
                          </w:divBdr>
                          <w:divsChild>
                            <w:div w:id="1409421420">
                              <w:marLeft w:val="0"/>
                              <w:marRight w:val="0"/>
                              <w:marTop w:val="0"/>
                              <w:marBottom w:val="0"/>
                              <w:divBdr>
                                <w:top w:val="none" w:sz="0" w:space="0" w:color="auto"/>
                                <w:left w:val="none" w:sz="0" w:space="0" w:color="auto"/>
                                <w:bottom w:val="none" w:sz="0" w:space="0" w:color="auto"/>
                                <w:right w:val="none" w:sz="0" w:space="0" w:color="auto"/>
                              </w:divBdr>
                            </w:div>
                          </w:divsChild>
                        </w:div>
                        <w:div w:id="918053192">
                          <w:marLeft w:val="0"/>
                          <w:marRight w:val="0"/>
                          <w:marTop w:val="0"/>
                          <w:marBottom w:val="0"/>
                          <w:divBdr>
                            <w:top w:val="none" w:sz="0" w:space="0" w:color="auto"/>
                            <w:left w:val="none" w:sz="0" w:space="0" w:color="auto"/>
                            <w:bottom w:val="none" w:sz="0" w:space="0" w:color="auto"/>
                            <w:right w:val="none" w:sz="0" w:space="0" w:color="auto"/>
                          </w:divBdr>
                          <w:divsChild>
                            <w:div w:id="1298141890">
                              <w:marLeft w:val="0"/>
                              <w:marRight w:val="0"/>
                              <w:marTop w:val="0"/>
                              <w:marBottom w:val="0"/>
                              <w:divBdr>
                                <w:top w:val="none" w:sz="0" w:space="0" w:color="auto"/>
                                <w:left w:val="none" w:sz="0" w:space="0" w:color="auto"/>
                                <w:bottom w:val="none" w:sz="0" w:space="0" w:color="auto"/>
                                <w:right w:val="none" w:sz="0" w:space="0" w:color="auto"/>
                              </w:divBdr>
                            </w:div>
                          </w:divsChild>
                        </w:div>
                        <w:div w:id="180976776">
                          <w:marLeft w:val="0"/>
                          <w:marRight w:val="0"/>
                          <w:marTop w:val="0"/>
                          <w:marBottom w:val="0"/>
                          <w:divBdr>
                            <w:top w:val="none" w:sz="0" w:space="0" w:color="auto"/>
                            <w:left w:val="none" w:sz="0" w:space="0" w:color="auto"/>
                            <w:bottom w:val="none" w:sz="0" w:space="0" w:color="auto"/>
                            <w:right w:val="none" w:sz="0" w:space="0" w:color="auto"/>
                          </w:divBdr>
                          <w:divsChild>
                            <w:div w:id="1012533662">
                              <w:marLeft w:val="0"/>
                              <w:marRight w:val="0"/>
                              <w:marTop w:val="0"/>
                              <w:marBottom w:val="0"/>
                              <w:divBdr>
                                <w:top w:val="none" w:sz="0" w:space="0" w:color="auto"/>
                                <w:left w:val="none" w:sz="0" w:space="0" w:color="auto"/>
                                <w:bottom w:val="none" w:sz="0" w:space="0" w:color="auto"/>
                                <w:right w:val="none" w:sz="0" w:space="0" w:color="auto"/>
                              </w:divBdr>
                            </w:div>
                            <w:div w:id="810826335">
                              <w:marLeft w:val="0"/>
                              <w:marRight w:val="0"/>
                              <w:marTop w:val="0"/>
                              <w:marBottom w:val="0"/>
                              <w:divBdr>
                                <w:top w:val="none" w:sz="0" w:space="0" w:color="auto"/>
                                <w:left w:val="none" w:sz="0" w:space="0" w:color="auto"/>
                                <w:bottom w:val="none" w:sz="0" w:space="0" w:color="auto"/>
                                <w:right w:val="none" w:sz="0" w:space="0" w:color="auto"/>
                              </w:divBdr>
                            </w:div>
                            <w:div w:id="1000425896">
                              <w:marLeft w:val="0"/>
                              <w:marRight w:val="0"/>
                              <w:marTop w:val="0"/>
                              <w:marBottom w:val="0"/>
                              <w:divBdr>
                                <w:top w:val="none" w:sz="0" w:space="0" w:color="auto"/>
                                <w:left w:val="none" w:sz="0" w:space="0" w:color="auto"/>
                                <w:bottom w:val="none" w:sz="0" w:space="0" w:color="auto"/>
                                <w:right w:val="none" w:sz="0" w:space="0" w:color="auto"/>
                              </w:divBdr>
                            </w:div>
                            <w:div w:id="1997759023">
                              <w:marLeft w:val="0"/>
                              <w:marRight w:val="0"/>
                              <w:marTop w:val="0"/>
                              <w:marBottom w:val="0"/>
                              <w:divBdr>
                                <w:top w:val="none" w:sz="0" w:space="0" w:color="auto"/>
                                <w:left w:val="none" w:sz="0" w:space="0" w:color="auto"/>
                                <w:bottom w:val="none" w:sz="0" w:space="0" w:color="auto"/>
                                <w:right w:val="none" w:sz="0" w:space="0" w:color="auto"/>
                              </w:divBdr>
                            </w:div>
                            <w:div w:id="1320885862">
                              <w:marLeft w:val="0"/>
                              <w:marRight w:val="0"/>
                              <w:marTop w:val="0"/>
                              <w:marBottom w:val="0"/>
                              <w:divBdr>
                                <w:top w:val="none" w:sz="0" w:space="0" w:color="auto"/>
                                <w:left w:val="none" w:sz="0" w:space="0" w:color="auto"/>
                                <w:bottom w:val="none" w:sz="0" w:space="0" w:color="auto"/>
                                <w:right w:val="none" w:sz="0" w:space="0" w:color="auto"/>
                              </w:divBdr>
                            </w:div>
                            <w:div w:id="820541622">
                              <w:marLeft w:val="0"/>
                              <w:marRight w:val="0"/>
                              <w:marTop w:val="0"/>
                              <w:marBottom w:val="0"/>
                              <w:divBdr>
                                <w:top w:val="none" w:sz="0" w:space="0" w:color="auto"/>
                                <w:left w:val="none" w:sz="0" w:space="0" w:color="auto"/>
                                <w:bottom w:val="none" w:sz="0" w:space="0" w:color="auto"/>
                                <w:right w:val="none" w:sz="0" w:space="0" w:color="auto"/>
                              </w:divBdr>
                            </w:div>
                            <w:div w:id="462581852">
                              <w:marLeft w:val="0"/>
                              <w:marRight w:val="0"/>
                              <w:marTop w:val="0"/>
                              <w:marBottom w:val="0"/>
                              <w:divBdr>
                                <w:top w:val="none" w:sz="0" w:space="0" w:color="auto"/>
                                <w:left w:val="none" w:sz="0" w:space="0" w:color="auto"/>
                                <w:bottom w:val="none" w:sz="0" w:space="0" w:color="auto"/>
                                <w:right w:val="none" w:sz="0" w:space="0" w:color="auto"/>
                              </w:divBdr>
                            </w:div>
                            <w:div w:id="487137913">
                              <w:marLeft w:val="0"/>
                              <w:marRight w:val="0"/>
                              <w:marTop w:val="0"/>
                              <w:marBottom w:val="0"/>
                              <w:divBdr>
                                <w:top w:val="none" w:sz="0" w:space="0" w:color="auto"/>
                                <w:left w:val="none" w:sz="0" w:space="0" w:color="auto"/>
                                <w:bottom w:val="none" w:sz="0" w:space="0" w:color="auto"/>
                                <w:right w:val="none" w:sz="0" w:space="0" w:color="auto"/>
                              </w:divBdr>
                            </w:div>
                          </w:divsChild>
                        </w:div>
                        <w:div w:id="2048866653">
                          <w:marLeft w:val="0"/>
                          <w:marRight w:val="0"/>
                          <w:marTop w:val="0"/>
                          <w:marBottom w:val="0"/>
                          <w:divBdr>
                            <w:top w:val="none" w:sz="0" w:space="0" w:color="auto"/>
                            <w:left w:val="none" w:sz="0" w:space="0" w:color="auto"/>
                            <w:bottom w:val="none" w:sz="0" w:space="0" w:color="auto"/>
                            <w:right w:val="none" w:sz="0" w:space="0" w:color="auto"/>
                          </w:divBdr>
                          <w:divsChild>
                            <w:div w:id="490490223">
                              <w:marLeft w:val="0"/>
                              <w:marRight w:val="0"/>
                              <w:marTop w:val="0"/>
                              <w:marBottom w:val="0"/>
                              <w:divBdr>
                                <w:top w:val="none" w:sz="0" w:space="0" w:color="auto"/>
                                <w:left w:val="none" w:sz="0" w:space="0" w:color="auto"/>
                                <w:bottom w:val="none" w:sz="0" w:space="0" w:color="auto"/>
                                <w:right w:val="none" w:sz="0" w:space="0" w:color="auto"/>
                              </w:divBdr>
                            </w:div>
                            <w:div w:id="1373261735">
                              <w:marLeft w:val="0"/>
                              <w:marRight w:val="0"/>
                              <w:marTop w:val="0"/>
                              <w:marBottom w:val="0"/>
                              <w:divBdr>
                                <w:top w:val="none" w:sz="0" w:space="0" w:color="auto"/>
                                <w:left w:val="none" w:sz="0" w:space="0" w:color="auto"/>
                                <w:bottom w:val="none" w:sz="0" w:space="0" w:color="auto"/>
                                <w:right w:val="none" w:sz="0" w:space="0" w:color="auto"/>
                              </w:divBdr>
                            </w:div>
                            <w:div w:id="974482788">
                              <w:marLeft w:val="0"/>
                              <w:marRight w:val="0"/>
                              <w:marTop w:val="0"/>
                              <w:marBottom w:val="0"/>
                              <w:divBdr>
                                <w:top w:val="none" w:sz="0" w:space="0" w:color="auto"/>
                                <w:left w:val="none" w:sz="0" w:space="0" w:color="auto"/>
                                <w:bottom w:val="none" w:sz="0" w:space="0" w:color="auto"/>
                                <w:right w:val="none" w:sz="0" w:space="0" w:color="auto"/>
                              </w:divBdr>
                            </w:div>
                            <w:div w:id="996306648">
                              <w:marLeft w:val="0"/>
                              <w:marRight w:val="0"/>
                              <w:marTop w:val="0"/>
                              <w:marBottom w:val="0"/>
                              <w:divBdr>
                                <w:top w:val="none" w:sz="0" w:space="0" w:color="auto"/>
                                <w:left w:val="none" w:sz="0" w:space="0" w:color="auto"/>
                                <w:bottom w:val="none" w:sz="0" w:space="0" w:color="auto"/>
                                <w:right w:val="none" w:sz="0" w:space="0" w:color="auto"/>
                              </w:divBdr>
                            </w:div>
                            <w:div w:id="264847748">
                              <w:marLeft w:val="0"/>
                              <w:marRight w:val="0"/>
                              <w:marTop w:val="0"/>
                              <w:marBottom w:val="0"/>
                              <w:divBdr>
                                <w:top w:val="none" w:sz="0" w:space="0" w:color="auto"/>
                                <w:left w:val="none" w:sz="0" w:space="0" w:color="auto"/>
                                <w:bottom w:val="none" w:sz="0" w:space="0" w:color="auto"/>
                                <w:right w:val="none" w:sz="0" w:space="0" w:color="auto"/>
                              </w:divBdr>
                            </w:div>
                          </w:divsChild>
                        </w:div>
                        <w:div w:id="254363027">
                          <w:marLeft w:val="0"/>
                          <w:marRight w:val="0"/>
                          <w:marTop w:val="0"/>
                          <w:marBottom w:val="0"/>
                          <w:divBdr>
                            <w:top w:val="none" w:sz="0" w:space="0" w:color="auto"/>
                            <w:left w:val="none" w:sz="0" w:space="0" w:color="auto"/>
                            <w:bottom w:val="none" w:sz="0" w:space="0" w:color="auto"/>
                            <w:right w:val="none" w:sz="0" w:space="0" w:color="auto"/>
                          </w:divBdr>
                          <w:divsChild>
                            <w:div w:id="961497233">
                              <w:marLeft w:val="0"/>
                              <w:marRight w:val="0"/>
                              <w:marTop w:val="0"/>
                              <w:marBottom w:val="0"/>
                              <w:divBdr>
                                <w:top w:val="none" w:sz="0" w:space="0" w:color="auto"/>
                                <w:left w:val="none" w:sz="0" w:space="0" w:color="auto"/>
                                <w:bottom w:val="none" w:sz="0" w:space="0" w:color="auto"/>
                                <w:right w:val="none" w:sz="0" w:space="0" w:color="auto"/>
                              </w:divBdr>
                            </w:div>
                            <w:div w:id="1892768058">
                              <w:marLeft w:val="0"/>
                              <w:marRight w:val="0"/>
                              <w:marTop w:val="0"/>
                              <w:marBottom w:val="0"/>
                              <w:divBdr>
                                <w:top w:val="none" w:sz="0" w:space="0" w:color="auto"/>
                                <w:left w:val="none" w:sz="0" w:space="0" w:color="auto"/>
                                <w:bottom w:val="none" w:sz="0" w:space="0" w:color="auto"/>
                                <w:right w:val="none" w:sz="0" w:space="0" w:color="auto"/>
                              </w:divBdr>
                            </w:div>
                            <w:div w:id="498159952">
                              <w:marLeft w:val="0"/>
                              <w:marRight w:val="0"/>
                              <w:marTop w:val="0"/>
                              <w:marBottom w:val="0"/>
                              <w:divBdr>
                                <w:top w:val="none" w:sz="0" w:space="0" w:color="auto"/>
                                <w:left w:val="none" w:sz="0" w:space="0" w:color="auto"/>
                                <w:bottom w:val="none" w:sz="0" w:space="0" w:color="auto"/>
                                <w:right w:val="none" w:sz="0" w:space="0" w:color="auto"/>
                              </w:divBdr>
                            </w:div>
                            <w:div w:id="2094155517">
                              <w:marLeft w:val="0"/>
                              <w:marRight w:val="0"/>
                              <w:marTop w:val="0"/>
                              <w:marBottom w:val="0"/>
                              <w:divBdr>
                                <w:top w:val="none" w:sz="0" w:space="0" w:color="auto"/>
                                <w:left w:val="none" w:sz="0" w:space="0" w:color="auto"/>
                                <w:bottom w:val="none" w:sz="0" w:space="0" w:color="auto"/>
                                <w:right w:val="none" w:sz="0" w:space="0" w:color="auto"/>
                              </w:divBdr>
                            </w:div>
                            <w:div w:id="17440287">
                              <w:marLeft w:val="0"/>
                              <w:marRight w:val="0"/>
                              <w:marTop w:val="0"/>
                              <w:marBottom w:val="0"/>
                              <w:divBdr>
                                <w:top w:val="none" w:sz="0" w:space="0" w:color="auto"/>
                                <w:left w:val="none" w:sz="0" w:space="0" w:color="auto"/>
                                <w:bottom w:val="none" w:sz="0" w:space="0" w:color="auto"/>
                                <w:right w:val="none" w:sz="0" w:space="0" w:color="auto"/>
                              </w:divBdr>
                            </w:div>
                          </w:divsChild>
                        </w:div>
                        <w:div w:id="55982568">
                          <w:marLeft w:val="0"/>
                          <w:marRight w:val="0"/>
                          <w:marTop w:val="0"/>
                          <w:marBottom w:val="0"/>
                          <w:divBdr>
                            <w:top w:val="none" w:sz="0" w:space="0" w:color="auto"/>
                            <w:left w:val="none" w:sz="0" w:space="0" w:color="auto"/>
                            <w:bottom w:val="none" w:sz="0" w:space="0" w:color="auto"/>
                            <w:right w:val="none" w:sz="0" w:space="0" w:color="auto"/>
                          </w:divBdr>
                          <w:divsChild>
                            <w:div w:id="569732697">
                              <w:marLeft w:val="0"/>
                              <w:marRight w:val="0"/>
                              <w:marTop w:val="0"/>
                              <w:marBottom w:val="0"/>
                              <w:divBdr>
                                <w:top w:val="none" w:sz="0" w:space="0" w:color="auto"/>
                                <w:left w:val="none" w:sz="0" w:space="0" w:color="auto"/>
                                <w:bottom w:val="none" w:sz="0" w:space="0" w:color="auto"/>
                                <w:right w:val="none" w:sz="0" w:space="0" w:color="auto"/>
                              </w:divBdr>
                            </w:div>
                            <w:div w:id="2056613445">
                              <w:marLeft w:val="0"/>
                              <w:marRight w:val="0"/>
                              <w:marTop w:val="0"/>
                              <w:marBottom w:val="0"/>
                              <w:divBdr>
                                <w:top w:val="none" w:sz="0" w:space="0" w:color="auto"/>
                                <w:left w:val="none" w:sz="0" w:space="0" w:color="auto"/>
                                <w:bottom w:val="none" w:sz="0" w:space="0" w:color="auto"/>
                                <w:right w:val="none" w:sz="0" w:space="0" w:color="auto"/>
                              </w:divBdr>
                            </w:div>
                            <w:div w:id="125398999">
                              <w:marLeft w:val="0"/>
                              <w:marRight w:val="0"/>
                              <w:marTop w:val="0"/>
                              <w:marBottom w:val="0"/>
                              <w:divBdr>
                                <w:top w:val="none" w:sz="0" w:space="0" w:color="auto"/>
                                <w:left w:val="none" w:sz="0" w:space="0" w:color="auto"/>
                                <w:bottom w:val="none" w:sz="0" w:space="0" w:color="auto"/>
                                <w:right w:val="none" w:sz="0" w:space="0" w:color="auto"/>
                              </w:divBdr>
                            </w:div>
                            <w:div w:id="1127048071">
                              <w:marLeft w:val="0"/>
                              <w:marRight w:val="0"/>
                              <w:marTop w:val="0"/>
                              <w:marBottom w:val="0"/>
                              <w:divBdr>
                                <w:top w:val="none" w:sz="0" w:space="0" w:color="auto"/>
                                <w:left w:val="none" w:sz="0" w:space="0" w:color="auto"/>
                                <w:bottom w:val="none" w:sz="0" w:space="0" w:color="auto"/>
                                <w:right w:val="none" w:sz="0" w:space="0" w:color="auto"/>
                              </w:divBdr>
                            </w:div>
                            <w:div w:id="1627278128">
                              <w:marLeft w:val="0"/>
                              <w:marRight w:val="0"/>
                              <w:marTop w:val="0"/>
                              <w:marBottom w:val="0"/>
                              <w:divBdr>
                                <w:top w:val="none" w:sz="0" w:space="0" w:color="auto"/>
                                <w:left w:val="none" w:sz="0" w:space="0" w:color="auto"/>
                                <w:bottom w:val="none" w:sz="0" w:space="0" w:color="auto"/>
                                <w:right w:val="none" w:sz="0" w:space="0" w:color="auto"/>
                              </w:divBdr>
                            </w:div>
                            <w:div w:id="2111387165">
                              <w:marLeft w:val="0"/>
                              <w:marRight w:val="0"/>
                              <w:marTop w:val="0"/>
                              <w:marBottom w:val="0"/>
                              <w:divBdr>
                                <w:top w:val="none" w:sz="0" w:space="0" w:color="auto"/>
                                <w:left w:val="none" w:sz="0" w:space="0" w:color="auto"/>
                                <w:bottom w:val="none" w:sz="0" w:space="0" w:color="auto"/>
                                <w:right w:val="none" w:sz="0" w:space="0" w:color="auto"/>
                              </w:divBdr>
                            </w:div>
                          </w:divsChild>
                        </w:div>
                        <w:div w:id="2026049873">
                          <w:marLeft w:val="0"/>
                          <w:marRight w:val="0"/>
                          <w:marTop w:val="0"/>
                          <w:marBottom w:val="0"/>
                          <w:divBdr>
                            <w:top w:val="none" w:sz="0" w:space="0" w:color="auto"/>
                            <w:left w:val="none" w:sz="0" w:space="0" w:color="auto"/>
                            <w:bottom w:val="none" w:sz="0" w:space="0" w:color="auto"/>
                            <w:right w:val="none" w:sz="0" w:space="0" w:color="auto"/>
                          </w:divBdr>
                          <w:divsChild>
                            <w:div w:id="274555152">
                              <w:marLeft w:val="0"/>
                              <w:marRight w:val="0"/>
                              <w:marTop w:val="0"/>
                              <w:marBottom w:val="0"/>
                              <w:divBdr>
                                <w:top w:val="none" w:sz="0" w:space="0" w:color="auto"/>
                                <w:left w:val="none" w:sz="0" w:space="0" w:color="auto"/>
                                <w:bottom w:val="none" w:sz="0" w:space="0" w:color="auto"/>
                                <w:right w:val="none" w:sz="0" w:space="0" w:color="auto"/>
                              </w:divBdr>
                            </w:div>
                            <w:div w:id="1162697008">
                              <w:marLeft w:val="0"/>
                              <w:marRight w:val="0"/>
                              <w:marTop w:val="0"/>
                              <w:marBottom w:val="0"/>
                              <w:divBdr>
                                <w:top w:val="none" w:sz="0" w:space="0" w:color="auto"/>
                                <w:left w:val="none" w:sz="0" w:space="0" w:color="auto"/>
                                <w:bottom w:val="none" w:sz="0" w:space="0" w:color="auto"/>
                                <w:right w:val="none" w:sz="0" w:space="0" w:color="auto"/>
                              </w:divBdr>
                            </w:div>
                            <w:div w:id="391806372">
                              <w:marLeft w:val="0"/>
                              <w:marRight w:val="0"/>
                              <w:marTop w:val="0"/>
                              <w:marBottom w:val="0"/>
                              <w:divBdr>
                                <w:top w:val="none" w:sz="0" w:space="0" w:color="auto"/>
                                <w:left w:val="none" w:sz="0" w:space="0" w:color="auto"/>
                                <w:bottom w:val="none" w:sz="0" w:space="0" w:color="auto"/>
                                <w:right w:val="none" w:sz="0" w:space="0" w:color="auto"/>
                              </w:divBdr>
                            </w:div>
                            <w:div w:id="930891778">
                              <w:marLeft w:val="0"/>
                              <w:marRight w:val="0"/>
                              <w:marTop w:val="0"/>
                              <w:marBottom w:val="0"/>
                              <w:divBdr>
                                <w:top w:val="none" w:sz="0" w:space="0" w:color="auto"/>
                                <w:left w:val="none" w:sz="0" w:space="0" w:color="auto"/>
                                <w:bottom w:val="none" w:sz="0" w:space="0" w:color="auto"/>
                                <w:right w:val="none" w:sz="0" w:space="0" w:color="auto"/>
                              </w:divBdr>
                            </w:div>
                            <w:div w:id="471024920">
                              <w:marLeft w:val="0"/>
                              <w:marRight w:val="0"/>
                              <w:marTop w:val="0"/>
                              <w:marBottom w:val="0"/>
                              <w:divBdr>
                                <w:top w:val="none" w:sz="0" w:space="0" w:color="auto"/>
                                <w:left w:val="none" w:sz="0" w:space="0" w:color="auto"/>
                                <w:bottom w:val="none" w:sz="0" w:space="0" w:color="auto"/>
                                <w:right w:val="none" w:sz="0" w:space="0" w:color="auto"/>
                              </w:divBdr>
                            </w:div>
                            <w:div w:id="1239711587">
                              <w:marLeft w:val="0"/>
                              <w:marRight w:val="0"/>
                              <w:marTop w:val="0"/>
                              <w:marBottom w:val="0"/>
                              <w:divBdr>
                                <w:top w:val="none" w:sz="0" w:space="0" w:color="auto"/>
                                <w:left w:val="none" w:sz="0" w:space="0" w:color="auto"/>
                                <w:bottom w:val="none" w:sz="0" w:space="0" w:color="auto"/>
                                <w:right w:val="none" w:sz="0" w:space="0" w:color="auto"/>
                              </w:divBdr>
                            </w:div>
                            <w:div w:id="879975029">
                              <w:marLeft w:val="0"/>
                              <w:marRight w:val="0"/>
                              <w:marTop w:val="0"/>
                              <w:marBottom w:val="0"/>
                              <w:divBdr>
                                <w:top w:val="none" w:sz="0" w:space="0" w:color="auto"/>
                                <w:left w:val="none" w:sz="0" w:space="0" w:color="auto"/>
                                <w:bottom w:val="none" w:sz="0" w:space="0" w:color="auto"/>
                                <w:right w:val="none" w:sz="0" w:space="0" w:color="auto"/>
                              </w:divBdr>
                            </w:div>
                            <w:div w:id="1677464112">
                              <w:marLeft w:val="0"/>
                              <w:marRight w:val="0"/>
                              <w:marTop w:val="0"/>
                              <w:marBottom w:val="0"/>
                              <w:divBdr>
                                <w:top w:val="none" w:sz="0" w:space="0" w:color="auto"/>
                                <w:left w:val="none" w:sz="0" w:space="0" w:color="auto"/>
                                <w:bottom w:val="none" w:sz="0" w:space="0" w:color="auto"/>
                                <w:right w:val="none" w:sz="0" w:space="0" w:color="auto"/>
                              </w:divBdr>
                            </w:div>
                            <w:div w:id="1248419656">
                              <w:marLeft w:val="0"/>
                              <w:marRight w:val="0"/>
                              <w:marTop w:val="0"/>
                              <w:marBottom w:val="0"/>
                              <w:divBdr>
                                <w:top w:val="none" w:sz="0" w:space="0" w:color="auto"/>
                                <w:left w:val="none" w:sz="0" w:space="0" w:color="auto"/>
                                <w:bottom w:val="none" w:sz="0" w:space="0" w:color="auto"/>
                                <w:right w:val="none" w:sz="0" w:space="0" w:color="auto"/>
                              </w:divBdr>
                            </w:div>
                            <w:div w:id="1781608715">
                              <w:marLeft w:val="0"/>
                              <w:marRight w:val="0"/>
                              <w:marTop w:val="0"/>
                              <w:marBottom w:val="0"/>
                              <w:divBdr>
                                <w:top w:val="none" w:sz="0" w:space="0" w:color="auto"/>
                                <w:left w:val="none" w:sz="0" w:space="0" w:color="auto"/>
                                <w:bottom w:val="none" w:sz="0" w:space="0" w:color="auto"/>
                                <w:right w:val="none" w:sz="0" w:space="0" w:color="auto"/>
                              </w:divBdr>
                            </w:div>
                            <w:div w:id="379939469">
                              <w:marLeft w:val="0"/>
                              <w:marRight w:val="0"/>
                              <w:marTop w:val="0"/>
                              <w:marBottom w:val="0"/>
                              <w:divBdr>
                                <w:top w:val="none" w:sz="0" w:space="0" w:color="auto"/>
                                <w:left w:val="none" w:sz="0" w:space="0" w:color="auto"/>
                                <w:bottom w:val="none" w:sz="0" w:space="0" w:color="auto"/>
                                <w:right w:val="none" w:sz="0" w:space="0" w:color="auto"/>
                              </w:divBdr>
                            </w:div>
                            <w:div w:id="1374383979">
                              <w:marLeft w:val="0"/>
                              <w:marRight w:val="0"/>
                              <w:marTop w:val="0"/>
                              <w:marBottom w:val="0"/>
                              <w:divBdr>
                                <w:top w:val="none" w:sz="0" w:space="0" w:color="auto"/>
                                <w:left w:val="none" w:sz="0" w:space="0" w:color="auto"/>
                                <w:bottom w:val="none" w:sz="0" w:space="0" w:color="auto"/>
                                <w:right w:val="none" w:sz="0" w:space="0" w:color="auto"/>
                              </w:divBdr>
                            </w:div>
                          </w:divsChild>
                        </w:div>
                        <w:div w:id="105776545">
                          <w:marLeft w:val="0"/>
                          <w:marRight w:val="0"/>
                          <w:marTop w:val="0"/>
                          <w:marBottom w:val="0"/>
                          <w:divBdr>
                            <w:top w:val="none" w:sz="0" w:space="0" w:color="auto"/>
                            <w:left w:val="none" w:sz="0" w:space="0" w:color="auto"/>
                            <w:bottom w:val="none" w:sz="0" w:space="0" w:color="auto"/>
                            <w:right w:val="none" w:sz="0" w:space="0" w:color="auto"/>
                          </w:divBdr>
                          <w:divsChild>
                            <w:div w:id="1391422907">
                              <w:marLeft w:val="0"/>
                              <w:marRight w:val="0"/>
                              <w:marTop w:val="0"/>
                              <w:marBottom w:val="0"/>
                              <w:divBdr>
                                <w:top w:val="none" w:sz="0" w:space="0" w:color="auto"/>
                                <w:left w:val="none" w:sz="0" w:space="0" w:color="auto"/>
                                <w:bottom w:val="none" w:sz="0" w:space="0" w:color="auto"/>
                                <w:right w:val="none" w:sz="0" w:space="0" w:color="auto"/>
                              </w:divBdr>
                            </w:div>
                            <w:div w:id="1312832230">
                              <w:marLeft w:val="0"/>
                              <w:marRight w:val="0"/>
                              <w:marTop w:val="0"/>
                              <w:marBottom w:val="0"/>
                              <w:divBdr>
                                <w:top w:val="none" w:sz="0" w:space="0" w:color="auto"/>
                                <w:left w:val="none" w:sz="0" w:space="0" w:color="auto"/>
                                <w:bottom w:val="none" w:sz="0" w:space="0" w:color="auto"/>
                                <w:right w:val="none" w:sz="0" w:space="0" w:color="auto"/>
                              </w:divBdr>
                            </w:div>
                            <w:div w:id="371539762">
                              <w:marLeft w:val="0"/>
                              <w:marRight w:val="0"/>
                              <w:marTop w:val="0"/>
                              <w:marBottom w:val="0"/>
                              <w:divBdr>
                                <w:top w:val="none" w:sz="0" w:space="0" w:color="auto"/>
                                <w:left w:val="none" w:sz="0" w:space="0" w:color="auto"/>
                                <w:bottom w:val="none" w:sz="0" w:space="0" w:color="auto"/>
                                <w:right w:val="none" w:sz="0" w:space="0" w:color="auto"/>
                              </w:divBdr>
                            </w:div>
                            <w:div w:id="2033148391">
                              <w:marLeft w:val="0"/>
                              <w:marRight w:val="0"/>
                              <w:marTop w:val="0"/>
                              <w:marBottom w:val="0"/>
                              <w:divBdr>
                                <w:top w:val="none" w:sz="0" w:space="0" w:color="auto"/>
                                <w:left w:val="none" w:sz="0" w:space="0" w:color="auto"/>
                                <w:bottom w:val="none" w:sz="0" w:space="0" w:color="auto"/>
                                <w:right w:val="none" w:sz="0" w:space="0" w:color="auto"/>
                              </w:divBdr>
                            </w:div>
                          </w:divsChild>
                        </w:div>
                        <w:div w:id="1571310730">
                          <w:marLeft w:val="0"/>
                          <w:marRight w:val="0"/>
                          <w:marTop w:val="0"/>
                          <w:marBottom w:val="0"/>
                          <w:divBdr>
                            <w:top w:val="none" w:sz="0" w:space="0" w:color="auto"/>
                            <w:left w:val="none" w:sz="0" w:space="0" w:color="auto"/>
                            <w:bottom w:val="none" w:sz="0" w:space="0" w:color="auto"/>
                            <w:right w:val="none" w:sz="0" w:space="0" w:color="auto"/>
                          </w:divBdr>
                          <w:divsChild>
                            <w:div w:id="1842742058">
                              <w:marLeft w:val="0"/>
                              <w:marRight w:val="0"/>
                              <w:marTop w:val="0"/>
                              <w:marBottom w:val="0"/>
                              <w:divBdr>
                                <w:top w:val="none" w:sz="0" w:space="0" w:color="auto"/>
                                <w:left w:val="none" w:sz="0" w:space="0" w:color="auto"/>
                                <w:bottom w:val="none" w:sz="0" w:space="0" w:color="auto"/>
                                <w:right w:val="none" w:sz="0" w:space="0" w:color="auto"/>
                              </w:divBdr>
                            </w:div>
                          </w:divsChild>
                        </w:div>
                        <w:div w:id="754978052">
                          <w:marLeft w:val="0"/>
                          <w:marRight w:val="0"/>
                          <w:marTop w:val="0"/>
                          <w:marBottom w:val="0"/>
                          <w:divBdr>
                            <w:top w:val="none" w:sz="0" w:space="0" w:color="auto"/>
                            <w:left w:val="none" w:sz="0" w:space="0" w:color="auto"/>
                            <w:bottom w:val="none" w:sz="0" w:space="0" w:color="auto"/>
                            <w:right w:val="none" w:sz="0" w:space="0" w:color="auto"/>
                          </w:divBdr>
                          <w:divsChild>
                            <w:div w:id="1812015457">
                              <w:marLeft w:val="0"/>
                              <w:marRight w:val="0"/>
                              <w:marTop w:val="0"/>
                              <w:marBottom w:val="0"/>
                              <w:divBdr>
                                <w:top w:val="none" w:sz="0" w:space="0" w:color="auto"/>
                                <w:left w:val="none" w:sz="0" w:space="0" w:color="auto"/>
                                <w:bottom w:val="none" w:sz="0" w:space="0" w:color="auto"/>
                                <w:right w:val="none" w:sz="0" w:space="0" w:color="auto"/>
                              </w:divBdr>
                            </w:div>
                            <w:div w:id="105662049">
                              <w:marLeft w:val="0"/>
                              <w:marRight w:val="0"/>
                              <w:marTop w:val="0"/>
                              <w:marBottom w:val="0"/>
                              <w:divBdr>
                                <w:top w:val="none" w:sz="0" w:space="0" w:color="auto"/>
                                <w:left w:val="none" w:sz="0" w:space="0" w:color="auto"/>
                                <w:bottom w:val="none" w:sz="0" w:space="0" w:color="auto"/>
                                <w:right w:val="none" w:sz="0" w:space="0" w:color="auto"/>
                              </w:divBdr>
                            </w:div>
                            <w:div w:id="350688911">
                              <w:marLeft w:val="0"/>
                              <w:marRight w:val="0"/>
                              <w:marTop w:val="0"/>
                              <w:marBottom w:val="0"/>
                              <w:divBdr>
                                <w:top w:val="none" w:sz="0" w:space="0" w:color="auto"/>
                                <w:left w:val="none" w:sz="0" w:space="0" w:color="auto"/>
                                <w:bottom w:val="none" w:sz="0" w:space="0" w:color="auto"/>
                                <w:right w:val="none" w:sz="0" w:space="0" w:color="auto"/>
                              </w:divBdr>
                            </w:div>
                            <w:div w:id="130753363">
                              <w:marLeft w:val="0"/>
                              <w:marRight w:val="0"/>
                              <w:marTop w:val="0"/>
                              <w:marBottom w:val="0"/>
                              <w:divBdr>
                                <w:top w:val="none" w:sz="0" w:space="0" w:color="auto"/>
                                <w:left w:val="none" w:sz="0" w:space="0" w:color="auto"/>
                                <w:bottom w:val="none" w:sz="0" w:space="0" w:color="auto"/>
                                <w:right w:val="none" w:sz="0" w:space="0" w:color="auto"/>
                              </w:divBdr>
                            </w:div>
                          </w:divsChild>
                        </w:div>
                        <w:div w:id="198327341">
                          <w:marLeft w:val="0"/>
                          <w:marRight w:val="0"/>
                          <w:marTop w:val="0"/>
                          <w:marBottom w:val="0"/>
                          <w:divBdr>
                            <w:top w:val="none" w:sz="0" w:space="0" w:color="auto"/>
                            <w:left w:val="none" w:sz="0" w:space="0" w:color="auto"/>
                            <w:bottom w:val="none" w:sz="0" w:space="0" w:color="auto"/>
                            <w:right w:val="none" w:sz="0" w:space="0" w:color="auto"/>
                          </w:divBdr>
                          <w:divsChild>
                            <w:div w:id="1799953045">
                              <w:marLeft w:val="0"/>
                              <w:marRight w:val="0"/>
                              <w:marTop w:val="0"/>
                              <w:marBottom w:val="0"/>
                              <w:divBdr>
                                <w:top w:val="none" w:sz="0" w:space="0" w:color="auto"/>
                                <w:left w:val="none" w:sz="0" w:space="0" w:color="auto"/>
                                <w:bottom w:val="none" w:sz="0" w:space="0" w:color="auto"/>
                                <w:right w:val="none" w:sz="0" w:space="0" w:color="auto"/>
                              </w:divBdr>
                            </w:div>
                            <w:div w:id="1191602007">
                              <w:marLeft w:val="0"/>
                              <w:marRight w:val="0"/>
                              <w:marTop w:val="0"/>
                              <w:marBottom w:val="0"/>
                              <w:divBdr>
                                <w:top w:val="none" w:sz="0" w:space="0" w:color="auto"/>
                                <w:left w:val="none" w:sz="0" w:space="0" w:color="auto"/>
                                <w:bottom w:val="none" w:sz="0" w:space="0" w:color="auto"/>
                                <w:right w:val="none" w:sz="0" w:space="0" w:color="auto"/>
                              </w:divBdr>
                            </w:div>
                            <w:div w:id="801197296">
                              <w:marLeft w:val="0"/>
                              <w:marRight w:val="0"/>
                              <w:marTop w:val="0"/>
                              <w:marBottom w:val="0"/>
                              <w:divBdr>
                                <w:top w:val="none" w:sz="0" w:space="0" w:color="auto"/>
                                <w:left w:val="none" w:sz="0" w:space="0" w:color="auto"/>
                                <w:bottom w:val="none" w:sz="0" w:space="0" w:color="auto"/>
                                <w:right w:val="none" w:sz="0" w:space="0" w:color="auto"/>
                              </w:divBdr>
                            </w:div>
                            <w:div w:id="537089307">
                              <w:marLeft w:val="0"/>
                              <w:marRight w:val="0"/>
                              <w:marTop w:val="0"/>
                              <w:marBottom w:val="0"/>
                              <w:divBdr>
                                <w:top w:val="none" w:sz="0" w:space="0" w:color="auto"/>
                                <w:left w:val="none" w:sz="0" w:space="0" w:color="auto"/>
                                <w:bottom w:val="none" w:sz="0" w:space="0" w:color="auto"/>
                                <w:right w:val="none" w:sz="0" w:space="0" w:color="auto"/>
                              </w:divBdr>
                            </w:div>
                            <w:div w:id="945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277291">
                  <w:marLeft w:val="0"/>
                  <w:marRight w:val="0"/>
                  <w:marTop w:val="0"/>
                  <w:marBottom w:val="0"/>
                  <w:divBdr>
                    <w:top w:val="none" w:sz="0" w:space="0" w:color="auto"/>
                    <w:left w:val="none" w:sz="0" w:space="0" w:color="auto"/>
                    <w:bottom w:val="none" w:sz="0" w:space="0" w:color="auto"/>
                    <w:right w:val="none" w:sz="0" w:space="0" w:color="auto"/>
                  </w:divBdr>
                  <w:divsChild>
                    <w:div w:id="637077810">
                      <w:marLeft w:val="0"/>
                      <w:marRight w:val="0"/>
                      <w:marTop w:val="0"/>
                      <w:marBottom w:val="0"/>
                      <w:divBdr>
                        <w:top w:val="none" w:sz="0" w:space="0" w:color="auto"/>
                        <w:left w:val="none" w:sz="0" w:space="0" w:color="auto"/>
                        <w:bottom w:val="none" w:sz="0" w:space="0" w:color="auto"/>
                        <w:right w:val="none" w:sz="0" w:space="0" w:color="auto"/>
                      </w:divBdr>
                    </w:div>
                    <w:div w:id="1973441053">
                      <w:marLeft w:val="0"/>
                      <w:marRight w:val="0"/>
                      <w:marTop w:val="0"/>
                      <w:marBottom w:val="0"/>
                      <w:divBdr>
                        <w:top w:val="none" w:sz="0" w:space="0" w:color="auto"/>
                        <w:left w:val="none" w:sz="0" w:space="0" w:color="auto"/>
                        <w:bottom w:val="none" w:sz="0" w:space="0" w:color="auto"/>
                        <w:right w:val="none" w:sz="0" w:space="0" w:color="auto"/>
                      </w:divBdr>
                      <w:divsChild>
                        <w:div w:id="1509521119">
                          <w:marLeft w:val="0"/>
                          <w:marRight w:val="0"/>
                          <w:marTop w:val="0"/>
                          <w:marBottom w:val="0"/>
                          <w:divBdr>
                            <w:top w:val="none" w:sz="0" w:space="0" w:color="auto"/>
                            <w:left w:val="none" w:sz="0" w:space="0" w:color="auto"/>
                            <w:bottom w:val="none" w:sz="0" w:space="0" w:color="auto"/>
                            <w:right w:val="none" w:sz="0" w:space="0" w:color="auto"/>
                          </w:divBdr>
                        </w:div>
                        <w:div w:id="1822189989">
                          <w:marLeft w:val="0"/>
                          <w:marRight w:val="0"/>
                          <w:marTop w:val="0"/>
                          <w:marBottom w:val="0"/>
                          <w:divBdr>
                            <w:top w:val="none" w:sz="0" w:space="0" w:color="auto"/>
                            <w:left w:val="none" w:sz="0" w:space="0" w:color="auto"/>
                            <w:bottom w:val="none" w:sz="0" w:space="0" w:color="auto"/>
                            <w:right w:val="none" w:sz="0" w:space="0" w:color="auto"/>
                          </w:divBdr>
                        </w:div>
                        <w:div w:id="69158166">
                          <w:marLeft w:val="0"/>
                          <w:marRight w:val="0"/>
                          <w:marTop w:val="0"/>
                          <w:marBottom w:val="0"/>
                          <w:divBdr>
                            <w:top w:val="none" w:sz="0" w:space="0" w:color="auto"/>
                            <w:left w:val="none" w:sz="0" w:space="0" w:color="auto"/>
                            <w:bottom w:val="none" w:sz="0" w:space="0" w:color="auto"/>
                            <w:right w:val="none" w:sz="0" w:space="0" w:color="auto"/>
                          </w:divBdr>
                        </w:div>
                        <w:div w:id="93282790">
                          <w:marLeft w:val="0"/>
                          <w:marRight w:val="0"/>
                          <w:marTop w:val="0"/>
                          <w:marBottom w:val="0"/>
                          <w:divBdr>
                            <w:top w:val="none" w:sz="0" w:space="0" w:color="auto"/>
                            <w:left w:val="none" w:sz="0" w:space="0" w:color="auto"/>
                            <w:bottom w:val="none" w:sz="0" w:space="0" w:color="auto"/>
                            <w:right w:val="none" w:sz="0" w:space="0" w:color="auto"/>
                          </w:divBdr>
                        </w:div>
                        <w:div w:id="1376539783">
                          <w:marLeft w:val="0"/>
                          <w:marRight w:val="0"/>
                          <w:marTop w:val="0"/>
                          <w:marBottom w:val="0"/>
                          <w:divBdr>
                            <w:top w:val="none" w:sz="0" w:space="0" w:color="auto"/>
                            <w:left w:val="none" w:sz="0" w:space="0" w:color="auto"/>
                            <w:bottom w:val="none" w:sz="0" w:space="0" w:color="auto"/>
                            <w:right w:val="none" w:sz="0" w:space="0" w:color="auto"/>
                          </w:divBdr>
                        </w:div>
                        <w:div w:id="1373654912">
                          <w:marLeft w:val="0"/>
                          <w:marRight w:val="0"/>
                          <w:marTop w:val="0"/>
                          <w:marBottom w:val="0"/>
                          <w:divBdr>
                            <w:top w:val="none" w:sz="0" w:space="0" w:color="auto"/>
                            <w:left w:val="none" w:sz="0" w:space="0" w:color="auto"/>
                            <w:bottom w:val="none" w:sz="0" w:space="0" w:color="auto"/>
                            <w:right w:val="none" w:sz="0" w:space="0" w:color="auto"/>
                          </w:divBdr>
                        </w:div>
                        <w:div w:id="204074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358022">
                  <w:marLeft w:val="0"/>
                  <w:marRight w:val="0"/>
                  <w:marTop w:val="0"/>
                  <w:marBottom w:val="0"/>
                  <w:divBdr>
                    <w:top w:val="none" w:sz="0" w:space="0" w:color="auto"/>
                    <w:left w:val="none" w:sz="0" w:space="0" w:color="auto"/>
                    <w:bottom w:val="none" w:sz="0" w:space="0" w:color="auto"/>
                    <w:right w:val="none" w:sz="0" w:space="0" w:color="auto"/>
                  </w:divBdr>
                  <w:divsChild>
                    <w:div w:id="2059086394">
                      <w:marLeft w:val="0"/>
                      <w:marRight w:val="0"/>
                      <w:marTop w:val="0"/>
                      <w:marBottom w:val="0"/>
                      <w:divBdr>
                        <w:top w:val="none" w:sz="0" w:space="0" w:color="auto"/>
                        <w:left w:val="none" w:sz="0" w:space="0" w:color="auto"/>
                        <w:bottom w:val="none" w:sz="0" w:space="0" w:color="auto"/>
                        <w:right w:val="none" w:sz="0" w:space="0" w:color="auto"/>
                      </w:divBdr>
                    </w:div>
                    <w:div w:id="745803856">
                      <w:marLeft w:val="0"/>
                      <w:marRight w:val="0"/>
                      <w:marTop w:val="0"/>
                      <w:marBottom w:val="0"/>
                      <w:divBdr>
                        <w:top w:val="none" w:sz="0" w:space="0" w:color="auto"/>
                        <w:left w:val="none" w:sz="0" w:space="0" w:color="auto"/>
                        <w:bottom w:val="none" w:sz="0" w:space="0" w:color="auto"/>
                        <w:right w:val="none" w:sz="0" w:space="0" w:color="auto"/>
                      </w:divBdr>
                      <w:divsChild>
                        <w:div w:id="34472322">
                          <w:marLeft w:val="0"/>
                          <w:marRight w:val="0"/>
                          <w:marTop w:val="0"/>
                          <w:marBottom w:val="0"/>
                          <w:divBdr>
                            <w:top w:val="none" w:sz="0" w:space="0" w:color="auto"/>
                            <w:left w:val="none" w:sz="0" w:space="0" w:color="auto"/>
                            <w:bottom w:val="none" w:sz="0" w:space="0" w:color="auto"/>
                            <w:right w:val="none" w:sz="0" w:space="0" w:color="auto"/>
                          </w:divBdr>
                        </w:div>
                        <w:div w:id="1831561930">
                          <w:marLeft w:val="0"/>
                          <w:marRight w:val="0"/>
                          <w:marTop w:val="0"/>
                          <w:marBottom w:val="0"/>
                          <w:divBdr>
                            <w:top w:val="none" w:sz="0" w:space="0" w:color="auto"/>
                            <w:left w:val="none" w:sz="0" w:space="0" w:color="auto"/>
                            <w:bottom w:val="none" w:sz="0" w:space="0" w:color="auto"/>
                            <w:right w:val="none" w:sz="0" w:space="0" w:color="auto"/>
                          </w:divBdr>
                        </w:div>
                        <w:div w:id="1413820135">
                          <w:marLeft w:val="0"/>
                          <w:marRight w:val="0"/>
                          <w:marTop w:val="0"/>
                          <w:marBottom w:val="0"/>
                          <w:divBdr>
                            <w:top w:val="none" w:sz="0" w:space="0" w:color="auto"/>
                            <w:left w:val="none" w:sz="0" w:space="0" w:color="auto"/>
                            <w:bottom w:val="none" w:sz="0" w:space="0" w:color="auto"/>
                            <w:right w:val="none" w:sz="0" w:space="0" w:color="auto"/>
                          </w:divBdr>
                        </w:div>
                        <w:div w:id="1659454857">
                          <w:marLeft w:val="0"/>
                          <w:marRight w:val="0"/>
                          <w:marTop w:val="0"/>
                          <w:marBottom w:val="0"/>
                          <w:divBdr>
                            <w:top w:val="none" w:sz="0" w:space="0" w:color="auto"/>
                            <w:left w:val="none" w:sz="0" w:space="0" w:color="auto"/>
                            <w:bottom w:val="none" w:sz="0" w:space="0" w:color="auto"/>
                            <w:right w:val="none" w:sz="0" w:space="0" w:color="auto"/>
                          </w:divBdr>
                        </w:div>
                      </w:divsChild>
                    </w:div>
                    <w:div w:id="300620709">
                      <w:marLeft w:val="0"/>
                      <w:marRight w:val="0"/>
                      <w:marTop w:val="0"/>
                      <w:marBottom w:val="0"/>
                      <w:divBdr>
                        <w:top w:val="none" w:sz="0" w:space="0" w:color="auto"/>
                        <w:left w:val="none" w:sz="0" w:space="0" w:color="auto"/>
                        <w:bottom w:val="none" w:sz="0" w:space="0" w:color="auto"/>
                        <w:right w:val="none" w:sz="0" w:space="0" w:color="auto"/>
                      </w:divBdr>
                      <w:divsChild>
                        <w:div w:id="1296134037">
                          <w:marLeft w:val="0"/>
                          <w:marRight w:val="0"/>
                          <w:marTop w:val="0"/>
                          <w:marBottom w:val="0"/>
                          <w:divBdr>
                            <w:top w:val="none" w:sz="0" w:space="0" w:color="auto"/>
                            <w:left w:val="none" w:sz="0" w:space="0" w:color="auto"/>
                            <w:bottom w:val="none" w:sz="0" w:space="0" w:color="auto"/>
                            <w:right w:val="none" w:sz="0" w:space="0" w:color="auto"/>
                          </w:divBdr>
                        </w:div>
                      </w:divsChild>
                    </w:div>
                    <w:div w:id="2126924909">
                      <w:marLeft w:val="0"/>
                      <w:marRight w:val="0"/>
                      <w:marTop w:val="0"/>
                      <w:marBottom w:val="0"/>
                      <w:divBdr>
                        <w:top w:val="none" w:sz="0" w:space="0" w:color="auto"/>
                        <w:left w:val="none" w:sz="0" w:space="0" w:color="auto"/>
                        <w:bottom w:val="none" w:sz="0" w:space="0" w:color="auto"/>
                        <w:right w:val="none" w:sz="0" w:space="0" w:color="auto"/>
                      </w:divBdr>
                      <w:divsChild>
                        <w:div w:id="711612373">
                          <w:marLeft w:val="0"/>
                          <w:marRight w:val="0"/>
                          <w:marTop w:val="0"/>
                          <w:marBottom w:val="0"/>
                          <w:divBdr>
                            <w:top w:val="none" w:sz="0" w:space="0" w:color="auto"/>
                            <w:left w:val="none" w:sz="0" w:space="0" w:color="auto"/>
                            <w:bottom w:val="none" w:sz="0" w:space="0" w:color="auto"/>
                            <w:right w:val="none" w:sz="0" w:space="0" w:color="auto"/>
                          </w:divBdr>
                        </w:div>
                        <w:div w:id="389966643">
                          <w:marLeft w:val="0"/>
                          <w:marRight w:val="0"/>
                          <w:marTop w:val="0"/>
                          <w:marBottom w:val="0"/>
                          <w:divBdr>
                            <w:top w:val="none" w:sz="0" w:space="0" w:color="auto"/>
                            <w:left w:val="none" w:sz="0" w:space="0" w:color="auto"/>
                            <w:bottom w:val="none" w:sz="0" w:space="0" w:color="auto"/>
                            <w:right w:val="none" w:sz="0" w:space="0" w:color="auto"/>
                          </w:divBdr>
                        </w:div>
                        <w:div w:id="994334849">
                          <w:marLeft w:val="0"/>
                          <w:marRight w:val="0"/>
                          <w:marTop w:val="0"/>
                          <w:marBottom w:val="0"/>
                          <w:divBdr>
                            <w:top w:val="none" w:sz="0" w:space="0" w:color="auto"/>
                            <w:left w:val="none" w:sz="0" w:space="0" w:color="auto"/>
                            <w:bottom w:val="none" w:sz="0" w:space="0" w:color="auto"/>
                            <w:right w:val="none" w:sz="0" w:space="0" w:color="auto"/>
                          </w:divBdr>
                        </w:div>
                      </w:divsChild>
                    </w:div>
                    <w:div w:id="1940748703">
                      <w:marLeft w:val="0"/>
                      <w:marRight w:val="0"/>
                      <w:marTop w:val="0"/>
                      <w:marBottom w:val="0"/>
                      <w:divBdr>
                        <w:top w:val="none" w:sz="0" w:space="0" w:color="auto"/>
                        <w:left w:val="none" w:sz="0" w:space="0" w:color="auto"/>
                        <w:bottom w:val="none" w:sz="0" w:space="0" w:color="auto"/>
                        <w:right w:val="none" w:sz="0" w:space="0" w:color="auto"/>
                      </w:divBdr>
                      <w:divsChild>
                        <w:div w:id="282198629">
                          <w:marLeft w:val="0"/>
                          <w:marRight w:val="0"/>
                          <w:marTop w:val="0"/>
                          <w:marBottom w:val="0"/>
                          <w:divBdr>
                            <w:top w:val="none" w:sz="0" w:space="0" w:color="auto"/>
                            <w:left w:val="none" w:sz="0" w:space="0" w:color="auto"/>
                            <w:bottom w:val="none" w:sz="0" w:space="0" w:color="auto"/>
                            <w:right w:val="none" w:sz="0" w:space="0" w:color="auto"/>
                          </w:divBdr>
                        </w:div>
                        <w:div w:id="1592351086">
                          <w:marLeft w:val="0"/>
                          <w:marRight w:val="0"/>
                          <w:marTop w:val="0"/>
                          <w:marBottom w:val="0"/>
                          <w:divBdr>
                            <w:top w:val="none" w:sz="0" w:space="0" w:color="auto"/>
                            <w:left w:val="none" w:sz="0" w:space="0" w:color="auto"/>
                            <w:bottom w:val="none" w:sz="0" w:space="0" w:color="auto"/>
                            <w:right w:val="none" w:sz="0" w:space="0" w:color="auto"/>
                          </w:divBdr>
                        </w:div>
                        <w:div w:id="822351311">
                          <w:marLeft w:val="0"/>
                          <w:marRight w:val="0"/>
                          <w:marTop w:val="0"/>
                          <w:marBottom w:val="0"/>
                          <w:divBdr>
                            <w:top w:val="none" w:sz="0" w:space="0" w:color="auto"/>
                            <w:left w:val="none" w:sz="0" w:space="0" w:color="auto"/>
                            <w:bottom w:val="none" w:sz="0" w:space="0" w:color="auto"/>
                            <w:right w:val="none" w:sz="0" w:space="0" w:color="auto"/>
                          </w:divBdr>
                        </w:div>
                        <w:div w:id="785319170">
                          <w:marLeft w:val="0"/>
                          <w:marRight w:val="0"/>
                          <w:marTop w:val="0"/>
                          <w:marBottom w:val="0"/>
                          <w:divBdr>
                            <w:top w:val="none" w:sz="0" w:space="0" w:color="auto"/>
                            <w:left w:val="none" w:sz="0" w:space="0" w:color="auto"/>
                            <w:bottom w:val="none" w:sz="0" w:space="0" w:color="auto"/>
                            <w:right w:val="none" w:sz="0" w:space="0" w:color="auto"/>
                          </w:divBdr>
                        </w:div>
                        <w:div w:id="346442701">
                          <w:marLeft w:val="0"/>
                          <w:marRight w:val="0"/>
                          <w:marTop w:val="0"/>
                          <w:marBottom w:val="0"/>
                          <w:divBdr>
                            <w:top w:val="none" w:sz="0" w:space="0" w:color="auto"/>
                            <w:left w:val="none" w:sz="0" w:space="0" w:color="auto"/>
                            <w:bottom w:val="none" w:sz="0" w:space="0" w:color="auto"/>
                            <w:right w:val="none" w:sz="0" w:space="0" w:color="auto"/>
                          </w:divBdr>
                        </w:div>
                        <w:div w:id="91123443">
                          <w:marLeft w:val="0"/>
                          <w:marRight w:val="0"/>
                          <w:marTop w:val="0"/>
                          <w:marBottom w:val="0"/>
                          <w:divBdr>
                            <w:top w:val="none" w:sz="0" w:space="0" w:color="auto"/>
                            <w:left w:val="none" w:sz="0" w:space="0" w:color="auto"/>
                            <w:bottom w:val="none" w:sz="0" w:space="0" w:color="auto"/>
                            <w:right w:val="none" w:sz="0" w:space="0" w:color="auto"/>
                          </w:divBdr>
                        </w:div>
                        <w:div w:id="218975837">
                          <w:marLeft w:val="0"/>
                          <w:marRight w:val="0"/>
                          <w:marTop w:val="0"/>
                          <w:marBottom w:val="0"/>
                          <w:divBdr>
                            <w:top w:val="none" w:sz="0" w:space="0" w:color="auto"/>
                            <w:left w:val="none" w:sz="0" w:space="0" w:color="auto"/>
                            <w:bottom w:val="none" w:sz="0" w:space="0" w:color="auto"/>
                            <w:right w:val="none" w:sz="0" w:space="0" w:color="auto"/>
                          </w:divBdr>
                        </w:div>
                        <w:div w:id="1499535742">
                          <w:marLeft w:val="0"/>
                          <w:marRight w:val="0"/>
                          <w:marTop w:val="0"/>
                          <w:marBottom w:val="0"/>
                          <w:divBdr>
                            <w:top w:val="none" w:sz="0" w:space="0" w:color="auto"/>
                            <w:left w:val="none" w:sz="0" w:space="0" w:color="auto"/>
                            <w:bottom w:val="none" w:sz="0" w:space="0" w:color="auto"/>
                            <w:right w:val="none" w:sz="0" w:space="0" w:color="auto"/>
                          </w:divBdr>
                        </w:div>
                      </w:divsChild>
                    </w:div>
                    <w:div w:id="1710447473">
                      <w:marLeft w:val="0"/>
                      <w:marRight w:val="0"/>
                      <w:marTop w:val="0"/>
                      <w:marBottom w:val="0"/>
                      <w:divBdr>
                        <w:top w:val="none" w:sz="0" w:space="0" w:color="auto"/>
                        <w:left w:val="none" w:sz="0" w:space="0" w:color="auto"/>
                        <w:bottom w:val="none" w:sz="0" w:space="0" w:color="auto"/>
                        <w:right w:val="none" w:sz="0" w:space="0" w:color="auto"/>
                      </w:divBdr>
                      <w:divsChild>
                        <w:div w:id="40397780">
                          <w:marLeft w:val="0"/>
                          <w:marRight w:val="0"/>
                          <w:marTop w:val="0"/>
                          <w:marBottom w:val="0"/>
                          <w:divBdr>
                            <w:top w:val="none" w:sz="0" w:space="0" w:color="auto"/>
                            <w:left w:val="none" w:sz="0" w:space="0" w:color="auto"/>
                            <w:bottom w:val="none" w:sz="0" w:space="0" w:color="auto"/>
                            <w:right w:val="none" w:sz="0" w:space="0" w:color="auto"/>
                          </w:divBdr>
                        </w:div>
                        <w:div w:id="1105005168">
                          <w:marLeft w:val="0"/>
                          <w:marRight w:val="0"/>
                          <w:marTop w:val="0"/>
                          <w:marBottom w:val="0"/>
                          <w:divBdr>
                            <w:top w:val="none" w:sz="0" w:space="0" w:color="auto"/>
                            <w:left w:val="none" w:sz="0" w:space="0" w:color="auto"/>
                            <w:bottom w:val="none" w:sz="0" w:space="0" w:color="auto"/>
                            <w:right w:val="none" w:sz="0" w:space="0" w:color="auto"/>
                          </w:divBdr>
                        </w:div>
                      </w:divsChild>
                    </w:div>
                    <w:div w:id="1464618642">
                      <w:marLeft w:val="0"/>
                      <w:marRight w:val="0"/>
                      <w:marTop w:val="0"/>
                      <w:marBottom w:val="0"/>
                      <w:divBdr>
                        <w:top w:val="none" w:sz="0" w:space="0" w:color="auto"/>
                        <w:left w:val="none" w:sz="0" w:space="0" w:color="auto"/>
                        <w:bottom w:val="none" w:sz="0" w:space="0" w:color="auto"/>
                        <w:right w:val="none" w:sz="0" w:space="0" w:color="auto"/>
                      </w:divBdr>
                      <w:divsChild>
                        <w:div w:id="400492266">
                          <w:marLeft w:val="0"/>
                          <w:marRight w:val="0"/>
                          <w:marTop w:val="0"/>
                          <w:marBottom w:val="0"/>
                          <w:divBdr>
                            <w:top w:val="none" w:sz="0" w:space="0" w:color="auto"/>
                            <w:left w:val="none" w:sz="0" w:space="0" w:color="auto"/>
                            <w:bottom w:val="none" w:sz="0" w:space="0" w:color="auto"/>
                            <w:right w:val="none" w:sz="0" w:space="0" w:color="auto"/>
                          </w:divBdr>
                        </w:div>
                        <w:div w:id="1011178785">
                          <w:marLeft w:val="0"/>
                          <w:marRight w:val="0"/>
                          <w:marTop w:val="0"/>
                          <w:marBottom w:val="0"/>
                          <w:divBdr>
                            <w:top w:val="none" w:sz="0" w:space="0" w:color="auto"/>
                            <w:left w:val="none" w:sz="0" w:space="0" w:color="auto"/>
                            <w:bottom w:val="none" w:sz="0" w:space="0" w:color="auto"/>
                            <w:right w:val="none" w:sz="0" w:space="0" w:color="auto"/>
                          </w:divBdr>
                        </w:div>
                      </w:divsChild>
                    </w:div>
                    <w:div w:id="819348501">
                      <w:marLeft w:val="0"/>
                      <w:marRight w:val="0"/>
                      <w:marTop w:val="0"/>
                      <w:marBottom w:val="0"/>
                      <w:divBdr>
                        <w:top w:val="none" w:sz="0" w:space="0" w:color="auto"/>
                        <w:left w:val="none" w:sz="0" w:space="0" w:color="auto"/>
                        <w:bottom w:val="none" w:sz="0" w:space="0" w:color="auto"/>
                        <w:right w:val="none" w:sz="0" w:space="0" w:color="auto"/>
                      </w:divBdr>
                      <w:divsChild>
                        <w:div w:id="1754857559">
                          <w:marLeft w:val="0"/>
                          <w:marRight w:val="0"/>
                          <w:marTop w:val="0"/>
                          <w:marBottom w:val="0"/>
                          <w:divBdr>
                            <w:top w:val="none" w:sz="0" w:space="0" w:color="auto"/>
                            <w:left w:val="none" w:sz="0" w:space="0" w:color="auto"/>
                            <w:bottom w:val="none" w:sz="0" w:space="0" w:color="auto"/>
                            <w:right w:val="none" w:sz="0" w:space="0" w:color="auto"/>
                          </w:divBdr>
                        </w:div>
                      </w:divsChild>
                    </w:div>
                    <w:div w:id="38167231">
                      <w:marLeft w:val="0"/>
                      <w:marRight w:val="0"/>
                      <w:marTop w:val="0"/>
                      <w:marBottom w:val="0"/>
                      <w:divBdr>
                        <w:top w:val="none" w:sz="0" w:space="0" w:color="auto"/>
                        <w:left w:val="none" w:sz="0" w:space="0" w:color="auto"/>
                        <w:bottom w:val="none" w:sz="0" w:space="0" w:color="auto"/>
                        <w:right w:val="none" w:sz="0" w:space="0" w:color="auto"/>
                      </w:divBdr>
                      <w:divsChild>
                        <w:div w:id="87236920">
                          <w:marLeft w:val="0"/>
                          <w:marRight w:val="0"/>
                          <w:marTop w:val="0"/>
                          <w:marBottom w:val="0"/>
                          <w:divBdr>
                            <w:top w:val="none" w:sz="0" w:space="0" w:color="auto"/>
                            <w:left w:val="none" w:sz="0" w:space="0" w:color="auto"/>
                            <w:bottom w:val="none" w:sz="0" w:space="0" w:color="auto"/>
                            <w:right w:val="none" w:sz="0" w:space="0" w:color="auto"/>
                          </w:divBdr>
                        </w:div>
                      </w:divsChild>
                    </w:div>
                    <w:div w:id="2021349240">
                      <w:marLeft w:val="0"/>
                      <w:marRight w:val="0"/>
                      <w:marTop w:val="0"/>
                      <w:marBottom w:val="0"/>
                      <w:divBdr>
                        <w:top w:val="none" w:sz="0" w:space="0" w:color="auto"/>
                        <w:left w:val="none" w:sz="0" w:space="0" w:color="auto"/>
                        <w:bottom w:val="none" w:sz="0" w:space="0" w:color="auto"/>
                        <w:right w:val="none" w:sz="0" w:space="0" w:color="auto"/>
                      </w:divBdr>
                      <w:divsChild>
                        <w:div w:id="1352682277">
                          <w:marLeft w:val="0"/>
                          <w:marRight w:val="0"/>
                          <w:marTop w:val="0"/>
                          <w:marBottom w:val="0"/>
                          <w:divBdr>
                            <w:top w:val="none" w:sz="0" w:space="0" w:color="auto"/>
                            <w:left w:val="none" w:sz="0" w:space="0" w:color="auto"/>
                            <w:bottom w:val="none" w:sz="0" w:space="0" w:color="auto"/>
                            <w:right w:val="none" w:sz="0" w:space="0" w:color="auto"/>
                          </w:divBdr>
                        </w:div>
                        <w:div w:id="1986398018">
                          <w:marLeft w:val="0"/>
                          <w:marRight w:val="0"/>
                          <w:marTop w:val="0"/>
                          <w:marBottom w:val="0"/>
                          <w:divBdr>
                            <w:top w:val="none" w:sz="0" w:space="0" w:color="auto"/>
                            <w:left w:val="none" w:sz="0" w:space="0" w:color="auto"/>
                            <w:bottom w:val="none" w:sz="0" w:space="0" w:color="auto"/>
                            <w:right w:val="none" w:sz="0" w:space="0" w:color="auto"/>
                          </w:divBdr>
                        </w:div>
                        <w:div w:id="1764761185">
                          <w:marLeft w:val="0"/>
                          <w:marRight w:val="0"/>
                          <w:marTop w:val="0"/>
                          <w:marBottom w:val="0"/>
                          <w:divBdr>
                            <w:top w:val="none" w:sz="0" w:space="0" w:color="auto"/>
                            <w:left w:val="none" w:sz="0" w:space="0" w:color="auto"/>
                            <w:bottom w:val="none" w:sz="0" w:space="0" w:color="auto"/>
                            <w:right w:val="none" w:sz="0" w:space="0" w:color="auto"/>
                          </w:divBdr>
                        </w:div>
                      </w:divsChild>
                    </w:div>
                    <w:div w:id="1897663051">
                      <w:marLeft w:val="0"/>
                      <w:marRight w:val="0"/>
                      <w:marTop w:val="0"/>
                      <w:marBottom w:val="0"/>
                      <w:divBdr>
                        <w:top w:val="none" w:sz="0" w:space="0" w:color="auto"/>
                        <w:left w:val="none" w:sz="0" w:space="0" w:color="auto"/>
                        <w:bottom w:val="none" w:sz="0" w:space="0" w:color="auto"/>
                        <w:right w:val="none" w:sz="0" w:space="0" w:color="auto"/>
                      </w:divBdr>
                      <w:divsChild>
                        <w:div w:id="998851025">
                          <w:marLeft w:val="0"/>
                          <w:marRight w:val="0"/>
                          <w:marTop w:val="0"/>
                          <w:marBottom w:val="0"/>
                          <w:divBdr>
                            <w:top w:val="none" w:sz="0" w:space="0" w:color="auto"/>
                            <w:left w:val="none" w:sz="0" w:space="0" w:color="auto"/>
                            <w:bottom w:val="none" w:sz="0" w:space="0" w:color="auto"/>
                            <w:right w:val="none" w:sz="0" w:space="0" w:color="auto"/>
                          </w:divBdr>
                        </w:div>
                        <w:div w:id="317537666">
                          <w:marLeft w:val="0"/>
                          <w:marRight w:val="0"/>
                          <w:marTop w:val="0"/>
                          <w:marBottom w:val="0"/>
                          <w:divBdr>
                            <w:top w:val="none" w:sz="0" w:space="0" w:color="auto"/>
                            <w:left w:val="none" w:sz="0" w:space="0" w:color="auto"/>
                            <w:bottom w:val="none" w:sz="0" w:space="0" w:color="auto"/>
                            <w:right w:val="none" w:sz="0" w:space="0" w:color="auto"/>
                          </w:divBdr>
                        </w:div>
                        <w:div w:id="1184899251">
                          <w:marLeft w:val="0"/>
                          <w:marRight w:val="0"/>
                          <w:marTop w:val="0"/>
                          <w:marBottom w:val="0"/>
                          <w:divBdr>
                            <w:top w:val="none" w:sz="0" w:space="0" w:color="auto"/>
                            <w:left w:val="none" w:sz="0" w:space="0" w:color="auto"/>
                            <w:bottom w:val="none" w:sz="0" w:space="0" w:color="auto"/>
                            <w:right w:val="none" w:sz="0" w:space="0" w:color="auto"/>
                          </w:divBdr>
                        </w:div>
                        <w:div w:id="356809182">
                          <w:marLeft w:val="0"/>
                          <w:marRight w:val="0"/>
                          <w:marTop w:val="0"/>
                          <w:marBottom w:val="0"/>
                          <w:divBdr>
                            <w:top w:val="none" w:sz="0" w:space="0" w:color="auto"/>
                            <w:left w:val="none" w:sz="0" w:space="0" w:color="auto"/>
                            <w:bottom w:val="none" w:sz="0" w:space="0" w:color="auto"/>
                            <w:right w:val="none" w:sz="0" w:space="0" w:color="auto"/>
                          </w:divBdr>
                        </w:div>
                        <w:div w:id="170506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222855">
              <w:marLeft w:val="0"/>
              <w:marRight w:val="0"/>
              <w:marTop w:val="0"/>
              <w:marBottom w:val="0"/>
              <w:divBdr>
                <w:top w:val="none" w:sz="0" w:space="0" w:color="auto"/>
                <w:left w:val="none" w:sz="0" w:space="0" w:color="auto"/>
                <w:bottom w:val="none" w:sz="0" w:space="0" w:color="auto"/>
                <w:right w:val="none" w:sz="0" w:space="0" w:color="auto"/>
              </w:divBdr>
              <w:divsChild>
                <w:div w:id="374695918">
                  <w:marLeft w:val="810"/>
                  <w:marRight w:val="810"/>
                  <w:marTop w:val="360"/>
                  <w:marBottom w:val="0"/>
                  <w:divBdr>
                    <w:top w:val="none" w:sz="0" w:space="0" w:color="auto"/>
                    <w:left w:val="none" w:sz="0" w:space="0" w:color="auto"/>
                    <w:bottom w:val="none" w:sz="0" w:space="0" w:color="auto"/>
                    <w:right w:val="none" w:sz="0" w:space="0" w:color="auto"/>
                  </w:divBdr>
                  <w:divsChild>
                    <w:div w:id="2127699357">
                      <w:marLeft w:val="4005"/>
                      <w:marRight w:val="810"/>
                      <w:marTop w:val="0"/>
                      <w:marBottom w:val="0"/>
                      <w:divBdr>
                        <w:top w:val="none" w:sz="0" w:space="0" w:color="auto"/>
                        <w:left w:val="none" w:sz="0" w:space="0" w:color="auto"/>
                        <w:bottom w:val="none" w:sz="0" w:space="0" w:color="auto"/>
                        <w:right w:val="none" w:sz="0" w:space="0" w:color="auto"/>
                      </w:divBdr>
                    </w:div>
                    <w:div w:id="825439129">
                      <w:marLeft w:val="4005"/>
                      <w:marRight w:val="810"/>
                      <w:marTop w:val="0"/>
                      <w:marBottom w:val="0"/>
                      <w:divBdr>
                        <w:top w:val="none" w:sz="0" w:space="0" w:color="auto"/>
                        <w:left w:val="none" w:sz="0" w:space="0" w:color="auto"/>
                        <w:bottom w:val="none" w:sz="0" w:space="0" w:color="auto"/>
                        <w:right w:val="none" w:sz="0" w:space="0" w:color="auto"/>
                      </w:divBdr>
                    </w:div>
                  </w:divsChild>
                </w:div>
              </w:divsChild>
            </w:div>
          </w:divsChild>
        </w:div>
        <w:div w:id="261770487">
          <w:marLeft w:val="0"/>
          <w:marRight w:val="0"/>
          <w:marTop w:val="0"/>
          <w:marBottom w:val="0"/>
          <w:divBdr>
            <w:top w:val="none" w:sz="0" w:space="0" w:color="auto"/>
            <w:left w:val="none" w:sz="0" w:space="0" w:color="auto"/>
            <w:bottom w:val="none" w:sz="0" w:space="0" w:color="auto"/>
            <w:right w:val="none" w:sz="0" w:space="0" w:color="auto"/>
          </w:divBdr>
          <w:divsChild>
            <w:div w:id="2138912305">
              <w:marLeft w:val="0"/>
              <w:marRight w:val="0"/>
              <w:marTop w:val="0"/>
              <w:marBottom w:val="0"/>
              <w:divBdr>
                <w:top w:val="none" w:sz="0" w:space="0" w:color="auto"/>
                <w:left w:val="none" w:sz="0" w:space="0" w:color="auto"/>
                <w:bottom w:val="none" w:sz="0" w:space="0" w:color="auto"/>
                <w:right w:val="none" w:sz="0" w:space="0" w:color="auto"/>
              </w:divBdr>
            </w:div>
          </w:divsChild>
        </w:div>
        <w:div w:id="959915944">
          <w:marLeft w:val="0"/>
          <w:marRight w:val="0"/>
          <w:marTop w:val="0"/>
          <w:marBottom w:val="0"/>
          <w:divBdr>
            <w:top w:val="none" w:sz="0" w:space="0" w:color="auto"/>
            <w:left w:val="none" w:sz="0" w:space="0" w:color="auto"/>
            <w:bottom w:val="none" w:sz="0" w:space="0" w:color="auto"/>
            <w:right w:val="none" w:sz="0" w:space="0" w:color="auto"/>
          </w:divBdr>
          <w:divsChild>
            <w:div w:id="30689403">
              <w:marLeft w:val="0"/>
              <w:marRight w:val="0"/>
              <w:marTop w:val="0"/>
              <w:marBottom w:val="0"/>
              <w:divBdr>
                <w:top w:val="none" w:sz="0" w:space="0" w:color="auto"/>
                <w:left w:val="none" w:sz="0" w:space="0" w:color="auto"/>
                <w:bottom w:val="none" w:sz="0" w:space="0" w:color="auto"/>
                <w:right w:val="none" w:sz="0" w:space="0" w:color="auto"/>
              </w:divBdr>
            </w:div>
          </w:divsChild>
        </w:div>
        <w:div w:id="1270358655">
          <w:marLeft w:val="0"/>
          <w:marRight w:val="0"/>
          <w:marTop w:val="0"/>
          <w:marBottom w:val="0"/>
          <w:divBdr>
            <w:top w:val="none" w:sz="0" w:space="0" w:color="auto"/>
            <w:left w:val="none" w:sz="0" w:space="0" w:color="auto"/>
            <w:bottom w:val="none" w:sz="0" w:space="0" w:color="auto"/>
            <w:right w:val="none" w:sz="0" w:space="0" w:color="auto"/>
          </w:divBdr>
          <w:divsChild>
            <w:div w:id="1625696070">
              <w:marLeft w:val="0"/>
              <w:marRight w:val="0"/>
              <w:marTop w:val="0"/>
              <w:marBottom w:val="0"/>
              <w:divBdr>
                <w:top w:val="none" w:sz="0" w:space="0" w:color="auto"/>
                <w:left w:val="none" w:sz="0" w:space="0" w:color="auto"/>
                <w:bottom w:val="none" w:sz="0" w:space="0" w:color="auto"/>
                <w:right w:val="none" w:sz="0" w:space="0" w:color="auto"/>
              </w:divBdr>
            </w:div>
          </w:divsChild>
        </w:div>
        <w:div w:id="1304046769">
          <w:marLeft w:val="0"/>
          <w:marRight w:val="0"/>
          <w:marTop w:val="0"/>
          <w:marBottom w:val="0"/>
          <w:divBdr>
            <w:top w:val="none" w:sz="0" w:space="0" w:color="auto"/>
            <w:left w:val="none" w:sz="0" w:space="0" w:color="auto"/>
            <w:bottom w:val="none" w:sz="0" w:space="0" w:color="auto"/>
            <w:right w:val="none" w:sz="0" w:space="0" w:color="auto"/>
          </w:divBdr>
          <w:divsChild>
            <w:div w:id="1480271346">
              <w:marLeft w:val="0"/>
              <w:marRight w:val="0"/>
              <w:marTop w:val="0"/>
              <w:marBottom w:val="0"/>
              <w:divBdr>
                <w:top w:val="none" w:sz="0" w:space="0" w:color="auto"/>
                <w:left w:val="none" w:sz="0" w:space="0" w:color="auto"/>
                <w:bottom w:val="none" w:sz="0" w:space="0" w:color="auto"/>
                <w:right w:val="none" w:sz="0" w:space="0" w:color="auto"/>
              </w:divBdr>
            </w:div>
          </w:divsChild>
        </w:div>
        <w:div w:id="1182627360">
          <w:marLeft w:val="0"/>
          <w:marRight w:val="0"/>
          <w:marTop w:val="0"/>
          <w:marBottom w:val="0"/>
          <w:divBdr>
            <w:top w:val="none" w:sz="0" w:space="0" w:color="auto"/>
            <w:left w:val="none" w:sz="0" w:space="0" w:color="auto"/>
            <w:bottom w:val="none" w:sz="0" w:space="0" w:color="auto"/>
            <w:right w:val="none" w:sz="0" w:space="0" w:color="auto"/>
          </w:divBdr>
          <w:divsChild>
            <w:div w:id="787627541">
              <w:marLeft w:val="0"/>
              <w:marRight w:val="0"/>
              <w:marTop w:val="0"/>
              <w:marBottom w:val="0"/>
              <w:divBdr>
                <w:top w:val="none" w:sz="0" w:space="0" w:color="auto"/>
                <w:left w:val="none" w:sz="0" w:space="0" w:color="auto"/>
                <w:bottom w:val="none" w:sz="0" w:space="0" w:color="auto"/>
                <w:right w:val="none" w:sz="0" w:space="0" w:color="auto"/>
              </w:divBdr>
            </w:div>
          </w:divsChild>
        </w:div>
        <w:div w:id="1409962891">
          <w:marLeft w:val="0"/>
          <w:marRight w:val="0"/>
          <w:marTop w:val="0"/>
          <w:marBottom w:val="0"/>
          <w:divBdr>
            <w:top w:val="none" w:sz="0" w:space="0" w:color="auto"/>
            <w:left w:val="none" w:sz="0" w:space="0" w:color="auto"/>
            <w:bottom w:val="none" w:sz="0" w:space="0" w:color="auto"/>
            <w:right w:val="none" w:sz="0" w:space="0" w:color="auto"/>
          </w:divBdr>
          <w:divsChild>
            <w:div w:id="90669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898553">
      <w:bodyDiv w:val="1"/>
      <w:marLeft w:val="0"/>
      <w:marRight w:val="0"/>
      <w:marTop w:val="0"/>
      <w:marBottom w:val="0"/>
      <w:divBdr>
        <w:top w:val="none" w:sz="0" w:space="0" w:color="auto"/>
        <w:left w:val="none" w:sz="0" w:space="0" w:color="auto"/>
        <w:bottom w:val="none" w:sz="0" w:space="0" w:color="auto"/>
        <w:right w:val="none" w:sz="0" w:space="0" w:color="auto"/>
      </w:divBdr>
      <w:divsChild>
        <w:div w:id="1627393070">
          <w:marLeft w:val="0"/>
          <w:marRight w:val="0"/>
          <w:marTop w:val="0"/>
          <w:marBottom w:val="0"/>
          <w:divBdr>
            <w:top w:val="none" w:sz="0" w:space="0" w:color="auto"/>
            <w:left w:val="none" w:sz="0" w:space="0" w:color="auto"/>
            <w:bottom w:val="none" w:sz="0" w:space="0" w:color="auto"/>
            <w:right w:val="none" w:sz="0" w:space="0" w:color="auto"/>
          </w:divBdr>
          <w:divsChild>
            <w:div w:id="574243106">
              <w:marLeft w:val="0"/>
              <w:marRight w:val="0"/>
              <w:marTop w:val="0"/>
              <w:marBottom w:val="0"/>
              <w:divBdr>
                <w:top w:val="none" w:sz="0" w:space="0" w:color="auto"/>
                <w:left w:val="none" w:sz="0" w:space="0" w:color="auto"/>
                <w:bottom w:val="none" w:sz="0" w:space="0" w:color="auto"/>
                <w:right w:val="none" w:sz="0" w:space="0" w:color="auto"/>
              </w:divBdr>
            </w:div>
            <w:div w:id="1410276645">
              <w:marLeft w:val="0"/>
              <w:marRight w:val="0"/>
              <w:marTop w:val="0"/>
              <w:marBottom w:val="0"/>
              <w:divBdr>
                <w:top w:val="none" w:sz="0" w:space="0" w:color="auto"/>
                <w:left w:val="none" w:sz="0" w:space="0" w:color="auto"/>
                <w:bottom w:val="none" w:sz="0" w:space="0" w:color="auto"/>
                <w:right w:val="none" w:sz="0" w:space="0" w:color="auto"/>
              </w:divBdr>
              <w:divsChild>
                <w:div w:id="1587032614">
                  <w:marLeft w:val="0"/>
                  <w:marRight w:val="0"/>
                  <w:marTop w:val="0"/>
                  <w:marBottom w:val="0"/>
                  <w:divBdr>
                    <w:top w:val="none" w:sz="0" w:space="0" w:color="auto"/>
                    <w:left w:val="none" w:sz="0" w:space="0" w:color="auto"/>
                    <w:bottom w:val="none" w:sz="0" w:space="0" w:color="auto"/>
                    <w:right w:val="none" w:sz="0" w:space="0" w:color="auto"/>
                  </w:divBdr>
                </w:div>
                <w:div w:id="1793085497">
                  <w:marLeft w:val="0"/>
                  <w:marRight w:val="0"/>
                  <w:marTop w:val="0"/>
                  <w:marBottom w:val="0"/>
                  <w:divBdr>
                    <w:top w:val="none" w:sz="0" w:space="0" w:color="auto"/>
                    <w:left w:val="none" w:sz="0" w:space="0" w:color="auto"/>
                    <w:bottom w:val="none" w:sz="0" w:space="0" w:color="auto"/>
                    <w:right w:val="none" w:sz="0" w:space="0" w:color="auto"/>
                  </w:divBdr>
                </w:div>
                <w:div w:id="882524701">
                  <w:marLeft w:val="0"/>
                  <w:marRight w:val="0"/>
                  <w:marTop w:val="0"/>
                  <w:marBottom w:val="0"/>
                  <w:divBdr>
                    <w:top w:val="none" w:sz="0" w:space="0" w:color="auto"/>
                    <w:left w:val="none" w:sz="0" w:space="0" w:color="auto"/>
                    <w:bottom w:val="none" w:sz="0" w:space="0" w:color="auto"/>
                    <w:right w:val="none" w:sz="0" w:space="0" w:color="auto"/>
                  </w:divBdr>
                </w:div>
                <w:div w:id="2087919801">
                  <w:marLeft w:val="0"/>
                  <w:marRight w:val="0"/>
                  <w:marTop w:val="0"/>
                  <w:marBottom w:val="0"/>
                  <w:divBdr>
                    <w:top w:val="none" w:sz="0" w:space="0" w:color="auto"/>
                    <w:left w:val="none" w:sz="0" w:space="0" w:color="auto"/>
                    <w:bottom w:val="none" w:sz="0" w:space="0" w:color="auto"/>
                    <w:right w:val="none" w:sz="0" w:space="0" w:color="auto"/>
                  </w:divBdr>
                </w:div>
                <w:div w:id="2057269990">
                  <w:marLeft w:val="0"/>
                  <w:marRight w:val="0"/>
                  <w:marTop w:val="0"/>
                  <w:marBottom w:val="0"/>
                  <w:divBdr>
                    <w:top w:val="none" w:sz="0" w:space="0" w:color="auto"/>
                    <w:left w:val="none" w:sz="0" w:space="0" w:color="auto"/>
                    <w:bottom w:val="none" w:sz="0" w:space="0" w:color="auto"/>
                    <w:right w:val="none" w:sz="0" w:space="0" w:color="auto"/>
                  </w:divBdr>
                </w:div>
                <w:div w:id="80181917">
                  <w:marLeft w:val="0"/>
                  <w:marRight w:val="0"/>
                  <w:marTop w:val="0"/>
                  <w:marBottom w:val="0"/>
                  <w:divBdr>
                    <w:top w:val="none" w:sz="0" w:space="0" w:color="auto"/>
                    <w:left w:val="none" w:sz="0" w:space="0" w:color="auto"/>
                    <w:bottom w:val="none" w:sz="0" w:space="0" w:color="auto"/>
                    <w:right w:val="none" w:sz="0" w:space="0" w:color="auto"/>
                  </w:divBdr>
                </w:div>
                <w:div w:id="1646159326">
                  <w:marLeft w:val="0"/>
                  <w:marRight w:val="0"/>
                  <w:marTop w:val="0"/>
                  <w:marBottom w:val="0"/>
                  <w:divBdr>
                    <w:top w:val="none" w:sz="0" w:space="0" w:color="auto"/>
                    <w:left w:val="none" w:sz="0" w:space="0" w:color="auto"/>
                    <w:bottom w:val="none" w:sz="0" w:space="0" w:color="auto"/>
                    <w:right w:val="none" w:sz="0" w:space="0" w:color="auto"/>
                  </w:divBdr>
                </w:div>
                <w:div w:id="658583045">
                  <w:marLeft w:val="0"/>
                  <w:marRight w:val="0"/>
                  <w:marTop w:val="0"/>
                  <w:marBottom w:val="0"/>
                  <w:divBdr>
                    <w:top w:val="none" w:sz="0" w:space="0" w:color="auto"/>
                    <w:left w:val="none" w:sz="0" w:space="0" w:color="auto"/>
                    <w:bottom w:val="none" w:sz="0" w:space="0" w:color="auto"/>
                    <w:right w:val="none" w:sz="0" w:space="0" w:color="auto"/>
                  </w:divBdr>
                </w:div>
                <w:div w:id="1268386157">
                  <w:marLeft w:val="0"/>
                  <w:marRight w:val="0"/>
                  <w:marTop w:val="0"/>
                  <w:marBottom w:val="0"/>
                  <w:divBdr>
                    <w:top w:val="none" w:sz="0" w:space="0" w:color="auto"/>
                    <w:left w:val="none" w:sz="0" w:space="0" w:color="auto"/>
                    <w:bottom w:val="none" w:sz="0" w:space="0" w:color="auto"/>
                    <w:right w:val="none" w:sz="0" w:space="0" w:color="auto"/>
                  </w:divBdr>
                </w:div>
                <w:div w:id="1824152338">
                  <w:marLeft w:val="0"/>
                  <w:marRight w:val="0"/>
                  <w:marTop w:val="0"/>
                  <w:marBottom w:val="0"/>
                  <w:divBdr>
                    <w:top w:val="none" w:sz="0" w:space="0" w:color="auto"/>
                    <w:left w:val="none" w:sz="0" w:space="0" w:color="auto"/>
                    <w:bottom w:val="none" w:sz="0" w:space="0" w:color="auto"/>
                    <w:right w:val="none" w:sz="0" w:space="0" w:color="auto"/>
                  </w:divBdr>
                </w:div>
                <w:div w:id="1219316439">
                  <w:marLeft w:val="0"/>
                  <w:marRight w:val="0"/>
                  <w:marTop w:val="0"/>
                  <w:marBottom w:val="0"/>
                  <w:divBdr>
                    <w:top w:val="none" w:sz="0" w:space="0" w:color="auto"/>
                    <w:left w:val="none" w:sz="0" w:space="0" w:color="auto"/>
                    <w:bottom w:val="none" w:sz="0" w:space="0" w:color="auto"/>
                    <w:right w:val="none" w:sz="0" w:space="0" w:color="auto"/>
                  </w:divBdr>
                </w:div>
                <w:div w:id="1361927908">
                  <w:marLeft w:val="0"/>
                  <w:marRight w:val="0"/>
                  <w:marTop w:val="0"/>
                  <w:marBottom w:val="0"/>
                  <w:divBdr>
                    <w:top w:val="none" w:sz="0" w:space="0" w:color="auto"/>
                    <w:left w:val="none" w:sz="0" w:space="0" w:color="auto"/>
                    <w:bottom w:val="none" w:sz="0" w:space="0" w:color="auto"/>
                    <w:right w:val="none" w:sz="0" w:space="0" w:color="auto"/>
                  </w:divBdr>
                </w:div>
                <w:div w:id="1213273079">
                  <w:marLeft w:val="0"/>
                  <w:marRight w:val="0"/>
                  <w:marTop w:val="0"/>
                  <w:marBottom w:val="0"/>
                  <w:divBdr>
                    <w:top w:val="none" w:sz="0" w:space="0" w:color="auto"/>
                    <w:left w:val="none" w:sz="0" w:space="0" w:color="auto"/>
                    <w:bottom w:val="none" w:sz="0" w:space="0" w:color="auto"/>
                    <w:right w:val="none" w:sz="0" w:space="0" w:color="auto"/>
                  </w:divBdr>
                </w:div>
                <w:div w:id="98573681">
                  <w:marLeft w:val="0"/>
                  <w:marRight w:val="0"/>
                  <w:marTop w:val="0"/>
                  <w:marBottom w:val="0"/>
                  <w:divBdr>
                    <w:top w:val="none" w:sz="0" w:space="0" w:color="auto"/>
                    <w:left w:val="none" w:sz="0" w:space="0" w:color="auto"/>
                    <w:bottom w:val="none" w:sz="0" w:space="0" w:color="auto"/>
                    <w:right w:val="none" w:sz="0" w:space="0" w:color="auto"/>
                  </w:divBdr>
                </w:div>
                <w:div w:id="813058829">
                  <w:marLeft w:val="0"/>
                  <w:marRight w:val="0"/>
                  <w:marTop w:val="0"/>
                  <w:marBottom w:val="0"/>
                  <w:divBdr>
                    <w:top w:val="none" w:sz="0" w:space="0" w:color="auto"/>
                    <w:left w:val="none" w:sz="0" w:space="0" w:color="auto"/>
                    <w:bottom w:val="none" w:sz="0" w:space="0" w:color="auto"/>
                    <w:right w:val="none" w:sz="0" w:space="0" w:color="auto"/>
                  </w:divBdr>
                </w:div>
                <w:div w:id="548541843">
                  <w:marLeft w:val="0"/>
                  <w:marRight w:val="0"/>
                  <w:marTop w:val="0"/>
                  <w:marBottom w:val="0"/>
                  <w:divBdr>
                    <w:top w:val="none" w:sz="0" w:space="0" w:color="auto"/>
                    <w:left w:val="none" w:sz="0" w:space="0" w:color="auto"/>
                    <w:bottom w:val="none" w:sz="0" w:space="0" w:color="auto"/>
                    <w:right w:val="none" w:sz="0" w:space="0" w:color="auto"/>
                  </w:divBdr>
                </w:div>
                <w:div w:id="2008828655">
                  <w:marLeft w:val="0"/>
                  <w:marRight w:val="0"/>
                  <w:marTop w:val="0"/>
                  <w:marBottom w:val="0"/>
                  <w:divBdr>
                    <w:top w:val="none" w:sz="0" w:space="0" w:color="auto"/>
                    <w:left w:val="none" w:sz="0" w:space="0" w:color="auto"/>
                    <w:bottom w:val="none" w:sz="0" w:space="0" w:color="auto"/>
                    <w:right w:val="none" w:sz="0" w:space="0" w:color="auto"/>
                  </w:divBdr>
                </w:div>
                <w:div w:id="1268852871">
                  <w:marLeft w:val="0"/>
                  <w:marRight w:val="0"/>
                  <w:marTop w:val="0"/>
                  <w:marBottom w:val="0"/>
                  <w:divBdr>
                    <w:top w:val="none" w:sz="0" w:space="0" w:color="auto"/>
                    <w:left w:val="none" w:sz="0" w:space="0" w:color="auto"/>
                    <w:bottom w:val="none" w:sz="0" w:space="0" w:color="auto"/>
                    <w:right w:val="none" w:sz="0" w:space="0" w:color="auto"/>
                  </w:divBdr>
                </w:div>
                <w:div w:id="1941721618">
                  <w:marLeft w:val="0"/>
                  <w:marRight w:val="0"/>
                  <w:marTop w:val="0"/>
                  <w:marBottom w:val="0"/>
                  <w:divBdr>
                    <w:top w:val="none" w:sz="0" w:space="0" w:color="auto"/>
                    <w:left w:val="none" w:sz="0" w:space="0" w:color="auto"/>
                    <w:bottom w:val="none" w:sz="0" w:space="0" w:color="auto"/>
                    <w:right w:val="none" w:sz="0" w:space="0" w:color="auto"/>
                  </w:divBdr>
                </w:div>
                <w:div w:id="683171655">
                  <w:marLeft w:val="0"/>
                  <w:marRight w:val="0"/>
                  <w:marTop w:val="0"/>
                  <w:marBottom w:val="0"/>
                  <w:divBdr>
                    <w:top w:val="none" w:sz="0" w:space="0" w:color="auto"/>
                    <w:left w:val="none" w:sz="0" w:space="0" w:color="auto"/>
                    <w:bottom w:val="none" w:sz="0" w:space="0" w:color="auto"/>
                    <w:right w:val="none" w:sz="0" w:space="0" w:color="auto"/>
                  </w:divBdr>
                </w:div>
                <w:div w:id="916936035">
                  <w:marLeft w:val="0"/>
                  <w:marRight w:val="0"/>
                  <w:marTop w:val="0"/>
                  <w:marBottom w:val="0"/>
                  <w:divBdr>
                    <w:top w:val="none" w:sz="0" w:space="0" w:color="auto"/>
                    <w:left w:val="none" w:sz="0" w:space="0" w:color="auto"/>
                    <w:bottom w:val="none" w:sz="0" w:space="0" w:color="auto"/>
                    <w:right w:val="none" w:sz="0" w:space="0" w:color="auto"/>
                  </w:divBdr>
                </w:div>
                <w:div w:id="1637561071">
                  <w:marLeft w:val="0"/>
                  <w:marRight w:val="0"/>
                  <w:marTop w:val="0"/>
                  <w:marBottom w:val="0"/>
                  <w:divBdr>
                    <w:top w:val="none" w:sz="0" w:space="0" w:color="auto"/>
                    <w:left w:val="none" w:sz="0" w:space="0" w:color="auto"/>
                    <w:bottom w:val="none" w:sz="0" w:space="0" w:color="auto"/>
                    <w:right w:val="none" w:sz="0" w:space="0" w:color="auto"/>
                  </w:divBdr>
                </w:div>
                <w:div w:id="13308450">
                  <w:marLeft w:val="0"/>
                  <w:marRight w:val="0"/>
                  <w:marTop w:val="0"/>
                  <w:marBottom w:val="0"/>
                  <w:divBdr>
                    <w:top w:val="none" w:sz="0" w:space="0" w:color="auto"/>
                    <w:left w:val="none" w:sz="0" w:space="0" w:color="auto"/>
                    <w:bottom w:val="none" w:sz="0" w:space="0" w:color="auto"/>
                    <w:right w:val="none" w:sz="0" w:space="0" w:color="auto"/>
                  </w:divBdr>
                </w:div>
                <w:div w:id="2071223470">
                  <w:marLeft w:val="0"/>
                  <w:marRight w:val="0"/>
                  <w:marTop w:val="0"/>
                  <w:marBottom w:val="0"/>
                  <w:divBdr>
                    <w:top w:val="none" w:sz="0" w:space="0" w:color="auto"/>
                    <w:left w:val="none" w:sz="0" w:space="0" w:color="auto"/>
                    <w:bottom w:val="none" w:sz="0" w:space="0" w:color="auto"/>
                    <w:right w:val="none" w:sz="0" w:space="0" w:color="auto"/>
                  </w:divBdr>
                </w:div>
                <w:div w:id="906913388">
                  <w:marLeft w:val="0"/>
                  <w:marRight w:val="0"/>
                  <w:marTop w:val="0"/>
                  <w:marBottom w:val="0"/>
                  <w:divBdr>
                    <w:top w:val="none" w:sz="0" w:space="0" w:color="auto"/>
                    <w:left w:val="none" w:sz="0" w:space="0" w:color="auto"/>
                    <w:bottom w:val="none" w:sz="0" w:space="0" w:color="auto"/>
                    <w:right w:val="none" w:sz="0" w:space="0" w:color="auto"/>
                  </w:divBdr>
                </w:div>
                <w:div w:id="610010952">
                  <w:marLeft w:val="0"/>
                  <w:marRight w:val="0"/>
                  <w:marTop w:val="0"/>
                  <w:marBottom w:val="0"/>
                  <w:divBdr>
                    <w:top w:val="none" w:sz="0" w:space="0" w:color="auto"/>
                    <w:left w:val="none" w:sz="0" w:space="0" w:color="auto"/>
                    <w:bottom w:val="none" w:sz="0" w:space="0" w:color="auto"/>
                    <w:right w:val="none" w:sz="0" w:space="0" w:color="auto"/>
                  </w:divBdr>
                </w:div>
                <w:div w:id="1841266396">
                  <w:marLeft w:val="0"/>
                  <w:marRight w:val="0"/>
                  <w:marTop w:val="0"/>
                  <w:marBottom w:val="0"/>
                  <w:divBdr>
                    <w:top w:val="none" w:sz="0" w:space="0" w:color="auto"/>
                    <w:left w:val="none" w:sz="0" w:space="0" w:color="auto"/>
                    <w:bottom w:val="none" w:sz="0" w:space="0" w:color="auto"/>
                    <w:right w:val="none" w:sz="0" w:space="0" w:color="auto"/>
                  </w:divBdr>
                </w:div>
                <w:div w:id="391470813">
                  <w:marLeft w:val="0"/>
                  <w:marRight w:val="0"/>
                  <w:marTop w:val="0"/>
                  <w:marBottom w:val="0"/>
                  <w:divBdr>
                    <w:top w:val="none" w:sz="0" w:space="0" w:color="auto"/>
                    <w:left w:val="none" w:sz="0" w:space="0" w:color="auto"/>
                    <w:bottom w:val="none" w:sz="0" w:space="0" w:color="auto"/>
                    <w:right w:val="none" w:sz="0" w:space="0" w:color="auto"/>
                  </w:divBdr>
                </w:div>
                <w:div w:id="955984857">
                  <w:marLeft w:val="0"/>
                  <w:marRight w:val="0"/>
                  <w:marTop w:val="0"/>
                  <w:marBottom w:val="0"/>
                  <w:divBdr>
                    <w:top w:val="none" w:sz="0" w:space="0" w:color="auto"/>
                    <w:left w:val="none" w:sz="0" w:space="0" w:color="auto"/>
                    <w:bottom w:val="none" w:sz="0" w:space="0" w:color="auto"/>
                    <w:right w:val="none" w:sz="0" w:space="0" w:color="auto"/>
                  </w:divBdr>
                </w:div>
                <w:div w:id="1418136095">
                  <w:marLeft w:val="0"/>
                  <w:marRight w:val="0"/>
                  <w:marTop w:val="0"/>
                  <w:marBottom w:val="0"/>
                  <w:divBdr>
                    <w:top w:val="none" w:sz="0" w:space="0" w:color="auto"/>
                    <w:left w:val="none" w:sz="0" w:space="0" w:color="auto"/>
                    <w:bottom w:val="none" w:sz="0" w:space="0" w:color="auto"/>
                    <w:right w:val="none" w:sz="0" w:space="0" w:color="auto"/>
                  </w:divBdr>
                </w:div>
                <w:div w:id="1366979742">
                  <w:marLeft w:val="0"/>
                  <w:marRight w:val="0"/>
                  <w:marTop w:val="0"/>
                  <w:marBottom w:val="0"/>
                  <w:divBdr>
                    <w:top w:val="none" w:sz="0" w:space="0" w:color="auto"/>
                    <w:left w:val="none" w:sz="0" w:space="0" w:color="auto"/>
                    <w:bottom w:val="none" w:sz="0" w:space="0" w:color="auto"/>
                    <w:right w:val="none" w:sz="0" w:space="0" w:color="auto"/>
                  </w:divBdr>
                </w:div>
                <w:div w:id="1479031679">
                  <w:marLeft w:val="0"/>
                  <w:marRight w:val="0"/>
                  <w:marTop w:val="0"/>
                  <w:marBottom w:val="0"/>
                  <w:divBdr>
                    <w:top w:val="none" w:sz="0" w:space="0" w:color="auto"/>
                    <w:left w:val="none" w:sz="0" w:space="0" w:color="auto"/>
                    <w:bottom w:val="none" w:sz="0" w:space="0" w:color="auto"/>
                    <w:right w:val="none" w:sz="0" w:space="0" w:color="auto"/>
                  </w:divBdr>
                </w:div>
                <w:div w:id="1497108693">
                  <w:marLeft w:val="0"/>
                  <w:marRight w:val="0"/>
                  <w:marTop w:val="0"/>
                  <w:marBottom w:val="0"/>
                  <w:divBdr>
                    <w:top w:val="none" w:sz="0" w:space="0" w:color="auto"/>
                    <w:left w:val="none" w:sz="0" w:space="0" w:color="auto"/>
                    <w:bottom w:val="none" w:sz="0" w:space="0" w:color="auto"/>
                    <w:right w:val="none" w:sz="0" w:space="0" w:color="auto"/>
                  </w:divBdr>
                </w:div>
                <w:div w:id="904948174">
                  <w:marLeft w:val="0"/>
                  <w:marRight w:val="0"/>
                  <w:marTop w:val="0"/>
                  <w:marBottom w:val="0"/>
                  <w:divBdr>
                    <w:top w:val="none" w:sz="0" w:space="0" w:color="auto"/>
                    <w:left w:val="none" w:sz="0" w:space="0" w:color="auto"/>
                    <w:bottom w:val="none" w:sz="0" w:space="0" w:color="auto"/>
                    <w:right w:val="none" w:sz="0" w:space="0" w:color="auto"/>
                  </w:divBdr>
                </w:div>
                <w:div w:id="1703629429">
                  <w:marLeft w:val="0"/>
                  <w:marRight w:val="0"/>
                  <w:marTop w:val="0"/>
                  <w:marBottom w:val="0"/>
                  <w:divBdr>
                    <w:top w:val="none" w:sz="0" w:space="0" w:color="auto"/>
                    <w:left w:val="none" w:sz="0" w:space="0" w:color="auto"/>
                    <w:bottom w:val="none" w:sz="0" w:space="0" w:color="auto"/>
                    <w:right w:val="none" w:sz="0" w:space="0" w:color="auto"/>
                  </w:divBdr>
                </w:div>
                <w:div w:id="1092698572">
                  <w:marLeft w:val="0"/>
                  <w:marRight w:val="0"/>
                  <w:marTop w:val="0"/>
                  <w:marBottom w:val="0"/>
                  <w:divBdr>
                    <w:top w:val="none" w:sz="0" w:space="0" w:color="auto"/>
                    <w:left w:val="none" w:sz="0" w:space="0" w:color="auto"/>
                    <w:bottom w:val="none" w:sz="0" w:space="0" w:color="auto"/>
                    <w:right w:val="none" w:sz="0" w:space="0" w:color="auto"/>
                  </w:divBdr>
                </w:div>
                <w:div w:id="40835423">
                  <w:marLeft w:val="0"/>
                  <w:marRight w:val="0"/>
                  <w:marTop w:val="0"/>
                  <w:marBottom w:val="0"/>
                  <w:divBdr>
                    <w:top w:val="none" w:sz="0" w:space="0" w:color="auto"/>
                    <w:left w:val="none" w:sz="0" w:space="0" w:color="auto"/>
                    <w:bottom w:val="none" w:sz="0" w:space="0" w:color="auto"/>
                    <w:right w:val="none" w:sz="0" w:space="0" w:color="auto"/>
                  </w:divBdr>
                </w:div>
                <w:div w:id="850025545">
                  <w:marLeft w:val="0"/>
                  <w:marRight w:val="0"/>
                  <w:marTop w:val="0"/>
                  <w:marBottom w:val="0"/>
                  <w:divBdr>
                    <w:top w:val="none" w:sz="0" w:space="0" w:color="auto"/>
                    <w:left w:val="none" w:sz="0" w:space="0" w:color="auto"/>
                    <w:bottom w:val="none" w:sz="0" w:space="0" w:color="auto"/>
                    <w:right w:val="none" w:sz="0" w:space="0" w:color="auto"/>
                  </w:divBdr>
                </w:div>
                <w:div w:id="539247544">
                  <w:marLeft w:val="0"/>
                  <w:marRight w:val="0"/>
                  <w:marTop w:val="0"/>
                  <w:marBottom w:val="0"/>
                  <w:divBdr>
                    <w:top w:val="none" w:sz="0" w:space="0" w:color="auto"/>
                    <w:left w:val="none" w:sz="0" w:space="0" w:color="auto"/>
                    <w:bottom w:val="none" w:sz="0" w:space="0" w:color="auto"/>
                    <w:right w:val="none" w:sz="0" w:space="0" w:color="auto"/>
                  </w:divBdr>
                </w:div>
                <w:div w:id="503325828">
                  <w:marLeft w:val="0"/>
                  <w:marRight w:val="0"/>
                  <w:marTop w:val="0"/>
                  <w:marBottom w:val="0"/>
                  <w:divBdr>
                    <w:top w:val="none" w:sz="0" w:space="0" w:color="auto"/>
                    <w:left w:val="none" w:sz="0" w:space="0" w:color="auto"/>
                    <w:bottom w:val="none" w:sz="0" w:space="0" w:color="auto"/>
                    <w:right w:val="none" w:sz="0" w:space="0" w:color="auto"/>
                  </w:divBdr>
                </w:div>
                <w:div w:id="1345471750">
                  <w:marLeft w:val="0"/>
                  <w:marRight w:val="0"/>
                  <w:marTop w:val="0"/>
                  <w:marBottom w:val="0"/>
                  <w:divBdr>
                    <w:top w:val="none" w:sz="0" w:space="0" w:color="auto"/>
                    <w:left w:val="none" w:sz="0" w:space="0" w:color="auto"/>
                    <w:bottom w:val="none" w:sz="0" w:space="0" w:color="auto"/>
                    <w:right w:val="none" w:sz="0" w:space="0" w:color="auto"/>
                  </w:divBdr>
                </w:div>
                <w:div w:id="1092119202">
                  <w:marLeft w:val="0"/>
                  <w:marRight w:val="0"/>
                  <w:marTop w:val="0"/>
                  <w:marBottom w:val="0"/>
                  <w:divBdr>
                    <w:top w:val="none" w:sz="0" w:space="0" w:color="auto"/>
                    <w:left w:val="none" w:sz="0" w:space="0" w:color="auto"/>
                    <w:bottom w:val="none" w:sz="0" w:space="0" w:color="auto"/>
                    <w:right w:val="none" w:sz="0" w:space="0" w:color="auto"/>
                  </w:divBdr>
                </w:div>
                <w:div w:id="851073280">
                  <w:marLeft w:val="0"/>
                  <w:marRight w:val="0"/>
                  <w:marTop w:val="0"/>
                  <w:marBottom w:val="0"/>
                  <w:divBdr>
                    <w:top w:val="none" w:sz="0" w:space="0" w:color="auto"/>
                    <w:left w:val="none" w:sz="0" w:space="0" w:color="auto"/>
                    <w:bottom w:val="none" w:sz="0" w:space="0" w:color="auto"/>
                    <w:right w:val="none" w:sz="0" w:space="0" w:color="auto"/>
                  </w:divBdr>
                </w:div>
                <w:div w:id="1399592205">
                  <w:marLeft w:val="0"/>
                  <w:marRight w:val="0"/>
                  <w:marTop w:val="0"/>
                  <w:marBottom w:val="0"/>
                  <w:divBdr>
                    <w:top w:val="none" w:sz="0" w:space="0" w:color="auto"/>
                    <w:left w:val="none" w:sz="0" w:space="0" w:color="auto"/>
                    <w:bottom w:val="none" w:sz="0" w:space="0" w:color="auto"/>
                    <w:right w:val="none" w:sz="0" w:space="0" w:color="auto"/>
                  </w:divBdr>
                </w:div>
                <w:div w:id="166332410">
                  <w:marLeft w:val="0"/>
                  <w:marRight w:val="0"/>
                  <w:marTop w:val="0"/>
                  <w:marBottom w:val="0"/>
                  <w:divBdr>
                    <w:top w:val="none" w:sz="0" w:space="0" w:color="auto"/>
                    <w:left w:val="none" w:sz="0" w:space="0" w:color="auto"/>
                    <w:bottom w:val="none" w:sz="0" w:space="0" w:color="auto"/>
                    <w:right w:val="none" w:sz="0" w:space="0" w:color="auto"/>
                  </w:divBdr>
                </w:div>
                <w:div w:id="333264469">
                  <w:marLeft w:val="0"/>
                  <w:marRight w:val="0"/>
                  <w:marTop w:val="0"/>
                  <w:marBottom w:val="0"/>
                  <w:divBdr>
                    <w:top w:val="none" w:sz="0" w:space="0" w:color="auto"/>
                    <w:left w:val="none" w:sz="0" w:space="0" w:color="auto"/>
                    <w:bottom w:val="none" w:sz="0" w:space="0" w:color="auto"/>
                    <w:right w:val="none" w:sz="0" w:space="0" w:color="auto"/>
                  </w:divBdr>
                </w:div>
                <w:div w:id="637877123">
                  <w:marLeft w:val="0"/>
                  <w:marRight w:val="0"/>
                  <w:marTop w:val="0"/>
                  <w:marBottom w:val="0"/>
                  <w:divBdr>
                    <w:top w:val="none" w:sz="0" w:space="0" w:color="auto"/>
                    <w:left w:val="none" w:sz="0" w:space="0" w:color="auto"/>
                    <w:bottom w:val="none" w:sz="0" w:space="0" w:color="auto"/>
                    <w:right w:val="none" w:sz="0" w:space="0" w:color="auto"/>
                  </w:divBdr>
                </w:div>
                <w:div w:id="469980626">
                  <w:marLeft w:val="0"/>
                  <w:marRight w:val="0"/>
                  <w:marTop w:val="0"/>
                  <w:marBottom w:val="0"/>
                  <w:divBdr>
                    <w:top w:val="none" w:sz="0" w:space="0" w:color="auto"/>
                    <w:left w:val="none" w:sz="0" w:space="0" w:color="auto"/>
                    <w:bottom w:val="none" w:sz="0" w:space="0" w:color="auto"/>
                    <w:right w:val="none" w:sz="0" w:space="0" w:color="auto"/>
                  </w:divBdr>
                </w:div>
                <w:div w:id="892423362">
                  <w:marLeft w:val="0"/>
                  <w:marRight w:val="0"/>
                  <w:marTop w:val="0"/>
                  <w:marBottom w:val="0"/>
                  <w:divBdr>
                    <w:top w:val="none" w:sz="0" w:space="0" w:color="auto"/>
                    <w:left w:val="none" w:sz="0" w:space="0" w:color="auto"/>
                    <w:bottom w:val="none" w:sz="0" w:space="0" w:color="auto"/>
                    <w:right w:val="none" w:sz="0" w:space="0" w:color="auto"/>
                  </w:divBdr>
                </w:div>
                <w:div w:id="540750227">
                  <w:marLeft w:val="0"/>
                  <w:marRight w:val="0"/>
                  <w:marTop w:val="0"/>
                  <w:marBottom w:val="0"/>
                  <w:divBdr>
                    <w:top w:val="none" w:sz="0" w:space="0" w:color="auto"/>
                    <w:left w:val="none" w:sz="0" w:space="0" w:color="auto"/>
                    <w:bottom w:val="none" w:sz="0" w:space="0" w:color="auto"/>
                    <w:right w:val="none" w:sz="0" w:space="0" w:color="auto"/>
                  </w:divBdr>
                </w:div>
                <w:div w:id="992028252">
                  <w:marLeft w:val="0"/>
                  <w:marRight w:val="0"/>
                  <w:marTop w:val="0"/>
                  <w:marBottom w:val="0"/>
                  <w:divBdr>
                    <w:top w:val="none" w:sz="0" w:space="0" w:color="auto"/>
                    <w:left w:val="none" w:sz="0" w:space="0" w:color="auto"/>
                    <w:bottom w:val="none" w:sz="0" w:space="0" w:color="auto"/>
                    <w:right w:val="none" w:sz="0" w:space="0" w:color="auto"/>
                  </w:divBdr>
                </w:div>
                <w:div w:id="1535732008">
                  <w:marLeft w:val="0"/>
                  <w:marRight w:val="0"/>
                  <w:marTop w:val="0"/>
                  <w:marBottom w:val="0"/>
                  <w:divBdr>
                    <w:top w:val="none" w:sz="0" w:space="0" w:color="auto"/>
                    <w:left w:val="none" w:sz="0" w:space="0" w:color="auto"/>
                    <w:bottom w:val="none" w:sz="0" w:space="0" w:color="auto"/>
                    <w:right w:val="none" w:sz="0" w:space="0" w:color="auto"/>
                  </w:divBdr>
                </w:div>
                <w:div w:id="543640842">
                  <w:marLeft w:val="0"/>
                  <w:marRight w:val="0"/>
                  <w:marTop w:val="0"/>
                  <w:marBottom w:val="0"/>
                  <w:divBdr>
                    <w:top w:val="none" w:sz="0" w:space="0" w:color="auto"/>
                    <w:left w:val="none" w:sz="0" w:space="0" w:color="auto"/>
                    <w:bottom w:val="none" w:sz="0" w:space="0" w:color="auto"/>
                    <w:right w:val="none" w:sz="0" w:space="0" w:color="auto"/>
                  </w:divBdr>
                </w:div>
                <w:div w:id="1799571746">
                  <w:marLeft w:val="0"/>
                  <w:marRight w:val="0"/>
                  <w:marTop w:val="0"/>
                  <w:marBottom w:val="0"/>
                  <w:divBdr>
                    <w:top w:val="none" w:sz="0" w:space="0" w:color="auto"/>
                    <w:left w:val="none" w:sz="0" w:space="0" w:color="auto"/>
                    <w:bottom w:val="none" w:sz="0" w:space="0" w:color="auto"/>
                    <w:right w:val="none" w:sz="0" w:space="0" w:color="auto"/>
                  </w:divBdr>
                </w:div>
                <w:div w:id="1038042663">
                  <w:marLeft w:val="0"/>
                  <w:marRight w:val="0"/>
                  <w:marTop w:val="0"/>
                  <w:marBottom w:val="0"/>
                  <w:divBdr>
                    <w:top w:val="none" w:sz="0" w:space="0" w:color="auto"/>
                    <w:left w:val="none" w:sz="0" w:space="0" w:color="auto"/>
                    <w:bottom w:val="none" w:sz="0" w:space="0" w:color="auto"/>
                    <w:right w:val="none" w:sz="0" w:space="0" w:color="auto"/>
                  </w:divBdr>
                </w:div>
                <w:div w:id="126431540">
                  <w:marLeft w:val="0"/>
                  <w:marRight w:val="0"/>
                  <w:marTop w:val="0"/>
                  <w:marBottom w:val="0"/>
                  <w:divBdr>
                    <w:top w:val="none" w:sz="0" w:space="0" w:color="auto"/>
                    <w:left w:val="none" w:sz="0" w:space="0" w:color="auto"/>
                    <w:bottom w:val="none" w:sz="0" w:space="0" w:color="auto"/>
                    <w:right w:val="none" w:sz="0" w:space="0" w:color="auto"/>
                  </w:divBdr>
                </w:div>
                <w:div w:id="487327674">
                  <w:marLeft w:val="0"/>
                  <w:marRight w:val="0"/>
                  <w:marTop w:val="0"/>
                  <w:marBottom w:val="0"/>
                  <w:divBdr>
                    <w:top w:val="none" w:sz="0" w:space="0" w:color="auto"/>
                    <w:left w:val="none" w:sz="0" w:space="0" w:color="auto"/>
                    <w:bottom w:val="none" w:sz="0" w:space="0" w:color="auto"/>
                    <w:right w:val="none" w:sz="0" w:space="0" w:color="auto"/>
                  </w:divBdr>
                </w:div>
                <w:div w:id="687635046">
                  <w:marLeft w:val="0"/>
                  <w:marRight w:val="0"/>
                  <w:marTop w:val="0"/>
                  <w:marBottom w:val="0"/>
                  <w:divBdr>
                    <w:top w:val="none" w:sz="0" w:space="0" w:color="auto"/>
                    <w:left w:val="none" w:sz="0" w:space="0" w:color="auto"/>
                    <w:bottom w:val="none" w:sz="0" w:space="0" w:color="auto"/>
                    <w:right w:val="none" w:sz="0" w:space="0" w:color="auto"/>
                  </w:divBdr>
                </w:div>
                <w:div w:id="851334091">
                  <w:marLeft w:val="0"/>
                  <w:marRight w:val="0"/>
                  <w:marTop w:val="0"/>
                  <w:marBottom w:val="0"/>
                  <w:divBdr>
                    <w:top w:val="none" w:sz="0" w:space="0" w:color="auto"/>
                    <w:left w:val="none" w:sz="0" w:space="0" w:color="auto"/>
                    <w:bottom w:val="none" w:sz="0" w:space="0" w:color="auto"/>
                    <w:right w:val="none" w:sz="0" w:space="0" w:color="auto"/>
                  </w:divBdr>
                </w:div>
                <w:div w:id="291446257">
                  <w:marLeft w:val="0"/>
                  <w:marRight w:val="0"/>
                  <w:marTop w:val="0"/>
                  <w:marBottom w:val="0"/>
                  <w:divBdr>
                    <w:top w:val="none" w:sz="0" w:space="0" w:color="auto"/>
                    <w:left w:val="none" w:sz="0" w:space="0" w:color="auto"/>
                    <w:bottom w:val="none" w:sz="0" w:space="0" w:color="auto"/>
                    <w:right w:val="none" w:sz="0" w:space="0" w:color="auto"/>
                  </w:divBdr>
                </w:div>
                <w:div w:id="1752772295">
                  <w:marLeft w:val="0"/>
                  <w:marRight w:val="0"/>
                  <w:marTop w:val="0"/>
                  <w:marBottom w:val="0"/>
                  <w:divBdr>
                    <w:top w:val="none" w:sz="0" w:space="0" w:color="auto"/>
                    <w:left w:val="none" w:sz="0" w:space="0" w:color="auto"/>
                    <w:bottom w:val="none" w:sz="0" w:space="0" w:color="auto"/>
                    <w:right w:val="none" w:sz="0" w:space="0" w:color="auto"/>
                  </w:divBdr>
                </w:div>
                <w:div w:id="1703481224">
                  <w:marLeft w:val="0"/>
                  <w:marRight w:val="0"/>
                  <w:marTop w:val="0"/>
                  <w:marBottom w:val="0"/>
                  <w:divBdr>
                    <w:top w:val="none" w:sz="0" w:space="0" w:color="auto"/>
                    <w:left w:val="none" w:sz="0" w:space="0" w:color="auto"/>
                    <w:bottom w:val="none" w:sz="0" w:space="0" w:color="auto"/>
                    <w:right w:val="none" w:sz="0" w:space="0" w:color="auto"/>
                  </w:divBdr>
                </w:div>
                <w:div w:id="254902247">
                  <w:marLeft w:val="0"/>
                  <w:marRight w:val="0"/>
                  <w:marTop w:val="0"/>
                  <w:marBottom w:val="0"/>
                  <w:divBdr>
                    <w:top w:val="none" w:sz="0" w:space="0" w:color="auto"/>
                    <w:left w:val="none" w:sz="0" w:space="0" w:color="auto"/>
                    <w:bottom w:val="none" w:sz="0" w:space="0" w:color="auto"/>
                    <w:right w:val="none" w:sz="0" w:space="0" w:color="auto"/>
                  </w:divBdr>
                </w:div>
                <w:div w:id="941498941">
                  <w:marLeft w:val="0"/>
                  <w:marRight w:val="0"/>
                  <w:marTop w:val="0"/>
                  <w:marBottom w:val="0"/>
                  <w:divBdr>
                    <w:top w:val="none" w:sz="0" w:space="0" w:color="auto"/>
                    <w:left w:val="none" w:sz="0" w:space="0" w:color="auto"/>
                    <w:bottom w:val="none" w:sz="0" w:space="0" w:color="auto"/>
                    <w:right w:val="none" w:sz="0" w:space="0" w:color="auto"/>
                  </w:divBdr>
                </w:div>
                <w:div w:id="1769079355">
                  <w:marLeft w:val="0"/>
                  <w:marRight w:val="0"/>
                  <w:marTop w:val="0"/>
                  <w:marBottom w:val="0"/>
                  <w:divBdr>
                    <w:top w:val="none" w:sz="0" w:space="0" w:color="auto"/>
                    <w:left w:val="none" w:sz="0" w:space="0" w:color="auto"/>
                    <w:bottom w:val="none" w:sz="0" w:space="0" w:color="auto"/>
                    <w:right w:val="none" w:sz="0" w:space="0" w:color="auto"/>
                  </w:divBdr>
                </w:div>
                <w:div w:id="1240287716">
                  <w:marLeft w:val="0"/>
                  <w:marRight w:val="0"/>
                  <w:marTop w:val="0"/>
                  <w:marBottom w:val="0"/>
                  <w:divBdr>
                    <w:top w:val="none" w:sz="0" w:space="0" w:color="auto"/>
                    <w:left w:val="none" w:sz="0" w:space="0" w:color="auto"/>
                    <w:bottom w:val="none" w:sz="0" w:space="0" w:color="auto"/>
                    <w:right w:val="none" w:sz="0" w:space="0" w:color="auto"/>
                  </w:divBdr>
                </w:div>
              </w:divsChild>
            </w:div>
            <w:div w:id="737244034">
              <w:marLeft w:val="0"/>
              <w:marRight w:val="0"/>
              <w:marTop w:val="0"/>
              <w:marBottom w:val="0"/>
              <w:divBdr>
                <w:top w:val="none" w:sz="0" w:space="0" w:color="auto"/>
                <w:left w:val="none" w:sz="0" w:space="0" w:color="auto"/>
                <w:bottom w:val="none" w:sz="0" w:space="0" w:color="auto"/>
                <w:right w:val="none" w:sz="0" w:space="0" w:color="auto"/>
              </w:divBdr>
              <w:divsChild>
                <w:div w:id="142697941">
                  <w:marLeft w:val="0"/>
                  <w:marRight w:val="0"/>
                  <w:marTop w:val="0"/>
                  <w:marBottom w:val="0"/>
                  <w:divBdr>
                    <w:top w:val="none" w:sz="0" w:space="0" w:color="auto"/>
                    <w:left w:val="none" w:sz="0" w:space="0" w:color="auto"/>
                    <w:bottom w:val="none" w:sz="0" w:space="0" w:color="auto"/>
                    <w:right w:val="none" w:sz="0" w:space="0" w:color="auto"/>
                  </w:divBdr>
                  <w:divsChild>
                    <w:div w:id="365911375">
                      <w:marLeft w:val="0"/>
                      <w:marRight w:val="0"/>
                      <w:marTop w:val="0"/>
                      <w:marBottom w:val="0"/>
                      <w:divBdr>
                        <w:top w:val="none" w:sz="0" w:space="0" w:color="auto"/>
                        <w:left w:val="none" w:sz="0" w:space="0" w:color="auto"/>
                        <w:bottom w:val="none" w:sz="0" w:space="0" w:color="auto"/>
                        <w:right w:val="none" w:sz="0" w:space="0" w:color="auto"/>
                      </w:divBdr>
                    </w:div>
                    <w:div w:id="1881701265">
                      <w:marLeft w:val="0"/>
                      <w:marRight w:val="0"/>
                      <w:marTop w:val="0"/>
                      <w:marBottom w:val="0"/>
                      <w:divBdr>
                        <w:top w:val="none" w:sz="0" w:space="0" w:color="auto"/>
                        <w:left w:val="none" w:sz="0" w:space="0" w:color="auto"/>
                        <w:bottom w:val="none" w:sz="0" w:space="0" w:color="auto"/>
                        <w:right w:val="none" w:sz="0" w:space="0" w:color="auto"/>
                      </w:divBdr>
                      <w:divsChild>
                        <w:div w:id="1078748803">
                          <w:marLeft w:val="0"/>
                          <w:marRight w:val="0"/>
                          <w:marTop w:val="0"/>
                          <w:marBottom w:val="0"/>
                          <w:divBdr>
                            <w:top w:val="none" w:sz="0" w:space="0" w:color="auto"/>
                            <w:left w:val="none" w:sz="0" w:space="0" w:color="auto"/>
                            <w:bottom w:val="none" w:sz="0" w:space="0" w:color="auto"/>
                            <w:right w:val="none" w:sz="0" w:space="0" w:color="auto"/>
                          </w:divBdr>
                        </w:div>
                        <w:div w:id="1272515860">
                          <w:marLeft w:val="0"/>
                          <w:marRight w:val="0"/>
                          <w:marTop w:val="0"/>
                          <w:marBottom w:val="0"/>
                          <w:divBdr>
                            <w:top w:val="none" w:sz="0" w:space="0" w:color="auto"/>
                            <w:left w:val="none" w:sz="0" w:space="0" w:color="auto"/>
                            <w:bottom w:val="none" w:sz="0" w:space="0" w:color="auto"/>
                            <w:right w:val="none" w:sz="0" w:space="0" w:color="auto"/>
                          </w:divBdr>
                        </w:div>
                        <w:div w:id="1325402639">
                          <w:marLeft w:val="0"/>
                          <w:marRight w:val="0"/>
                          <w:marTop w:val="0"/>
                          <w:marBottom w:val="0"/>
                          <w:divBdr>
                            <w:top w:val="none" w:sz="0" w:space="0" w:color="auto"/>
                            <w:left w:val="none" w:sz="0" w:space="0" w:color="auto"/>
                            <w:bottom w:val="none" w:sz="0" w:space="0" w:color="auto"/>
                            <w:right w:val="none" w:sz="0" w:space="0" w:color="auto"/>
                          </w:divBdr>
                        </w:div>
                      </w:divsChild>
                    </w:div>
                    <w:div w:id="1550610824">
                      <w:marLeft w:val="0"/>
                      <w:marRight w:val="0"/>
                      <w:marTop w:val="0"/>
                      <w:marBottom w:val="0"/>
                      <w:divBdr>
                        <w:top w:val="none" w:sz="0" w:space="0" w:color="auto"/>
                        <w:left w:val="none" w:sz="0" w:space="0" w:color="auto"/>
                        <w:bottom w:val="none" w:sz="0" w:space="0" w:color="auto"/>
                        <w:right w:val="none" w:sz="0" w:space="0" w:color="auto"/>
                      </w:divBdr>
                      <w:divsChild>
                        <w:div w:id="406997789">
                          <w:marLeft w:val="0"/>
                          <w:marRight w:val="0"/>
                          <w:marTop w:val="0"/>
                          <w:marBottom w:val="0"/>
                          <w:divBdr>
                            <w:top w:val="none" w:sz="0" w:space="0" w:color="auto"/>
                            <w:left w:val="none" w:sz="0" w:space="0" w:color="auto"/>
                            <w:bottom w:val="none" w:sz="0" w:space="0" w:color="auto"/>
                            <w:right w:val="none" w:sz="0" w:space="0" w:color="auto"/>
                          </w:divBdr>
                        </w:div>
                        <w:div w:id="998538714">
                          <w:marLeft w:val="0"/>
                          <w:marRight w:val="0"/>
                          <w:marTop w:val="0"/>
                          <w:marBottom w:val="0"/>
                          <w:divBdr>
                            <w:top w:val="none" w:sz="0" w:space="0" w:color="auto"/>
                            <w:left w:val="none" w:sz="0" w:space="0" w:color="auto"/>
                            <w:bottom w:val="none" w:sz="0" w:space="0" w:color="auto"/>
                            <w:right w:val="none" w:sz="0" w:space="0" w:color="auto"/>
                          </w:divBdr>
                        </w:div>
                        <w:div w:id="1933589525">
                          <w:marLeft w:val="0"/>
                          <w:marRight w:val="0"/>
                          <w:marTop w:val="0"/>
                          <w:marBottom w:val="0"/>
                          <w:divBdr>
                            <w:top w:val="none" w:sz="0" w:space="0" w:color="auto"/>
                            <w:left w:val="none" w:sz="0" w:space="0" w:color="auto"/>
                            <w:bottom w:val="none" w:sz="0" w:space="0" w:color="auto"/>
                            <w:right w:val="none" w:sz="0" w:space="0" w:color="auto"/>
                          </w:divBdr>
                        </w:div>
                        <w:div w:id="340277440">
                          <w:marLeft w:val="0"/>
                          <w:marRight w:val="0"/>
                          <w:marTop w:val="0"/>
                          <w:marBottom w:val="0"/>
                          <w:divBdr>
                            <w:top w:val="none" w:sz="0" w:space="0" w:color="auto"/>
                            <w:left w:val="none" w:sz="0" w:space="0" w:color="auto"/>
                            <w:bottom w:val="none" w:sz="0" w:space="0" w:color="auto"/>
                            <w:right w:val="none" w:sz="0" w:space="0" w:color="auto"/>
                          </w:divBdr>
                        </w:div>
                        <w:div w:id="1106921778">
                          <w:marLeft w:val="0"/>
                          <w:marRight w:val="0"/>
                          <w:marTop w:val="0"/>
                          <w:marBottom w:val="0"/>
                          <w:divBdr>
                            <w:top w:val="none" w:sz="0" w:space="0" w:color="auto"/>
                            <w:left w:val="none" w:sz="0" w:space="0" w:color="auto"/>
                            <w:bottom w:val="none" w:sz="0" w:space="0" w:color="auto"/>
                            <w:right w:val="none" w:sz="0" w:space="0" w:color="auto"/>
                          </w:divBdr>
                        </w:div>
                        <w:div w:id="326788787">
                          <w:marLeft w:val="0"/>
                          <w:marRight w:val="0"/>
                          <w:marTop w:val="0"/>
                          <w:marBottom w:val="0"/>
                          <w:divBdr>
                            <w:top w:val="none" w:sz="0" w:space="0" w:color="auto"/>
                            <w:left w:val="none" w:sz="0" w:space="0" w:color="auto"/>
                            <w:bottom w:val="none" w:sz="0" w:space="0" w:color="auto"/>
                            <w:right w:val="none" w:sz="0" w:space="0" w:color="auto"/>
                          </w:divBdr>
                        </w:div>
                        <w:div w:id="159085522">
                          <w:marLeft w:val="0"/>
                          <w:marRight w:val="0"/>
                          <w:marTop w:val="0"/>
                          <w:marBottom w:val="0"/>
                          <w:divBdr>
                            <w:top w:val="none" w:sz="0" w:space="0" w:color="auto"/>
                            <w:left w:val="none" w:sz="0" w:space="0" w:color="auto"/>
                            <w:bottom w:val="none" w:sz="0" w:space="0" w:color="auto"/>
                            <w:right w:val="none" w:sz="0" w:space="0" w:color="auto"/>
                          </w:divBdr>
                        </w:div>
                      </w:divsChild>
                    </w:div>
                    <w:div w:id="962538909">
                      <w:marLeft w:val="0"/>
                      <w:marRight w:val="0"/>
                      <w:marTop w:val="0"/>
                      <w:marBottom w:val="0"/>
                      <w:divBdr>
                        <w:top w:val="none" w:sz="0" w:space="0" w:color="auto"/>
                        <w:left w:val="none" w:sz="0" w:space="0" w:color="auto"/>
                        <w:bottom w:val="none" w:sz="0" w:space="0" w:color="auto"/>
                        <w:right w:val="none" w:sz="0" w:space="0" w:color="auto"/>
                      </w:divBdr>
                      <w:divsChild>
                        <w:div w:id="636254607">
                          <w:marLeft w:val="0"/>
                          <w:marRight w:val="0"/>
                          <w:marTop w:val="0"/>
                          <w:marBottom w:val="0"/>
                          <w:divBdr>
                            <w:top w:val="none" w:sz="0" w:space="0" w:color="auto"/>
                            <w:left w:val="none" w:sz="0" w:space="0" w:color="auto"/>
                            <w:bottom w:val="none" w:sz="0" w:space="0" w:color="auto"/>
                            <w:right w:val="none" w:sz="0" w:space="0" w:color="auto"/>
                          </w:divBdr>
                        </w:div>
                        <w:div w:id="833033254">
                          <w:marLeft w:val="0"/>
                          <w:marRight w:val="0"/>
                          <w:marTop w:val="0"/>
                          <w:marBottom w:val="0"/>
                          <w:divBdr>
                            <w:top w:val="none" w:sz="0" w:space="0" w:color="auto"/>
                            <w:left w:val="none" w:sz="0" w:space="0" w:color="auto"/>
                            <w:bottom w:val="none" w:sz="0" w:space="0" w:color="auto"/>
                            <w:right w:val="none" w:sz="0" w:space="0" w:color="auto"/>
                          </w:divBdr>
                        </w:div>
                        <w:div w:id="494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537979">
                  <w:marLeft w:val="0"/>
                  <w:marRight w:val="0"/>
                  <w:marTop w:val="0"/>
                  <w:marBottom w:val="0"/>
                  <w:divBdr>
                    <w:top w:val="none" w:sz="0" w:space="0" w:color="auto"/>
                    <w:left w:val="none" w:sz="0" w:space="0" w:color="auto"/>
                    <w:bottom w:val="none" w:sz="0" w:space="0" w:color="auto"/>
                    <w:right w:val="none" w:sz="0" w:space="0" w:color="auto"/>
                  </w:divBdr>
                  <w:divsChild>
                    <w:div w:id="812677225">
                      <w:marLeft w:val="0"/>
                      <w:marRight w:val="0"/>
                      <w:marTop w:val="0"/>
                      <w:marBottom w:val="0"/>
                      <w:divBdr>
                        <w:top w:val="none" w:sz="0" w:space="0" w:color="auto"/>
                        <w:left w:val="none" w:sz="0" w:space="0" w:color="auto"/>
                        <w:bottom w:val="none" w:sz="0" w:space="0" w:color="auto"/>
                        <w:right w:val="none" w:sz="0" w:space="0" w:color="auto"/>
                      </w:divBdr>
                    </w:div>
                    <w:div w:id="1838498566">
                      <w:marLeft w:val="0"/>
                      <w:marRight w:val="0"/>
                      <w:marTop w:val="0"/>
                      <w:marBottom w:val="0"/>
                      <w:divBdr>
                        <w:top w:val="none" w:sz="0" w:space="0" w:color="auto"/>
                        <w:left w:val="none" w:sz="0" w:space="0" w:color="auto"/>
                        <w:bottom w:val="none" w:sz="0" w:space="0" w:color="auto"/>
                        <w:right w:val="none" w:sz="0" w:space="0" w:color="auto"/>
                      </w:divBdr>
                      <w:divsChild>
                        <w:div w:id="277613326">
                          <w:marLeft w:val="0"/>
                          <w:marRight w:val="0"/>
                          <w:marTop w:val="0"/>
                          <w:marBottom w:val="0"/>
                          <w:divBdr>
                            <w:top w:val="none" w:sz="0" w:space="0" w:color="auto"/>
                            <w:left w:val="none" w:sz="0" w:space="0" w:color="auto"/>
                            <w:bottom w:val="none" w:sz="0" w:space="0" w:color="auto"/>
                            <w:right w:val="none" w:sz="0" w:space="0" w:color="auto"/>
                          </w:divBdr>
                        </w:div>
                        <w:div w:id="2058165831">
                          <w:marLeft w:val="0"/>
                          <w:marRight w:val="0"/>
                          <w:marTop w:val="0"/>
                          <w:marBottom w:val="0"/>
                          <w:divBdr>
                            <w:top w:val="none" w:sz="0" w:space="0" w:color="auto"/>
                            <w:left w:val="none" w:sz="0" w:space="0" w:color="auto"/>
                            <w:bottom w:val="none" w:sz="0" w:space="0" w:color="auto"/>
                            <w:right w:val="none" w:sz="0" w:space="0" w:color="auto"/>
                          </w:divBdr>
                        </w:div>
                        <w:div w:id="1359889768">
                          <w:marLeft w:val="0"/>
                          <w:marRight w:val="0"/>
                          <w:marTop w:val="0"/>
                          <w:marBottom w:val="0"/>
                          <w:divBdr>
                            <w:top w:val="none" w:sz="0" w:space="0" w:color="auto"/>
                            <w:left w:val="none" w:sz="0" w:space="0" w:color="auto"/>
                            <w:bottom w:val="none" w:sz="0" w:space="0" w:color="auto"/>
                            <w:right w:val="none" w:sz="0" w:space="0" w:color="auto"/>
                          </w:divBdr>
                        </w:div>
                        <w:div w:id="1155951657">
                          <w:marLeft w:val="0"/>
                          <w:marRight w:val="0"/>
                          <w:marTop w:val="0"/>
                          <w:marBottom w:val="0"/>
                          <w:divBdr>
                            <w:top w:val="none" w:sz="0" w:space="0" w:color="auto"/>
                            <w:left w:val="none" w:sz="0" w:space="0" w:color="auto"/>
                            <w:bottom w:val="none" w:sz="0" w:space="0" w:color="auto"/>
                            <w:right w:val="none" w:sz="0" w:space="0" w:color="auto"/>
                          </w:divBdr>
                        </w:div>
                        <w:div w:id="2088575125">
                          <w:marLeft w:val="0"/>
                          <w:marRight w:val="0"/>
                          <w:marTop w:val="0"/>
                          <w:marBottom w:val="0"/>
                          <w:divBdr>
                            <w:top w:val="none" w:sz="0" w:space="0" w:color="auto"/>
                            <w:left w:val="none" w:sz="0" w:space="0" w:color="auto"/>
                            <w:bottom w:val="none" w:sz="0" w:space="0" w:color="auto"/>
                            <w:right w:val="none" w:sz="0" w:space="0" w:color="auto"/>
                          </w:divBdr>
                        </w:div>
                        <w:div w:id="2008629712">
                          <w:marLeft w:val="0"/>
                          <w:marRight w:val="0"/>
                          <w:marTop w:val="0"/>
                          <w:marBottom w:val="0"/>
                          <w:divBdr>
                            <w:top w:val="none" w:sz="0" w:space="0" w:color="auto"/>
                            <w:left w:val="none" w:sz="0" w:space="0" w:color="auto"/>
                            <w:bottom w:val="none" w:sz="0" w:space="0" w:color="auto"/>
                            <w:right w:val="none" w:sz="0" w:space="0" w:color="auto"/>
                          </w:divBdr>
                        </w:div>
                        <w:div w:id="1788890987">
                          <w:marLeft w:val="0"/>
                          <w:marRight w:val="0"/>
                          <w:marTop w:val="0"/>
                          <w:marBottom w:val="0"/>
                          <w:divBdr>
                            <w:top w:val="none" w:sz="0" w:space="0" w:color="auto"/>
                            <w:left w:val="none" w:sz="0" w:space="0" w:color="auto"/>
                            <w:bottom w:val="none" w:sz="0" w:space="0" w:color="auto"/>
                            <w:right w:val="none" w:sz="0" w:space="0" w:color="auto"/>
                          </w:divBdr>
                        </w:div>
                        <w:div w:id="1729107776">
                          <w:marLeft w:val="0"/>
                          <w:marRight w:val="0"/>
                          <w:marTop w:val="0"/>
                          <w:marBottom w:val="0"/>
                          <w:divBdr>
                            <w:top w:val="none" w:sz="0" w:space="0" w:color="auto"/>
                            <w:left w:val="none" w:sz="0" w:space="0" w:color="auto"/>
                            <w:bottom w:val="none" w:sz="0" w:space="0" w:color="auto"/>
                            <w:right w:val="none" w:sz="0" w:space="0" w:color="auto"/>
                          </w:divBdr>
                        </w:div>
                        <w:div w:id="286355106">
                          <w:marLeft w:val="0"/>
                          <w:marRight w:val="0"/>
                          <w:marTop w:val="0"/>
                          <w:marBottom w:val="0"/>
                          <w:divBdr>
                            <w:top w:val="none" w:sz="0" w:space="0" w:color="auto"/>
                            <w:left w:val="none" w:sz="0" w:space="0" w:color="auto"/>
                            <w:bottom w:val="none" w:sz="0" w:space="0" w:color="auto"/>
                            <w:right w:val="none" w:sz="0" w:space="0" w:color="auto"/>
                          </w:divBdr>
                        </w:div>
                      </w:divsChild>
                    </w:div>
                    <w:div w:id="273833101">
                      <w:marLeft w:val="0"/>
                      <w:marRight w:val="0"/>
                      <w:marTop w:val="0"/>
                      <w:marBottom w:val="0"/>
                      <w:divBdr>
                        <w:top w:val="none" w:sz="0" w:space="0" w:color="auto"/>
                        <w:left w:val="none" w:sz="0" w:space="0" w:color="auto"/>
                        <w:bottom w:val="none" w:sz="0" w:space="0" w:color="auto"/>
                        <w:right w:val="none" w:sz="0" w:space="0" w:color="auto"/>
                      </w:divBdr>
                      <w:divsChild>
                        <w:div w:id="1764455212">
                          <w:marLeft w:val="0"/>
                          <w:marRight w:val="0"/>
                          <w:marTop w:val="0"/>
                          <w:marBottom w:val="0"/>
                          <w:divBdr>
                            <w:top w:val="none" w:sz="0" w:space="0" w:color="auto"/>
                            <w:left w:val="none" w:sz="0" w:space="0" w:color="auto"/>
                            <w:bottom w:val="none" w:sz="0" w:space="0" w:color="auto"/>
                            <w:right w:val="none" w:sz="0" w:space="0" w:color="auto"/>
                          </w:divBdr>
                        </w:div>
                        <w:div w:id="175655965">
                          <w:marLeft w:val="0"/>
                          <w:marRight w:val="0"/>
                          <w:marTop w:val="0"/>
                          <w:marBottom w:val="0"/>
                          <w:divBdr>
                            <w:top w:val="none" w:sz="0" w:space="0" w:color="auto"/>
                            <w:left w:val="none" w:sz="0" w:space="0" w:color="auto"/>
                            <w:bottom w:val="none" w:sz="0" w:space="0" w:color="auto"/>
                            <w:right w:val="none" w:sz="0" w:space="0" w:color="auto"/>
                          </w:divBdr>
                        </w:div>
                        <w:div w:id="435444233">
                          <w:marLeft w:val="0"/>
                          <w:marRight w:val="0"/>
                          <w:marTop w:val="0"/>
                          <w:marBottom w:val="0"/>
                          <w:divBdr>
                            <w:top w:val="none" w:sz="0" w:space="0" w:color="auto"/>
                            <w:left w:val="none" w:sz="0" w:space="0" w:color="auto"/>
                            <w:bottom w:val="none" w:sz="0" w:space="0" w:color="auto"/>
                            <w:right w:val="none" w:sz="0" w:space="0" w:color="auto"/>
                          </w:divBdr>
                        </w:div>
                        <w:div w:id="1081174267">
                          <w:marLeft w:val="0"/>
                          <w:marRight w:val="0"/>
                          <w:marTop w:val="0"/>
                          <w:marBottom w:val="0"/>
                          <w:divBdr>
                            <w:top w:val="none" w:sz="0" w:space="0" w:color="auto"/>
                            <w:left w:val="none" w:sz="0" w:space="0" w:color="auto"/>
                            <w:bottom w:val="none" w:sz="0" w:space="0" w:color="auto"/>
                            <w:right w:val="none" w:sz="0" w:space="0" w:color="auto"/>
                          </w:divBdr>
                        </w:div>
                        <w:div w:id="820579663">
                          <w:marLeft w:val="0"/>
                          <w:marRight w:val="0"/>
                          <w:marTop w:val="0"/>
                          <w:marBottom w:val="0"/>
                          <w:divBdr>
                            <w:top w:val="none" w:sz="0" w:space="0" w:color="auto"/>
                            <w:left w:val="none" w:sz="0" w:space="0" w:color="auto"/>
                            <w:bottom w:val="none" w:sz="0" w:space="0" w:color="auto"/>
                            <w:right w:val="none" w:sz="0" w:space="0" w:color="auto"/>
                          </w:divBdr>
                        </w:div>
                      </w:divsChild>
                    </w:div>
                    <w:div w:id="310987303">
                      <w:marLeft w:val="0"/>
                      <w:marRight w:val="0"/>
                      <w:marTop w:val="0"/>
                      <w:marBottom w:val="0"/>
                      <w:divBdr>
                        <w:top w:val="none" w:sz="0" w:space="0" w:color="auto"/>
                        <w:left w:val="none" w:sz="0" w:space="0" w:color="auto"/>
                        <w:bottom w:val="none" w:sz="0" w:space="0" w:color="auto"/>
                        <w:right w:val="none" w:sz="0" w:space="0" w:color="auto"/>
                      </w:divBdr>
                      <w:divsChild>
                        <w:div w:id="618072729">
                          <w:marLeft w:val="0"/>
                          <w:marRight w:val="0"/>
                          <w:marTop w:val="0"/>
                          <w:marBottom w:val="0"/>
                          <w:divBdr>
                            <w:top w:val="none" w:sz="0" w:space="0" w:color="auto"/>
                            <w:left w:val="none" w:sz="0" w:space="0" w:color="auto"/>
                            <w:bottom w:val="none" w:sz="0" w:space="0" w:color="auto"/>
                            <w:right w:val="none" w:sz="0" w:space="0" w:color="auto"/>
                          </w:divBdr>
                        </w:div>
                        <w:div w:id="1412848476">
                          <w:marLeft w:val="0"/>
                          <w:marRight w:val="0"/>
                          <w:marTop w:val="0"/>
                          <w:marBottom w:val="0"/>
                          <w:divBdr>
                            <w:top w:val="none" w:sz="0" w:space="0" w:color="auto"/>
                            <w:left w:val="none" w:sz="0" w:space="0" w:color="auto"/>
                            <w:bottom w:val="none" w:sz="0" w:space="0" w:color="auto"/>
                            <w:right w:val="none" w:sz="0" w:space="0" w:color="auto"/>
                          </w:divBdr>
                        </w:div>
                        <w:div w:id="78717287">
                          <w:marLeft w:val="0"/>
                          <w:marRight w:val="0"/>
                          <w:marTop w:val="0"/>
                          <w:marBottom w:val="0"/>
                          <w:divBdr>
                            <w:top w:val="none" w:sz="0" w:space="0" w:color="auto"/>
                            <w:left w:val="none" w:sz="0" w:space="0" w:color="auto"/>
                            <w:bottom w:val="none" w:sz="0" w:space="0" w:color="auto"/>
                            <w:right w:val="none" w:sz="0" w:space="0" w:color="auto"/>
                          </w:divBdr>
                        </w:div>
                        <w:div w:id="650839236">
                          <w:marLeft w:val="0"/>
                          <w:marRight w:val="0"/>
                          <w:marTop w:val="0"/>
                          <w:marBottom w:val="0"/>
                          <w:divBdr>
                            <w:top w:val="none" w:sz="0" w:space="0" w:color="auto"/>
                            <w:left w:val="none" w:sz="0" w:space="0" w:color="auto"/>
                            <w:bottom w:val="none" w:sz="0" w:space="0" w:color="auto"/>
                            <w:right w:val="none" w:sz="0" w:space="0" w:color="auto"/>
                          </w:divBdr>
                          <w:divsChild>
                            <w:div w:id="291524658">
                              <w:marLeft w:val="0"/>
                              <w:marRight w:val="0"/>
                              <w:marTop w:val="0"/>
                              <w:marBottom w:val="0"/>
                              <w:divBdr>
                                <w:top w:val="none" w:sz="0" w:space="0" w:color="auto"/>
                                <w:left w:val="none" w:sz="0" w:space="0" w:color="auto"/>
                                <w:bottom w:val="none" w:sz="0" w:space="0" w:color="auto"/>
                                <w:right w:val="none" w:sz="0" w:space="0" w:color="auto"/>
                              </w:divBdr>
                            </w:div>
                          </w:divsChild>
                        </w:div>
                        <w:div w:id="1493718670">
                          <w:marLeft w:val="0"/>
                          <w:marRight w:val="0"/>
                          <w:marTop w:val="0"/>
                          <w:marBottom w:val="0"/>
                          <w:divBdr>
                            <w:top w:val="none" w:sz="0" w:space="0" w:color="auto"/>
                            <w:left w:val="none" w:sz="0" w:space="0" w:color="auto"/>
                            <w:bottom w:val="none" w:sz="0" w:space="0" w:color="auto"/>
                            <w:right w:val="none" w:sz="0" w:space="0" w:color="auto"/>
                          </w:divBdr>
                        </w:div>
                        <w:div w:id="992099740">
                          <w:marLeft w:val="0"/>
                          <w:marRight w:val="0"/>
                          <w:marTop w:val="0"/>
                          <w:marBottom w:val="0"/>
                          <w:divBdr>
                            <w:top w:val="none" w:sz="0" w:space="0" w:color="auto"/>
                            <w:left w:val="none" w:sz="0" w:space="0" w:color="auto"/>
                            <w:bottom w:val="none" w:sz="0" w:space="0" w:color="auto"/>
                            <w:right w:val="none" w:sz="0" w:space="0" w:color="auto"/>
                          </w:divBdr>
                        </w:div>
                        <w:div w:id="393243385">
                          <w:marLeft w:val="0"/>
                          <w:marRight w:val="0"/>
                          <w:marTop w:val="0"/>
                          <w:marBottom w:val="0"/>
                          <w:divBdr>
                            <w:top w:val="none" w:sz="0" w:space="0" w:color="auto"/>
                            <w:left w:val="none" w:sz="0" w:space="0" w:color="auto"/>
                            <w:bottom w:val="none" w:sz="0" w:space="0" w:color="auto"/>
                            <w:right w:val="none" w:sz="0" w:space="0" w:color="auto"/>
                          </w:divBdr>
                        </w:div>
                        <w:div w:id="568229278">
                          <w:marLeft w:val="0"/>
                          <w:marRight w:val="0"/>
                          <w:marTop w:val="0"/>
                          <w:marBottom w:val="0"/>
                          <w:divBdr>
                            <w:top w:val="none" w:sz="0" w:space="0" w:color="auto"/>
                            <w:left w:val="none" w:sz="0" w:space="0" w:color="auto"/>
                            <w:bottom w:val="none" w:sz="0" w:space="0" w:color="auto"/>
                            <w:right w:val="none" w:sz="0" w:space="0" w:color="auto"/>
                          </w:divBdr>
                        </w:div>
                        <w:div w:id="1227371769">
                          <w:marLeft w:val="0"/>
                          <w:marRight w:val="0"/>
                          <w:marTop w:val="0"/>
                          <w:marBottom w:val="0"/>
                          <w:divBdr>
                            <w:top w:val="none" w:sz="0" w:space="0" w:color="auto"/>
                            <w:left w:val="none" w:sz="0" w:space="0" w:color="auto"/>
                            <w:bottom w:val="none" w:sz="0" w:space="0" w:color="auto"/>
                            <w:right w:val="none" w:sz="0" w:space="0" w:color="auto"/>
                          </w:divBdr>
                        </w:div>
                        <w:div w:id="1440374221">
                          <w:marLeft w:val="0"/>
                          <w:marRight w:val="0"/>
                          <w:marTop w:val="0"/>
                          <w:marBottom w:val="0"/>
                          <w:divBdr>
                            <w:top w:val="none" w:sz="0" w:space="0" w:color="auto"/>
                            <w:left w:val="none" w:sz="0" w:space="0" w:color="auto"/>
                            <w:bottom w:val="none" w:sz="0" w:space="0" w:color="auto"/>
                            <w:right w:val="none" w:sz="0" w:space="0" w:color="auto"/>
                          </w:divBdr>
                        </w:div>
                        <w:div w:id="650333713">
                          <w:marLeft w:val="0"/>
                          <w:marRight w:val="0"/>
                          <w:marTop w:val="0"/>
                          <w:marBottom w:val="0"/>
                          <w:divBdr>
                            <w:top w:val="none" w:sz="0" w:space="0" w:color="auto"/>
                            <w:left w:val="none" w:sz="0" w:space="0" w:color="auto"/>
                            <w:bottom w:val="none" w:sz="0" w:space="0" w:color="auto"/>
                            <w:right w:val="none" w:sz="0" w:space="0" w:color="auto"/>
                          </w:divBdr>
                        </w:div>
                        <w:div w:id="1886402186">
                          <w:marLeft w:val="0"/>
                          <w:marRight w:val="0"/>
                          <w:marTop w:val="0"/>
                          <w:marBottom w:val="0"/>
                          <w:divBdr>
                            <w:top w:val="none" w:sz="0" w:space="0" w:color="auto"/>
                            <w:left w:val="none" w:sz="0" w:space="0" w:color="auto"/>
                            <w:bottom w:val="none" w:sz="0" w:space="0" w:color="auto"/>
                            <w:right w:val="none" w:sz="0" w:space="0" w:color="auto"/>
                          </w:divBdr>
                        </w:div>
                        <w:div w:id="1461340496">
                          <w:marLeft w:val="0"/>
                          <w:marRight w:val="0"/>
                          <w:marTop w:val="0"/>
                          <w:marBottom w:val="0"/>
                          <w:divBdr>
                            <w:top w:val="none" w:sz="0" w:space="0" w:color="auto"/>
                            <w:left w:val="none" w:sz="0" w:space="0" w:color="auto"/>
                            <w:bottom w:val="none" w:sz="0" w:space="0" w:color="auto"/>
                            <w:right w:val="none" w:sz="0" w:space="0" w:color="auto"/>
                          </w:divBdr>
                        </w:div>
                      </w:divsChild>
                    </w:div>
                    <w:div w:id="1625691762">
                      <w:marLeft w:val="0"/>
                      <w:marRight w:val="0"/>
                      <w:marTop w:val="0"/>
                      <w:marBottom w:val="0"/>
                      <w:divBdr>
                        <w:top w:val="none" w:sz="0" w:space="0" w:color="auto"/>
                        <w:left w:val="none" w:sz="0" w:space="0" w:color="auto"/>
                        <w:bottom w:val="none" w:sz="0" w:space="0" w:color="auto"/>
                        <w:right w:val="none" w:sz="0" w:space="0" w:color="auto"/>
                      </w:divBdr>
                      <w:divsChild>
                        <w:div w:id="1615361234">
                          <w:marLeft w:val="0"/>
                          <w:marRight w:val="0"/>
                          <w:marTop w:val="0"/>
                          <w:marBottom w:val="0"/>
                          <w:divBdr>
                            <w:top w:val="none" w:sz="0" w:space="0" w:color="auto"/>
                            <w:left w:val="none" w:sz="0" w:space="0" w:color="auto"/>
                            <w:bottom w:val="none" w:sz="0" w:space="0" w:color="auto"/>
                            <w:right w:val="none" w:sz="0" w:space="0" w:color="auto"/>
                          </w:divBdr>
                        </w:div>
                        <w:div w:id="375858013">
                          <w:marLeft w:val="0"/>
                          <w:marRight w:val="0"/>
                          <w:marTop w:val="0"/>
                          <w:marBottom w:val="0"/>
                          <w:divBdr>
                            <w:top w:val="none" w:sz="0" w:space="0" w:color="auto"/>
                            <w:left w:val="none" w:sz="0" w:space="0" w:color="auto"/>
                            <w:bottom w:val="none" w:sz="0" w:space="0" w:color="auto"/>
                            <w:right w:val="none" w:sz="0" w:space="0" w:color="auto"/>
                          </w:divBdr>
                        </w:div>
                        <w:div w:id="660735725">
                          <w:marLeft w:val="0"/>
                          <w:marRight w:val="0"/>
                          <w:marTop w:val="0"/>
                          <w:marBottom w:val="0"/>
                          <w:divBdr>
                            <w:top w:val="none" w:sz="0" w:space="0" w:color="auto"/>
                            <w:left w:val="none" w:sz="0" w:space="0" w:color="auto"/>
                            <w:bottom w:val="none" w:sz="0" w:space="0" w:color="auto"/>
                            <w:right w:val="none" w:sz="0" w:space="0" w:color="auto"/>
                          </w:divBdr>
                        </w:div>
                        <w:div w:id="989287782">
                          <w:marLeft w:val="0"/>
                          <w:marRight w:val="0"/>
                          <w:marTop w:val="0"/>
                          <w:marBottom w:val="0"/>
                          <w:divBdr>
                            <w:top w:val="none" w:sz="0" w:space="0" w:color="auto"/>
                            <w:left w:val="none" w:sz="0" w:space="0" w:color="auto"/>
                            <w:bottom w:val="none" w:sz="0" w:space="0" w:color="auto"/>
                            <w:right w:val="none" w:sz="0" w:space="0" w:color="auto"/>
                          </w:divBdr>
                        </w:div>
                        <w:div w:id="1464152370">
                          <w:marLeft w:val="0"/>
                          <w:marRight w:val="0"/>
                          <w:marTop w:val="0"/>
                          <w:marBottom w:val="0"/>
                          <w:divBdr>
                            <w:top w:val="none" w:sz="0" w:space="0" w:color="auto"/>
                            <w:left w:val="none" w:sz="0" w:space="0" w:color="auto"/>
                            <w:bottom w:val="none" w:sz="0" w:space="0" w:color="auto"/>
                            <w:right w:val="none" w:sz="0" w:space="0" w:color="auto"/>
                          </w:divBdr>
                        </w:div>
                      </w:divsChild>
                    </w:div>
                    <w:div w:id="1645961933">
                      <w:marLeft w:val="0"/>
                      <w:marRight w:val="0"/>
                      <w:marTop w:val="0"/>
                      <w:marBottom w:val="0"/>
                      <w:divBdr>
                        <w:top w:val="none" w:sz="0" w:space="0" w:color="auto"/>
                        <w:left w:val="none" w:sz="0" w:space="0" w:color="auto"/>
                        <w:bottom w:val="none" w:sz="0" w:space="0" w:color="auto"/>
                        <w:right w:val="none" w:sz="0" w:space="0" w:color="auto"/>
                      </w:divBdr>
                      <w:divsChild>
                        <w:div w:id="509293974">
                          <w:marLeft w:val="0"/>
                          <w:marRight w:val="0"/>
                          <w:marTop w:val="0"/>
                          <w:marBottom w:val="0"/>
                          <w:divBdr>
                            <w:top w:val="none" w:sz="0" w:space="0" w:color="auto"/>
                            <w:left w:val="none" w:sz="0" w:space="0" w:color="auto"/>
                            <w:bottom w:val="none" w:sz="0" w:space="0" w:color="auto"/>
                            <w:right w:val="none" w:sz="0" w:space="0" w:color="auto"/>
                          </w:divBdr>
                        </w:div>
                        <w:div w:id="1504201940">
                          <w:marLeft w:val="0"/>
                          <w:marRight w:val="0"/>
                          <w:marTop w:val="0"/>
                          <w:marBottom w:val="0"/>
                          <w:divBdr>
                            <w:top w:val="none" w:sz="0" w:space="0" w:color="auto"/>
                            <w:left w:val="none" w:sz="0" w:space="0" w:color="auto"/>
                            <w:bottom w:val="none" w:sz="0" w:space="0" w:color="auto"/>
                            <w:right w:val="none" w:sz="0" w:space="0" w:color="auto"/>
                          </w:divBdr>
                        </w:div>
                        <w:div w:id="1982615756">
                          <w:marLeft w:val="0"/>
                          <w:marRight w:val="0"/>
                          <w:marTop w:val="0"/>
                          <w:marBottom w:val="0"/>
                          <w:divBdr>
                            <w:top w:val="none" w:sz="0" w:space="0" w:color="auto"/>
                            <w:left w:val="none" w:sz="0" w:space="0" w:color="auto"/>
                            <w:bottom w:val="none" w:sz="0" w:space="0" w:color="auto"/>
                            <w:right w:val="none" w:sz="0" w:space="0" w:color="auto"/>
                          </w:divBdr>
                        </w:div>
                        <w:div w:id="1039663737">
                          <w:marLeft w:val="0"/>
                          <w:marRight w:val="0"/>
                          <w:marTop w:val="0"/>
                          <w:marBottom w:val="0"/>
                          <w:divBdr>
                            <w:top w:val="none" w:sz="0" w:space="0" w:color="auto"/>
                            <w:left w:val="none" w:sz="0" w:space="0" w:color="auto"/>
                            <w:bottom w:val="none" w:sz="0" w:space="0" w:color="auto"/>
                            <w:right w:val="none" w:sz="0" w:space="0" w:color="auto"/>
                          </w:divBdr>
                        </w:div>
                        <w:div w:id="1960454592">
                          <w:marLeft w:val="0"/>
                          <w:marRight w:val="0"/>
                          <w:marTop w:val="0"/>
                          <w:marBottom w:val="0"/>
                          <w:divBdr>
                            <w:top w:val="none" w:sz="0" w:space="0" w:color="auto"/>
                            <w:left w:val="none" w:sz="0" w:space="0" w:color="auto"/>
                            <w:bottom w:val="none" w:sz="0" w:space="0" w:color="auto"/>
                            <w:right w:val="none" w:sz="0" w:space="0" w:color="auto"/>
                          </w:divBdr>
                        </w:div>
                        <w:div w:id="769931540">
                          <w:marLeft w:val="0"/>
                          <w:marRight w:val="0"/>
                          <w:marTop w:val="0"/>
                          <w:marBottom w:val="0"/>
                          <w:divBdr>
                            <w:top w:val="none" w:sz="0" w:space="0" w:color="auto"/>
                            <w:left w:val="none" w:sz="0" w:space="0" w:color="auto"/>
                            <w:bottom w:val="none" w:sz="0" w:space="0" w:color="auto"/>
                            <w:right w:val="none" w:sz="0" w:space="0" w:color="auto"/>
                          </w:divBdr>
                        </w:div>
                        <w:div w:id="1492452773">
                          <w:marLeft w:val="0"/>
                          <w:marRight w:val="0"/>
                          <w:marTop w:val="0"/>
                          <w:marBottom w:val="0"/>
                          <w:divBdr>
                            <w:top w:val="none" w:sz="0" w:space="0" w:color="auto"/>
                            <w:left w:val="none" w:sz="0" w:space="0" w:color="auto"/>
                            <w:bottom w:val="none" w:sz="0" w:space="0" w:color="auto"/>
                            <w:right w:val="none" w:sz="0" w:space="0" w:color="auto"/>
                          </w:divBdr>
                        </w:div>
                        <w:div w:id="589393056">
                          <w:marLeft w:val="0"/>
                          <w:marRight w:val="0"/>
                          <w:marTop w:val="0"/>
                          <w:marBottom w:val="0"/>
                          <w:divBdr>
                            <w:top w:val="none" w:sz="0" w:space="0" w:color="auto"/>
                            <w:left w:val="none" w:sz="0" w:space="0" w:color="auto"/>
                            <w:bottom w:val="none" w:sz="0" w:space="0" w:color="auto"/>
                            <w:right w:val="none" w:sz="0" w:space="0" w:color="auto"/>
                          </w:divBdr>
                        </w:div>
                      </w:divsChild>
                    </w:div>
                    <w:div w:id="1008601820">
                      <w:marLeft w:val="0"/>
                      <w:marRight w:val="0"/>
                      <w:marTop w:val="0"/>
                      <w:marBottom w:val="0"/>
                      <w:divBdr>
                        <w:top w:val="none" w:sz="0" w:space="0" w:color="auto"/>
                        <w:left w:val="none" w:sz="0" w:space="0" w:color="auto"/>
                        <w:bottom w:val="none" w:sz="0" w:space="0" w:color="auto"/>
                        <w:right w:val="none" w:sz="0" w:space="0" w:color="auto"/>
                      </w:divBdr>
                      <w:divsChild>
                        <w:div w:id="1755321154">
                          <w:marLeft w:val="0"/>
                          <w:marRight w:val="0"/>
                          <w:marTop w:val="0"/>
                          <w:marBottom w:val="0"/>
                          <w:divBdr>
                            <w:top w:val="none" w:sz="0" w:space="0" w:color="auto"/>
                            <w:left w:val="none" w:sz="0" w:space="0" w:color="auto"/>
                            <w:bottom w:val="none" w:sz="0" w:space="0" w:color="auto"/>
                            <w:right w:val="none" w:sz="0" w:space="0" w:color="auto"/>
                          </w:divBdr>
                        </w:div>
                        <w:div w:id="1681345358">
                          <w:marLeft w:val="0"/>
                          <w:marRight w:val="0"/>
                          <w:marTop w:val="0"/>
                          <w:marBottom w:val="0"/>
                          <w:divBdr>
                            <w:top w:val="none" w:sz="0" w:space="0" w:color="auto"/>
                            <w:left w:val="none" w:sz="0" w:space="0" w:color="auto"/>
                            <w:bottom w:val="none" w:sz="0" w:space="0" w:color="auto"/>
                            <w:right w:val="none" w:sz="0" w:space="0" w:color="auto"/>
                          </w:divBdr>
                        </w:div>
                        <w:div w:id="327177854">
                          <w:marLeft w:val="0"/>
                          <w:marRight w:val="0"/>
                          <w:marTop w:val="0"/>
                          <w:marBottom w:val="0"/>
                          <w:divBdr>
                            <w:top w:val="none" w:sz="0" w:space="0" w:color="auto"/>
                            <w:left w:val="none" w:sz="0" w:space="0" w:color="auto"/>
                            <w:bottom w:val="none" w:sz="0" w:space="0" w:color="auto"/>
                            <w:right w:val="none" w:sz="0" w:space="0" w:color="auto"/>
                          </w:divBdr>
                        </w:div>
                      </w:divsChild>
                    </w:div>
                    <w:div w:id="824396085">
                      <w:marLeft w:val="0"/>
                      <w:marRight w:val="0"/>
                      <w:marTop w:val="0"/>
                      <w:marBottom w:val="0"/>
                      <w:divBdr>
                        <w:top w:val="none" w:sz="0" w:space="0" w:color="auto"/>
                        <w:left w:val="none" w:sz="0" w:space="0" w:color="auto"/>
                        <w:bottom w:val="none" w:sz="0" w:space="0" w:color="auto"/>
                        <w:right w:val="none" w:sz="0" w:space="0" w:color="auto"/>
                      </w:divBdr>
                      <w:divsChild>
                        <w:div w:id="420759990">
                          <w:marLeft w:val="0"/>
                          <w:marRight w:val="0"/>
                          <w:marTop w:val="0"/>
                          <w:marBottom w:val="0"/>
                          <w:divBdr>
                            <w:top w:val="none" w:sz="0" w:space="0" w:color="auto"/>
                            <w:left w:val="none" w:sz="0" w:space="0" w:color="auto"/>
                            <w:bottom w:val="none" w:sz="0" w:space="0" w:color="auto"/>
                            <w:right w:val="none" w:sz="0" w:space="0" w:color="auto"/>
                          </w:divBdr>
                        </w:div>
                        <w:div w:id="1799567241">
                          <w:marLeft w:val="0"/>
                          <w:marRight w:val="0"/>
                          <w:marTop w:val="0"/>
                          <w:marBottom w:val="0"/>
                          <w:divBdr>
                            <w:top w:val="none" w:sz="0" w:space="0" w:color="auto"/>
                            <w:left w:val="none" w:sz="0" w:space="0" w:color="auto"/>
                            <w:bottom w:val="none" w:sz="0" w:space="0" w:color="auto"/>
                            <w:right w:val="none" w:sz="0" w:space="0" w:color="auto"/>
                          </w:divBdr>
                        </w:div>
                        <w:div w:id="332267972">
                          <w:marLeft w:val="0"/>
                          <w:marRight w:val="0"/>
                          <w:marTop w:val="0"/>
                          <w:marBottom w:val="0"/>
                          <w:divBdr>
                            <w:top w:val="none" w:sz="0" w:space="0" w:color="auto"/>
                            <w:left w:val="none" w:sz="0" w:space="0" w:color="auto"/>
                            <w:bottom w:val="none" w:sz="0" w:space="0" w:color="auto"/>
                            <w:right w:val="none" w:sz="0" w:space="0" w:color="auto"/>
                          </w:divBdr>
                        </w:div>
                        <w:div w:id="1324626774">
                          <w:marLeft w:val="0"/>
                          <w:marRight w:val="0"/>
                          <w:marTop w:val="0"/>
                          <w:marBottom w:val="0"/>
                          <w:divBdr>
                            <w:top w:val="none" w:sz="0" w:space="0" w:color="auto"/>
                            <w:left w:val="none" w:sz="0" w:space="0" w:color="auto"/>
                            <w:bottom w:val="none" w:sz="0" w:space="0" w:color="auto"/>
                            <w:right w:val="none" w:sz="0" w:space="0" w:color="auto"/>
                          </w:divBdr>
                        </w:div>
                        <w:div w:id="18892930">
                          <w:marLeft w:val="0"/>
                          <w:marRight w:val="0"/>
                          <w:marTop w:val="0"/>
                          <w:marBottom w:val="0"/>
                          <w:divBdr>
                            <w:top w:val="none" w:sz="0" w:space="0" w:color="auto"/>
                            <w:left w:val="none" w:sz="0" w:space="0" w:color="auto"/>
                            <w:bottom w:val="none" w:sz="0" w:space="0" w:color="auto"/>
                            <w:right w:val="none" w:sz="0" w:space="0" w:color="auto"/>
                          </w:divBdr>
                        </w:div>
                      </w:divsChild>
                    </w:div>
                    <w:div w:id="102044225">
                      <w:marLeft w:val="0"/>
                      <w:marRight w:val="0"/>
                      <w:marTop w:val="0"/>
                      <w:marBottom w:val="0"/>
                      <w:divBdr>
                        <w:top w:val="none" w:sz="0" w:space="0" w:color="auto"/>
                        <w:left w:val="none" w:sz="0" w:space="0" w:color="auto"/>
                        <w:bottom w:val="none" w:sz="0" w:space="0" w:color="auto"/>
                        <w:right w:val="none" w:sz="0" w:space="0" w:color="auto"/>
                      </w:divBdr>
                      <w:divsChild>
                        <w:div w:id="117453698">
                          <w:marLeft w:val="0"/>
                          <w:marRight w:val="0"/>
                          <w:marTop w:val="0"/>
                          <w:marBottom w:val="0"/>
                          <w:divBdr>
                            <w:top w:val="none" w:sz="0" w:space="0" w:color="auto"/>
                            <w:left w:val="none" w:sz="0" w:space="0" w:color="auto"/>
                            <w:bottom w:val="none" w:sz="0" w:space="0" w:color="auto"/>
                            <w:right w:val="none" w:sz="0" w:space="0" w:color="auto"/>
                          </w:divBdr>
                        </w:div>
                        <w:div w:id="287274539">
                          <w:marLeft w:val="0"/>
                          <w:marRight w:val="0"/>
                          <w:marTop w:val="0"/>
                          <w:marBottom w:val="0"/>
                          <w:divBdr>
                            <w:top w:val="none" w:sz="0" w:space="0" w:color="auto"/>
                            <w:left w:val="none" w:sz="0" w:space="0" w:color="auto"/>
                            <w:bottom w:val="none" w:sz="0" w:space="0" w:color="auto"/>
                            <w:right w:val="none" w:sz="0" w:space="0" w:color="auto"/>
                          </w:divBdr>
                        </w:div>
                        <w:div w:id="132449370">
                          <w:marLeft w:val="0"/>
                          <w:marRight w:val="0"/>
                          <w:marTop w:val="0"/>
                          <w:marBottom w:val="0"/>
                          <w:divBdr>
                            <w:top w:val="none" w:sz="0" w:space="0" w:color="auto"/>
                            <w:left w:val="none" w:sz="0" w:space="0" w:color="auto"/>
                            <w:bottom w:val="none" w:sz="0" w:space="0" w:color="auto"/>
                            <w:right w:val="none" w:sz="0" w:space="0" w:color="auto"/>
                          </w:divBdr>
                        </w:div>
                      </w:divsChild>
                    </w:div>
                    <w:div w:id="964310344">
                      <w:marLeft w:val="0"/>
                      <w:marRight w:val="0"/>
                      <w:marTop w:val="0"/>
                      <w:marBottom w:val="0"/>
                      <w:divBdr>
                        <w:top w:val="none" w:sz="0" w:space="0" w:color="auto"/>
                        <w:left w:val="none" w:sz="0" w:space="0" w:color="auto"/>
                        <w:bottom w:val="none" w:sz="0" w:space="0" w:color="auto"/>
                        <w:right w:val="none" w:sz="0" w:space="0" w:color="auto"/>
                      </w:divBdr>
                      <w:divsChild>
                        <w:div w:id="1546216985">
                          <w:marLeft w:val="0"/>
                          <w:marRight w:val="0"/>
                          <w:marTop w:val="0"/>
                          <w:marBottom w:val="0"/>
                          <w:divBdr>
                            <w:top w:val="none" w:sz="0" w:space="0" w:color="auto"/>
                            <w:left w:val="none" w:sz="0" w:space="0" w:color="auto"/>
                            <w:bottom w:val="none" w:sz="0" w:space="0" w:color="auto"/>
                            <w:right w:val="none" w:sz="0" w:space="0" w:color="auto"/>
                          </w:divBdr>
                        </w:div>
                        <w:div w:id="20250633">
                          <w:marLeft w:val="0"/>
                          <w:marRight w:val="0"/>
                          <w:marTop w:val="0"/>
                          <w:marBottom w:val="0"/>
                          <w:divBdr>
                            <w:top w:val="none" w:sz="0" w:space="0" w:color="auto"/>
                            <w:left w:val="none" w:sz="0" w:space="0" w:color="auto"/>
                            <w:bottom w:val="none" w:sz="0" w:space="0" w:color="auto"/>
                            <w:right w:val="none" w:sz="0" w:space="0" w:color="auto"/>
                          </w:divBdr>
                        </w:div>
                        <w:div w:id="1340934435">
                          <w:marLeft w:val="0"/>
                          <w:marRight w:val="0"/>
                          <w:marTop w:val="0"/>
                          <w:marBottom w:val="0"/>
                          <w:divBdr>
                            <w:top w:val="none" w:sz="0" w:space="0" w:color="auto"/>
                            <w:left w:val="none" w:sz="0" w:space="0" w:color="auto"/>
                            <w:bottom w:val="none" w:sz="0" w:space="0" w:color="auto"/>
                            <w:right w:val="none" w:sz="0" w:space="0" w:color="auto"/>
                          </w:divBdr>
                        </w:div>
                        <w:div w:id="295532866">
                          <w:marLeft w:val="0"/>
                          <w:marRight w:val="0"/>
                          <w:marTop w:val="0"/>
                          <w:marBottom w:val="0"/>
                          <w:divBdr>
                            <w:top w:val="none" w:sz="0" w:space="0" w:color="auto"/>
                            <w:left w:val="none" w:sz="0" w:space="0" w:color="auto"/>
                            <w:bottom w:val="none" w:sz="0" w:space="0" w:color="auto"/>
                            <w:right w:val="none" w:sz="0" w:space="0" w:color="auto"/>
                          </w:divBdr>
                        </w:div>
                        <w:div w:id="212084926">
                          <w:marLeft w:val="0"/>
                          <w:marRight w:val="0"/>
                          <w:marTop w:val="0"/>
                          <w:marBottom w:val="0"/>
                          <w:divBdr>
                            <w:top w:val="none" w:sz="0" w:space="0" w:color="auto"/>
                            <w:left w:val="none" w:sz="0" w:space="0" w:color="auto"/>
                            <w:bottom w:val="none" w:sz="0" w:space="0" w:color="auto"/>
                            <w:right w:val="none" w:sz="0" w:space="0" w:color="auto"/>
                          </w:divBdr>
                        </w:div>
                        <w:div w:id="478616274">
                          <w:marLeft w:val="0"/>
                          <w:marRight w:val="0"/>
                          <w:marTop w:val="0"/>
                          <w:marBottom w:val="0"/>
                          <w:divBdr>
                            <w:top w:val="none" w:sz="0" w:space="0" w:color="auto"/>
                            <w:left w:val="none" w:sz="0" w:space="0" w:color="auto"/>
                            <w:bottom w:val="none" w:sz="0" w:space="0" w:color="auto"/>
                            <w:right w:val="none" w:sz="0" w:space="0" w:color="auto"/>
                          </w:divBdr>
                        </w:div>
                        <w:div w:id="2018188388">
                          <w:marLeft w:val="0"/>
                          <w:marRight w:val="0"/>
                          <w:marTop w:val="0"/>
                          <w:marBottom w:val="0"/>
                          <w:divBdr>
                            <w:top w:val="none" w:sz="0" w:space="0" w:color="auto"/>
                            <w:left w:val="none" w:sz="0" w:space="0" w:color="auto"/>
                            <w:bottom w:val="none" w:sz="0" w:space="0" w:color="auto"/>
                            <w:right w:val="none" w:sz="0" w:space="0" w:color="auto"/>
                          </w:divBdr>
                        </w:div>
                        <w:div w:id="859121822">
                          <w:marLeft w:val="0"/>
                          <w:marRight w:val="0"/>
                          <w:marTop w:val="0"/>
                          <w:marBottom w:val="0"/>
                          <w:divBdr>
                            <w:top w:val="none" w:sz="0" w:space="0" w:color="auto"/>
                            <w:left w:val="none" w:sz="0" w:space="0" w:color="auto"/>
                            <w:bottom w:val="none" w:sz="0" w:space="0" w:color="auto"/>
                            <w:right w:val="none" w:sz="0" w:space="0" w:color="auto"/>
                          </w:divBdr>
                        </w:div>
                        <w:div w:id="1365518203">
                          <w:marLeft w:val="0"/>
                          <w:marRight w:val="0"/>
                          <w:marTop w:val="0"/>
                          <w:marBottom w:val="0"/>
                          <w:divBdr>
                            <w:top w:val="none" w:sz="0" w:space="0" w:color="auto"/>
                            <w:left w:val="none" w:sz="0" w:space="0" w:color="auto"/>
                            <w:bottom w:val="none" w:sz="0" w:space="0" w:color="auto"/>
                            <w:right w:val="none" w:sz="0" w:space="0" w:color="auto"/>
                          </w:divBdr>
                        </w:div>
                        <w:div w:id="607199553">
                          <w:marLeft w:val="0"/>
                          <w:marRight w:val="0"/>
                          <w:marTop w:val="0"/>
                          <w:marBottom w:val="0"/>
                          <w:divBdr>
                            <w:top w:val="none" w:sz="0" w:space="0" w:color="auto"/>
                            <w:left w:val="none" w:sz="0" w:space="0" w:color="auto"/>
                            <w:bottom w:val="none" w:sz="0" w:space="0" w:color="auto"/>
                            <w:right w:val="none" w:sz="0" w:space="0" w:color="auto"/>
                          </w:divBdr>
                        </w:div>
                      </w:divsChild>
                    </w:div>
                    <w:div w:id="729308663">
                      <w:marLeft w:val="0"/>
                      <w:marRight w:val="0"/>
                      <w:marTop w:val="0"/>
                      <w:marBottom w:val="0"/>
                      <w:divBdr>
                        <w:top w:val="none" w:sz="0" w:space="0" w:color="auto"/>
                        <w:left w:val="none" w:sz="0" w:space="0" w:color="auto"/>
                        <w:bottom w:val="none" w:sz="0" w:space="0" w:color="auto"/>
                        <w:right w:val="none" w:sz="0" w:space="0" w:color="auto"/>
                      </w:divBdr>
                      <w:divsChild>
                        <w:div w:id="701711472">
                          <w:marLeft w:val="0"/>
                          <w:marRight w:val="0"/>
                          <w:marTop w:val="0"/>
                          <w:marBottom w:val="0"/>
                          <w:divBdr>
                            <w:top w:val="none" w:sz="0" w:space="0" w:color="auto"/>
                            <w:left w:val="none" w:sz="0" w:space="0" w:color="auto"/>
                            <w:bottom w:val="none" w:sz="0" w:space="0" w:color="auto"/>
                            <w:right w:val="none" w:sz="0" w:space="0" w:color="auto"/>
                          </w:divBdr>
                        </w:div>
                        <w:div w:id="651451359">
                          <w:marLeft w:val="0"/>
                          <w:marRight w:val="0"/>
                          <w:marTop w:val="0"/>
                          <w:marBottom w:val="0"/>
                          <w:divBdr>
                            <w:top w:val="none" w:sz="0" w:space="0" w:color="auto"/>
                            <w:left w:val="none" w:sz="0" w:space="0" w:color="auto"/>
                            <w:bottom w:val="none" w:sz="0" w:space="0" w:color="auto"/>
                            <w:right w:val="none" w:sz="0" w:space="0" w:color="auto"/>
                          </w:divBdr>
                        </w:div>
                        <w:div w:id="695812259">
                          <w:marLeft w:val="0"/>
                          <w:marRight w:val="0"/>
                          <w:marTop w:val="0"/>
                          <w:marBottom w:val="0"/>
                          <w:divBdr>
                            <w:top w:val="none" w:sz="0" w:space="0" w:color="auto"/>
                            <w:left w:val="none" w:sz="0" w:space="0" w:color="auto"/>
                            <w:bottom w:val="none" w:sz="0" w:space="0" w:color="auto"/>
                            <w:right w:val="none" w:sz="0" w:space="0" w:color="auto"/>
                          </w:divBdr>
                        </w:div>
                        <w:div w:id="1314942503">
                          <w:marLeft w:val="0"/>
                          <w:marRight w:val="0"/>
                          <w:marTop w:val="0"/>
                          <w:marBottom w:val="0"/>
                          <w:divBdr>
                            <w:top w:val="none" w:sz="0" w:space="0" w:color="auto"/>
                            <w:left w:val="none" w:sz="0" w:space="0" w:color="auto"/>
                            <w:bottom w:val="none" w:sz="0" w:space="0" w:color="auto"/>
                            <w:right w:val="none" w:sz="0" w:space="0" w:color="auto"/>
                          </w:divBdr>
                        </w:div>
                        <w:div w:id="1749956529">
                          <w:marLeft w:val="0"/>
                          <w:marRight w:val="0"/>
                          <w:marTop w:val="0"/>
                          <w:marBottom w:val="0"/>
                          <w:divBdr>
                            <w:top w:val="none" w:sz="0" w:space="0" w:color="auto"/>
                            <w:left w:val="none" w:sz="0" w:space="0" w:color="auto"/>
                            <w:bottom w:val="none" w:sz="0" w:space="0" w:color="auto"/>
                            <w:right w:val="none" w:sz="0" w:space="0" w:color="auto"/>
                          </w:divBdr>
                        </w:div>
                        <w:div w:id="226451764">
                          <w:marLeft w:val="0"/>
                          <w:marRight w:val="0"/>
                          <w:marTop w:val="0"/>
                          <w:marBottom w:val="0"/>
                          <w:divBdr>
                            <w:top w:val="none" w:sz="0" w:space="0" w:color="auto"/>
                            <w:left w:val="none" w:sz="0" w:space="0" w:color="auto"/>
                            <w:bottom w:val="none" w:sz="0" w:space="0" w:color="auto"/>
                            <w:right w:val="none" w:sz="0" w:space="0" w:color="auto"/>
                          </w:divBdr>
                        </w:div>
                      </w:divsChild>
                    </w:div>
                    <w:div w:id="679237048">
                      <w:marLeft w:val="0"/>
                      <w:marRight w:val="0"/>
                      <w:marTop w:val="0"/>
                      <w:marBottom w:val="0"/>
                      <w:divBdr>
                        <w:top w:val="none" w:sz="0" w:space="0" w:color="auto"/>
                        <w:left w:val="none" w:sz="0" w:space="0" w:color="auto"/>
                        <w:bottom w:val="none" w:sz="0" w:space="0" w:color="auto"/>
                        <w:right w:val="none" w:sz="0" w:space="0" w:color="auto"/>
                      </w:divBdr>
                      <w:divsChild>
                        <w:div w:id="2111778349">
                          <w:marLeft w:val="0"/>
                          <w:marRight w:val="0"/>
                          <w:marTop w:val="0"/>
                          <w:marBottom w:val="0"/>
                          <w:divBdr>
                            <w:top w:val="none" w:sz="0" w:space="0" w:color="auto"/>
                            <w:left w:val="none" w:sz="0" w:space="0" w:color="auto"/>
                            <w:bottom w:val="none" w:sz="0" w:space="0" w:color="auto"/>
                            <w:right w:val="none" w:sz="0" w:space="0" w:color="auto"/>
                          </w:divBdr>
                        </w:div>
                        <w:div w:id="654456775">
                          <w:marLeft w:val="0"/>
                          <w:marRight w:val="0"/>
                          <w:marTop w:val="0"/>
                          <w:marBottom w:val="0"/>
                          <w:divBdr>
                            <w:top w:val="none" w:sz="0" w:space="0" w:color="auto"/>
                            <w:left w:val="none" w:sz="0" w:space="0" w:color="auto"/>
                            <w:bottom w:val="none" w:sz="0" w:space="0" w:color="auto"/>
                            <w:right w:val="none" w:sz="0" w:space="0" w:color="auto"/>
                          </w:divBdr>
                        </w:div>
                        <w:div w:id="1647735668">
                          <w:marLeft w:val="0"/>
                          <w:marRight w:val="0"/>
                          <w:marTop w:val="0"/>
                          <w:marBottom w:val="0"/>
                          <w:divBdr>
                            <w:top w:val="none" w:sz="0" w:space="0" w:color="auto"/>
                            <w:left w:val="none" w:sz="0" w:space="0" w:color="auto"/>
                            <w:bottom w:val="none" w:sz="0" w:space="0" w:color="auto"/>
                            <w:right w:val="none" w:sz="0" w:space="0" w:color="auto"/>
                          </w:divBdr>
                        </w:div>
                        <w:div w:id="1179806265">
                          <w:marLeft w:val="0"/>
                          <w:marRight w:val="0"/>
                          <w:marTop w:val="0"/>
                          <w:marBottom w:val="0"/>
                          <w:divBdr>
                            <w:top w:val="none" w:sz="0" w:space="0" w:color="auto"/>
                            <w:left w:val="none" w:sz="0" w:space="0" w:color="auto"/>
                            <w:bottom w:val="none" w:sz="0" w:space="0" w:color="auto"/>
                            <w:right w:val="none" w:sz="0" w:space="0" w:color="auto"/>
                          </w:divBdr>
                        </w:div>
                      </w:divsChild>
                    </w:div>
                    <w:div w:id="299455214">
                      <w:marLeft w:val="0"/>
                      <w:marRight w:val="0"/>
                      <w:marTop w:val="0"/>
                      <w:marBottom w:val="0"/>
                      <w:divBdr>
                        <w:top w:val="none" w:sz="0" w:space="0" w:color="auto"/>
                        <w:left w:val="none" w:sz="0" w:space="0" w:color="auto"/>
                        <w:bottom w:val="none" w:sz="0" w:space="0" w:color="auto"/>
                        <w:right w:val="none" w:sz="0" w:space="0" w:color="auto"/>
                      </w:divBdr>
                      <w:divsChild>
                        <w:div w:id="166287535">
                          <w:marLeft w:val="0"/>
                          <w:marRight w:val="0"/>
                          <w:marTop w:val="0"/>
                          <w:marBottom w:val="0"/>
                          <w:divBdr>
                            <w:top w:val="none" w:sz="0" w:space="0" w:color="auto"/>
                            <w:left w:val="none" w:sz="0" w:space="0" w:color="auto"/>
                            <w:bottom w:val="none" w:sz="0" w:space="0" w:color="auto"/>
                            <w:right w:val="none" w:sz="0" w:space="0" w:color="auto"/>
                          </w:divBdr>
                        </w:div>
                        <w:div w:id="1110854414">
                          <w:marLeft w:val="0"/>
                          <w:marRight w:val="0"/>
                          <w:marTop w:val="0"/>
                          <w:marBottom w:val="0"/>
                          <w:divBdr>
                            <w:top w:val="none" w:sz="0" w:space="0" w:color="auto"/>
                            <w:left w:val="none" w:sz="0" w:space="0" w:color="auto"/>
                            <w:bottom w:val="none" w:sz="0" w:space="0" w:color="auto"/>
                            <w:right w:val="none" w:sz="0" w:space="0" w:color="auto"/>
                          </w:divBdr>
                        </w:div>
                        <w:div w:id="1850680239">
                          <w:marLeft w:val="0"/>
                          <w:marRight w:val="0"/>
                          <w:marTop w:val="0"/>
                          <w:marBottom w:val="0"/>
                          <w:divBdr>
                            <w:top w:val="none" w:sz="0" w:space="0" w:color="auto"/>
                            <w:left w:val="none" w:sz="0" w:space="0" w:color="auto"/>
                            <w:bottom w:val="none" w:sz="0" w:space="0" w:color="auto"/>
                            <w:right w:val="none" w:sz="0" w:space="0" w:color="auto"/>
                          </w:divBdr>
                        </w:div>
                        <w:div w:id="273290105">
                          <w:marLeft w:val="0"/>
                          <w:marRight w:val="0"/>
                          <w:marTop w:val="0"/>
                          <w:marBottom w:val="0"/>
                          <w:divBdr>
                            <w:top w:val="none" w:sz="0" w:space="0" w:color="auto"/>
                            <w:left w:val="none" w:sz="0" w:space="0" w:color="auto"/>
                            <w:bottom w:val="none" w:sz="0" w:space="0" w:color="auto"/>
                            <w:right w:val="none" w:sz="0" w:space="0" w:color="auto"/>
                          </w:divBdr>
                        </w:div>
                        <w:div w:id="272907916">
                          <w:marLeft w:val="0"/>
                          <w:marRight w:val="0"/>
                          <w:marTop w:val="0"/>
                          <w:marBottom w:val="0"/>
                          <w:divBdr>
                            <w:top w:val="none" w:sz="0" w:space="0" w:color="auto"/>
                            <w:left w:val="none" w:sz="0" w:space="0" w:color="auto"/>
                            <w:bottom w:val="none" w:sz="0" w:space="0" w:color="auto"/>
                            <w:right w:val="none" w:sz="0" w:space="0" w:color="auto"/>
                          </w:divBdr>
                        </w:div>
                        <w:div w:id="1573738524">
                          <w:marLeft w:val="0"/>
                          <w:marRight w:val="0"/>
                          <w:marTop w:val="0"/>
                          <w:marBottom w:val="0"/>
                          <w:divBdr>
                            <w:top w:val="none" w:sz="0" w:space="0" w:color="auto"/>
                            <w:left w:val="none" w:sz="0" w:space="0" w:color="auto"/>
                            <w:bottom w:val="none" w:sz="0" w:space="0" w:color="auto"/>
                            <w:right w:val="none" w:sz="0" w:space="0" w:color="auto"/>
                          </w:divBdr>
                        </w:div>
                        <w:div w:id="127186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669805">
                  <w:marLeft w:val="0"/>
                  <w:marRight w:val="0"/>
                  <w:marTop w:val="0"/>
                  <w:marBottom w:val="0"/>
                  <w:divBdr>
                    <w:top w:val="none" w:sz="0" w:space="0" w:color="auto"/>
                    <w:left w:val="none" w:sz="0" w:space="0" w:color="auto"/>
                    <w:bottom w:val="none" w:sz="0" w:space="0" w:color="auto"/>
                    <w:right w:val="none" w:sz="0" w:space="0" w:color="auto"/>
                  </w:divBdr>
                  <w:divsChild>
                    <w:div w:id="706106298">
                      <w:marLeft w:val="0"/>
                      <w:marRight w:val="0"/>
                      <w:marTop w:val="0"/>
                      <w:marBottom w:val="0"/>
                      <w:divBdr>
                        <w:top w:val="none" w:sz="0" w:space="0" w:color="auto"/>
                        <w:left w:val="none" w:sz="0" w:space="0" w:color="auto"/>
                        <w:bottom w:val="none" w:sz="0" w:space="0" w:color="auto"/>
                        <w:right w:val="none" w:sz="0" w:space="0" w:color="auto"/>
                      </w:divBdr>
                    </w:div>
                    <w:div w:id="1412120517">
                      <w:marLeft w:val="0"/>
                      <w:marRight w:val="0"/>
                      <w:marTop w:val="0"/>
                      <w:marBottom w:val="0"/>
                      <w:divBdr>
                        <w:top w:val="none" w:sz="0" w:space="0" w:color="auto"/>
                        <w:left w:val="none" w:sz="0" w:space="0" w:color="auto"/>
                        <w:bottom w:val="none" w:sz="0" w:space="0" w:color="auto"/>
                        <w:right w:val="none" w:sz="0" w:space="0" w:color="auto"/>
                      </w:divBdr>
                      <w:divsChild>
                        <w:div w:id="534006053">
                          <w:marLeft w:val="0"/>
                          <w:marRight w:val="0"/>
                          <w:marTop w:val="0"/>
                          <w:marBottom w:val="0"/>
                          <w:divBdr>
                            <w:top w:val="none" w:sz="0" w:space="0" w:color="auto"/>
                            <w:left w:val="none" w:sz="0" w:space="0" w:color="auto"/>
                            <w:bottom w:val="none" w:sz="0" w:space="0" w:color="auto"/>
                            <w:right w:val="none" w:sz="0" w:space="0" w:color="auto"/>
                          </w:divBdr>
                        </w:div>
                        <w:div w:id="72749810">
                          <w:marLeft w:val="0"/>
                          <w:marRight w:val="0"/>
                          <w:marTop w:val="0"/>
                          <w:marBottom w:val="0"/>
                          <w:divBdr>
                            <w:top w:val="none" w:sz="0" w:space="0" w:color="auto"/>
                            <w:left w:val="none" w:sz="0" w:space="0" w:color="auto"/>
                            <w:bottom w:val="none" w:sz="0" w:space="0" w:color="auto"/>
                            <w:right w:val="none" w:sz="0" w:space="0" w:color="auto"/>
                          </w:divBdr>
                          <w:divsChild>
                            <w:div w:id="733891088">
                              <w:marLeft w:val="0"/>
                              <w:marRight w:val="0"/>
                              <w:marTop w:val="0"/>
                              <w:marBottom w:val="0"/>
                              <w:divBdr>
                                <w:top w:val="none" w:sz="0" w:space="0" w:color="auto"/>
                                <w:left w:val="none" w:sz="0" w:space="0" w:color="auto"/>
                                <w:bottom w:val="none" w:sz="0" w:space="0" w:color="auto"/>
                                <w:right w:val="none" w:sz="0" w:space="0" w:color="auto"/>
                              </w:divBdr>
                            </w:div>
                            <w:div w:id="1374960581">
                              <w:marLeft w:val="0"/>
                              <w:marRight w:val="0"/>
                              <w:marTop w:val="0"/>
                              <w:marBottom w:val="0"/>
                              <w:divBdr>
                                <w:top w:val="none" w:sz="0" w:space="0" w:color="auto"/>
                                <w:left w:val="none" w:sz="0" w:space="0" w:color="auto"/>
                                <w:bottom w:val="none" w:sz="0" w:space="0" w:color="auto"/>
                                <w:right w:val="none" w:sz="0" w:space="0" w:color="auto"/>
                              </w:divBdr>
                            </w:div>
                            <w:div w:id="419527054">
                              <w:marLeft w:val="0"/>
                              <w:marRight w:val="0"/>
                              <w:marTop w:val="0"/>
                              <w:marBottom w:val="0"/>
                              <w:divBdr>
                                <w:top w:val="none" w:sz="0" w:space="0" w:color="auto"/>
                                <w:left w:val="none" w:sz="0" w:space="0" w:color="auto"/>
                                <w:bottom w:val="none" w:sz="0" w:space="0" w:color="auto"/>
                                <w:right w:val="none" w:sz="0" w:space="0" w:color="auto"/>
                              </w:divBdr>
                            </w:div>
                            <w:div w:id="1511678068">
                              <w:marLeft w:val="0"/>
                              <w:marRight w:val="0"/>
                              <w:marTop w:val="0"/>
                              <w:marBottom w:val="0"/>
                              <w:divBdr>
                                <w:top w:val="none" w:sz="0" w:space="0" w:color="auto"/>
                                <w:left w:val="none" w:sz="0" w:space="0" w:color="auto"/>
                                <w:bottom w:val="none" w:sz="0" w:space="0" w:color="auto"/>
                                <w:right w:val="none" w:sz="0" w:space="0" w:color="auto"/>
                              </w:divBdr>
                            </w:div>
                            <w:div w:id="1445806425">
                              <w:marLeft w:val="0"/>
                              <w:marRight w:val="0"/>
                              <w:marTop w:val="0"/>
                              <w:marBottom w:val="0"/>
                              <w:divBdr>
                                <w:top w:val="none" w:sz="0" w:space="0" w:color="auto"/>
                                <w:left w:val="none" w:sz="0" w:space="0" w:color="auto"/>
                                <w:bottom w:val="none" w:sz="0" w:space="0" w:color="auto"/>
                                <w:right w:val="none" w:sz="0" w:space="0" w:color="auto"/>
                              </w:divBdr>
                            </w:div>
                          </w:divsChild>
                        </w:div>
                        <w:div w:id="849877446">
                          <w:marLeft w:val="0"/>
                          <w:marRight w:val="0"/>
                          <w:marTop w:val="0"/>
                          <w:marBottom w:val="0"/>
                          <w:divBdr>
                            <w:top w:val="none" w:sz="0" w:space="0" w:color="auto"/>
                            <w:left w:val="none" w:sz="0" w:space="0" w:color="auto"/>
                            <w:bottom w:val="none" w:sz="0" w:space="0" w:color="auto"/>
                            <w:right w:val="none" w:sz="0" w:space="0" w:color="auto"/>
                          </w:divBdr>
                          <w:divsChild>
                            <w:div w:id="1296836633">
                              <w:marLeft w:val="0"/>
                              <w:marRight w:val="0"/>
                              <w:marTop w:val="0"/>
                              <w:marBottom w:val="0"/>
                              <w:divBdr>
                                <w:top w:val="none" w:sz="0" w:space="0" w:color="auto"/>
                                <w:left w:val="none" w:sz="0" w:space="0" w:color="auto"/>
                                <w:bottom w:val="none" w:sz="0" w:space="0" w:color="auto"/>
                                <w:right w:val="none" w:sz="0" w:space="0" w:color="auto"/>
                              </w:divBdr>
                            </w:div>
                            <w:div w:id="309095514">
                              <w:marLeft w:val="0"/>
                              <w:marRight w:val="0"/>
                              <w:marTop w:val="0"/>
                              <w:marBottom w:val="0"/>
                              <w:divBdr>
                                <w:top w:val="none" w:sz="0" w:space="0" w:color="auto"/>
                                <w:left w:val="none" w:sz="0" w:space="0" w:color="auto"/>
                                <w:bottom w:val="none" w:sz="0" w:space="0" w:color="auto"/>
                                <w:right w:val="none" w:sz="0" w:space="0" w:color="auto"/>
                              </w:divBdr>
                            </w:div>
                            <w:div w:id="1608004756">
                              <w:marLeft w:val="0"/>
                              <w:marRight w:val="0"/>
                              <w:marTop w:val="0"/>
                              <w:marBottom w:val="0"/>
                              <w:divBdr>
                                <w:top w:val="none" w:sz="0" w:space="0" w:color="auto"/>
                                <w:left w:val="none" w:sz="0" w:space="0" w:color="auto"/>
                                <w:bottom w:val="none" w:sz="0" w:space="0" w:color="auto"/>
                                <w:right w:val="none" w:sz="0" w:space="0" w:color="auto"/>
                              </w:divBdr>
                            </w:div>
                            <w:div w:id="467627189">
                              <w:marLeft w:val="0"/>
                              <w:marRight w:val="0"/>
                              <w:marTop w:val="0"/>
                              <w:marBottom w:val="0"/>
                              <w:divBdr>
                                <w:top w:val="none" w:sz="0" w:space="0" w:color="auto"/>
                                <w:left w:val="none" w:sz="0" w:space="0" w:color="auto"/>
                                <w:bottom w:val="none" w:sz="0" w:space="0" w:color="auto"/>
                                <w:right w:val="none" w:sz="0" w:space="0" w:color="auto"/>
                              </w:divBdr>
                            </w:div>
                            <w:div w:id="194319286">
                              <w:marLeft w:val="0"/>
                              <w:marRight w:val="0"/>
                              <w:marTop w:val="0"/>
                              <w:marBottom w:val="0"/>
                              <w:divBdr>
                                <w:top w:val="none" w:sz="0" w:space="0" w:color="auto"/>
                                <w:left w:val="none" w:sz="0" w:space="0" w:color="auto"/>
                                <w:bottom w:val="none" w:sz="0" w:space="0" w:color="auto"/>
                                <w:right w:val="none" w:sz="0" w:space="0" w:color="auto"/>
                              </w:divBdr>
                            </w:div>
                            <w:div w:id="1037124762">
                              <w:marLeft w:val="0"/>
                              <w:marRight w:val="0"/>
                              <w:marTop w:val="0"/>
                              <w:marBottom w:val="0"/>
                              <w:divBdr>
                                <w:top w:val="none" w:sz="0" w:space="0" w:color="auto"/>
                                <w:left w:val="none" w:sz="0" w:space="0" w:color="auto"/>
                                <w:bottom w:val="none" w:sz="0" w:space="0" w:color="auto"/>
                                <w:right w:val="none" w:sz="0" w:space="0" w:color="auto"/>
                              </w:divBdr>
                            </w:div>
                            <w:div w:id="2000424018">
                              <w:marLeft w:val="0"/>
                              <w:marRight w:val="0"/>
                              <w:marTop w:val="0"/>
                              <w:marBottom w:val="0"/>
                              <w:divBdr>
                                <w:top w:val="none" w:sz="0" w:space="0" w:color="auto"/>
                                <w:left w:val="none" w:sz="0" w:space="0" w:color="auto"/>
                                <w:bottom w:val="none" w:sz="0" w:space="0" w:color="auto"/>
                                <w:right w:val="none" w:sz="0" w:space="0" w:color="auto"/>
                              </w:divBdr>
                            </w:div>
                            <w:div w:id="808129937">
                              <w:marLeft w:val="0"/>
                              <w:marRight w:val="0"/>
                              <w:marTop w:val="0"/>
                              <w:marBottom w:val="0"/>
                              <w:divBdr>
                                <w:top w:val="none" w:sz="0" w:space="0" w:color="auto"/>
                                <w:left w:val="none" w:sz="0" w:space="0" w:color="auto"/>
                                <w:bottom w:val="none" w:sz="0" w:space="0" w:color="auto"/>
                                <w:right w:val="none" w:sz="0" w:space="0" w:color="auto"/>
                              </w:divBdr>
                            </w:div>
                            <w:div w:id="1696350674">
                              <w:marLeft w:val="0"/>
                              <w:marRight w:val="0"/>
                              <w:marTop w:val="0"/>
                              <w:marBottom w:val="0"/>
                              <w:divBdr>
                                <w:top w:val="none" w:sz="0" w:space="0" w:color="auto"/>
                                <w:left w:val="none" w:sz="0" w:space="0" w:color="auto"/>
                                <w:bottom w:val="none" w:sz="0" w:space="0" w:color="auto"/>
                                <w:right w:val="none" w:sz="0" w:space="0" w:color="auto"/>
                              </w:divBdr>
                            </w:div>
                          </w:divsChild>
                        </w:div>
                        <w:div w:id="550849013">
                          <w:marLeft w:val="0"/>
                          <w:marRight w:val="0"/>
                          <w:marTop w:val="0"/>
                          <w:marBottom w:val="0"/>
                          <w:divBdr>
                            <w:top w:val="none" w:sz="0" w:space="0" w:color="auto"/>
                            <w:left w:val="none" w:sz="0" w:space="0" w:color="auto"/>
                            <w:bottom w:val="none" w:sz="0" w:space="0" w:color="auto"/>
                            <w:right w:val="none" w:sz="0" w:space="0" w:color="auto"/>
                          </w:divBdr>
                          <w:divsChild>
                            <w:div w:id="1100368143">
                              <w:marLeft w:val="0"/>
                              <w:marRight w:val="0"/>
                              <w:marTop w:val="0"/>
                              <w:marBottom w:val="0"/>
                              <w:divBdr>
                                <w:top w:val="none" w:sz="0" w:space="0" w:color="auto"/>
                                <w:left w:val="none" w:sz="0" w:space="0" w:color="auto"/>
                                <w:bottom w:val="none" w:sz="0" w:space="0" w:color="auto"/>
                                <w:right w:val="none" w:sz="0" w:space="0" w:color="auto"/>
                              </w:divBdr>
                            </w:div>
                            <w:div w:id="1537934490">
                              <w:marLeft w:val="0"/>
                              <w:marRight w:val="0"/>
                              <w:marTop w:val="0"/>
                              <w:marBottom w:val="0"/>
                              <w:divBdr>
                                <w:top w:val="none" w:sz="0" w:space="0" w:color="auto"/>
                                <w:left w:val="none" w:sz="0" w:space="0" w:color="auto"/>
                                <w:bottom w:val="none" w:sz="0" w:space="0" w:color="auto"/>
                                <w:right w:val="none" w:sz="0" w:space="0" w:color="auto"/>
                              </w:divBdr>
                            </w:div>
                            <w:div w:id="44566772">
                              <w:marLeft w:val="0"/>
                              <w:marRight w:val="0"/>
                              <w:marTop w:val="0"/>
                              <w:marBottom w:val="0"/>
                              <w:divBdr>
                                <w:top w:val="none" w:sz="0" w:space="0" w:color="auto"/>
                                <w:left w:val="none" w:sz="0" w:space="0" w:color="auto"/>
                                <w:bottom w:val="none" w:sz="0" w:space="0" w:color="auto"/>
                                <w:right w:val="none" w:sz="0" w:space="0" w:color="auto"/>
                              </w:divBdr>
                            </w:div>
                            <w:div w:id="174882719">
                              <w:marLeft w:val="0"/>
                              <w:marRight w:val="0"/>
                              <w:marTop w:val="0"/>
                              <w:marBottom w:val="0"/>
                              <w:divBdr>
                                <w:top w:val="none" w:sz="0" w:space="0" w:color="auto"/>
                                <w:left w:val="none" w:sz="0" w:space="0" w:color="auto"/>
                                <w:bottom w:val="none" w:sz="0" w:space="0" w:color="auto"/>
                                <w:right w:val="none" w:sz="0" w:space="0" w:color="auto"/>
                              </w:divBdr>
                            </w:div>
                            <w:div w:id="777992785">
                              <w:marLeft w:val="0"/>
                              <w:marRight w:val="0"/>
                              <w:marTop w:val="0"/>
                              <w:marBottom w:val="0"/>
                              <w:divBdr>
                                <w:top w:val="none" w:sz="0" w:space="0" w:color="auto"/>
                                <w:left w:val="none" w:sz="0" w:space="0" w:color="auto"/>
                                <w:bottom w:val="none" w:sz="0" w:space="0" w:color="auto"/>
                                <w:right w:val="none" w:sz="0" w:space="0" w:color="auto"/>
                              </w:divBdr>
                            </w:div>
                            <w:div w:id="1597440834">
                              <w:marLeft w:val="0"/>
                              <w:marRight w:val="0"/>
                              <w:marTop w:val="0"/>
                              <w:marBottom w:val="0"/>
                              <w:divBdr>
                                <w:top w:val="none" w:sz="0" w:space="0" w:color="auto"/>
                                <w:left w:val="none" w:sz="0" w:space="0" w:color="auto"/>
                                <w:bottom w:val="none" w:sz="0" w:space="0" w:color="auto"/>
                                <w:right w:val="none" w:sz="0" w:space="0" w:color="auto"/>
                              </w:divBdr>
                            </w:div>
                            <w:div w:id="309409972">
                              <w:marLeft w:val="0"/>
                              <w:marRight w:val="0"/>
                              <w:marTop w:val="0"/>
                              <w:marBottom w:val="0"/>
                              <w:divBdr>
                                <w:top w:val="none" w:sz="0" w:space="0" w:color="auto"/>
                                <w:left w:val="none" w:sz="0" w:space="0" w:color="auto"/>
                                <w:bottom w:val="none" w:sz="0" w:space="0" w:color="auto"/>
                                <w:right w:val="none" w:sz="0" w:space="0" w:color="auto"/>
                              </w:divBdr>
                            </w:div>
                            <w:div w:id="1935045374">
                              <w:marLeft w:val="0"/>
                              <w:marRight w:val="0"/>
                              <w:marTop w:val="0"/>
                              <w:marBottom w:val="0"/>
                              <w:divBdr>
                                <w:top w:val="none" w:sz="0" w:space="0" w:color="auto"/>
                                <w:left w:val="none" w:sz="0" w:space="0" w:color="auto"/>
                                <w:bottom w:val="none" w:sz="0" w:space="0" w:color="auto"/>
                                <w:right w:val="none" w:sz="0" w:space="0" w:color="auto"/>
                              </w:divBdr>
                            </w:div>
                          </w:divsChild>
                        </w:div>
                        <w:div w:id="1555312552">
                          <w:marLeft w:val="0"/>
                          <w:marRight w:val="0"/>
                          <w:marTop w:val="0"/>
                          <w:marBottom w:val="0"/>
                          <w:divBdr>
                            <w:top w:val="none" w:sz="0" w:space="0" w:color="auto"/>
                            <w:left w:val="none" w:sz="0" w:space="0" w:color="auto"/>
                            <w:bottom w:val="none" w:sz="0" w:space="0" w:color="auto"/>
                            <w:right w:val="none" w:sz="0" w:space="0" w:color="auto"/>
                          </w:divBdr>
                          <w:divsChild>
                            <w:div w:id="1449274802">
                              <w:marLeft w:val="0"/>
                              <w:marRight w:val="0"/>
                              <w:marTop w:val="0"/>
                              <w:marBottom w:val="0"/>
                              <w:divBdr>
                                <w:top w:val="none" w:sz="0" w:space="0" w:color="auto"/>
                                <w:left w:val="none" w:sz="0" w:space="0" w:color="auto"/>
                                <w:bottom w:val="none" w:sz="0" w:space="0" w:color="auto"/>
                                <w:right w:val="none" w:sz="0" w:space="0" w:color="auto"/>
                              </w:divBdr>
                            </w:div>
                            <w:div w:id="1552577729">
                              <w:marLeft w:val="0"/>
                              <w:marRight w:val="0"/>
                              <w:marTop w:val="0"/>
                              <w:marBottom w:val="0"/>
                              <w:divBdr>
                                <w:top w:val="none" w:sz="0" w:space="0" w:color="auto"/>
                                <w:left w:val="none" w:sz="0" w:space="0" w:color="auto"/>
                                <w:bottom w:val="none" w:sz="0" w:space="0" w:color="auto"/>
                                <w:right w:val="none" w:sz="0" w:space="0" w:color="auto"/>
                              </w:divBdr>
                            </w:div>
                            <w:div w:id="1149596181">
                              <w:marLeft w:val="0"/>
                              <w:marRight w:val="0"/>
                              <w:marTop w:val="0"/>
                              <w:marBottom w:val="0"/>
                              <w:divBdr>
                                <w:top w:val="none" w:sz="0" w:space="0" w:color="auto"/>
                                <w:left w:val="none" w:sz="0" w:space="0" w:color="auto"/>
                                <w:bottom w:val="none" w:sz="0" w:space="0" w:color="auto"/>
                                <w:right w:val="none" w:sz="0" w:space="0" w:color="auto"/>
                              </w:divBdr>
                            </w:div>
                            <w:div w:id="832255316">
                              <w:marLeft w:val="0"/>
                              <w:marRight w:val="0"/>
                              <w:marTop w:val="0"/>
                              <w:marBottom w:val="0"/>
                              <w:divBdr>
                                <w:top w:val="none" w:sz="0" w:space="0" w:color="auto"/>
                                <w:left w:val="none" w:sz="0" w:space="0" w:color="auto"/>
                                <w:bottom w:val="none" w:sz="0" w:space="0" w:color="auto"/>
                                <w:right w:val="none" w:sz="0" w:space="0" w:color="auto"/>
                              </w:divBdr>
                            </w:div>
                            <w:div w:id="1606570042">
                              <w:marLeft w:val="0"/>
                              <w:marRight w:val="0"/>
                              <w:marTop w:val="0"/>
                              <w:marBottom w:val="0"/>
                              <w:divBdr>
                                <w:top w:val="none" w:sz="0" w:space="0" w:color="auto"/>
                                <w:left w:val="none" w:sz="0" w:space="0" w:color="auto"/>
                                <w:bottom w:val="none" w:sz="0" w:space="0" w:color="auto"/>
                                <w:right w:val="none" w:sz="0" w:space="0" w:color="auto"/>
                              </w:divBdr>
                            </w:div>
                            <w:div w:id="1737587472">
                              <w:marLeft w:val="0"/>
                              <w:marRight w:val="0"/>
                              <w:marTop w:val="0"/>
                              <w:marBottom w:val="0"/>
                              <w:divBdr>
                                <w:top w:val="none" w:sz="0" w:space="0" w:color="auto"/>
                                <w:left w:val="none" w:sz="0" w:space="0" w:color="auto"/>
                                <w:bottom w:val="none" w:sz="0" w:space="0" w:color="auto"/>
                                <w:right w:val="none" w:sz="0" w:space="0" w:color="auto"/>
                              </w:divBdr>
                            </w:div>
                            <w:div w:id="2131780371">
                              <w:marLeft w:val="0"/>
                              <w:marRight w:val="0"/>
                              <w:marTop w:val="0"/>
                              <w:marBottom w:val="0"/>
                              <w:divBdr>
                                <w:top w:val="none" w:sz="0" w:space="0" w:color="auto"/>
                                <w:left w:val="none" w:sz="0" w:space="0" w:color="auto"/>
                                <w:bottom w:val="none" w:sz="0" w:space="0" w:color="auto"/>
                                <w:right w:val="none" w:sz="0" w:space="0" w:color="auto"/>
                              </w:divBdr>
                            </w:div>
                            <w:div w:id="1807116135">
                              <w:marLeft w:val="0"/>
                              <w:marRight w:val="0"/>
                              <w:marTop w:val="0"/>
                              <w:marBottom w:val="0"/>
                              <w:divBdr>
                                <w:top w:val="none" w:sz="0" w:space="0" w:color="auto"/>
                                <w:left w:val="none" w:sz="0" w:space="0" w:color="auto"/>
                                <w:bottom w:val="none" w:sz="0" w:space="0" w:color="auto"/>
                                <w:right w:val="none" w:sz="0" w:space="0" w:color="auto"/>
                              </w:divBdr>
                            </w:div>
                            <w:div w:id="1973707466">
                              <w:marLeft w:val="0"/>
                              <w:marRight w:val="0"/>
                              <w:marTop w:val="0"/>
                              <w:marBottom w:val="0"/>
                              <w:divBdr>
                                <w:top w:val="none" w:sz="0" w:space="0" w:color="auto"/>
                                <w:left w:val="none" w:sz="0" w:space="0" w:color="auto"/>
                                <w:bottom w:val="none" w:sz="0" w:space="0" w:color="auto"/>
                                <w:right w:val="none" w:sz="0" w:space="0" w:color="auto"/>
                              </w:divBdr>
                            </w:div>
                            <w:div w:id="1968661323">
                              <w:marLeft w:val="0"/>
                              <w:marRight w:val="0"/>
                              <w:marTop w:val="0"/>
                              <w:marBottom w:val="0"/>
                              <w:divBdr>
                                <w:top w:val="none" w:sz="0" w:space="0" w:color="auto"/>
                                <w:left w:val="none" w:sz="0" w:space="0" w:color="auto"/>
                                <w:bottom w:val="none" w:sz="0" w:space="0" w:color="auto"/>
                                <w:right w:val="none" w:sz="0" w:space="0" w:color="auto"/>
                              </w:divBdr>
                            </w:div>
                            <w:div w:id="1676372296">
                              <w:marLeft w:val="0"/>
                              <w:marRight w:val="0"/>
                              <w:marTop w:val="0"/>
                              <w:marBottom w:val="0"/>
                              <w:divBdr>
                                <w:top w:val="none" w:sz="0" w:space="0" w:color="auto"/>
                                <w:left w:val="none" w:sz="0" w:space="0" w:color="auto"/>
                                <w:bottom w:val="none" w:sz="0" w:space="0" w:color="auto"/>
                                <w:right w:val="none" w:sz="0" w:space="0" w:color="auto"/>
                              </w:divBdr>
                            </w:div>
                            <w:div w:id="267928103">
                              <w:marLeft w:val="0"/>
                              <w:marRight w:val="0"/>
                              <w:marTop w:val="0"/>
                              <w:marBottom w:val="0"/>
                              <w:divBdr>
                                <w:top w:val="none" w:sz="0" w:space="0" w:color="auto"/>
                                <w:left w:val="none" w:sz="0" w:space="0" w:color="auto"/>
                                <w:bottom w:val="none" w:sz="0" w:space="0" w:color="auto"/>
                                <w:right w:val="none" w:sz="0" w:space="0" w:color="auto"/>
                              </w:divBdr>
                            </w:div>
                          </w:divsChild>
                        </w:div>
                        <w:div w:id="1743019729">
                          <w:marLeft w:val="0"/>
                          <w:marRight w:val="0"/>
                          <w:marTop w:val="0"/>
                          <w:marBottom w:val="0"/>
                          <w:divBdr>
                            <w:top w:val="none" w:sz="0" w:space="0" w:color="auto"/>
                            <w:left w:val="none" w:sz="0" w:space="0" w:color="auto"/>
                            <w:bottom w:val="none" w:sz="0" w:space="0" w:color="auto"/>
                            <w:right w:val="none" w:sz="0" w:space="0" w:color="auto"/>
                          </w:divBdr>
                          <w:divsChild>
                            <w:div w:id="1526017974">
                              <w:marLeft w:val="0"/>
                              <w:marRight w:val="0"/>
                              <w:marTop w:val="0"/>
                              <w:marBottom w:val="0"/>
                              <w:divBdr>
                                <w:top w:val="none" w:sz="0" w:space="0" w:color="auto"/>
                                <w:left w:val="none" w:sz="0" w:space="0" w:color="auto"/>
                                <w:bottom w:val="none" w:sz="0" w:space="0" w:color="auto"/>
                                <w:right w:val="none" w:sz="0" w:space="0" w:color="auto"/>
                              </w:divBdr>
                            </w:div>
                            <w:div w:id="1711220040">
                              <w:marLeft w:val="0"/>
                              <w:marRight w:val="0"/>
                              <w:marTop w:val="0"/>
                              <w:marBottom w:val="0"/>
                              <w:divBdr>
                                <w:top w:val="none" w:sz="0" w:space="0" w:color="auto"/>
                                <w:left w:val="none" w:sz="0" w:space="0" w:color="auto"/>
                                <w:bottom w:val="none" w:sz="0" w:space="0" w:color="auto"/>
                                <w:right w:val="none" w:sz="0" w:space="0" w:color="auto"/>
                              </w:divBdr>
                            </w:div>
                            <w:div w:id="1103575553">
                              <w:marLeft w:val="0"/>
                              <w:marRight w:val="0"/>
                              <w:marTop w:val="0"/>
                              <w:marBottom w:val="0"/>
                              <w:divBdr>
                                <w:top w:val="none" w:sz="0" w:space="0" w:color="auto"/>
                                <w:left w:val="none" w:sz="0" w:space="0" w:color="auto"/>
                                <w:bottom w:val="none" w:sz="0" w:space="0" w:color="auto"/>
                                <w:right w:val="none" w:sz="0" w:space="0" w:color="auto"/>
                              </w:divBdr>
                            </w:div>
                            <w:div w:id="1189683461">
                              <w:marLeft w:val="0"/>
                              <w:marRight w:val="0"/>
                              <w:marTop w:val="0"/>
                              <w:marBottom w:val="0"/>
                              <w:divBdr>
                                <w:top w:val="none" w:sz="0" w:space="0" w:color="auto"/>
                                <w:left w:val="none" w:sz="0" w:space="0" w:color="auto"/>
                                <w:bottom w:val="none" w:sz="0" w:space="0" w:color="auto"/>
                                <w:right w:val="none" w:sz="0" w:space="0" w:color="auto"/>
                              </w:divBdr>
                            </w:div>
                            <w:div w:id="1142506489">
                              <w:marLeft w:val="0"/>
                              <w:marRight w:val="0"/>
                              <w:marTop w:val="0"/>
                              <w:marBottom w:val="0"/>
                              <w:divBdr>
                                <w:top w:val="none" w:sz="0" w:space="0" w:color="auto"/>
                                <w:left w:val="none" w:sz="0" w:space="0" w:color="auto"/>
                                <w:bottom w:val="none" w:sz="0" w:space="0" w:color="auto"/>
                                <w:right w:val="none" w:sz="0" w:space="0" w:color="auto"/>
                              </w:divBdr>
                            </w:div>
                            <w:div w:id="1246305615">
                              <w:marLeft w:val="0"/>
                              <w:marRight w:val="0"/>
                              <w:marTop w:val="0"/>
                              <w:marBottom w:val="0"/>
                              <w:divBdr>
                                <w:top w:val="none" w:sz="0" w:space="0" w:color="auto"/>
                                <w:left w:val="none" w:sz="0" w:space="0" w:color="auto"/>
                                <w:bottom w:val="none" w:sz="0" w:space="0" w:color="auto"/>
                                <w:right w:val="none" w:sz="0" w:space="0" w:color="auto"/>
                              </w:divBdr>
                            </w:div>
                          </w:divsChild>
                        </w:div>
                        <w:div w:id="864631833">
                          <w:marLeft w:val="0"/>
                          <w:marRight w:val="0"/>
                          <w:marTop w:val="0"/>
                          <w:marBottom w:val="0"/>
                          <w:divBdr>
                            <w:top w:val="none" w:sz="0" w:space="0" w:color="auto"/>
                            <w:left w:val="none" w:sz="0" w:space="0" w:color="auto"/>
                            <w:bottom w:val="none" w:sz="0" w:space="0" w:color="auto"/>
                            <w:right w:val="none" w:sz="0" w:space="0" w:color="auto"/>
                          </w:divBdr>
                          <w:divsChild>
                            <w:div w:id="254947526">
                              <w:marLeft w:val="0"/>
                              <w:marRight w:val="0"/>
                              <w:marTop w:val="0"/>
                              <w:marBottom w:val="0"/>
                              <w:divBdr>
                                <w:top w:val="none" w:sz="0" w:space="0" w:color="auto"/>
                                <w:left w:val="none" w:sz="0" w:space="0" w:color="auto"/>
                                <w:bottom w:val="none" w:sz="0" w:space="0" w:color="auto"/>
                                <w:right w:val="none" w:sz="0" w:space="0" w:color="auto"/>
                              </w:divBdr>
                            </w:div>
                            <w:div w:id="749622498">
                              <w:marLeft w:val="0"/>
                              <w:marRight w:val="0"/>
                              <w:marTop w:val="0"/>
                              <w:marBottom w:val="0"/>
                              <w:divBdr>
                                <w:top w:val="none" w:sz="0" w:space="0" w:color="auto"/>
                                <w:left w:val="none" w:sz="0" w:space="0" w:color="auto"/>
                                <w:bottom w:val="none" w:sz="0" w:space="0" w:color="auto"/>
                                <w:right w:val="none" w:sz="0" w:space="0" w:color="auto"/>
                              </w:divBdr>
                            </w:div>
                            <w:div w:id="2130929227">
                              <w:marLeft w:val="0"/>
                              <w:marRight w:val="0"/>
                              <w:marTop w:val="0"/>
                              <w:marBottom w:val="0"/>
                              <w:divBdr>
                                <w:top w:val="none" w:sz="0" w:space="0" w:color="auto"/>
                                <w:left w:val="none" w:sz="0" w:space="0" w:color="auto"/>
                                <w:bottom w:val="none" w:sz="0" w:space="0" w:color="auto"/>
                                <w:right w:val="none" w:sz="0" w:space="0" w:color="auto"/>
                              </w:divBdr>
                            </w:div>
                            <w:div w:id="1934311990">
                              <w:marLeft w:val="0"/>
                              <w:marRight w:val="0"/>
                              <w:marTop w:val="0"/>
                              <w:marBottom w:val="0"/>
                              <w:divBdr>
                                <w:top w:val="none" w:sz="0" w:space="0" w:color="auto"/>
                                <w:left w:val="none" w:sz="0" w:space="0" w:color="auto"/>
                                <w:bottom w:val="none" w:sz="0" w:space="0" w:color="auto"/>
                                <w:right w:val="none" w:sz="0" w:space="0" w:color="auto"/>
                              </w:divBdr>
                            </w:div>
                            <w:div w:id="527763601">
                              <w:marLeft w:val="0"/>
                              <w:marRight w:val="0"/>
                              <w:marTop w:val="0"/>
                              <w:marBottom w:val="0"/>
                              <w:divBdr>
                                <w:top w:val="none" w:sz="0" w:space="0" w:color="auto"/>
                                <w:left w:val="none" w:sz="0" w:space="0" w:color="auto"/>
                                <w:bottom w:val="none" w:sz="0" w:space="0" w:color="auto"/>
                                <w:right w:val="none" w:sz="0" w:space="0" w:color="auto"/>
                              </w:divBdr>
                            </w:div>
                            <w:div w:id="970475589">
                              <w:marLeft w:val="0"/>
                              <w:marRight w:val="0"/>
                              <w:marTop w:val="0"/>
                              <w:marBottom w:val="0"/>
                              <w:divBdr>
                                <w:top w:val="none" w:sz="0" w:space="0" w:color="auto"/>
                                <w:left w:val="none" w:sz="0" w:space="0" w:color="auto"/>
                                <w:bottom w:val="none" w:sz="0" w:space="0" w:color="auto"/>
                                <w:right w:val="none" w:sz="0" w:space="0" w:color="auto"/>
                              </w:divBdr>
                            </w:div>
                            <w:div w:id="659313958">
                              <w:marLeft w:val="0"/>
                              <w:marRight w:val="0"/>
                              <w:marTop w:val="0"/>
                              <w:marBottom w:val="0"/>
                              <w:divBdr>
                                <w:top w:val="none" w:sz="0" w:space="0" w:color="auto"/>
                                <w:left w:val="none" w:sz="0" w:space="0" w:color="auto"/>
                                <w:bottom w:val="none" w:sz="0" w:space="0" w:color="auto"/>
                                <w:right w:val="none" w:sz="0" w:space="0" w:color="auto"/>
                              </w:divBdr>
                            </w:div>
                          </w:divsChild>
                        </w:div>
                        <w:div w:id="1345665414">
                          <w:marLeft w:val="0"/>
                          <w:marRight w:val="0"/>
                          <w:marTop w:val="0"/>
                          <w:marBottom w:val="0"/>
                          <w:divBdr>
                            <w:top w:val="none" w:sz="0" w:space="0" w:color="auto"/>
                            <w:left w:val="none" w:sz="0" w:space="0" w:color="auto"/>
                            <w:bottom w:val="none" w:sz="0" w:space="0" w:color="auto"/>
                            <w:right w:val="none" w:sz="0" w:space="0" w:color="auto"/>
                          </w:divBdr>
                          <w:divsChild>
                            <w:div w:id="603272527">
                              <w:marLeft w:val="0"/>
                              <w:marRight w:val="0"/>
                              <w:marTop w:val="0"/>
                              <w:marBottom w:val="0"/>
                              <w:divBdr>
                                <w:top w:val="none" w:sz="0" w:space="0" w:color="auto"/>
                                <w:left w:val="none" w:sz="0" w:space="0" w:color="auto"/>
                                <w:bottom w:val="none" w:sz="0" w:space="0" w:color="auto"/>
                                <w:right w:val="none" w:sz="0" w:space="0" w:color="auto"/>
                              </w:divBdr>
                            </w:div>
                            <w:div w:id="876502003">
                              <w:marLeft w:val="0"/>
                              <w:marRight w:val="0"/>
                              <w:marTop w:val="0"/>
                              <w:marBottom w:val="0"/>
                              <w:divBdr>
                                <w:top w:val="none" w:sz="0" w:space="0" w:color="auto"/>
                                <w:left w:val="none" w:sz="0" w:space="0" w:color="auto"/>
                                <w:bottom w:val="none" w:sz="0" w:space="0" w:color="auto"/>
                                <w:right w:val="none" w:sz="0" w:space="0" w:color="auto"/>
                              </w:divBdr>
                            </w:div>
                            <w:div w:id="413283641">
                              <w:marLeft w:val="0"/>
                              <w:marRight w:val="0"/>
                              <w:marTop w:val="0"/>
                              <w:marBottom w:val="0"/>
                              <w:divBdr>
                                <w:top w:val="none" w:sz="0" w:space="0" w:color="auto"/>
                                <w:left w:val="none" w:sz="0" w:space="0" w:color="auto"/>
                                <w:bottom w:val="none" w:sz="0" w:space="0" w:color="auto"/>
                                <w:right w:val="none" w:sz="0" w:space="0" w:color="auto"/>
                              </w:divBdr>
                            </w:div>
                            <w:div w:id="1618950453">
                              <w:marLeft w:val="0"/>
                              <w:marRight w:val="0"/>
                              <w:marTop w:val="0"/>
                              <w:marBottom w:val="0"/>
                              <w:divBdr>
                                <w:top w:val="none" w:sz="0" w:space="0" w:color="auto"/>
                                <w:left w:val="none" w:sz="0" w:space="0" w:color="auto"/>
                                <w:bottom w:val="none" w:sz="0" w:space="0" w:color="auto"/>
                                <w:right w:val="none" w:sz="0" w:space="0" w:color="auto"/>
                              </w:divBdr>
                            </w:div>
                            <w:div w:id="1226186693">
                              <w:marLeft w:val="0"/>
                              <w:marRight w:val="0"/>
                              <w:marTop w:val="0"/>
                              <w:marBottom w:val="0"/>
                              <w:divBdr>
                                <w:top w:val="none" w:sz="0" w:space="0" w:color="auto"/>
                                <w:left w:val="none" w:sz="0" w:space="0" w:color="auto"/>
                                <w:bottom w:val="none" w:sz="0" w:space="0" w:color="auto"/>
                                <w:right w:val="none" w:sz="0" w:space="0" w:color="auto"/>
                              </w:divBdr>
                            </w:div>
                            <w:div w:id="1737511227">
                              <w:marLeft w:val="0"/>
                              <w:marRight w:val="0"/>
                              <w:marTop w:val="0"/>
                              <w:marBottom w:val="0"/>
                              <w:divBdr>
                                <w:top w:val="none" w:sz="0" w:space="0" w:color="auto"/>
                                <w:left w:val="none" w:sz="0" w:space="0" w:color="auto"/>
                                <w:bottom w:val="none" w:sz="0" w:space="0" w:color="auto"/>
                                <w:right w:val="none" w:sz="0" w:space="0" w:color="auto"/>
                              </w:divBdr>
                            </w:div>
                            <w:div w:id="1369646692">
                              <w:marLeft w:val="0"/>
                              <w:marRight w:val="0"/>
                              <w:marTop w:val="0"/>
                              <w:marBottom w:val="0"/>
                              <w:divBdr>
                                <w:top w:val="none" w:sz="0" w:space="0" w:color="auto"/>
                                <w:left w:val="none" w:sz="0" w:space="0" w:color="auto"/>
                                <w:bottom w:val="none" w:sz="0" w:space="0" w:color="auto"/>
                                <w:right w:val="none" w:sz="0" w:space="0" w:color="auto"/>
                              </w:divBdr>
                            </w:div>
                            <w:div w:id="1415129750">
                              <w:marLeft w:val="0"/>
                              <w:marRight w:val="0"/>
                              <w:marTop w:val="0"/>
                              <w:marBottom w:val="0"/>
                              <w:divBdr>
                                <w:top w:val="none" w:sz="0" w:space="0" w:color="auto"/>
                                <w:left w:val="none" w:sz="0" w:space="0" w:color="auto"/>
                                <w:bottom w:val="none" w:sz="0" w:space="0" w:color="auto"/>
                                <w:right w:val="none" w:sz="0" w:space="0" w:color="auto"/>
                              </w:divBdr>
                            </w:div>
                          </w:divsChild>
                        </w:div>
                        <w:div w:id="1160465872">
                          <w:marLeft w:val="0"/>
                          <w:marRight w:val="0"/>
                          <w:marTop w:val="0"/>
                          <w:marBottom w:val="0"/>
                          <w:divBdr>
                            <w:top w:val="none" w:sz="0" w:space="0" w:color="auto"/>
                            <w:left w:val="none" w:sz="0" w:space="0" w:color="auto"/>
                            <w:bottom w:val="none" w:sz="0" w:space="0" w:color="auto"/>
                            <w:right w:val="none" w:sz="0" w:space="0" w:color="auto"/>
                          </w:divBdr>
                          <w:divsChild>
                            <w:div w:id="1508133888">
                              <w:marLeft w:val="0"/>
                              <w:marRight w:val="0"/>
                              <w:marTop w:val="0"/>
                              <w:marBottom w:val="0"/>
                              <w:divBdr>
                                <w:top w:val="none" w:sz="0" w:space="0" w:color="auto"/>
                                <w:left w:val="none" w:sz="0" w:space="0" w:color="auto"/>
                                <w:bottom w:val="none" w:sz="0" w:space="0" w:color="auto"/>
                                <w:right w:val="none" w:sz="0" w:space="0" w:color="auto"/>
                              </w:divBdr>
                            </w:div>
                            <w:div w:id="2044285144">
                              <w:marLeft w:val="0"/>
                              <w:marRight w:val="0"/>
                              <w:marTop w:val="0"/>
                              <w:marBottom w:val="0"/>
                              <w:divBdr>
                                <w:top w:val="none" w:sz="0" w:space="0" w:color="auto"/>
                                <w:left w:val="none" w:sz="0" w:space="0" w:color="auto"/>
                                <w:bottom w:val="none" w:sz="0" w:space="0" w:color="auto"/>
                                <w:right w:val="none" w:sz="0" w:space="0" w:color="auto"/>
                              </w:divBdr>
                            </w:div>
                            <w:div w:id="309679648">
                              <w:marLeft w:val="0"/>
                              <w:marRight w:val="0"/>
                              <w:marTop w:val="0"/>
                              <w:marBottom w:val="0"/>
                              <w:divBdr>
                                <w:top w:val="none" w:sz="0" w:space="0" w:color="auto"/>
                                <w:left w:val="none" w:sz="0" w:space="0" w:color="auto"/>
                                <w:bottom w:val="none" w:sz="0" w:space="0" w:color="auto"/>
                                <w:right w:val="none" w:sz="0" w:space="0" w:color="auto"/>
                              </w:divBdr>
                            </w:div>
                            <w:div w:id="428890491">
                              <w:marLeft w:val="0"/>
                              <w:marRight w:val="0"/>
                              <w:marTop w:val="0"/>
                              <w:marBottom w:val="0"/>
                              <w:divBdr>
                                <w:top w:val="none" w:sz="0" w:space="0" w:color="auto"/>
                                <w:left w:val="none" w:sz="0" w:space="0" w:color="auto"/>
                                <w:bottom w:val="none" w:sz="0" w:space="0" w:color="auto"/>
                                <w:right w:val="none" w:sz="0" w:space="0" w:color="auto"/>
                              </w:divBdr>
                            </w:div>
                            <w:div w:id="1505321505">
                              <w:marLeft w:val="0"/>
                              <w:marRight w:val="0"/>
                              <w:marTop w:val="0"/>
                              <w:marBottom w:val="0"/>
                              <w:divBdr>
                                <w:top w:val="none" w:sz="0" w:space="0" w:color="auto"/>
                                <w:left w:val="none" w:sz="0" w:space="0" w:color="auto"/>
                                <w:bottom w:val="none" w:sz="0" w:space="0" w:color="auto"/>
                                <w:right w:val="none" w:sz="0" w:space="0" w:color="auto"/>
                              </w:divBdr>
                            </w:div>
                            <w:div w:id="658925660">
                              <w:marLeft w:val="0"/>
                              <w:marRight w:val="0"/>
                              <w:marTop w:val="0"/>
                              <w:marBottom w:val="0"/>
                              <w:divBdr>
                                <w:top w:val="none" w:sz="0" w:space="0" w:color="auto"/>
                                <w:left w:val="none" w:sz="0" w:space="0" w:color="auto"/>
                                <w:bottom w:val="none" w:sz="0" w:space="0" w:color="auto"/>
                                <w:right w:val="none" w:sz="0" w:space="0" w:color="auto"/>
                              </w:divBdr>
                            </w:div>
                          </w:divsChild>
                        </w:div>
                        <w:div w:id="848638758">
                          <w:marLeft w:val="0"/>
                          <w:marRight w:val="0"/>
                          <w:marTop w:val="0"/>
                          <w:marBottom w:val="0"/>
                          <w:divBdr>
                            <w:top w:val="none" w:sz="0" w:space="0" w:color="auto"/>
                            <w:left w:val="none" w:sz="0" w:space="0" w:color="auto"/>
                            <w:bottom w:val="none" w:sz="0" w:space="0" w:color="auto"/>
                            <w:right w:val="none" w:sz="0" w:space="0" w:color="auto"/>
                          </w:divBdr>
                          <w:divsChild>
                            <w:div w:id="877158274">
                              <w:marLeft w:val="0"/>
                              <w:marRight w:val="0"/>
                              <w:marTop w:val="0"/>
                              <w:marBottom w:val="0"/>
                              <w:divBdr>
                                <w:top w:val="none" w:sz="0" w:space="0" w:color="auto"/>
                                <w:left w:val="none" w:sz="0" w:space="0" w:color="auto"/>
                                <w:bottom w:val="none" w:sz="0" w:space="0" w:color="auto"/>
                                <w:right w:val="none" w:sz="0" w:space="0" w:color="auto"/>
                              </w:divBdr>
                            </w:div>
                            <w:div w:id="909078529">
                              <w:marLeft w:val="0"/>
                              <w:marRight w:val="0"/>
                              <w:marTop w:val="0"/>
                              <w:marBottom w:val="0"/>
                              <w:divBdr>
                                <w:top w:val="none" w:sz="0" w:space="0" w:color="auto"/>
                                <w:left w:val="none" w:sz="0" w:space="0" w:color="auto"/>
                                <w:bottom w:val="none" w:sz="0" w:space="0" w:color="auto"/>
                                <w:right w:val="none" w:sz="0" w:space="0" w:color="auto"/>
                              </w:divBdr>
                            </w:div>
                            <w:div w:id="1885365439">
                              <w:marLeft w:val="0"/>
                              <w:marRight w:val="0"/>
                              <w:marTop w:val="0"/>
                              <w:marBottom w:val="0"/>
                              <w:divBdr>
                                <w:top w:val="none" w:sz="0" w:space="0" w:color="auto"/>
                                <w:left w:val="none" w:sz="0" w:space="0" w:color="auto"/>
                                <w:bottom w:val="none" w:sz="0" w:space="0" w:color="auto"/>
                                <w:right w:val="none" w:sz="0" w:space="0" w:color="auto"/>
                              </w:divBdr>
                            </w:div>
                            <w:div w:id="410472529">
                              <w:marLeft w:val="0"/>
                              <w:marRight w:val="0"/>
                              <w:marTop w:val="0"/>
                              <w:marBottom w:val="0"/>
                              <w:divBdr>
                                <w:top w:val="none" w:sz="0" w:space="0" w:color="auto"/>
                                <w:left w:val="none" w:sz="0" w:space="0" w:color="auto"/>
                                <w:bottom w:val="none" w:sz="0" w:space="0" w:color="auto"/>
                                <w:right w:val="none" w:sz="0" w:space="0" w:color="auto"/>
                              </w:divBdr>
                            </w:div>
                            <w:div w:id="50354446">
                              <w:marLeft w:val="0"/>
                              <w:marRight w:val="0"/>
                              <w:marTop w:val="0"/>
                              <w:marBottom w:val="0"/>
                              <w:divBdr>
                                <w:top w:val="none" w:sz="0" w:space="0" w:color="auto"/>
                                <w:left w:val="none" w:sz="0" w:space="0" w:color="auto"/>
                                <w:bottom w:val="none" w:sz="0" w:space="0" w:color="auto"/>
                                <w:right w:val="none" w:sz="0" w:space="0" w:color="auto"/>
                              </w:divBdr>
                            </w:div>
                            <w:div w:id="8483413">
                              <w:marLeft w:val="0"/>
                              <w:marRight w:val="0"/>
                              <w:marTop w:val="0"/>
                              <w:marBottom w:val="0"/>
                              <w:divBdr>
                                <w:top w:val="none" w:sz="0" w:space="0" w:color="auto"/>
                                <w:left w:val="none" w:sz="0" w:space="0" w:color="auto"/>
                                <w:bottom w:val="none" w:sz="0" w:space="0" w:color="auto"/>
                                <w:right w:val="none" w:sz="0" w:space="0" w:color="auto"/>
                              </w:divBdr>
                            </w:div>
                            <w:div w:id="1295021082">
                              <w:marLeft w:val="0"/>
                              <w:marRight w:val="0"/>
                              <w:marTop w:val="0"/>
                              <w:marBottom w:val="0"/>
                              <w:divBdr>
                                <w:top w:val="none" w:sz="0" w:space="0" w:color="auto"/>
                                <w:left w:val="none" w:sz="0" w:space="0" w:color="auto"/>
                                <w:bottom w:val="none" w:sz="0" w:space="0" w:color="auto"/>
                                <w:right w:val="none" w:sz="0" w:space="0" w:color="auto"/>
                              </w:divBdr>
                            </w:div>
                          </w:divsChild>
                        </w:div>
                        <w:div w:id="852064514">
                          <w:marLeft w:val="0"/>
                          <w:marRight w:val="0"/>
                          <w:marTop w:val="0"/>
                          <w:marBottom w:val="0"/>
                          <w:divBdr>
                            <w:top w:val="none" w:sz="0" w:space="0" w:color="auto"/>
                            <w:left w:val="none" w:sz="0" w:space="0" w:color="auto"/>
                            <w:bottom w:val="none" w:sz="0" w:space="0" w:color="auto"/>
                            <w:right w:val="none" w:sz="0" w:space="0" w:color="auto"/>
                          </w:divBdr>
                          <w:divsChild>
                            <w:div w:id="1491098833">
                              <w:marLeft w:val="0"/>
                              <w:marRight w:val="0"/>
                              <w:marTop w:val="0"/>
                              <w:marBottom w:val="0"/>
                              <w:divBdr>
                                <w:top w:val="none" w:sz="0" w:space="0" w:color="auto"/>
                                <w:left w:val="none" w:sz="0" w:space="0" w:color="auto"/>
                                <w:bottom w:val="none" w:sz="0" w:space="0" w:color="auto"/>
                                <w:right w:val="none" w:sz="0" w:space="0" w:color="auto"/>
                              </w:divBdr>
                            </w:div>
                            <w:div w:id="899171429">
                              <w:marLeft w:val="0"/>
                              <w:marRight w:val="0"/>
                              <w:marTop w:val="0"/>
                              <w:marBottom w:val="0"/>
                              <w:divBdr>
                                <w:top w:val="none" w:sz="0" w:space="0" w:color="auto"/>
                                <w:left w:val="none" w:sz="0" w:space="0" w:color="auto"/>
                                <w:bottom w:val="none" w:sz="0" w:space="0" w:color="auto"/>
                                <w:right w:val="none" w:sz="0" w:space="0" w:color="auto"/>
                              </w:divBdr>
                            </w:div>
                            <w:div w:id="1760254828">
                              <w:marLeft w:val="0"/>
                              <w:marRight w:val="0"/>
                              <w:marTop w:val="0"/>
                              <w:marBottom w:val="0"/>
                              <w:divBdr>
                                <w:top w:val="none" w:sz="0" w:space="0" w:color="auto"/>
                                <w:left w:val="none" w:sz="0" w:space="0" w:color="auto"/>
                                <w:bottom w:val="none" w:sz="0" w:space="0" w:color="auto"/>
                                <w:right w:val="none" w:sz="0" w:space="0" w:color="auto"/>
                              </w:divBdr>
                            </w:div>
                            <w:div w:id="1473401953">
                              <w:marLeft w:val="0"/>
                              <w:marRight w:val="0"/>
                              <w:marTop w:val="0"/>
                              <w:marBottom w:val="0"/>
                              <w:divBdr>
                                <w:top w:val="none" w:sz="0" w:space="0" w:color="auto"/>
                                <w:left w:val="none" w:sz="0" w:space="0" w:color="auto"/>
                                <w:bottom w:val="none" w:sz="0" w:space="0" w:color="auto"/>
                                <w:right w:val="none" w:sz="0" w:space="0" w:color="auto"/>
                              </w:divBdr>
                            </w:div>
                            <w:div w:id="1663896960">
                              <w:marLeft w:val="0"/>
                              <w:marRight w:val="0"/>
                              <w:marTop w:val="0"/>
                              <w:marBottom w:val="0"/>
                              <w:divBdr>
                                <w:top w:val="none" w:sz="0" w:space="0" w:color="auto"/>
                                <w:left w:val="none" w:sz="0" w:space="0" w:color="auto"/>
                                <w:bottom w:val="none" w:sz="0" w:space="0" w:color="auto"/>
                                <w:right w:val="none" w:sz="0" w:space="0" w:color="auto"/>
                              </w:divBdr>
                            </w:div>
                            <w:div w:id="1966230745">
                              <w:marLeft w:val="0"/>
                              <w:marRight w:val="0"/>
                              <w:marTop w:val="0"/>
                              <w:marBottom w:val="0"/>
                              <w:divBdr>
                                <w:top w:val="none" w:sz="0" w:space="0" w:color="auto"/>
                                <w:left w:val="none" w:sz="0" w:space="0" w:color="auto"/>
                                <w:bottom w:val="none" w:sz="0" w:space="0" w:color="auto"/>
                                <w:right w:val="none" w:sz="0" w:space="0" w:color="auto"/>
                              </w:divBdr>
                            </w:div>
                          </w:divsChild>
                        </w:div>
                        <w:div w:id="702171680">
                          <w:marLeft w:val="0"/>
                          <w:marRight w:val="0"/>
                          <w:marTop w:val="0"/>
                          <w:marBottom w:val="0"/>
                          <w:divBdr>
                            <w:top w:val="none" w:sz="0" w:space="0" w:color="auto"/>
                            <w:left w:val="none" w:sz="0" w:space="0" w:color="auto"/>
                            <w:bottom w:val="none" w:sz="0" w:space="0" w:color="auto"/>
                            <w:right w:val="none" w:sz="0" w:space="0" w:color="auto"/>
                          </w:divBdr>
                          <w:divsChild>
                            <w:div w:id="1887251824">
                              <w:marLeft w:val="0"/>
                              <w:marRight w:val="0"/>
                              <w:marTop w:val="0"/>
                              <w:marBottom w:val="0"/>
                              <w:divBdr>
                                <w:top w:val="none" w:sz="0" w:space="0" w:color="auto"/>
                                <w:left w:val="none" w:sz="0" w:space="0" w:color="auto"/>
                                <w:bottom w:val="none" w:sz="0" w:space="0" w:color="auto"/>
                                <w:right w:val="none" w:sz="0" w:space="0" w:color="auto"/>
                              </w:divBdr>
                            </w:div>
                            <w:div w:id="1171607532">
                              <w:marLeft w:val="0"/>
                              <w:marRight w:val="0"/>
                              <w:marTop w:val="0"/>
                              <w:marBottom w:val="0"/>
                              <w:divBdr>
                                <w:top w:val="none" w:sz="0" w:space="0" w:color="auto"/>
                                <w:left w:val="none" w:sz="0" w:space="0" w:color="auto"/>
                                <w:bottom w:val="none" w:sz="0" w:space="0" w:color="auto"/>
                                <w:right w:val="none" w:sz="0" w:space="0" w:color="auto"/>
                              </w:divBdr>
                            </w:div>
                            <w:div w:id="544147879">
                              <w:marLeft w:val="0"/>
                              <w:marRight w:val="0"/>
                              <w:marTop w:val="0"/>
                              <w:marBottom w:val="0"/>
                              <w:divBdr>
                                <w:top w:val="none" w:sz="0" w:space="0" w:color="auto"/>
                                <w:left w:val="none" w:sz="0" w:space="0" w:color="auto"/>
                                <w:bottom w:val="none" w:sz="0" w:space="0" w:color="auto"/>
                                <w:right w:val="none" w:sz="0" w:space="0" w:color="auto"/>
                              </w:divBdr>
                            </w:div>
                            <w:div w:id="1635283709">
                              <w:marLeft w:val="0"/>
                              <w:marRight w:val="0"/>
                              <w:marTop w:val="0"/>
                              <w:marBottom w:val="0"/>
                              <w:divBdr>
                                <w:top w:val="none" w:sz="0" w:space="0" w:color="auto"/>
                                <w:left w:val="none" w:sz="0" w:space="0" w:color="auto"/>
                                <w:bottom w:val="none" w:sz="0" w:space="0" w:color="auto"/>
                                <w:right w:val="none" w:sz="0" w:space="0" w:color="auto"/>
                              </w:divBdr>
                            </w:div>
                            <w:div w:id="650838042">
                              <w:marLeft w:val="0"/>
                              <w:marRight w:val="0"/>
                              <w:marTop w:val="0"/>
                              <w:marBottom w:val="0"/>
                              <w:divBdr>
                                <w:top w:val="none" w:sz="0" w:space="0" w:color="auto"/>
                                <w:left w:val="none" w:sz="0" w:space="0" w:color="auto"/>
                                <w:bottom w:val="none" w:sz="0" w:space="0" w:color="auto"/>
                                <w:right w:val="none" w:sz="0" w:space="0" w:color="auto"/>
                              </w:divBdr>
                            </w:div>
                            <w:div w:id="184339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512783">
                      <w:marLeft w:val="0"/>
                      <w:marRight w:val="0"/>
                      <w:marTop w:val="0"/>
                      <w:marBottom w:val="0"/>
                      <w:divBdr>
                        <w:top w:val="none" w:sz="0" w:space="0" w:color="auto"/>
                        <w:left w:val="none" w:sz="0" w:space="0" w:color="auto"/>
                        <w:bottom w:val="none" w:sz="0" w:space="0" w:color="auto"/>
                        <w:right w:val="none" w:sz="0" w:space="0" w:color="auto"/>
                      </w:divBdr>
                      <w:divsChild>
                        <w:div w:id="2121680230">
                          <w:marLeft w:val="0"/>
                          <w:marRight w:val="0"/>
                          <w:marTop w:val="0"/>
                          <w:marBottom w:val="0"/>
                          <w:divBdr>
                            <w:top w:val="none" w:sz="0" w:space="0" w:color="auto"/>
                            <w:left w:val="none" w:sz="0" w:space="0" w:color="auto"/>
                            <w:bottom w:val="none" w:sz="0" w:space="0" w:color="auto"/>
                            <w:right w:val="none" w:sz="0" w:space="0" w:color="auto"/>
                          </w:divBdr>
                        </w:div>
                        <w:div w:id="1154100405">
                          <w:marLeft w:val="0"/>
                          <w:marRight w:val="0"/>
                          <w:marTop w:val="0"/>
                          <w:marBottom w:val="0"/>
                          <w:divBdr>
                            <w:top w:val="none" w:sz="0" w:space="0" w:color="auto"/>
                            <w:left w:val="none" w:sz="0" w:space="0" w:color="auto"/>
                            <w:bottom w:val="none" w:sz="0" w:space="0" w:color="auto"/>
                            <w:right w:val="none" w:sz="0" w:space="0" w:color="auto"/>
                          </w:divBdr>
                          <w:divsChild>
                            <w:div w:id="152186601">
                              <w:marLeft w:val="0"/>
                              <w:marRight w:val="0"/>
                              <w:marTop w:val="0"/>
                              <w:marBottom w:val="0"/>
                              <w:divBdr>
                                <w:top w:val="none" w:sz="0" w:space="0" w:color="auto"/>
                                <w:left w:val="none" w:sz="0" w:space="0" w:color="auto"/>
                                <w:bottom w:val="none" w:sz="0" w:space="0" w:color="auto"/>
                                <w:right w:val="none" w:sz="0" w:space="0" w:color="auto"/>
                              </w:divBdr>
                            </w:div>
                            <w:div w:id="1179539421">
                              <w:marLeft w:val="0"/>
                              <w:marRight w:val="0"/>
                              <w:marTop w:val="0"/>
                              <w:marBottom w:val="0"/>
                              <w:divBdr>
                                <w:top w:val="none" w:sz="0" w:space="0" w:color="auto"/>
                                <w:left w:val="none" w:sz="0" w:space="0" w:color="auto"/>
                                <w:bottom w:val="none" w:sz="0" w:space="0" w:color="auto"/>
                                <w:right w:val="none" w:sz="0" w:space="0" w:color="auto"/>
                              </w:divBdr>
                            </w:div>
                            <w:div w:id="1214386619">
                              <w:marLeft w:val="0"/>
                              <w:marRight w:val="0"/>
                              <w:marTop w:val="0"/>
                              <w:marBottom w:val="0"/>
                              <w:divBdr>
                                <w:top w:val="none" w:sz="0" w:space="0" w:color="auto"/>
                                <w:left w:val="none" w:sz="0" w:space="0" w:color="auto"/>
                                <w:bottom w:val="none" w:sz="0" w:space="0" w:color="auto"/>
                                <w:right w:val="none" w:sz="0" w:space="0" w:color="auto"/>
                              </w:divBdr>
                            </w:div>
                          </w:divsChild>
                        </w:div>
                        <w:div w:id="680819354">
                          <w:marLeft w:val="0"/>
                          <w:marRight w:val="0"/>
                          <w:marTop w:val="0"/>
                          <w:marBottom w:val="0"/>
                          <w:divBdr>
                            <w:top w:val="none" w:sz="0" w:space="0" w:color="auto"/>
                            <w:left w:val="none" w:sz="0" w:space="0" w:color="auto"/>
                            <w:bottom w:val="none" w:sz="0" w:space="0" w:color="auto"/>
                            <w:right w:val="none" w:sz="0" w:space="0" w:color="auto"/>
                          </w:divBdr>
                          <w:divsChild>
                            <w:div w:id="1089159263">
                              <w:marLeft w:val="0"/>
                              <w:marRight w:val="0"/>
                              <w:marTop w:val="0"/>
                              <w:marBottom w:val="0"/>
                              <w:divBdr>
                                <w:top w:val="none" w:sz="0" w:space="0" w:color="auto"/>
                                <w:left w:val="none" w:sz="0" w:space="0" w:color="auto"/>
                                <w:bottom w:val="none" w:sz="0" w:space="0" w:color="auto"/>
                                <w:right w:val="none" w:sz="0" w:space="0" w:color="auto"/>
                              </w:divBdr>
                            </w:div>
                          </w:divsChild>
                        </w:div>
                        <w:div w:id="1206329306">
                          <w:marLeft w:val="0"/>
                          <w:marRight w:val="0"/>
                          <w:marTop w:val="0"/>
                          <w:marBottom w:val="0"/>
                          <w:divBdr>
                            <w:top w:val="none" w:sz="0" w:space="0" w:color="auto"/>
                            <w:left w:val="none" w:sz="0" w:space="0" w:color="auto"/>
                            <w:bottom w:val="none" w:sz="0" w:space="0" w:color="auto"/>
                            <w:right w:val="none" w:sz="0" w:space="0" w:color="auto"/>
                          </w:divBdr>
                          <w:divsChild>
                            <w:div w:id="368917474">
                              <w:marLeft w:val="0"/>
                              <w:marRight w:val="0"/>
                              <w:marTop w:val="0"/>
                              <w:marBottom w:val="0"/>
                              <w:divBdr>
                                <w:top w:val="none" w:sz="0" w:space="0" w:color="auto"/>
                                <w:left w:val="none" w:sz="0" w:space="0" w:color="auto"/>
                                <w:bottom w:val="none" w:sz="0" w:space="0" w:color="auto"/>
                                <w:right w:val="none" w:sz="0" w:space="0" w:color="auto"/>
                              </w:divBdr>
                            </w:div>
                            <w:div w:id="1033965362">
                              <w:marLeft w:val="0"/>
                              <w:marRight w:val="0"/>
                              <w:marTop w:val="0"/>
                              <w:marBottom w:val="0"/>
                              <w:divBdr>
                                <w:top w:val="none" w:sz="0" w:space="0" w:color="auto"/>
                                <w:left w:val="none" w:sz="0" w:space="0" w:color="auto"/>
                                <w:bottom w:val="none" w:sz="0" w:space="0" w:color="auto"/>
                                <w:right w:val="none" w:sz="0" w:space="0" w:color="auto"/>
                              </w:divBdr>
                            </w:div>
                            <w:div w:id="1997763780">
                              <w:marLeft w:val="0"/>
                              <w:marRight w:val="0"/>
                              <w:marTop w:val="0"/>
                              <w:marBottom w:val="0"/>
                              <w:divBdr>
                                <w:top w:val="none" w:sz="0" w:space="0" w:color="auto"/>
                                <w:left w:val="none" w:sz="0" w:space="0" w:color="auto"/>
                                <w:bottom w:val="none" w:sz="0" w:space="0" w:color="auto"/>
                                <w:right w:val="none" w:sz="0" w:space="0" w:color="auto"/>
                              </w:divBdr>
                            </w:div>
                            <w:div w:id="1027874589">
                              <w:marLeft w:val="0"/>
                              <w:marRight w:val="0"/>
                              <w:marTop w:val="0"/>
                              <w:marBottom w:val="0"/>
                              <w:divBdr>
                                <w:top w:val="none" w:sz="0" w:space="0" w:color="auto"/>
                                <w:left w:val="none" w:sz="0" w:space="0" w:color="auto"/>
                                <w:bottom w:val="none" w:sz="0" w:space="0" w:color="auto"/>
                                <w:right w:val="none" w:sz="0" w:space="0" w:color="auto"/>
                              </w:divBdr>
                            </w:div>
                            <w:div w:id="935409306">
                              <w:marLeft w:val="0"/>
                              <w:marRight w:val="0"/>
                              <w:marTop w:val="0"/>
                              <w:marBottom w:val="0"/>
                              <w:divBdr>
                                <w:top w:val="none" w:sz="0" w:space="0" w:color="auto"/>
                                <w:left w:val="none" w:sz="0" w:space="0" w:color="auto"/>
                                <w:bottom w:val="none" w:sz="0" w:space="0" w:color="auto"/>
                                <w:right w:val="none" w:sz="0" w:space="0" w:color="auto"/>
                              </w:divBdr>
                            </w:div>
                            <w:div w:id="1488672090">
                              <w:marLeft w:val="0"/>
                              <w:marRight w:val="0"/>
                              <w:marTop w:val="0"/>
                              <w:marBottom w:val="0"/>
                              <w:divBdr>
                                <w:top w:val="none" w:sz="0" w:space="0" w:color="auto"/>
                                <w:left w:val="none" w:sz="0" w:space="0" w:color="auto"/>
                                <w:bottom w:val="none" w:sz="0" w:space="0" w:color="auto"/>
                                <w:right w:val="none" w:sz="0" w:space="0" w:color="auto"/>
                              </w:divBdr>
                            </w:div>
                            <w:div w:id="1949773395">
                              <w:marLeft w:val="0"/>
                              <w:marRight w:val="0"/>
                              <w:marTop w:val="0"/>
                              <w:marBottom w:val="0"/>
                              <w:divBdr>
                                <w:top w:val="none" w:sz="0" w:space="0" w:color="auto"/>
                                <w:left w:val="none" w:sz="0" w:space="0" w:color="auto"/>
                                <w:bottom w:val="none" w:sz="0" w:space="0" w:color="auto"/>
                                <w:right w:val="none" w:sz="0" w:space="0" w:color="auto"/>
                              </w:divBdr>
                            </w:div>
                          </w:divsChild>
                        </w:div>
                        <w:div w:id="2079354112">
                          <w:marLeft w:val="0"/>
                          <w:marRight w:val="0"/>
                          <w:marTop w:val="0"/>
                          <w:marBottom w:val="0"/>
                          <w:divBdr>
                            <w:top w:val="none" w:sz="0" w:space="0" w:color="auto"/>
                            <w:left w:val="none" w:sz="0" w:space="0" w:color="auto"/>
                            <w:bottom w:val="none" w:sz="0" w:space="0" w:color="auto"/>
                            <w:right w:val="none" w:sz="0" w:space="0" w:color="auto"/>
                          </w:divBdr>
                          <w:divsChild>
                            <w:div w:id="1997799797">
                              <w:marLeft w:val="0"/>
                              <w:marRight w:val="0"/>
                              <w:marTop w:val="0"/>
                              <w:marBottom w:val="0"/>
                              <w:divBdr>
                                <w:top w:val="none" w:sz="0" w:space="0" w:color="auto"/>
                                <w:left w:val="none" w:sz="0" w:space="0" w:color="auto"/>
                                <w:bottom w:val="none" w:sz="0" w:space="0" w:color="auto"/>
                                <w:right w:val="none" w:sz="0" w:space="0" w:color="auto"/>
                              </w:divBdr>
                            </w:div>
                            <w:div w:id="1661998912">
                              <w:marLeft w:val="0"/>
                              <w:marRight w:val="0"/>
                              <w:marTop w:val="0"/>
                              <w:marBottom w:val="0"/>
                              <w:divBdr>
                                <w:top w:val="none" w:sz="0" w:space="0" w:color="auto"/>
                                <w:left w:val="none" w:sz="0" w:space="0" w:color="auto"/>
                                <w:bottom w:val="none" w:sz="0" w:space="0" w:color="auto"/>
                                <w:right w:val="none" w:sz="0" w:space="0" w:color="auto"/>
                              </w:divBdr>
                            </w:div>
                            <w:div w:id="200899721">
                              <w:marLeft w:val="0"/>
                              <w:marRight w:val="0"/>
                              <w:marTop w:val="0"/>
                              <w:marBottom w:val="0"/>
                              <w:divBdr>
                                <w:top w:val="none" w:sz="0" w:space="0" w:color="auto"/>
                                <w:left w:val="none" w:sz="0" w:space="0" w:color="auto"/>
                                <w:bottom w:val="none" w:sz="0" w:space="0" w:color="auto"/>
                                <w:right w:val="none" w:sz="0" w:space="0" w:color="auto"/>
                              </w:divBdr>
                            </w:div>
                            <w:div w:id="1277907423">
                              <w:marLeft w:val="0"/>
                              <w:marRight w:val="0"/>
                              <w:marTop w:val="0"/>
                              <w:marBottom w:val="0"/>
                              <w:divBdr>
                                <w:top w:val="none" w:sz="0" w:space="0" w:color="auto"/>
                                <w:left w:val="none" w:sz="0" w:space="0" w:color="auto"/>
                                <w:bottom w:val="none" w:sz="0" w:space="0" w:color="auto"/>
                                <w:right w:val="none" w:sz="0" w:space="0" w:color="auto"/>
                              </w:divBdr>
                            </w:div>
                          </w:divsChild>
                        </w:div>
                        <w:div w:id="44377419">
                          <w:marLeft w:val="0"/>
                          <w:marRight w:val="0"/>
                          <w:marTop w:val="0"/>
                          <w:marBottom w:val="0"/>
                          <w:divBdr>
                            <w:top w:val="none" w:sz="0" w:space="0" w:color="auto"/>
                            <w:left w:val="none" w:sz="0" w:space="0" w:color="auto"/>
                            <w:bottom w:val="none" w:sz="0" w:space="0" w:color="auto"/>
                            <w:right w:val="none" w:sz="0" w:space="0" w:color="auto"/>
                          </w:divBdr>
                          <w:divsChild>
                            <w:div w:id="1392928587">
                              <w:marLeft w:val="0"/>
                              <w:marRight w:val="0"/>
                              <w:marTop w:val="0"/>
                              <w:marBottom w:val="0"/>
                              <w:divBdr>
                                <w:top w:val="none" w:sz="0" w:space="0" w:color="auto"/>
                                <w:left w:val="none" w:sz="0" w:space="0" w:color="auto"/>
                                <w:bottom w:val="none" w:sz="0" w:space="0" w:color="auto"/>
                                <w:right w:val="none" w:sz="0" w:space="0" w:color="auto"/>
                              </w:divBdr>
                            </w:div>
                            <w:div w:id="1520966256">
                              <w:marLeft w:val="0"/>
                              <w:marRight w:val="0"/>
                              <w:marTop w:val="0"/>
                              <w:marBottom w:val="0"/>
                              <w:divBdr>
                                <w:top w:val="none" w:sz="0" w:space="0" w:color="auto"/>
                                <w:left w:val="none" w:sz="0" w:space="0" w:color="auto"/>
                                <w:bottom w:val="none" w:sz="0" w:space="0" w:color="auto"/>
                                <w:right w:val="none" w:sz="0" w:space="0" w:color="auto"/>
                              </w:divBdr>
                            </w:div>
                            <w:div w:id="1489982442">
                              <w:marLeft w:val="0"/>
                              <w:marRight w:val="0"/>
                              <w:marTop w:val="0"/>
                              <w:marBottom w:val="0"/>
                              <w:divBdr>
                                <w:top w:val="none" w:sz="0" w:space="0" w:color="auto"/>
                                <w:left w:val="none" w:sz="0" w:space="0" w:color="auto"/>
                                <w:bottom w:val="none" w:sz="0" w:space="0" w:color="auto"/>
                                <w:right w:val="none" w:sz="0" w:space="0" w:color="auto"/>
                              </w:divBdr>
                            </w:div>
                            <w:div w:id="1664506600">
                              <w:marLeft w:val="0"/>
                              <w:marRight w:val="0"/>
                              <w:marTop w:val="0"/>
                              <w:marBottom w:val="0"/>
                              <w:divBdr>
                                <w:top w:val="none" w:sz="0" w:space="0" w:color="auto"/>
                                <w:left w:val="none" w:sz="0" w:space="0" w:color="auto"/>
                                <w:bottom w:val="none" w:sz="0" w:space="0" w:color="auto"/>
                                <w:right w:val="none" w:sz="0" w:space="0" w:color="auto"/>
                              </w:divBdr>
                            </w:div>
                            <w:div w:id="472217380">
                              <w:marLeft w:val="0"/>
                              <w:marRight w:val="0"/>
                              <w:marTop w:val="0"/>
                              <w:marBottom w:val="0"/>
                              <w:divBdr>
                                <w:top w:val="none" w:sz="0" w:space="0" w:color="auto"/>
                                <w:left w:val="none" w:sz="0" w:space="0" w:color="auto"/>
                                <w:bottom w:val="none" w:sz="0" w:space="0" w:color="auto"/>
                                <w:right w:val="none" w:sz="0" w:space="0" w:color="auto"/>
                              </w:divBdr>
                            </w:div>
                            <w:div w:id="1013844479">
                              <w:marLeft w:val="0"/>
                              <w:marRight w:val="0"/>
                              <w:marTop w:val="0"/>
                              <w:marBottom w:val="0"/>
                              <w:divBdr>
                                <w:top w:val="none" w:sz="0" w:space="0" w:color="auto"/>
                                <w:left w:val="none" w:sz="0" w:space="0" w:color="auto"/>
                                <w:bottom w:val="none" w:sz="0" w:space="0" w:color="auto"/>
                                <w:right w:val="none" w:sz="0" w:space="0" w:color="auto"/>
                              </w:divBdr>
                            </w:div>
                          </w:divsChild>
                        </w:div>
                        <w:div w:id="265044759">
                          <w:marLeft w:val="0"/>
                          <w:marRight w:val="0"/>
                          <w:marTop w:val="0"/>
                          <w:marBottom w:val="0"/>
                          <w:divBdr>
                            <w:top w:val="none" w:sz="0" w:space="0" w:color="auto"/>
                            <w:left w:val="none" w:sz="0" w:space="0" w:color="auto"/>
                            <w:bottom w:val="none" w:sz="0" w:space="0" w:color="auto"/>
                            <w:right w:val="none" w:sz="0" w:space="0" w:color="auto"/>
                          </w:divBdr>
                          <w:divsChild>
                            <w:div w:id="1111558949">
                              <w:marLeft w:val="0"/>
                              <w:marRight w:val="0"/>
                              <w:marTop w:val="0"/>
                              <w:marBottom w:val="0"/>
                              <w:divBdr>
                                <w:top w:val="none" w:sz="0" w:space="0" w:color="auto"/>
                                <w:left w:val="none" w:sz="0" w:space="0" w:color="auto"/>
                                <w:bottom w:val="none" w:sz="0" w:space="0" w:color="auto"/>
                                <w:right w:val="none" w:sz="0" w:space="0" w:color="auto"/>
                              </w:divBdr>
                            </w:div>
                            <w:div w:id="1011102082">
                              <w:marLeft w:val="0"/>
                              <w:marRight w:val="0"/>
                              <w:marTop w:val="0"/>
                              <w:marBottom w:val="0"/>
                              <w:divBdr>
                                <w:top w:val="none" w:sz="0" w:space="0" w:color="auto"/>
                                <w:left w:val="none" w:sz="0" w:space="0" w:color="auto"/>
                                <w:bottom w:val="none" w:sz="0" w:space="0" w:color="auto"/>
                                <w:right w:val="none" w:sz="0" w:space="0" w:color="auto"/>
                              </w:divBdr>
                            </w:div>
                            <w:div w:id="1478571283">
                              <w:marLeft w:val="0"/>
                              <w:marRight w:val="0"/>
                              <w:marTop w:val="0"/>
                              <w:marBottom w:val="0"/>
                              <w:divBdr>
                                <w:top w:val="none" w:sz="0" w:space="0" w:color="auto"/>
                                <w:left w:val="none" w:sz="0" w:space="0" w:color="auto"/>
                                <w:bottom w:val="none" w:sz="0" w:space="0" w:color="auto"/>
                                <w:right w:val="none" w:sz="0" w:space="0" w:color="auto"/>
                              </w:divBdr>
                            </w:div>
                            <w:div w:id="1012148081">
                              <w:marLeft w:val="0"/>
                              <w:marRight w:val="0"/>
                              <w:marTop w:val="0"/>
                              <w:marBottom w:val="0"/>
                              <w:divBdr>
                                <w:top w:val="none" w:sz="0" w:space="0" w:color="auto"/>
                                <w:left w:val="none" w:sz="0" w:space="0" w:color="auto"/>
                                <w:bottom w:val="none" w:sz="0" w:space="0" w:color="auto"/>
                                <w:right w:val="none" w:sz="0" w:space="0" w:color="auto"/>
                              </w:divBdr>
                            </w:div>
                            <w:div w:id="601110397">
                              <w:marLeft w:val="0"/>
                              <w:marRight w:val="0"/>
                              <w:marTop w:val="0"/>
                              <w:marBottom w:val="0"/>
                              <w:divBdr>
                                <w:top w:val="none" w:sz="0" w:space="0" w:color="auto"/>
                                <w:left w:val="none" w:sz="0" w:space="0" w:color="auto"/>
                                <w:bottom w:val="none" w:sz="0" w:space="0" w:color="auto"/>
                                <w:right w:val="none" w:sz="0" w:space="0" w:color="auto"/>
                              </w:divBdr>
                            </w:div>
                            <w:div w:id="1387727359">
                              <w:marLeft w:val="0"/>
                              <w:marRight w:val="0"/>
                              <w:marTop w:val="0"/>
                              <w:marBottom w:val="0"/>
                              <w:divBdr>
                                <w:top w:val="none" w:sz="0" w:space="0" w:color="auto"/>
                                <w:left w:val="none" w:sz="0" w:space="0" w:color="auto"/>
                                <w:bottom w:val="none" w:sz="0" w:space="0" w:color="auto"/>
                                <w:right w:val="none" w:sz="0" w:space="0" w:color="auto"/>
                              </w:divBdr>
                            </w:div>
                          </w:divsChild>
                        </w:div>
                        <w:div w:id="1836602931">
                          <w:marLeft w:val="0"/>
                          <w:marRight w:val="0"/>
                          <w:marTop w:val="0"/>
                          <w:marBottom w:val="0"/>
                          <w:divBdr>
                            <w:top w:val="none" w:sz="0" w:space="0" w:color="auto"/>
                            <w:left w:val="none" w:sz="0" w:space="0" w:color="auto"/>
                            <w:bottom w:val="none" w:sz="0" w:space="0" w:color="auto"/>
                            <w:right w:val="none" w:sz="0" w:space="0" w:color="auto"/>
                          </w:divBdr>
                          <w:divsChild>
                            <w:div w:id="1409115533">
                              <w:marLeft w:val="0"/>
                              <w:marRight w:val="0"/>
                              <w:marTop w:val="0"/>
                              <w:marBottom w:val="0"/>
                              <w:divBdr>
                                <w:top w:val="none" w:sz="0" w:space="0" w:color="auto"/>
                                <w:left w:val="none" w:sz="0" w:space="0" w:color="auto"/>
                                <w:bottom w:val="none" w:sz="0" w:space="0" w:color="auto"/>
                                <w:right w:val="none" w:sz="0" w:space="0" w:color="auto"/>
                              </w:divBdr>
                            </w:div>
                          </w:divsChild>
                        </w:div>
                        <w:div w:id="1825049976">
                          <w:marLeft w:val="0"/>
                          <w:marRight w:val="0"/>
                          <w:marTop w:val="0"/>
                          <w:marBottom w:val="0"/>
                          <w:divBdr>
                            <w:top w:val="none" w:sz="0" w:space="0" w:color="auto"/>
                            <w:left w:val="none" w:sz="0" w:space="0" w:color="auto"/>
                            <w:bottom w:val="none" w:sz="0" w:space="0" w:color="auto"/>
                            <w:right w:val="none" w:sz="0" w:space="0" w:color="auto"/>
                          </w:divBdr>
                          <w:divsChild>
                            <w:div w:id="2076855697">
                              <w:marLeft w:val="0"/>
                              <w:marRight w:val="0"/>
                              <w:marTop w:val="0"/>
                              <w:marBottom w:val="0"/>
                              <w:divBdr>
                                <w:top w:val="none" w:sz="0" w:space="0" w:color="auto"/>
                                <w:left w:val="none" w:sz="0" w:space="0" w:color="auto"/>
                                <w:bottom w:val="none" w:sz="0" w:space="0" w:color="auto"/>
                                <w:right w:val="none" w:sz="0" w:space="0" w:color="auto"/>
                              </w:divBdr>
                            </w:div>
                            <w:div w:id="1528830976">
                              <w:marLeft w:val="0"/>
                              <w:marRight w:val="0"/>
                              <w:marTop w:val="0"/>
                              <w:marBottom w:val="0"/>
                              <w:divBdr>
                                <w:top w:val="none" w:sz="0" w:space="0" w:color="auto"/>
                                <w:left w:val="none" w:sz="0" w:space="0" w:color="auto"/>
                                <w:bottom w:val="none" w:sz="0" w:space="0" w:color="auto"/>
                                <w:right w:val="none" w:sz="0" w:space="0" w:color="auto"/>
                              </w:divBdr>
                            </w:div>
                            <w:div w:id="1243176230">
                              <w:marLeft w:val="0"/>
                              <w:marRight w:val="0"/>
                              <w:marTop w:val="0"/>
                              <w:marBottom w:val="0"/>
                              <w:divBdr>
                                <w:top w:val="none" w:sz="0" w:space="0" w:color="auto"/>
                                <w:left w:val="none" w:sz="0" w:space="0" w:color="auto"/>
                                <w:bottom w:val="none" w:sz="0" w:space="0" w:color="auto"/>
                                <w:right w:val="none" w:sz="0" w:space="0" w:color="auto"/>
                              </w:divBdr>
                            </w:div>
                            <w:div w:id="431711246">
                              <w:marLeft w:val="0"/>
                              <w:marRight w:val="0"/>
                              <w:marTop w:val="0"/>
                              <w:marBottom w:val="0"/>
                              <w:divBdr>
                                <w:top w:val="none" w:sz="0" w:space="0" w:color="auto"/>
                                <w:left w:val="none" w:sz="0" w:space="0" w:color="auto"/>
                                <w:bottom w:val="none" w:sz="0" w:space="0" w:color="auto"/>
                                <w:right w:val="none" w:sz="0" w:space="0" w:color="auto"/>
                              </w:divBdr>
                            </w:div>
                            <w:div w:id="363554148">
                              <w:marLeft w:val="0"/>
                              <w:marRight w:val="0"/>
                              <w:marTop w:val="0"/>
                              <w:marBottom w:val="0"/>
                              <w:divBdr>
                                <w:top w:val="none" w:sz="0" w:space="0" w:color="auto"/>
                                <w:left w:val="none" w:sz="0" w:space="0" w:color="auto"/>
                                <w:bottom w:val="none" w:sz="0" w:space="0" w:color="auto"/>
                                <w:right w:val="none" w:sz="0" w:space="0" w:color="auto"/>
                              </w:divBdr>
                            </w:div>
                            <w:div w:id="1601181324">
                              <w:marLeft w:val="0"/>
                              <w:marRight w:val="0"/>
                              <w:marTop w:val="0"/>
                              <w:marBottom w:val="0"/>
                              <w:divBdr>
                                <w:top w:val="none" w:sz="0" w:space="0" w:color="auto"/>
                                <w:left w:val="none" w:sz="0" w:space="0" w:color="auto"/>
                                <w:bottom w:val="none" w:sz="0" w:space="0" w:color="auto"/>
                                <w:right w:val="none" w:sz="0" w:space="0" w:color="auto"/>
                              </w:divBdr>
                            </w:div>
                            <w:div w:id="76293535">
                              <w:marLeft w:val="0"/>
                              <w:marRight w:val="0"/>
                              <w:marTop w:val="0"/>
                              <w:marBottom w:val="0"/>
                              <w:divBdr>
                                <w:top w:val="none" w:sz="0" w:space="0" w:color="auto"/>
                                <w:left w:val="none" w:sz="0" w:space="0" w:color="auto"/>
                                <w:bottom w:val="none" w:sz="0" w:space="0" w:color="auto"/>
                                <w:right w:val="none" w:sz="0" w:space="0" w:color="auto"/>
                              </w:divBdr>
                            </w:div>
                            <w:div w:id="1418020929">
                              <w:marLeft w:val="0"/>
                              <w:marRight w:val="0"/>
                              <w:marTop w:val="0"/>
                              <w:marBottom w:val="0"/>
                              <w:divBdr>
                                <w:top w:val="none" w:sz="0" w:space="0" w:color="auto"/>
                                <w:left w:val="none" w:sz="0" w:space="0" w:color="auto"/>
                                <w:bottom w:val="none" w:sz="0" w:space="0" w:color="auto"/>
                                <w:right w:val="none" w:sz="0" w:space="0" w:color="auto"/>
                              </w:divBdr>
                            </w:div>
                            <w:div w:id="1879274039">
                              <w:marLeft w:val="0"/>
                              <w:marRight w:val="0"/>
                              <w:marTop w:val="0"/>
                              <w:marBottom w:val="0"/>
                              <w:divBdr>
                                <w:top w:val="none" w:sz="0" w:space="0" w:color="auto"/>
                                <w:left w:val="none" w:sz="0" w:space="0" w:color="auto"/>
                                <w:bottom w:val="none" w:sz="0" w:space="0" w:color="auto"/>
                                <w:right w:val="none" w:sz="0" w:space="0" w:color="auto"/>
                              </w:divBdr>
                            </w:div>
                            <w:div w:id="1567301398">
                              <w:marLeft w:val="0"/>
                              <w:marRight w:val="0"/>
                              <w:marTop w:val="0"/>
                              <w:marBottom w:val="0"/>
                              <w:divBdr>
                                <w:top w:val="none" w:sz="0" w:space="0" w:color="auto"/>
                                <w:left w:val="none" w:sz="0" w:space="0" w:color="auto"/>
                                <w:bottom w:val="none" w:sz="0" w:space="0" w:color="auto"/>
                                <w:right w:val="none" w:sz="0" w:space="0" w:color="auto"/>
                              </w:divBdr>
                            </w:div>
                            <w:div w:id="227805189">
                              <w:marLeft w:val="0"/>
                              <w:marRight w:val="0"/>
                              <w:marTop w:val="0"/>
                              <w:marBottom w:val="0"/>
                              <w:divBdr>
                                <w:top w:val="none" w:sz="0" w:space="0" w:color="auto"/>
                                <w:left w:val="none" w:sz="0" w:space="0" w:color="auto"/>
                                <w:bottom w:val="none" w:sz="0" w:space="0" w:color="auto"/>
                                <w:right w:val="none" w:sz="0" w:space="0" w:color="auto"/>
                              </w:divBdr>
                            </w:div>
                            <w:div w:id="984511505">
                              <w:marLeft w:val="0"/>
                              <w:marRight w:val="0"/>
                              <w:marTop w:val="0"/>
                              <w:marBottom w:val="0"/>
                              <w:divBdr>
                                <w:top w:val="none" w:sz="0" w:space="0" w:color="auto"/>
                                <w:left w:val="none" w:sz="0" w:space="0" w:color="auto"/>
                                <w:bottom w:val="none" w:sz="0" w:space="0" w:color="auto"/>
                                <w:right w:val="none" w:sz="0" w:space="0" w:color="auto"/>
                              </w:divBdr>
                            </w:div>
                            <w:div w:id="1804730816">
                              <w:marLeft w:val="0"/>
                              <w:marRight w:val="0"/>
                              <w:marTop w:val="0"/>
                              <w:marBottom w:val="0"/>
                              <w:divBdr>
                                <w:top w:val="none" w:sz="0" w:space="0" w:color="auto"/>
                                <w:left w:val="none" w:sz="0" w:space="0" w:color="auto"/>
                                <w:bottom w:val="none" w:sz="0" w:space="0" w:color="auto"/>
                                <w:right w:val="none" w:sz="0" w:space="0" w:color="auto"/>
                              </w:divBdr>
                            </w:div>
                            <w:div w:id="1487359478">
                              <w:marLeft w:val="0"/>
                              <w:marRight w:val="0"/>
                              <w:marTop w:val="0"/>
                              <w:marBottom w:val="0"/>
                              <w:divBdr>
                                <w:top w:val="none" w:sz="0" w:space="0" w:color="auto"/>
                                <w:left w:val="none" w:sz="0" w:space="0" w:color="auto"/>
                                <w:bottom w:val="none" w:sz="0" w:space="0" w:color="auto"/>
                                <w:right w:val="none" w:sz="0" w:space="0" w:color="auto"/>
                              </w:divBdr>
                            </w:div>
                          </w:divsChild>
                        </w:div>
                        <w:div w:id="1493377616">
                          <w:marLeft w:val="0"/>
                          <w:marRight w:val="0"/>
                          <w:marTop w:val="0"/>
                          <w:marBottom w:val="0"/>
                          <w:divBdr>
                            <w:top w:val="none" w:sz="0" w:space="0" w:color="auto"/>
                            <w:left w:val="none" w:sz="0" w:space="0" w:color="auto"/>
                            <w:bottom w:val="none" w:sz="0" w:space="0" w:color="auto"/>
                            <w:right w:val="none" w:sz="0" w:space="0" w:color="auto"/>
                          </w:divBdr>
                          <w:divsChild>
                            <w:div w:id="992294165">
                              <w:marLeft w:val="0"/>
                              <w:marRight w:val="0"/>
                              <w:marTop w:val="0"/>
                              <w:marBottom w:val="0"/>
                              <w:divBdr>
                                <w:top w:val="none" w:sz="0" w:space="0" w:color="auto"/>
                                <w:left w:val="none" w:sz="0" w:space="0" w:color="auto"/>
                                <w:bottom w:val="none" w:sz="0" w:space="0" w:color="auto"/>
                                <w:right w:val="none" w:sz="0" w:space="0" w:color="auto"/>
                              </w:divBdr>
                            </w:div>
                            <w:div w:id="784159567">
                              <w:marLeft w:val="0"/>
                              <w:marRight w:val="0"/>
                              <w:marTop w:val="0"/>
                              <w:marBottom w:val="0"/>
                              <w:divBdr>
                                <w:top w:val="none" w:sz="0" w:space="0" w:color="auto"/>
                                <w:left w:val="none" w:sz="0" w:space="0" w:color="auto"/>
                                <w:bottom w:val="none" w:sz="0" w:space="0" w:color="auto"/>
                                <w:right w:val="none" w:sz="0" w:space="0" w:color="auto"/>
                              </w:divBdr>
                            </w:div>
                            <w:div w:id="270820148">
                              <w:marLeft w:val="0"/>
                              <w:marRight w:val="0"/>
                              <w:marTop w:val="0"/>
                              <w:marBottom w:val="0"/>
                              <w:divBdr>
                                <w:top w:val="none" w:sz="0" w:space="0" w:color="auto"/>
                                <w:left w:val="none" w:sz="0" w:space="0" w:color="auto"/>
                                <w:bottom w:val="none" w:sz="0" w:space="0" w:color="auto"/>
                                <w:right w:val="none" w:sz="0" w:space="0" w:color="auto"/>
                              </w:divBdr>
                            </w:div>
                            <w:div w:id="439380032">
                              <w:marLeft w:val="0"/>
                              <w:marRight w:val="0"/>
                              <w:marTop w:val="0"/>
                              <w:marBottom w:val="0"/>
                              <w:divBdr>
                                <w:top w:val="none" w:sz="0" w:space="0" w:color="auto"/>
                                <w:left w:val="none" w:sz="0" w:space="0" w:color="auto"/>
                                <w:bottom w:val="none" w:sz="0" w:space="0" w:color="auto"/>
                                <w:right w:val="none" w:sz="0" w:space="0" w:color="auto"/>
                              </w:divBdr>
                            </w:div>
                            <w:div w:id="14237599">
                              <w:marLeft w:val="0"/>
                              <w:marRight w:val="0"/>
                              <w:marTop w:val="0"/>
                              <w:marBottom w:val="0"/>
                              <w:divBdr>
                                <w:top w:val="none" w:sz="0" w:space="0" w:color="auto"/>
                                <w:left w:val="none" w:sz="0" w:space="0" w:color="auto"/>
                                <w:bottom w:val="none" w:sz="0" w:space="0" w:color="auto"/>
                                <w:right w:val="none" w:sz="0" w:space="0" w:color="auto"/>
                              </w:divBdr>
                            </w:div>
                            <w:div w:id="1158114411">
                              <w:marLeft w:val="0"/>
                              <w:marRight w:val="0"/>
                              <w:marTop w:val="0"/>
                              <w:marBottom w:val="0"/>
                              <w:divBdr>
                                <w:top w:val="none" w:sz="0" w:space="0" w:color="auto"/>
                                <w:left w:val="none" w:sz="0" w:space="0" w:color="auto"/>
                                <w:bottom w:val="none" w:sz="0" w:space="0" w:color="auto"/>
                                <w:right w:val="none" w:sz="0" w:space="0" w:color="auto"/>
                              </w:divBdr>
                            </w:div>
                            <w:div w:id="124429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15126">
                      <w:marLeft w:val="0"/>
                      <w:marRight w:val="0"/>
                      <w:marTop w:val="0"/>
                      <w:marBottom w:val="0"/>
                      <w:divBdr>
                        <w:top w:val="none" w:sz="0" w:space="0" w:color="auto"/>
                        <w:left w:val="none" w:sz="0" w:space="0" w:color="auto"/>
                        <w:bottom w:val="none" w:sz="0" w:space="0" w:color="auto"/>
                        <w:right w:val="none" w:sz="0" w:space="0" w:color="auto"/>
                      </w:divBdr>
                      <w:divsChild>
                        <w:div w:id="2137142609">
                          <w:marLeft w:val="0"/>
                          <w:marRight w:val="0"/>
                          <w:marTop w:val="0"/>
                          <w:marBottom w:val="0"/>
                          <w:divBdr>
                            <w:top w:val="none" w:sz="0" w:space="0" w:color="auto"/>
                            <w:left w:val="none" w:sz="0" w:space="0" w:color="auto"/>
                            <w:bottom w:val="none" w:sz="0" w:space="0" w:color="auto"/>
                            <w:right w:val="none" w:sz="0" w:space="0" w:color="auto"/>
                          </w:divBdr>
                        </w:div>
                        <w:div w:id="1792672921">
                          <w:marLeft w:val="0"/>
                          <w:marRight w:val="0"/>
                          <w:marTop w:val="0"/>
                          <w:marBottom w:val="0"/>
                          <w:divBdr>
                            <w:top w:val="none" w:sz="0" w:space="0" w:color="auto"/>
                            <w:left w:val="none" w:sz="0" w:space="0" w:color="auto"/>
                            <w:bottom w:val="none" w:sz="0" w:space="0" w:color="auto"/>
                            <w:right w:val="none" w:sz="0" w:space="0" w:color="auto"/>
                          </w:divBdr>
                          <w:divsChild>
                            <w:div w:id="1992976976">
                              <w:marLeft w:val="0"/>
                              <w:marRight w:val="0"/>
                              <w:marTop w:val="0"/>
                              <w:marBottom w:val="0"/>
                              <w:divBdr>
                                <w:top w:val="none" w:sz="0" w:space="0" w:color="auto"/>
                                <w:left w:val="none" w:sz="0" w:space="0" w:color="auto"/>
                                <w:bottom w:val="none" w:sz="0" w:space="0" w:color="auto"/>
                                <w:right w:val="none" w:sz="0" w:space="0" w:color="auto"/>
                              </w:divBdr>
                            </w:div>
                            <w:div w:id="2110659675">
                              <w:marLeft w:val="0"/>
                              <w:marRight w:val="0"/>
                              <w:marTop w:val="0"/>
                              <w:marBottom w:val="0"/>
                              <w:divBdr>
                                <w:top w:val="none" w:sz="0" w:space="0" w:color="auto"/>
                                <w:left w:val="none" w:sz="0" w:space="0" w:color="auto"/>
                                <w:bottom w:val="none" w:sz="0" w:space="0" w:color="auto"/>
                                <w:right w:val="none" w:sz="0" w:space="0" w:color="auto"/>
                              </w:divBdr>
                            </w:div>
                            <w:div w:id="1794327800">
                              <w:marLeft w:val="0"/>
                              <w:marRight w:val="0"/>
                              <w:marTop w:val="0"/>
                              <w:marBottom w:val="0"/>
                              <w:divBdr>
                                <w:top w:val="none" w:sz="0" w:space="0" w:color="auto"/>
                                <w:left w:val="none" w:sz="0" w:space="0" w:color="auto"/>
                                <w:bottom w:val="none" w:sz="0" w:space="0" w:color="auto"/>
                                <w:right w:val="none" w:sz="0" w:space="0" w:color="auto"/>
                              </w:divBdr>
                            </w:div>
                            <w:div w:id="1871916433">
                              <w:marLeft w:val="0"/>
                              <w:marRight w:val="0"/>
                              <w:marTop w:val="0"/>
                              <w:marBottom w:val="0"/>
                              <w:divBdr>
                                <w:top w:val="none" w:sz="0" w:space="0" w:color="auto"/>
                                <w:left w:val="none" w:sz="0" w:space="0" w:color="auto"/>
                                <w:bottom w:val="none" w:sz="0" w:space="0" w:color="auto"/>
                                <w:right w:val="none" w:sz="0" w:space="0" w:color="auto"/>
                              </w:divBdr>
                            </w:div>
                            <w:div w:id="1944458716">
                              <w:marLeft w:val="0"/>
                              <w:marRight w:val="0"/>
                              <w:marTop w:val="0"/>
                              <w:marBottom w:val="0"/>
                              <w:divBdr>
                                <w:top w:val="none" w:sz="0" w:space="0" w:color="auto"/>
                                <w:left w:val="none" w:sz="0" w:space="0" w:color="auto"/>
                                <w:bottom w:val="none" w:sz="0" w:space="0" w:color="auto"/>
                                <w:right w:val="none" w:sz="0" w:space="0" w:color="auto"/>
                              </w:divBdr>
                            </w:div>
                            <w:div w:id="640814190">
                              <w:marLeft w:val="0"/>
                              <w:marRight w:val="0"/>
                              <w:marTop w:val="0"/>
                              <w:marBottom w:val="0"/>
                              <w:divBdr>
                                <w:top w:val="none" w:sz="0" w:space="0" w:color="auto"/>
                                <w:left w:val="none" w:sz="0" w:space="0" w:color="auto"/>
                                <w:bottom w:val="none" w:sz="0" w:space="0" w:color="auto"/>
                                <w:right w:val="none" w:sz="0" w:space="0" w:color="auto"/>
                              </w:divBdr>
                            </w:div>
                            <w:div w:id="1462377350">
                              <w:marLeft w:val="0"/>
                              <w:marRight w:val="0"/>
                              <w:marTop w:val="0"/>
                              <w:marBottom w:val="0"/>
                              <w:divBdr>
                                <w:top w:val="none" w:sz="0" w:space="0" w:color="auto"/>
                                <w:left w:val="none" w:sz="0" w:space="0" w:color="auto"/>
                                <w:bottom w:val="none" w:sz="0" w:space="0" w:color="auto"/>
                                <w:right w:val="none" w:sz="0" w:space="0" w:color="auto"/>
                              </w:divBdr>
                            </w:div>
                            <w:div w:id="1839152054">
                              <w:marLeft w:val="0"/>
                              <w:marRight w:val="0"/>
                              <w:marTop w:val="0"/>
                              <w:marBottom w:val="0"/>
                              <w:divBdr>
                                <w:top w:val="none" w:sz="0" w:space="0" w:color="auto"/>
                                <w:left w:val="none" w:sz="0" w:space="0" w:color="auto"/>
                                <w:bottom w:val="none" w:sz="0" w:space="0" w:color="auto"/>
                                <w:right w:val="none" w:sz="0" w:space="0" w:color="auto"/>
                              </w:divBdr>
                            </w:div>
                            <w:div w:id="1897857495">
                              <w:marLeft w:val="0"/>
                              <w:marRight w:val="0"/>
                              <w:marTop w:val="0"/>
                              <w:marBottom w:val="0"/>
                              <w:divBdr>
                                <w:top w:val="none" w:sz="0" w:space="0" w:color="auto"/>
                                <w:left w:val="none" w:sz="0" w:space="0" w:color="auto"/>
                                <w:bottom w:val="none" w:sz="0" w:space="0" w:color="auto"/>
                                <w:right w:val="none" w:sz="0" w:space="0" w:color="auto"/>
                              </w:divBdr>
                            </w:div>
                            <w:div w:id="722681447">
                              <w:marLeft w:val="0"/>
                              <w:marRight w:val="0"/>
                              <w:marTop w:val="0"/>
                              <w:marBottom w:val="0"/>
                              <w:divBdr>
                                <w:top w:val="none" w:sz="0" w:space="0" w:color="auto"/>
                                <w:left w:val="none" w:sz="0" w:space="0" w:color="auto"/>
                                <w:bottom w:val="none" w:sz="0" w:space="0" w:color="auto"/>
                                <w:right w:val="none" w:sz="0" w:space="0" w:color="auto"/>
                              </w:divBdr>
                            </w:div>
                            <w:div w:id="2129351450">
                              <w:marLeft w:val="0"/>
                              <w:marRight w:val="0"/>
                              <w:marTop w:val="0"/>
                              <w:marBottom w:val="0"/>
                              <w:divBdr>
                                <w:top w:val="none" w:sz="0" w:space="0" w:color="auto"/>
                                <w:left w:val="none" w:sz="0" w:space="0" w:color="auto"/>
                                <w:bottom w:val="none" w:sz="0" w:space="0" w:color="auto"/>
                                <w:right w:val="none" w:sz="0" w:space="0" w:color="auto"/>
                              </w:divBdr>
                            </w:div>
                            <w:div w:id="1924148293">
                              <w:marLeft w:val="0"/>
                              <w:marRight w:val="0"/>
                              <w:marTop w:val="0"/>
                              <w:marBottom w:val="0"/>
                              <w:divBdr>
                                <w:top w:val="none" w:sz="0" w:space="0" w:color="auto"/>
                                <w:left w:val="none" w:sz="0" w:space="0" w:color="auto"/>
                                <w:bottom w:val="none" w:sz="0" w:space="0" w:color="auto"/>
                                <w:right w:val="none" w:sz="0" w:space="0" w:color="auto"/>
                              </w:divBdr>
                            </w:div>
                            <w:div w:id="2073312113">
                              <w:marLeft w:val="0"/>
                              <w:marRight w:val="0"/>
                              <w:marTop w:val="0"/>
                              <w:marBottom w:val="0"/>
                              <w:divBdr>
                                <w:top w:val="none" w:sz="0" w:space="0" w:color="auto"/>
                                <w:left w:val="none" w:sz="0" w:space="0" w:color="auto"/>
                                <w:bottom w:val="none" w:sz="0" w:space="0" w:color="auto"/>
                                <w:right w:val="none" w:sz="0" w:space="0" w:color="auto"/>
                              </w:divBdr>
                            </w:div>
                          </w:divsChild>
                        </w:div>
                        <w:div w:id="2008165424">
                          <w:marLeft w:val="0"/>
                          <w:marRight w:val="0"/>
                          <w:marTop w:val="0"/>
                          <w:marBottom w:val="0"/>
                          <w:divBdr>
                            <w:top w:val="none" w:sz="0" w:space="0" w:color="auto"/>
                            <w:left w:val="none" w:sz="0" w:space="0" w:color="auto"/>
                            <w:bottom w:val="none" w:sz="0" w:space="0" w:color="auto"/>
                            <w:right w:val="none" w:sz="0" w:space="0" w:color="auto"/>
                          </w:divBdr>
                          <w:divsChild>
                            <w:div w:id="1819689682">
                              <w:marLeft w:val="0"/>
                              <w:marRight w:val="0"/>
                              <w:marTop w:val="0"/>
                              <w:marBottom w:val="0"/>
                              <w:divBdr>
                                <w:top w:val="none" w:sz="0" w:space="0" w:color="auto"/>
                                <w:left w:val="none" w:sz="0" w:space="0" w:color="auto"/>
                                <w:bottom w:val="none" w:sz="0" w:space="0" w:color="auto"/>
                                <w:right w:val="none" w:sz="0" w:space="0" w:color="auto"/>
                              </w:divBdr>
                            </w:div>
                            <w:div w:id="1335299248">
                              <w:marLeft w:val="0"/>
                              <w:marRight w:val="0"/>
                              <w:marTop w:val="0"/>
                              <w:marBottom w:val="0"/>
                              <w:divBdr>
                                <w:top w:val="none" w:sz="0" w:space="0" w:color="auto"/>
                                <w:left w:val="none" w:sz="0" w:space="0" w:color="auto"/>
                                <w:bottom w:val="none" w:sz="0" w:space="0" w:color="auto"/>
                                <w:right w:val="none" w:sz="0" w:space="0" w:color="auto"/>
                              </w:divBdr>
                            </w:div>
                            <w:div w:id="1397893665">
                              <w:marLeft w:val="0"/>
                              <w:marRight w:val="0"/>
                              <w:marTop w:val="0"/>
                              <w:marBottom w:val="0"/>
                              <w:divBdr>
                                <w:top w:val="none" w:sz="0" w:space="0" w:color="auto"/>
                                <w:left w:val="none" w:sz="0" w:space="0" w:color="auto"/>
                                <w:bottom w:val="none" w:sz="0" w:space="0" w:color="auto"/>
                                <w:right w:val="none" w:sz="0" w:space="0" w:color="auto"/>
                              </w:divBdr>
                            </w:div>
                            <w:div w:id="1408113389">
                              <w:marLeft w:val="0"/>
                              <w:marRight w:val="0"/>
                              <w:marTop w:val="0"/>
                              <w:marBottom w:val="0"/>
                              <w:divBdr>
                                <w:top w:val="none" w:sz="0" w:space="0" w:color="auto"/>
                                <w:left w:val="none" w:sz="0" w:space="0" w:color="auto"/>
                                <w:bottom w:val="none" w:sz="0" w:space="0" w:color="auto"/>
                                <w:right w:val="none" w:sz="0" w:space="0" w:color="auto"/>
                              </w:divBdr>
                            </w:div>
                            <w:div w:id="2128884608">
                              <w:marLeft w:val="0"/>
                              <w:marRight w:val="0"/>
                              <w:marTop w:val="0"/>
                              <w:marBottom w:val="0"/>
                              <w:divBdr>
                                <w:top w:val="none" w:sz="0" w:space="0" w:color="auto"/>
                                <w:left w:val="none" w:sz="0" w:space="0" w:color="auto"/>
                                <w:bottom w:val="none" w:sz="0" w:space="0" w:color="auto"/>
                                <w:right w:val="none" w:sz="0" w:space="0" w:color="auto"/>
                              </w:divBdr>
                            </w:div>
                            <w:div w:id="1436558778">
                              <w:marLeft w:val="0"/>
                              <w:marRight w:val="0"/>
                              <w:marTop w:val="0"/>
                              <w:marBottom w:val="0"/>
                              <w:divBdr>
                                <w:top w:val="none" w:sz="0" w:space="0" w:color="auto"/>
                                <w:left w:val="none" w:sz="0" w:space="0" w:color="auto"/>
                                <w:bottom w:val="none" w:sz="0" w:space="0" w:color="auto"/>
                                <w:right w:val="none" w:sz="0" w:space="0" w:color="auto"/>
                              </w:divBdr>
                            </w:div>
                            <w:div w:id="809900848">
                              <w:marLeft w:val="0"/>
                              <w:marRight w:val="0"/>
                              <w:marTop w:val="0"/>
                              <w:marBottom w:val="0"/>
                              <w:divBdr>
                                <w:top w:val="none" w:sz="0" w:space="0" w:color="auto"/>
                                <w:left w:val="none" w:sz="0" w:space="0" w:color="auto"/>
                                <w:bottom w:val="none" w:sz="0" w:space="0" w:color="auto"/>
                                <w:right w:val="none" w:sz="0" w:space="0" w:color="auto"/>
                              </w:divBdr>
                            </w:div>
                            <w:div w:id="496305584">
                              <w:marLeft w:val="0"/>
                              <w:marRight w:val="0"/>
                              <w:marTop w:val="0"/>
                              <w:marBottom w:val="0"/>
                              <w:divBdr>
                                <w:top w:val="none" w:sz="0" w:space="0" w:color="auto"/>
                                <w:left w:val="none" w:sz="0" w:space="0" w:color="auto"/>
                                <w:bottom w:val="none" w:sz="0" w:space="0" w:color="auto"/>
                                <w:right w:val="none" w:sz="0" w:space="0" w:color="auto"/>
                              </w:divBdr>
                            </w:div>
                            <w:div w:id="1031344662">
                              <w:marLeft w:val="0"/>
                              <w:marRight w:val="0"/>
                              <w:marTop w:val="0"/>
                              <w:marBottom w:val="0"/>
                              <w:divBdr>
                                <w:top w:val="none" w:sz="0" w:space="0" w:color="auto"/>
                                <w:left w:val="none" w:sz="0" w:space="0" w:color="auto"/>
                                <w:bottom w:val="none" w:sz="0" w:space="0" w:color="auto"/>
                                <w:right w:val="none" w:sz="0" w:space="0" w:color="auto"/>
                              </w:divBdr>
                            </w:div>
                            <w:div w:id="890573417">
                              <w:marLeft w:val="0"/>
                              <w:marRight w:val="0"/>
                              <w:marTop w:val="0"/>
                              <w:marBottom w:val="0"/>
                              <w:divBdr>
                                <w:top w:val="none" w:sz="0" w:space="0" w:color="auto"/>
                                <w:left w:val="none" w:sz="0" w:space="0" w:color="auto"/>
                                <w:bottom w:val="none" w:sz="0" w:space="0" w:color="auto"/>
                                <w:right w:val="none" w:sz="0" w:space="0" w:color="auto"/>
                              </w:divBdr>
                            </w:div>
                            <w:div w:id="1365792707">
                              <w:marLeft w:val="0"/>
                              <w:marRight w:val="0"/>
                              <w:marTop w:val="0"/>
                              <w:marBottom w:val="0"/>
                              <w:divBdr>
                                <w:top w:val="none" w:sz="0" w:space="0" w:color="auto"/>
                                <w:left w:val="none" w:sz="0" w:space="0" w:color="auto"/>
                                <w:bottom w:val="none" w:sz="0" w:space="0" w:color="auto"/>
                                <w:right w:val="none" w:sz="0" w:space="0" w:color="auto"/>
                              </w:divBdr>
                            </w:div>
                          </w:divsChild>
                        </w:div>
                        <w:div w:id="1102064618">
                          <w:marLeft w:val="0"/>
                          <w:marRight w:val="0"/>
                          <w:marTop w:val="0"/>
                          <w:marBottom w:val="0"/>
                          <w:divBdr>
                            <w:top w:val="none" w:sz="0" w:space="0" w:color="auto"/>
                            <w:left w:val="none" w:sz="0" w:space="0" w:color="auto"/>
                            <w:bottom w:val="none" w:sz="0" w:space="0" w:color="auto"/>
                            <w:right w:val="none" w:sz="0" w:space="0" w:color="auto"/>
                          </w:divBdr>
                          <w:divsChild>
                            <w:div w:id="1121846236">
                              <w:marLeft w:val="0"/>
                              <w:marRight w:val="0"/>
                              <w:marTop w:val="0"/>
                              <w:marBottom w:val="0"/>
                              <w:divBdr>
                                <w:top w:val="none" w:sz="0" w:space="0" w:color="auto"/>
                                <w:left w:val="none" w:sz="0" w:space="0" w:color="auto"/>
                                <w:bottom w:val="none" w:sz="0" w:space="0" w:color="auto"/>
                                <w:right w:val="none" w:sz="0" w:space="0" w:color="auto"/>
                              </w:divBdr>
                            </w:div>
                            <w:div w:id="333071090">
                              <w:marLeft w:val="0"/>
                              <w:marRight w:val="0"/>
                              <w:marTop w:val="0"/>
                              <w:marBottom w:val="0"/>
                              <w:divBdr>
                                <w:top w:val="none" w:sz="0" w:space="0" w:color="auto"/>
                                <w:left w:val="none" w:sz="0" w:space="0" w:color="auto"/>
                                <w:bottom w:val="none" w:sz="0" w:space="0" w:color="auto"/>
                                <w:right w:val="none" w:sz="0" w:space="0" w:color="auto"/>
                              </w:divBdr>
                            </w:div>
                            <w:div w:id="1298291419">
                              <w:marLeft w:val="0"/>
                              <w:marRight w:val="0"/>
                              <w:marTop w:val="0"/>
                              <w:marBottom w:val="0"/>
                              <w:divBdr>
                                <w:top w:val="none" w:sz="0" w:space="0" w:color="auto"/>
                                <w:left w:val="none" w:sz="0" w:space="0" w:color="auto"/>
                                <w:bottom w:val="none" w:sz="0" w:space="0" w:color="auto"/>
                                <w:right w:val="none" w:sz="0" w:space="0" w:color="auto"/>
                              </w:divBdr>
                            </w:div>
                            <w:div w:id="928586470">
                              <w:marLeft w:val="0"/>
                              <w:marRight w:val="0"/>
                              <w:marTop w:val="0"/>
                              <w:marBottom w:val="0"/>
                              <w:divBdr>
                                <w:top w:val="none" w:sz="0" w:space="0" w:color="auto"/>
                                <w:left w:val="none" w:sz="0" w:space="0" w:color="auto"/>
                                <w:bottom w:val="none" w:sz="0" w:space="0" w:color="auto"/>
                                <w:right w:val="none" w:sz="0" w:space="0" w:color="auto"/>
                              </w:divBdr>
                            </w:div>
                            <w:div w:id="104154218">
                              <w:marLeft w:val="0"/>
                              <w:marRight w:val="0"/>
                              <w:marTop w:val="0"/>
                              <w:marBottom w:val="0"/>
                              <w:divBdr>
                                <w:top w:val="none" w:sz="0" w:space="0" w:color="auto"/>
                                <w:left w:val="none" w:sz="0" w:space="0" w:color="auto"/>
                                <w:bottom w:val="none" w:sz="0" w:space="0" w:color="auto"/>
                                <w:right w:val="none" w:sz="0" w:space="0" w:color="auto"/>
                              </w:divBdr>
                            </w:div>
                            <w:div w:id="639699587">
                              <w:marLeft w:val="0"/>
                              <w:marRight w:val="0"/>
                              <w:marTop w:val="0"/>
                              <w:marBottom w:val="0"/>
                              <w:divBdr>
                                <w:top w:val="none" w:sz="0" w:space="0" w:color="auto"/>
                                <w:left w:val="none" w:sz="0" w:space="0" w:color="auto"/>
                                <w:bottom w:val="none" w:sz="0" w:space="0" w:color="auto"/>
                                <w:right w:val="none" w:sz="0" w:space="0" w:color="auto"/>
                              </w:divBdr>
                            </w:div>
                          </w:divsChild>
                        </w:div>
                        <w:div w:id="717164322">
                          <w:marLeft w:val="0"/>
                          <w:marRight w:val="0"/>
                          <w:marTop w:val="0"/>
                          <w:marBottom w:val="0"/>
                          <w:divBdr>
                            <w:top w:val="none" w:sz="0" w:space="0" w:color="auto"/>
                            <w:left w:val="none" w:sz="0" w:space="0" w:color="auto"/>
                            <w:bottom w:val="none" w:sz="0" w:space="0" w:color="auto"/>
                            <w:right w:val="none" w:sz="0" w:space="0" w:color="auto"/>
                          </w:divBdr>
                          <w:divsChild>
                            <w:div w:id="965618123">
                              <w:marLeft w:val="0"/>
                              <w:marRight w:val="0"/>
                              <w:marTop w:val="0"/>
                              <w:marBottom w:val="0"/>
                              <w:divBdr>
                                <w:top w:val="none" w:sz="0" w:space="0" w:color="auto"/>
                                <w:left w:val="none" w:sz="0" w:space="0" w:color="auto"/>
                                <w:bottom w:val="none" w:sz="0" w:space="0" w:color="auto"/>
                                <w:right w:val="none" w:sz="0" w:space="0" w:color="auto"/>
                              </w:divBdr>
                            </w:div>
                            <w:div w:id="1474521300">
                              <w:marLeft w:val="0"/>
                              <w:marRight w:val="0"/>
                              <w:marTop w:val="0"/>
                              <w:marBottom w:val="0"/>
                              <w:divBdr>
                                <w:top w:val="none" w:sz="0" w:space="0" w:color="auto"/>
                                <w:left w:val="none" w:sz="0" w:space="0" w:color="auto"/>
                                <w:bottom w:val="none" w:sz="0" w:space="0" w:color="auto"/>
                                <w:right w:val="none" w:sz="0" w:space="0" w:color="auto"/>
                              </w:divBdr>
                            </w:div>
                            <w:div w:id="1422874763">
                              <w:marLeft w:val="0"/>
                              <w:marRight w:val="0"/>
                              <w:marTop w:val="0"/>
                              <w:marBottom w:val="0"/>
                              <w:divBdr>
                                <w:top w:val="none" w:sz="0" w:space="0" w:color="auto"/>
                                <w:left w:val="none" w:sz="0" w:space="0" w:color="auto"/>
                                <w:bottom w:val="none" w:sz="0" w:space="0" w:color="auto"/>
                                <w:right w:val="none" w:sz="0" w:space="0" w:color="auto"/>
                              </w:divBdr>
                            </w:div>
                            <w:div w:id="1670602046">
                              <w:marLeft w:val="0"/>
                              <w:marRight w:val="0"/>
                              <w:marTop w:val="0"/>
                              <w:marBottom w:val="0"/>
                              <w:divBdr>
                                <w:top w:val="none" w:sz="0" w:space="0" w:color="auto"/>
                                <w:left w:val="none" w:sz="0" w:space="0" w:color="auto"/>
                                <w:bottom w:val="none" w:sz="0" w:space="0" w:color="auto"/>
                                <w:right w:val="none" w:sz="0" w:space="0" w:color="auto"/>
                              </w:divBdr>
                            </w:div>
                          </w:divsChild>
                        </w:div>
                        <w:div w:id="298150820">
                          <w:marLeft w:val="0"/>
                          <w:marRight w:val="0"/>
                          <w:marTop w:val="0"/>
                          <w:marBottom w:val="0"/>
                          <w:divBdr>
                            <w:top w:val="none" w:sz="0" w:space="0" w:color="auto"/>
                            <w:left w:val="none" w:sz="0" w:space="0" w:color="auto"/>
                            <w:bottom w:val="none" w:sz="0" w:space="0" w:color="auto"/>
                            <w:right w:val="none" w:sz="0" w:space="0" w:color="auto"/>
                          </w:divBdr>
                          <w:divsChild>
                            <w:div w:id="642462936">
                              <w:marLeft w:val="0"/>
                              <w:marRight w:val="0"/>
                              <w:marTop w:val="0"/>
                              <w:marBottom w:val="0"/>
                              <w:divBdr>
                                <w:top w:val="none" w:sz="0" w:space="0" w:color="auto"/>
                                <w:left w:val="none" w:sz="0" w:space="0" w:color="auto"/>
                                <w:bottom w:val="none" w:sz="0" w:space="0" w:color="auto"/>
                                <w:right w:val="none" w:sz="0" w:space="0" w:color="auto"/>
                              </w:divBdr>
                            </w:div>
                            <w:div w:id="1431394567">
                              <w:marLeft w:val="0"/>
                              <w:marRight w:val="0"/>
                              <w:marTop w:val="0"/>
                              <w:marBottom w:val="0"/>
                              <w:divBdr>
                                <w:top w:val="none" w:sz="0" w:space="0" w:color="auto"/>
                                <w:left w:val="none" w:sz="0" w:space="0" w:color="auto"/>
                                <w:bottom w:val="none" w:sz="0" w:space="0" w:color="auto"/>
                                <w:right w:val="none" w:sz="0" w:space="0" w:color="auto"/>
                              </w:divBdr>
                            </w:div>
                            <w:div w:id="2002584709">
                              <w:marLeft w:val="0"/>
                              <w:marRight w:val="0"/>
                              <w:marTop w:val="0"/>
                              <w:marBottom w:val="0"/>
                              <w:divBdr>
                                <w:top w:val="none" w:sz="0" w:space="0" w:color="auto"/>
                                <w:left w:val="none" w:sz="0" w:space="0" w:color="auto"/>
                                <w:bottom w:val="none" w:sz="0" w:space="0" w:color="auto"/>
                                <w:right w:val="none" w:sz="0" w:space="0" w:color="auto"/>
                              </w:divBdr>
                            </w:div>
                            <w:div w:id="203915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571380">
                      <w:marLeft w:val="0"/>
                      <w:marRight w:val="0"/>
                      <w:marTop w:val="0"/>
                      <w:marBottom w:val="0"/>
                      <w:divBdr>
                        <w:top w:val="none" w:sz="0" w:space="0" w:color="auto"/>
                        <w:left w:val="none" w:sz="0" w:space="0" w:color="auto"/>
                        <w:bottom w:val="none" w:sz="0" w:space="0" w:color="auto"/>
                        <w:right w:val="none" w:sz="0" w:space="0" w:color="auto"/>
                      </w:divBdr>
                      <w:divsChild>
                        <w:div w:id="2080904639">
                          <w:marLeft w:val="0"/>
                          <w:marRight w:val="0"/>
                          <w:marTop w:val="0"/>
                          <w:marBottom w:val="0"/>
                          <w:divBdr>
                            <w:top w:val="none" w:sz="0" w:space="0" w:color="auto"/>
                            <w:left w:val="none" w:sz="0" w:space="0" w:color="auto"/>
                            <w:bottom w:val="none" w:sz="0" w:space="0" w:color="auto"/>
                            <w:right w:val="none" w:sz="0" w:space="0" w:color="auto"/>
                          </w:divBdr>
                        </w:div>
                        <w:div w:id="1054230299">
                          <w:marLeft w:val="0"/>
                          <w:marRight w:val="0"/>
                          <w:marTop w:val="0"/>
                          <w:marBottom w:val="0"/>
                          <w:divBdr>
                            <w:top w:val="none" w:sz="0" w:space="0" w:color="auto"/>
                            <w:left w:val="none" w:sz="0" w:space="0" w:color="auto"/>
                            <w:bottom w:val="none" w:sz="0" w:space="0" w:color="auto"/>
                            <w:right w:val="none" w:sz="0" w:space="0" w:color="auto"/>
                          </w:divBdr>
                          <w:divsChild>
                            <w:div w:id="1321079877">
                              <w:marLeft w:val="0"/>
                              <w:marRight w:val="0"/>
                              <w:marTop w:val="0"/>
                              <w:marBottom w:val="0"/>
                              <w:divBdr>
                                <w:top w:val="none" w:sz="0" w:space="0" w:color="auto"/>
                                <w:left w:val="none" w:sz="0" w:space="0" w:color="auto"/>
                                <w:bottom w:val="none" w:sz="0" w:space="0" w:color="auto"/>
                                <w:right w:val="none" w:sz="0" w:space="0" w:color="auto"/>
                              </w:divBdr>
                            </w:div>
                            <w:div w:id="714355535">
                              <w:marLeft w:val="0"/>
                              <w:marRight w:val="0"/>
                              <w:marTop w:val="0"/>
                              <w:marBottom w:val="0"/>
                              <w:divBdr>
                                <w:top w:val="none" w:sz="0" w:space="0" w:color="auto"/>
                                <w:left w:val="none" w:sz="0" w:space="0" w:color="auto"/>
                                <w:bottom w:val="none" w:sz="0" w:space="0" w:color="auto"/>
                                <w:right w:val="none" w:sz="0" w:space="0" w:color="auto"/>
                              </w:divBdr>
                            </w:div>
                            <w:div w:id="1788504289">
                              <w:marLeft w:val="0"/>
                              <w:marRight w:val="0"/>
                              <w:marTop w:val="0"/>
                              <w:marBottom w:val="0"/>
                              <w:divBdr>
                                <w:top w:val="none" w:sz="0" w:space="0" w:color="auto"/>
                                <w:left w:val="none" w:sz="0" w:space="0" w:color="auto"/>
                                <w:bottom w:val="none" w:sz="0" w:space="0" w:color="auto"/>
                                <w:right w:val="none" w:sz="0" w:space="0" w:color="auto"/>
                              </w:divBdr>
                            </w:div>
                            <w:div w:id="870072610">
                              <w:marLeft w:val="0"/>
                              <w:marRight w:val="0"/>
                              <w:marTop w:val="0"/>
                              <w:marBottom w:val="0"/>
                              <w:divBdr>
                                <w:top w:val="none" w:sz="0" w:space="0" w:color="auto"/>
                                <w:left w:val="none" w:sz="0" w:space="0" w:color="auto"/>
                                <w:bottom w:val="none" w:sz="0" w:space="0" w:color="auto"/>
                                <w:right w:val="none" w:sz="0" w:space="0" w:color="auto"/>
                              </w:divBdr>
                            </w:div>
                            <w:div w:id="1453792571">
                              <w:marLeft w:val="0"/>
                              <w:marRight w:val="0"/>
                              <w:marTop w:val="0"/>
                              <w:marBottom w:val="0"/>
                              <w:divBdr>
                                <w:top w:val="none" w:sz="0" w:space="0" w:color="auto"/>
                                <w:left w:val="none" w:sz="0" w:space="0" w:color="auto"/>
                                <w:bottom w:val="none" w:sz="0" w:space="0" w:color="auto"/>
                                <w:right w:val="none" w:sz="0" w:space="0" w:color="auto"/>
                              </w:divBdr>
                            </w:div>
                            <w:div w:id="1912688270">
                              <w:marLeft w:val="0"/>
                              <w:marRight w:val="0"/>
                              <w:marTop w:val="0"/>
                              <w:marBottom w:val="0"/>
                              <w:divBdr>
                                <w:top w:val="none" w:sz="0" w:space="0" w:color="auto"/>
                                <w:left w:val="none" w:sz="0" w:space="0" w:color="auto"/>
                                <w:bottom w:val="none" w:sz="0" w:space="0" w:color="auto"/>
                                <w:right w:val="none" w:sz="0" w:space="0" w:color="auto"/>
                              </w:divBdr>
                            </w:div>
                            <w:div w:id="1125540612">
                              <w:marLeft w:val="0"/>
                              <w:marRight w:val="0"/>
                              <w:marTop w:val="0"/>
                              <w:marBottom w:val="0"/>
                              <w:divBdr>
                                <w:top w:val="none" w:sz="0" w:space="0" w:color="auto"/>
                                <w:left w:val="none" w:sz="0" w:space="0" w:color="auto"/>
                                <w:bottom w:val="none" w:sz="0" w:space="0" w:color="auto"/>
                                <w:right w:val="none" w:sz="0" w:space="0" w:color="auto"/>
                              </w:divBdr>
                            </w:div>
                            <w:div w:id="673189647">
                              <w:marLeft w:val="0"/>
                              <w:marRight w:val="0"/>
                              <w:marTop w:val="0"/>
                              <w:marBottom w:val="0"/>
                              <w:divBdr>
                                <w:top w:val="none" w:sz="0" w:space="0" w:color="auto"/>
                                <w:left w:val="none" w:sz="0" w:space="0" w:color="auto"/>
                                <w:bottom w:val="none" w:sz="0" w:space="0" w:color="auto"/>
                                <w:right w:val="none" w:sz="0" w:space="0" w:color="auto"/>
                              </w:divBdr>
                            </w:div>
                            <w:div w:id="1230648979">
                              <w:marLeft w:val="0"/>
                              <w:marRight w:val="0"/>
                              <w:marTop w:val="0"/>
                              <w:marBottom w:val="0"/>
                              <w:divBdr>
                                <w:top w:val="none" w:sz="0" w:space="0" w:color="auto"/>
                                <w:left w:val="none" w:sz="0" w:space="0" w:color="auto"/>
                                <w:bottom w:val="none" w:sz="0" w:space="0" w:color="auto"/>
                                <w:right w:val="none" w:sz="0" w:space="0" w:color="auto"/>
                              </w:divBdr>
                            </w:div>
                          </w:divsChild>
                        </w:div>
                        <w:div w:id="640499969">
                          <w:marLeft w:val="0"/>
                          <w:marRight w:val="0"/>
                          <w:marTop w:val="0"/>
                          <w:marBottom w:val="0"/>
                          <w:divBdr>
                            <w:top w:val="none" w:sz="0" w:space="0" w:color="auto"/>
                            <w:left w:val="none" w:sz="0" w:space="0" w:color="auto"/>
                            <w:bottom w:val="none" w:sz="0" w:space="0" w:color="auto"/>
                            <w:right w:val="none" w:sz="0" w:space="0" w:color="auto"/>
                          </w:divBdr>
                          <w:divsChild>
                            <w:div w:id="91630445">
                              <w:marLeft w:val="0"/>
                              <w:marRight w:val="0"/>
                              <w:marTop w:val="0"/>
                              <w:marBottom w:val="0"/>
                              <w:divBdr>
                                <w:top w:val="none" w:sz="0" w:space="0" w:color="auto"/>
                                <w:left w:val="none" w:sz="0" w:space="0" w:color="auto"/>
                                <w:bottom w:val="none" w:sz="0" w:space="0" w:color="auto"/>
                                <w:right w:val="none" w:sz="0" w:space="0" w:color="auto"/>
                              </w:divBdr>
                            </w:div>
                            <w:div w:id="1630473337">
                              <w:marLeft w:val="0"/>
                              <w:marRight w:val="0"/>
                              <w:marTop w:val="0"/>
                              <w:marBottom w:val="0"/>
                              <w:divBdr>
                                <w:top w:val="none" w:sz="0" w:space="0" w:color="auto"/>
                                <w:left w:val="none" w:sz="0" w:space="0" w:color="auto"/>
                                <w:bottom w:val="none" w:sz="0" w:space="0" w:color="auto"/>
                                <w:right w:val="none" w:sz="0" w:space="0" w:color="auto"/>
                              </w:divBdr>
                            </w:div>
                            <w:div w:id="253590177">
                              <w:marLeft w:val="0"/>
                              <w:marRight w:val="0"/>
                              <w:marTop w:val="0"/>
                              <w:marBottom w:val="0"/>
                              <w:divBdr>
                                <w:top w:val="none" w:sz="0" w:space="0" w:color="auto"/>
                                <w:left w:val="none" w:sz="0" w:space="0" w:color="auto"/>
                                <w:bottom w:val="none" w:sz="0" w:space="0" w:color="auto"/>
                                <w:right w:val="none" w:sz="0" w:space="0" w:color="auto"/>
                              </w:divBdr>
                            </w:div>
                            <w:div w:id="810946183">
                              <w:marLeft w:val="0"/>
                              <w:marRight w:val="0"/>
                              <w:marTop w:val="0"/>
                              <w:marBottom w:val="0"/>
                              <w:divBdr>
                                <w:top w:val="none" w:sz="0" w:space="0" w:color="auto"/>
                                <w:left w:val="none" w:sz="0" w:space="0" w:color="auto"/>
                                <w:bottom w:val="none" w:sz="0" w:space="0" w:color="auto"/>
                                <w:right w:val="none" w:sz="0" w:space="0" w:color="auto"/>
                              </w:divBdr>
                            </w:div>
                            <w:div w:id="181128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54108">
                      <w:marLeft w:val="0"/>
                      <w:marRight w:val="0"/>
                      <w:marTop w:val="0"/>
                      <w:marBottom w:val="0"/>
                      <w:divBdr>
                        <w:top w:val="none" w:sz="0" w:space="0" w:color="auto"/>
                        <w:left w:val="none" w:sz="0" w:space="0" w:color="auto"/>
                        <w:bottom w:val="none" w:sz="0" w:space="0" w:color="auto"/>
                        <w:right w:val="none" w:sz="0" w:space="0" w:color="auto"/>
                      </w:divBdr>
                      <w:divsChild>
                        <w:div w:id="1184706137">
                          <w:marLeft w:val="0"/>
                          <w:marRight w:val="0"/>
                          <w:marTop w:val="0"/>
                          <w:marBottom w:val="0"/>
                          <w:divBdr>
                            <w:top w:val="none" w:sz="0" w:space="0" w:color="auto"/>
                            <w:left w:val="none" w:sz="0" w:space="0" w:color="auto"/>
                            <w:bottom w:val="none" w:sz="0" w:space="0" w:color="auto"/>
                            <w:right w:val="none" w:sz="0" w:space="0" w:color="auto"/>
                          </w:divBdr>
                        </w:div>
                        <w:div w:id="1282808582">
                          <w:marLeft w:val="0"/>
                          <w:marRight w:val="0"/>
                          <w:marTop w:val="0"/>
                          <w:marBottom w:val="0"/>
                          <w:divBdr>
                            <w:top w:val="none" w:sz="0" w:space="0" w:color="auto"/>
                            <w:left w:val="none" w:sz="0" w:space="0" w:color="auto"/>
                            <w:bottom w:val="none" w:sz="0" w:space="0" w:color="auto"/>
                            <w:right w:val="none" w:sz="0" w:space="0" w:color="auto"/>
                          </w:divBdr>
                          <w:divsChild>
                            <w:div w:id="368459581">
                              <w:marLeft w:val="0"/>
                              <w:marRight w:val="0"/>
                              <w:marTop w:val="0"/>
                              <w:marBottom w:val="0"/>
                              <w:divBdr>
                                <w:top w:val="none" w:sz="0" w:space="0" w:color="auto"/>
                                <w:left w:val="none" w:sz="0" w:space="0" w:color="auto"/>
                                <w:bottom w:val="none" w:sz="0" w:space="0" w:color="auto"/>
                                <w:right w:val="none" w:sz="0" w:space="0" w:color="auto"/>
                              </w:divBdr>
                            </w:div>
                            <w:div w:id="294332676">
                              <w:marLeft w:val="0"/>
                              <w:marRight w:val="0"/>
                              <w:marTop w:val="0"/>
                              <w:marBottom w:val="0"/>
                              <w:divBdr>
                                <w:top w:val="none" w:sz="0" w:space="0" w:color="auto"/>
                                <w:left w:val="none" w:sz="0" w:space="0" w:color="auto"/>
                                <w:bottom w:val="none" w:sz="0" w:space="0" w:color="auto"/>
                                <w:right w:val="none" w:sz="0" w:space="0" w:color="auto"/>
                              </w:divBdr>
                            </w:div>
                            <w:div w:id="766123497">
                              <w:marLeft w:val="0"/>
                              <w:marRight w:val="0"/>
                              <w:marTop w:val="0"/>
                              <w:marBottom w:val="0"/>
                              <w:divBdr>
                                <w:top w:val="none" w:sz="0" w:space="0" w:color="auto"/>
                                <w:left w:val="none" w:sz="0" w:space="0" w:color="auto"/>
                                <w:bottom w:val="none" w:sz="0" w:space="0" w:color="auto"/>
                                <w:right w:val="none" w:sz="0" w:space="0" w:color="auto"/>
                              </w:divBdr>
                            </w:div>
                            <w:div w:id="76632051">
                              <w:marLeft w:val="0"/>
                              <w:marRight w:val="0"/>
                              <w:marTop w:val="0"/>
                              <w:marBottom w:val="0"/>
                              <w:divBdr>
                                <w:top w:val="none" w:sz="0" w:space="0" w:color="auto"/>
                                <w:left w:val="none" w:sz="0" w:space="0" w:color="auto"/>
                                <w:bottom w:val="none" w:sz="0" w:space="0" w:color="auto"/>
                                <w:right w:val="none" w:sz="0" w:space="0" w:color="auto"/>
                              </w:divBdr>
                            </w:div>
                            <w:div w:id="1243446769">
                              <w:marLeft w:val="0"/>
                              <w:marRight w:val="0"/>
                              <w:marTop w:val="0"/>
                              <w:marBottom w:val="0"/>
                              <w:divBdr>
                                <w:top w:val="none" w:sz="0" w:space="0" w:color="auto"/>
                                <w:left w:val="none" w:sz="0" w:space="0" w:color="auto"/>
                                <w:bottom w:val="none" w:sz="0" w:space="0" w:color="auto"/>
                                <w:right w:val="none" w:sz="0" w:space="0" w:color="auto"/>
                              </w:divBdr>
                            </w:div>
                            <w:div w:id="1024206902">
                              <w:marLeft w:val="0"/>
                              <w:marRight w:val="0"/>
                              <w:marTop w:val="0"/>
                              <w:marBottom w:val="0"/>
                              <w:divBdr>
                                <w:top w:val="none" w:sz="0" w:space="0" w:color="auto"/>
                                <w:left w:val="none" w:sz="0" w:space="0" w:color="auto"/>
                                <w:bottom w:val="none" w:sz="0" w:space="0" w:color="auto"/>
                                <w:right w:val="none" w:sz="0" w:space="0" w:color="auto"/>
                              </w:divBdr>
                            </w:div>
                            <w:div w:id="871377303">
                              <w:marLeft w:val="0"/>
                              <w:marRight w:val="0"/>
                              <w:marTop w:val="0"/>
                              <w:marBottom w:val="0"/>
                              <w:divBdr>
                                <w:top w:val="none" w:sz="0" w:space="0" w:color="auto"/>
                                <w:left w:val="none" w:sz="0" w:space="0" w:color="auto"/>
                                <w:bottom w:val="none" w:sz="0" w:space="0" w:color="auto"/>
                                <w:right w:val="none" w:sz="0" w:space="0" w:color="auto"/>
                              </w:divBdr>
                            </w:div>
                            <w:div w:id="160894996">
                              <w:marLeft w:val="0"/>
                              <w:marRight w:val="0"/>
                              <w:marTop w:val="0"/>
                              <w:marBottom w:val="0"/>
                              <w:divBdr>
                                <w:top w:val="none" w:sz="0" w:space="0" w:color="auto"/>
                                <w:left w:val="none" w:sz="0" w:space="0" w:color="auto"/>
                                <w:bottom w:val="none" w:sz="0" w:space="0" w:color="auto"/>
                                <w:right w:val="none" w:sz="0" w:space="0" w:color="auto"/>
                              </w:divBdr>
                            </w:div>
                            <w:div w:id="1636452608">
                              <w:marLeft w:val="0"/>
                              <w:marRight w:val="0"/>
                              <w:marTop w:val="0"/>
                              <w:marBottom w:val="0"/>
                              <w:divBdr>
                                <w:top w:val="none" w:sz="0" w:space="0" w:color="auto"/>
                                <w:left w:val="none" w:sz="0" w:space="0" w:color="auto"/>
                                <w:bottom w:val="none" w:sz="0" w:space="0" w:color="auto"/>
                                <w:right w:val="none" w:sz="0" w:space="0" w:color="auto"/>
                              </w:divBdr>
                            </w:div>
                            <w:div w:id="565530699">
                              <w:marLeft w:val="0"/>
                              <w:marRight w:val="0"/>
                              <w:marTop w:val="0"/>
                              <w:marBottom w:val="0"/>
                              <w:divBdr>
                                <w:top w:val="none" w:sz="0" w:space="0" w:color="auto"/>
                                <w:left w:val="none" w:sz="0" w:space="0" w:color="auto"/>
                                <w:bottom w:val="none" w:sz="0" w:space="0" w:color="auto"/>
                                <w:right w:val="none" w:sz="0" w:space="0" w:color="auto"/>
                              </w:divBdr>
                            </w:div>
                            <w:div w:id="2112774976">
                              <w:marLeft w:val="0"/>
                              <w:marRight w:val="0"/>
                              <w:marTop w:val="0"/>
                              <w:marBottom w:val="0"/>
                              <w:divBdr>
                                <w:top w:val="none" w:sz="0" w:space="0" w:color="auto"/>
                                <w:left w:val="none" w:sz="0" w:space="0" w:color="auto"/>
                                <w:bottom w:val="none" w:sz="0" w:space="0" w:color="auto"/>
                                <w:right w:val="none" w:sz="0" w:space="0" w:color="auto"/>
                              </w:divBdr>
                            </w:div>
                            <w:div w:id="2135561640">
                              <w:marLeft w:val="0"/>
                              <w:marRight w:val="0"/>
                              <w:marTop w:val="0"/>
                              <w:marBottom w:val="0"/>
                              <w:divBdr>
                                <w:top w:val="none" w:sz="0" w:space="0" w:color="auto"/>
                                <w:left w:val="none" w:sz="0" w:space="0" w:color="auto"/>
                                <w:bottom w:val="none" w:sz="0" w:space="0" w:color="auto"/>
                                <w:right w:val="none" w:sz="0" w:space="0" w:color="auto"/>
                              </w:divBdr>
                            </w:div>
                          </w:divsChild>
                        </w:div>
                        <w:div w:id="429815071">
                          <w:marLeft w:val="0"/>
                          <w:marRight w:val="0"/>
                          <w:marTop w:val="0"/>
                          <w:marBottom w:val="0"/>
                          <w:divBdr>
                            <w:top w:val="none" w:sz="0" w:space="0" w:color="auto"/>
                            <w:left w:val="none" w:sz="0" w:space="0" w:color="auto"/>
                            <w:bottom w:val="none" w:sz="0" w:space="0" w:color="auto"/>
                            <w:right w:val="none" w:sz="0" w:space="0" w:color="auto"/>
                          </w:divBdr>
                          <w:divsChild>
                            <w:div w:id="1082991629">
                              <w:marLeft w:val="0"/>
                              <w:marRight w:val="0"/>
                              <w:marTop w:val="0"/>
                              <w:marBottom w:val="0"/>
                              <w:divBdr>
                                <w:top w:val="none" w:sz="0" w:space="0" w:color="auto"/>
                                <w:left w:val="none" w:sz="0" w:space="0" w:color="auto"/>
                                <w:bottom w:val="none" w:sz="0" w:space="0" w:color="auto"/>
                                <w:right w:val="none" w:sz="0" w:space="0" w:color="auto"/>
                              </w:divBdr>
                            </w:div>
                            <w:div w:id="385417974">
                              <w:marLeft w:val="0"/>
                              <w:marRight w:val="0"/>
                              <w:marTop w:val="0"/>
                              <w:marBottom w:val="0"/>
                              <w:divBdr>
                                <w:top w:val="none" w:sz="0" w:space="0" w:color="auto"/>
                                <w:left w:val="none" w:sz="0" w:space="0" w:color="auto"/>
                                <w:bottom w:val="none" w:sz="0" w:space="0" w:color="auto"/>
                                <w:right w:val="none" w:sz="0" w:space="0" w:color="auto"/>
                              </w:divBdr>
                            </w:div>
                            <w:div w:id="424225647">
                              <w:marLeft w:val="0"/>
                              <w:marRight w:val="0"/>
                              <w:marTop w:val="0"/>
                              <w:marBottom w:val="0"/>
                              <w:divBdr>
                                <w:top w:val="none" w:sz="0" w:space="0" w:color="auto"/>
                                <w:left w:val="none" w:sz="0" w:space="0" w:color="auto"/>
                                <w:bottom w:val="none" w:sz="0" w:space="0" w:color="auto"/>
                                <w:right w:val="none" w:sz="0" w:space="0" w:color="auto"/>
                              </w:divBdr>
                            </w:div>
                            <w:div w:id="1181696336">
                              <w:marLeft w:val="0"/>
                              <w:marRight w:val="0"/>
                              <w:marTop w:val="0"/>
                              <w:marBottom w:val="0"/>
                              <w:divBdr>
                                <w:top w:val="none" w:sz="0" w:space="0" w:color="auto"/>
                                <w:left w:val="none" w:sz="0" w:space="0" w:color="auto"/>
                                <w:bottom w:val="none" w:sz="0" w:space="0" w:color="auto"/>
                                <w:right w:val="none" w:sz="0" w:space="0" w:color="auto"/>
                              </w:divBdr>
                            </w:div>
                            <w:div w:id="998267527">
                              <w:marLeft w:val="0"/>
                              <w:marRight w:val="0"/>
                              <w:marTop w:val="0"/>
                              <w:marBottom w:val="0"/>
                              <w:divBdr>
                                <w:top w:val="none" w:sz="0" w:space="0" w:color="auto"/>
                                <w:left w:val="none" w:sz="0" w:space="0" w:color="auto"/>
                                <w:bottom w:val="none" w:sz="0" w:space="0" w:color="auto"/>
                                <w:right w:val="none" w:sz="0" w:space="0" w:color="auto"/>
                              </w:divBdr>
                            </w:div>
                          </w:divsChild>
                        </w:div>
                        <w:div w:id="1719471485">
                          <w:marLeft w:val="0"/>
                          <w:marRight w:val="0"/>
                          <w:marTop w:val="0"/>
                          <w:marBottom w:val="0"/>
                          <w:divBdr>
                            <w:top w:val="none" w:sz="0" w:space="0" w:color="auto"/>
                            <w:left w:val="none" w:sz="0" w:space="0" w:color="auto"/>
                            <w:bottom w:val="none" w:sz="0" w:space="0" w:color="auto"/>
                            <w:right w:val="none" w:sz="0" w:space="0" w:color="auto"/>
                          </w:divBdr>
                          <w:divsChild>
                            <w:div w:id="1647776684">
                              <w:marLeft w:val="0"/>
                              <w:marRight w:val="0"/>
                              <w:marTop w:val="0"/>
                              <w:marBottom w:val="0"/>
                              <w:divBdr>
                                <w:top w:val="none" w:sz="0" w:space="0" w:color="auto"/>
                                <w:left w:val="none" w:sz="0" w:space="0" w:color="auto"/>
                                <w:bottom w:val="none" w:sz="0" w:space="0" w:color="auto"/>
                                <w:right w:val="none" w:sz="0" w:space="0" w:color="auto"/>
                              </w:divBdr>
                            </w:div>
                            <w:div w:id="1191650067">
                              <w:marLeft w:val="0"/>
                              <w:marRight w:val="0"/>
                              <w:marTop w:val="0"/>
                              <w:marBottom w:val="0"/>
                              <w:divBdr>
                                <w:top w:val="none" w:sz="0" w:space="0" w:color="auto"/>
                                <w:left w:val="none" w:sz="0" w:space="0" w:color="auto"/>
                                <w:bottom w:val="none" w:sz="0" w:space="0" w:color="auto"/>
                                <w:right w:val="none" w:sz="0" w:space="0" w:color="auto"/>
                              </w:divBdr>
                            </w:div>
                            <w:div w:id="264307735">
                              <w:marLeft w:val="0"/>
                              <w:marRight w:val="0"/>
                              <w:marTop w:val="0"/>
                              <w:marBottom w:val="0"/>
                              <w:divBdr>
                                <w:top w:val="none" w:sz="0" w:space="0" w:color="auto"/>
                                <w:left w:val="none" w:sz="0" w:space="0" w:color="auto"/>
                                <w:bottom w:val="none" w:sz="0" w:space="0" w:color="auto"/>
                                <w:right w:val="none" w:sz="0" w:space="0" w:color="auto"/>
                              </w:divBdr>
                            </w:div>
                            <w:div w:id="1943679590">
                              <w:marLeft w:val="0"/>
                              <w:marRight w:val="0"/>
                              <w:marTop w:val="0"/>
                              <w:marBottom w:val="0"/>
                              <w:divBdr>
                                <w:top w:val="none" w:sz="0" w:space="0" w:color="auto"/>
                                <w:left w:val="none" w:sz="0" w:space="0" w:color="auto"/>
                                <w:bottom w:val="none" w:sz="0" w:space="0" w:color="auto"/>
                                <w:right w:val="none" w:sz="0" w:space="0" w:color="auto"/>
                              </w:divBdr>
                            </w:div>
                            <w:div w:id="410466754">
                              <w:marLeft w:val="0"/>
                              <w:marRight w:val="0"/>
                              <w:marTop w:val="0"/>
                              <w:marBottom w:val="0"/>
                              <w:divBdr>
                                <w:top w:val="none" w:sz="0" w:space="0" w:color="auto"/>
                                <w:left w:val="none" w:sz="0" w:space="0" w:color="auto"/>
                                <w:bottom w:val="none" w:sz="0" w:space="0" w:color="auto"/>
                                <w:right w:val="none" w:sz="0" w:space="0" w:color="auto"/>
                              </w:divBdr>
                            </w:div>
                            <w:div w:id="1805466036">
                              <w:marLeft w:val="0"/>
                              <w:marRight w:val="0"/>
                              <w:marTop w:val="0"/>
                              <w:marBottom w:val="0"/>
                              <w:divBdr>
                                <w:top w:val="none" w:sz="0" w:space="0" w:color="auto"/>
                                <w:left w:val="none" w:sz="0" w:space="0" w:color="auto"/>
                                <w:bottom w:val="none" w:sz="0" w:space="0" w:color="auto"/>
                                <w:right w:val="none" w:sz="0" w:space="0" w:color="auto"/>
                              </w:divBdr>
                            </w:div>
                            <w:div w:id="1168061181">
                              <w:marLeft w:val="0"/>
                              <w:marRight w:val="0"/>
                              <w:marTop w:val="0"/>
                              <w:marBottom w:val="0"/>
                              <w:divBdr>
                                <w:top w:val="none" w:sz="0" w:space="0" w:color="auto"/>
                                <w:left w:val="none" w:sz="0" w:space="0" w:color="auto"/>
                                <w:bottom w:val="none" w:sz="0" w:space="0" w:color="auto"/>
                                <w:right w:val="none" w:sz="0" w:space="0" w:color="auto"/>
                              </w:divBdr>
                            </w:div>
                            <w:div w:id="1571689836">
                              <w:marLeft w:val="0"/>
                              <w:marRight w:val="0"/>
                              <w:marTop w:val="0"/>
                              <w:marBottom w:val="0"/>
                              <w:divBdr>
                                <w:top w:val="none" w:sz="0" w:space="0" w:color="auto"/>
                                <w:left w:val="none" w:sz="0" w:space="0" w:color="auto"/>
                                <w:bottom w:val="none" w:sz="0" w:space="0" w:color="auto"/>
                                <w:right w:val="none" w:sz="0" w:space="0" w:color="auto"/>
                              </w:divBdr>
                            </w:div>
                            <w:div w:id="172047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983889">
                      <w:marLeft w:val="0"/>
                      <w:marRight w:val="0"/>
                      <w:marTop w:val="0"/>
                      <w:marBottom w:val="0"/>
                      <w:divBdr>
                        <w:top w:val="none" w:sz="0" w:space="0" w:color="auto"/>
                        <w:left w:val="none" w:sz="0" w:space="0" w:color="auto"/>
                        <w:bottom w:val="none" w:sz="0" w:space="0" w:color="auto"/>
                        <w:right w:val="none" w:sz="0" w:space="0" w:color="auto"/>
                      </w:divBdr>
                      <w:divsChild>
                        <w:div w:id="261452848">
                          <w:marLeft w:val="0"/>
                          <w:marRight w:val="0"/>
                          <w:marTop w:val="0"/>
                          <w:marBottom w:val="0"/>
                          <w:divBdr>
                            <w:top w:val="none" w:sz="0" w:space="0" w:color="auto"/>
                            <w:left w:val="none" w:sz="0" w:space="0" w:color="auto"/>
                            <w:bottom w:val="none" w:sz="0" w:space="0" w:color="auto"/>
                            <w:right w:val="none" w:sz="0" w:space="0" w:color="auto"/>
                          </w:divBdr>
                        </w:div>
                        <w:div w:id="1004355564">
                          <w:marLeft w:val="0"/>
                          <w:marRight w:val="0"/>
                          <w:marTop w:val="0"/>
                          <w:marBottom w:val="0"/>
                          <w:divBdr>
                            <w:top w:val="none" w:sz="0" w:space="0" w:color="auto"/>
                            <w:left w:val="none" w:sz="0" w:space="0" w:color="auto"/>
                            <w:bottom w:val="none" w:sz="0" w:space="0" w:color="auto"/>
                            <w:right w:val="none" w:sz="0" w:space="0" w:color="auto"/>
                          </w:divBdr>
                          <w:divsChild>
                            <w:div w:id="2018078043">
                              <w:marLeft w:val="0"/>
                              <w:marRight w:val="0"/>
                              <w:marTop w:val="0"/>
                              <w:marBottom w:val="0"/>
                              <w:divBdr>
                                <w:top w:val="none" w:sz="0" w:space="0" w:color="auto"/>
                                <w:left w:val="none" w:sz="0" w:space="0" w:color="auto"/>
                                <w:bottom w:val="none" w:sz="0" w:space="0" w:color="auto"/>
                                <w:right w:val="none" w:sz="0" w:space="0" w:color="auto"/>
                              </w:divBdr>
                            </w:div>
                            <w:div w:id="1940480683">
                              <w:marLeft w:val="0"/>
                              <w:marRight w:val="0"/>
                              <w:marTop w:val="0"/>
                              <w:marBottom w:val="0"/>
                              <w:divBdr>
                                <w:top w:val="none" w:sz="0" w:space="0" w:color="auto"/>
                                <w:left w:val="none" w:sz="0" w:space="0" w:color="auto"/>
                                <w:bottom w:val="none" w:sz="0" w:space="0" w:color="auto"/>
                                <w:right w:val="none" w:sz="0" w:space="0" w:color="auto"/>
                              </w:divBdr>
                            </w:div>
                            <w:div w:id="1908571355">
                              <w:marLeft w:val="0"/>
                              <w:marRight w:val="0"/>
                              <w:marTop w:val="0"/>
                              <w:marBottom w:val="0"/>
                              <w:divBdr>
                                <w:top w:val="none" w:sz="0" w:space="0" w:color="auto"/>
                                <w:left w:val="none" w:sz="0" w:space="0" w:color="auto"/>
                                <w:bottom w:val="none" w:sz="0" w:space="0" w:color="auto"/>
                                <w:right w:val="none" w:sz="0" w:space="0" w:color="auto"/>
                              </w:divBdr>
                            </w:div>
                            <w:div w:id="226692726">
                              <w:marLeft w:val="0"/>
                              <w:marRight w:val="0"/>
                              <w:marTop w:val="0"/>
                              <w:marBottom w:val="0"/>
                              <w:divBdr>
                                <w:top w:val="none" w:sz="0" w:space="0" w:color="auto"/>
                                <w:left w:val="none" w:sz="0" w:space="0" w:color="auto"/>
                                <w:bottom w:val="none" w:sz="0" w:space="0" w:color="auto"/>
                                <w:right w:val="none" w:sz="0" w:space="0" w:color="auto"/>
                              </w:divBdr>
                            </w:div>
                            <w:div w:id="1091509989">
                              <w:marLeft w:val="0"/>
                              <w:marRight w:val="0"/>
                              <w:marTop w:val="0"/>
                              <w:marBottom w:val="0"/>
                              <w:divBdr>
                                <w:top w:val="none" w:sz="0" w:space="0" w:color="auto"/>
                                <w:left w:val="none" w:sz="0" w:space="0" w:color="auto"/>
                                <w:bottom w:val="none" w:sz="0" w:space="0" w:color="auto"/>
                                <w:right w:val="none" w:sz="0" w:space="0" w:color="auto"/>
                              </w:divBdr>
                            </w:div>
                            <w:div w:id="1269388200">
                              <w:marLeft w:val="0"/>
                              <w:marRight w:val="0"/>
                              <w:marTop w:val="0"/>
                              <w:marBottom w:val="0"/>
                              <w:divBdr>
                                <w:top w:val="none" w:sz="0" w:space="0" w:color="auto"/>
                                <w:left w:val="none" w:sz="0" w:space="0" w:color="auto"/>
                                <w:bottom w:val="none" w:sz="0" w:space="0" w:color="auto"/>
                                <w:right w:val="none" w:sz="0" w:space="0" w:color="auto"/>
                              </w:divBdr>
                            </w:div>
                            <w:div w:id="83498704">
                              <w:marLeft w:val="0"/>
                              <w:marRight w:val="0"/>
                              <w:marTop w:val="0"/>
                              <w:marBottom w:val="0"/>
                              <w:divBdr>
                                <w:top w:val="none" w:sz="0" w:space="0" w:color="auto"/>
                                <w:left w:val="none" w:sz="0" w:space="0" w:color="auto"/>
                                <w:bottom w:val="none" w:sz="0" w:space="0" w:color="auto"/>
                                <w:right w:val="none" w:sz="0" w:space="0" w:color="auto"/>
                              </w:divBdr>
                            </w:div>
                          </w:divsChild>
                        </w:div>
                        <w:div w:id="1075861799">
                          <w:marLeft w:val="0"/>
                          <w:marRight w:val="0"/>
                          <w:marTop w:val="0"/>
                          <w:marBottom w:val="0"/>
                          <w:divBdr>
                            <w:top w:val="none" w:sz="0" w:space="0" w:color="auto"/>
                            <w:left w:val="none" w:sz="0" w:space="0" w:color="auto"/>
                            <w:bottom w:val="none" w:sz="0" w:space="0" w:color="auto"/>
                            <w:right w:val="none" w:sz="0" w:space="0" w:color="auto"/>
                          </w:divBdr>
                          <w:divsChild>
                            <w:div w:id="1318680430">
                              <w:marLeft w:val="0"/>
                              <w:marRight w:val="0"/>
                              <w:marTop w:val="0"/>
                              <w:marBottom w:val="0"/>
                              <w:divBdr>
                                <w:top w:val="none" w:sz="0" w:space="0" w:color="auto"/>
                                <w:left w:val="none" w:sz="0" w:space="0" w:color="auto"/>
                                <w:bottom w:val="none" w:sz="0" w:space="0" w:color="auto"/>
                                <w:right w:val="none" w:sz="0" w:space="0" w:color="auto"/>
                              </w:divBdr>
                            </w:div>
                            <w:div w:id="1428892453">
                              <w:marLeft w:val="0"/>
                              <w:marRight w:val="0"/>
                              <w:marTop w:val="0"/>
                              <w:marBottom w:val="0"/>
                              <w:divBdr>
                                <w:top w:val="none" w:sz="0" w:space="0" w:color="auto"/>
                                <w:left w:val="none" w:sz="0" w:space="0" w:color="auto"/>
                                <w:bottom w:val="none" w:sz="0" w:space="0" w:color="auto"/>
                                <w:right w:val="none" w:sz="0" w:space="0" w:color="auto"/>
                              </w:divBdr>
                            </w:div>
                            <w:div w:id="920021213">
                              <w:marLeft w:val="0"/>
                              <w:marRight w:val="0"/>
                              <w:marTop w:val="0"/>
                              <w:marBottom w:val="0"/>
                              <w:divBdr>
                                <w:top w:val="none" w:sz="0" w:space="0" w:color="auto"/>
                                <w:left w:val="none" w:sz="0" w:space="0" w:color="auto"/>
                                <w:bottom w:val="none" w:sz="0" w:space="0" w:color="auto"/>
                                <w:right w:val="none" w:sz="0" w:space="0" w:color="auto"/>
                              </w:divBdr>
                            </w:div>
                            <w:div w:id="227960204">
                              <w:marLeft w:val="0"/>
                              <w:marRight w:val="0"/>
                              <w:marTop w:val="0"/>
                              <w:marBottom w:val="0"/>
                              <w:divBdr>
                                <w:top w:val="none" w:sz="0" w:space="0" w:color="auto"/>
                                <w:left w:val="none" w:sz="0" w:space="0" w:color="auto"/>
                                <w:bottom w:val="none" w:sz="0" w:space="0" w:color="auto"/>
                                <w:right w:val="none" w:sz="0" w:space="0" w:color="auto"/>
                              </w:divBdr>
                            </w:div>
                            <w:div w:id="1660421152">
                              <w:marLeft w:val="0"/>
                              <w:marRight w:val="0"/>
                              <w:marTop w:val="0"/>
                              <w:marBottom w:val="0"/>
                              <w:divBdr>
                                <w:top w:val="none" w:sz="0" w:space="0" w:color="auto"/>
                                <w:left w:val="none" w:sz="0" w:space="0" w:color="auto"/>
                                <w:bottom w:val="none" w:sz="0" w:space="0" w:color="auto"/>
                                <w:right w:val="none" w:sz="0" w:space="0" w:color="auto"/>
                              </w:divBdr>
                            </w:div>
                            <w:div w:id="59764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489779">
                  <w:marLeft w:val="0"/>
                  <w:marRight w:val="0"/>
                  <w:marTop w:val="0"/>
                  <w:marBottom w:val="0"/>
                  <w:divBdr>
                    <w:top w:val="none" w:sz="0" w:space="0" w:color="auto"/>
                    <w:left w:val="none" w:sz="0" w:space="0" w:color="auto"/>
                    <w:bottom w:val="none" w:sz="0" w:space="0" w:color="auto"/>
                    <w:right w:val="none" w:sz="0" w:space="0" w:color="auto"/>
                  </w:divBdr>
                  <w:divsChild>
                    <w:div w:id="86384782">
                      <w:marLeft w:val="0"/>
                      <w:marRight w:val="0"/>
                      <w:marTop w:val="0"/>
                      <w:marBottom w:val="0"/>
                      <w:divBdr>
                        <w:top w:val="none" w:sz="0" w:space="0" w:color="auto"/>
                        <w:left w:val="none" w:sz="0" w:space="0" w:color="auto"/>
                        <w:bottom w:val="none" w:sz="0" w:space="0" w:color="auto"/>
                        <w:right w:val="none" w:sz="0" w:space="0" w:color="auto"/>
                      </w:divBdr>
                    </w:div>
                    <w:div w:id="804857481">
                      <w:marLeft w:val="0"/>
                      <w:marRight w:val="0"/>
                      <w:marTop w:val="0"/>
                      <w:marBottom w:val="0"/>
                      <w:divBdr>
                        <w:top w:val="none" w:sz="0" w:space="0" w:color="auto"/>
                        <w:left w:val="none" w:sz="0" w:space="0" w:color="auto"/>
                        <w:bottom w:val="none" w:sz="0" w:space="0" w:color="auto"/>
                        <w:right w:val="none" w:sz="0" w:space="0" w:color="auto"/>
                      </w:divBdr>
                      <w:divsChild>
                        <w:div w:id="28343825">
                          <w:marLeft w:val="0"/>
                          <w:marRight w:val="0"/>
                          <w:marTop w:val="0"/>
                          <w:marBottom w:val="0"/>
                          <w:divBdr>
                            <w:top w:val="none" w:sz="0" w:space="0" w:color="auto"/>
                            <w:left w:val="none" w:sz="0" w:space="0" w:color="auto"/>
                            <w:bottom w:val="none" w:sz="0" w:space="0" w:color="auto"/>
                            <w:right w:val="none" w:sz="0" w:space="0" w:color="auto"/>
                          </w:divBdr>
                        </w:div>
                        <w:div w:id="381485611">
                          <w:marLeft w:val="0"/>
                          <w:marRight w:val="0"/>
                          <w:marTop w:val="0"/>
                          <w:marBottom w:val="0"/>
                          <w:divBdr>
                            <w:top w:val="none" w:sz="0" w:space="0" w:color="auto"/>
                            <w:left w:val="none" w:sz="0" w:space="0" w:color="auto"/>
                            <w:bottom w:val="none" w:sz="0" w:space="0" w:color="auto"/>
                            <w:right w:val="none" w:sz="0" w:space="0" w:color="auto"/>
                          </w:divBdr>
                          <w:divsChild>
                            <w:div w:id="290942433">
                              <w:marLeft w:val="0"/>
                              <w:marRight w:val="0"/>
                              <w:marTop w:val="0"/>
                              <w:marBottom w:val="0"/>
                              <w:divBdr>
                                <w:top w:val="none" w:sz="0" w:space="0" w:color="auto"/>
                                <w:left w:val="none" w:sz="0" w:space="0" w:color="auto"/>
                                <w:bottom w:val="none" w:sz="0" w:space="0" w:color="auto"/>
                                <w:right w:val="none" w:sz="0" w:space="0" w:color="auto"/>
                              </w:divBdr>
                            </w:div>
                            <w:div w:id="1680154057">
                              <w:marLeft w:val="0"/>
                              <w:marRight w:val="0"/>
                              <w:marTop w:val="0"/>
                              <w:marBottom w:val="0"/>
                              <w:divBdr>
                                <w:top w:val="none" w:sz="0" w:space="0" w:color="auto"/>
                                <w:left w:val="none" w:sz="0" w:space="0" w:color="auto"/>
                                <w:bottom w:val="none" w:sz="0" w:space="0" w:color="auto"/>
                                <w:right w:val="none" w:sz="0" w:space="0" w:color="auto"/>
                              </w:divBdr>
                            </w:div>
                            <w:div w:id="1174490043">
                              <w:marLeft w:val="0"/>
                              <w:marRight w:val="0"/>
                              <w:marTop w:val="0"/>
                              <w:marBottom w:val="0"/>
                              <w:divBdr>
                                <w:top w:val="none" w:sz="0" w:space="0" w:color="auto"/>
                                <w:left w:val="none" w:sz="0" w:space="0" w:color="auto"/>
                                <w:bottom w:val="none" w:sz="0" w:space="0" w:color="auto"/>
                                <w:right w:val="none" w:sz="0" w:space="0" w:color="auto"/>
                              </w:divBdr>
                            </w:div>
                            <w:div w:id="1524324179">
                              <w:marLeft w:val="0"/>
                              <w:marRight w:val="0"/>
                              <w:marTop w:val="0"/>
                              <w:marBottom w:val="0"/>
                              <w:divBdr>
                                <w:top w:val="none" w:sz="0" w:space="0" w:color="auto"/>
                                <w:left w:val="none" w:sz="0" w:space="0" w:color="auto"/>
                                <w:bottom w:val="none" w:sz="0" w:space="0" w:color="auto"/>
                                <w:right w:val="none" w:sz="0" w:space="0" w:color="auto"/>
                              </w:divBdr>
                            </w:div>
                            <w:div w:id="507789288">
                              <w:marLeft w:val="0"/>
                              <w:marRight w:val="0"/>
                              <w:marTop w:val="0"/>
                              <w:marBottom w:val="0"/>
                              <w:divBdr>
                                <w:top w:val="none" w:sz="0" w:space="0" w:color="auto"/>
                                <w:left w:val="none" w:sz="0" w:space="0" w:color="auto"/>
                                <w:bottom w:val="none" w:sz="0" w:space="0" w:color="auto"/>
                                <w:right w:val="none" w:sz="0" w:space="0" w:color="auto"/>
                              </w:divBdr>
                            </w:div>
                            <w:div w:id="1401487560">
                              <w:marLeft w:val="0"/>
                              <w:marRight w:val="0"/>
                              <w:marTop w:val="0"/>
                              <w:marBottom w:val="0"/>
                              <w:divBdr>
                                <w:top w:val="none" w:sz="0" w:space="0" w:color="auto"/>
                                <w:left w:val="none" w:sz="0" w:space="0" w:color="auto"/>
                                <w:bottom w:val="none" w:sz="0" w:space="0" w:color="auto"/>
                                <w:right w:val="none" w:sz="0" w:space="0" w:color="auto"/>
                              </w:divBdr>
                            </w:div>
                            <w:div w:id="238445749">
                              <w:marLeft w:val="0"/>
                              <w:marRight w:val="0"/>
                              <w:marTop w:val="0"/>
                              <w:marBottom w:val="0"/>
                              <w:divBdr>
                                <w:top w:val="none" w:sz="0" w:space="0" w:color="auto"/>
                                <w:left w:val="none" w:sz="0" w:space="0" w:color="auto"/>
                                <w:bottom w:val="none" w:sz="0" w:space="0" w:color="auto"/>
                                <w:right w:val="none" w:sz="0" w:space="0" w:color="auto"/>
                              </w:divBdr>
                            </w:div>
                            <w:div w:id="619533182">
                              <w:marLeft w:val="0"/>
                              <w:marRight w:val="0"/>
                              <w:marTop w:val="0"/>
                              <w:marBottom w:val="0"/>
                              <w:divBdr>
                                <w:top w:val="none" w:sz="0" w:space="0" w:color="auto"/>
                                <w:left w:val="none" w:sz="0" w:space="0" w:color="auto"/>
                                <w:bottom w:val="none" w:sz="0" w:space="0" w:color="auto"/>
                                <w:right w:val="none" w:sz="0" w:space="0" w:color="auto"/>
                              </w:divBdr>
                            </w:div>
                          </w:divsChild>
                        </w:div>
                        <w:div w:id="53085528">
                          <w:marLeft w:val="0"/>
                          <w:marRight w:val="0"/>
                          <w:marTop w:val="0"/>
                          <w:marBottom w:val="0"/>
                          <w:divBdr>
                            <w:top w:val="none" w:sz="0" w:space="0" w:color="auto"/>
                            <w:left w:val="none" w:sz="0" w:space="0" w:color="auto"/>
                            <w:bottom w:val="none" w:sz="0" w:space="0" w:color="auto"/>
                            <w:right w:val="none" w:sz="0" w:space="0" w:color="auto"/>
                          </w:divBdr>
                          <w:divsChild>
                            <w:div w:id="823206592">
                              <w:marLeft w:val="0"/>
                              <w:marRight w:val="0"/>
                              <w:marTop w:val="0"/>
                              <w:marBottom w:val="0"/>
                              <w:divBdr>
                                <w:top w:val="none" w:sz="0" w:space="0" w:color="auto"/>
                                <w:left w:val="none" w:sz="0" w:space="0" w:color="auto"/>
                                <w:bottom w:val="none" w:sz="0" w:space="0" w:color="auto"/>
                                <w:right w:val="none" w:sz="0" w:space="0" w:color="auto"/>
                              </w:divBdr>
                            </w:div>
                            <w:div w:id="664630981">
                              <w:marLeft w:val="0"/>
                              <w:marRight w:val="0"/>
                              <w:marTop w:val="0"/>
                              <w:marBottom w:val="0"/>
                              <w:divBdr>
                                <w:top w:val="none" w:sz="0" w:space="0" w:color="auto"/>
                                <w:left w:val="none" w:sz="0" w:space="0" w:color="auto"/>
                                <w:bottom w:val="none" w:sz="0" w:space="0" w:color="auto"/>
                                <w:right w:val="none" w:sz="0" w:space="0" w:color="auto"/>
                              </w:divBdr>
                            </w:div>
                            <w:div w:id="428232827">
                              <w:marLeft w:val="0"/>
                              <w:marRight w:val="0"/>
                              <w:marTop w:val="0"/>
                              <w:marBottom w:val="0"/>
                              <w:divBdr>
                                <w:top w:val="none" w:sz="0" w:space="0" w:color="auto"/>
                                <w:left w:val="none" w:sz="0" w:space="0" w:color="auto"/>
                                <w:bottom w:val="none" w:sz="0" w:space="0" w:color="auto"/>
                                <w:right w:val="none" w:sz="0" w:space="0" w:color="auto"/>
                              </w:divBdr>
                            </w:div>
                            <w:div w:id="466581479">
                              <w:marLeft w:val="0"/>
                              <w:marRight w:val="0"/>
                              <w:marTop w:val="0"/>
                              <w:marBottom w:val="0"/>
                              <w:divBdr>
                                <w:top w:val="none" w:sz="0" w:space="0" w:color="auto"/>
                                <w:left w:val="none" w:sz="0" w:space="0" w:color="auto"/>
                                <w:bottom w:val="none" w:sz="0" w:space="0" w:color="auto"/>
                                <w:right w:val="none" w:sz="0" w:space="0" w:color="auto"/>
                              </w:divBdr>
                            </w:div>
                            <w:div w:id="341973790">
                              <w:marLeft w:val="0"/>
                              <w:marRight w:val="0"/>
                              <w:marTop w:val="0"/>
                              <w:marBottom w:val="0"/>
                              <w:divBdr>
                                <w:top w:val="none" w:sz="0" w:space="0" w:color="auto"/>
                                <w:left w:val="none" w:sz="0" w:space="0" w:color="auto"/>
                                <w:bottom w:val="none" w:sz="0" w:space="0" w:color="auto"/>
                                <w:right w:val="none" w:sz="0" w:space="0" w:color="auto"/>
                              </w:divBdr>
                            </w:div>
                            <w:div w:id="1514807840">
                              <w:marLeft w:val="0"/>
                              <w:marRight w:val="0"/>
                              <w:marTop w:val="0"/>
                              <w:marBottom w:val="0"/>
                              <w:divBdr>
                                <w:top w:val="none" w:sz="0" w:space="0" w:color="auto"/>
                                <w:left w:val="none" w:sz="0" w:space="0" w:color="auto"/>
                                <w:bottom w:val="none" w:sz="0" w:space="0" w:color="auto"/>
                                <w:right w:val="none" w:sz="0" w:space="0" w:color="auto"/>
                              </w:divBdr>
                            </w:div>
                            <w:div w:id="1149588759">
                              <w:marLeft w:val="0"/>
                              <w:marRight w:val="0"/>
                              <w:marTop w:val="0"/>
                              <w:marBottom w:val="0"/>
                              <w:divBdr>
                                <w:top w:val="none" w:sz="0" w:space="0" w:color="auto"/>
                                <w:left w:val="none" w:sz="0" w:space="0" w:color="auto"/>
                                <w:bottom w:val="none" w:sz="0" w:space="0" w:color="auto"/>
                                <w:right w:val="none" w:sz="0" w:space="0" w:color="auto"/>
                              </w:divBdr>
                            </w:div>
                          </w:divsChild>
                        </w:div>
                        <w:div w:id="2018074981">
                          <w:marLeft w:val="0"/>
                          <w:marRight w:val="0"/>
                          <w:marTop w:val="0"/>
                          <w:marBottom w:val="0"/>
                          <w:divBdr>
                            <w:top w:val="none" w:sz="0" w:space="0" w:color="auto"/>
                            <w:left w:val="none" w:sz="0" w:space="0" w:color="auto"/>
                            <w:bottom w:val="none" w:sz="0" w:space="0" w:color="auto"/>
                            <w:right w:val="none" w:sz="0" w:space="0" w:color="auto"/>
                          </w:divBdr>
                          <w:divsChild>
                            <w:div w:id="107969813">
                              <w:marLeft w:val="0"/>
                              <w:marRight w:val="0"/>
                              <w:marTop w:val="0"/>
                              <w:marBottom w:val="0"/>
                              <w:divBdr>
                                <w:top w:val="none" w:sz="0" w:space="0" w:color="auto"/>
                                <w:left w:val="none" w:sz="0" w:space="0" w:color="auto"/>
                                <w:bottom w:val="none" w:sz="0" w:space="0" w:color="auto"/>
                                <w:right w:val="none" w:sz="0" w:space="0" w:color="auto"/>
                              </w:divBdr>
                            </w:div>
                            <w:div w:id="1105419576">
                              <w:marLeft w:val="0"/>
                              <w:marRight w:val="0"/>
                              <w:marTop w:val="0"/>
                              <w:marBottom w:val="0"/>
                              <w:divBdr>
                                <w:top w:val="none" w:sz="0" w:space="0" w:color="auto"/>
                                <w:left w:val="none" w:sz="0" w:space="0" w:color="auto"/>
                                <w:bottom w:val="none" w:sz="0" w:space="0" w:color="auto"/>
                                <w:right w:val="none" w:sz="0" w:space="0" w:color="auto"/>
                              </w:divBdr>
                            </w:div>
                            <w:div w:id="1521314339">
                              <w:marLeft w:val="0"/>
                              <w:marRight w:val="0"/>
                              <w:marTop w:val="0"/>
                              <w:marBottom w:val="0"/>
                              <w:divBdr>
                                <w:top w:val="none" w:sz="0" w:space="0" w:color="auto"/>
                                <w:left w:val="none" w:sz="0" w:space="0" w:color="auto"/>
                                <w:bottom w:val="none" w:sz="0" w:space="0" w:color="auto"/>
                                <w:right w:val="none" w:sz="0" w:space="0" w:color="auto"/>
                              </w:divBdr>
                            </w:div>
                            <w:div w:id="1481337666">
                              <w:marLeft w:val="0"/>
                              <w:marRight w:val="0"/>
                              <w:marTop w:val="0"/>
                              <w:marBottom w:val="0"/>
                              <w:divBdr>
                                <w:top w:val="none" w:sz="0" w:space="0" w:color="auto"/>
                                <w:left w:val="none" w:sz="0" w:space="0" w:color="auto"/>
                                <w:bottom w:val="none" w:sz="0" w:space="0" w:color="auto"/>
                                <w:right w:val="none" w:sz="0" w:space="0" w:color="auto"/>
                              </w:divBdr>
                            </w:div>
                          </w:divsChild>
                        </w:div>
                        <w:div w:id="1078865799">
                          <w:marLeft w:val="0"/>
                          <w:marRight w:val="0"/>
                          <w:marTop w:val="0"/>
                          <w:marBottom w:val="0"/>
                          <w:divBdr>
                            <w:top w:val="none" w:sz="0" w:space="0" w:color="auto"/>
                            <w:left w:val="none" w:sz="0" w:space="0" w:color="auto"/>
                            <w:bottom w:val="none" w:sz="0" w:space="0" w:color="auto"/>
                            <w:right w:val="none" w:sz="0" w:space="0" w:color="auto"/>
                          </w:divBdr>
                          <w:divsChild>
                            <w:div w:id="115411448">
                              <w:marLeft w:val="0"/>
                              <w:marRight w:val="0"/>
                              <w:marTop w:val="0"/>
                              <w:marBottom w:val="0"/>
                              <w:divBdr>
                                <w:top w:val="none" w:sz="0" w:space="0" w:color="auto"/>
                                <w:left w:val="none" w:sz="0" w:space="0" w:color="auto"/>
                                <w:bottom w:val="none" w:sz="0" w:space="0" w:color="auto"/>
                                <w:right w:val="none" w:sz="0" w:space="0" w:color="auto"/>
                              </w:divBdr>
                            </w:div>
                            <w:div w:id="1885410834">
                              <w:marLeft w:val="0"/>
                              <w:marRight w:val="0"/>
                              <w:marTop w:val="0"/>
                              <w:marBottom w:val="0"/>
                              <w:divBdr>
                                <w:top w:val="none" w:sz="0" w:space="0" w:color="auto"/>
                                <w:left w:val="none" w:sz="0" w:space="0" w:color="auto"/>
                                <w:bottom w:val="none" w:sz="0" w:space="0" w:color="auto"/>
                                <w:right w:val="none" w:sz="0" w:space="0" w:color="auto"/>
                              </w:divBdr>
                            </w:div>
                            <w:div w:id="905457503">
                              <w:marLeft w:val="0"/>
                              <w:marRight w:val="0"/>
                              <w:marTop w:val="0"/>
                              <w:marBottom w:val="0"/>
                              <w:divBdr>
                                <w:top w:val="none" w:sz="0" w:space="0" w:color="auto"/>
                                <w:left w:val="none" w:sz="0" w:space="0" w:color="auto"/>
                                <w:bottom w:val="none" w:sz="0" w:space="0" w:color="auto"/>
                                <w:right w:val="none" w:sz="0" w:space="0" w:color="auto"/>
                              </w:divBdr>
                            </w:div>
                            <w:div w:id="1564024315">
                              <w:marLeft w:val="0"/>
                              <w:marRight w:val="0"/>
                              <w:marTop w:val="0"/>
                              <w:marBottom w:val="0"/>
                              <w:divBdr>
                                <w:top w:val="none" w:sz="0" w:space="0" w:color="auto"/>
                                <w:left w:val="none" w:sz="0" w:space="0" w:color="auto"/>
                                <w:bottom w:val="none" w:sz="0" w:space="0" w:color="auto"/>
                                <w:right w:val="none" w:sz="0" w:space="0" w:color="auto"/>
                              </w:divBdr>
                              <w:divsChild>
                                <w:div w:id="1718386532">
                                  <w:marLeft w:val="0"/>
                                  <w:marRight w:val="0"/>
                                  <w:marTop w:val="0"/>
                                  <w:marBottom w:val="0"/>
                                  <w:divBdr>
                                    <w:top w:val="none" w:sz="0" w:space="0" w:color="auto"/>
                                    <w:left w:val="none" w:sz="0" w:space="0" w:color="auto"/>
                                    <w:bottom w:val="none" w:sz="0" w:space="0" w:color="auto"/>
                                    <w:right w:val="none" w:sz="0" w:space="0" w:color="auto"/>
                                  </w:divBdr>
                                </w:div>
                              </w:divsChild>
                            </w:div>
                            <w:div w:id="1553082037">
                              <w:marLeft w:val="0"/>
                              <w:marRight w:val="0"/>
                              <w:marTop w:val="0"/>
                              <w:marBottom w:val="0"/>
                              <w:divBdr>
                                <w:top w:val="none" w:sz="0" w:space="0" w:color="auto"/>
                                <w:left w:val="none" w:sz="0" w:space="0" w:color="auto"/>
                                <w:bottom w:val="none" w:sz="0" w:space="0" w:color="auto"/>
                                <w:right w:val="none" w:sz="0" w:space="0" w:color="auto"/>
                              </w:divBdr>
                            </w:div>
                            <w:div w:id="102725888">
                              <w:marLeft w:val="0"/>
                              <w:marRight w:val="0"/>
                              <w:marTop w:val="0"/>
                              <w:marBottom w:val="0"/>
                              <w:divBdr>
                                <w:top w:val="none" w:sz="0" w:space="0" w:color="auto"/>
                                <w:left w:val="none" w:sz="0" w:space="0" w:color="auto"/>
                                <w:bottom w:val="none" w:sz="0" w:space="0" w:color="auto"/>
                                <w:right w:val="none" w:sz="0" w:space="0" w:color="auto"/>
                              </w:divBdr>
                            </w:div>
                            <w:div w:id="1614284917">
                              <w:marLeft w:val="0"/>
                              <w:marRight w:val="0"/>
                              <w:marTop w:val="0"/>
                              <w:marBottom w:val="0"/>
                              <w:divBdr>
                                <w:top w:val="none" w:sz="0" w:space="0" w:color="auto"/>
                                <w:left w:val="none" w:sz="0" w:space="0" w:color="auto"/>
                                <w:bottom w:val="none" w:sz="0" w:space="0" w:color="auto"/>
                                <w:right w:val="none" w:sz="0" w:space="0" w:color="auto"/>
                              </w:divBdr>
                            </w:div>
                            <w:div w:id="2051108086">
                              <w:marLeft w:val="0"/>
                              <w:marRight w:val="0"/>
                              <w:marTop w:val="0"/>
                              <w:marBottom w:val="0"/>
                              <w:divBdr>
                                <w:top w:val="none" w:sz="0" w:space="0" w:color="auto"/>
                                <w:left w:val="none" w:sz="0" w:space="0" w:color="auto"/>
                                <w:bottom w:val="none" w:sz="0" w:space="0" w:color="auto"/>
                                <w:right w:val="none" w:sz="0" w:space="0" w:color="auto"/>
                              </w:divBdr>
                            </w:div>
                            <w:div w:id="1322352561">
                              <w:marLeft w:val="0"/>
                              <w:marRight w:val="0"/>
                              <w:marTop w:val="0"/>
                              <w:marBottom w:val="0"/>
                              <w:divBdr>
                                <w:top w:val="none" w:sz="0" w:space="0" w:color="auto"/>
                                <w:left w:val="none" w:sz="0" w:space="0" w:color="auto"/>
                                <w:bottom w:val="none" w:sz="0" w:space="0" w:color="auto"/>
                                <w:right w:val="none" w:sz="0" w:space="0" w:color="auto"/>
                              </w:divBdr>
                            </w:div>
                            <w:div w:id="1697005742">
                              <w:marLeft w:val="0"/>
                              <w:marRight w:val="0"/>
                              <w:marTop w:val="0"/>
                              <w:marBottom w:val="0"/>
                              <w:divBdr>
                                <w:top w:val="none" w:sz="0" w:space="0" w:color="auto"/>
                                <w:left w:val="none" w:sz="0" w:space="0" w:color="auto"/>
                                <w:bottom w:val="none" w:sz="0" w:space="0" w:color="auto"/>
                                <w:right w:val="none" w:sz="0" w:space="0" w:color="auto"/>
                              </w:divBdr>
                            </w:div>
                            <w:div w:id="1543980713">
                              <w:marLeft w:val="0"/>
                              <w:marRight w:val="0"/>
                              <w:marTop w:val="0"/>
                              <w:marBottom w:val="0"/>
                              <w:divBdr>
                                <w:top w:val="none" w:sz="0" w:space="0" w:color="auto"/>
                                <w:left w:val="none" w:sz="0" w:space="0" w:color="auto"/>
                                <w:bottom w:val="none" w:sz="0" w:space="0" w:color="auto"/>
                                <w:right w:val="none" w:sz="0" w:space="0" w:color="auto"/>
                              </w:divBdr>
                            </w:div>
                            <w:div w:id="1799641871">
                              <w:marLeft w:val="0"/>
                              <w:marRight w:val="0"/>
                              <w:marTop w:val="0"/>
                              <w:marBottom w:val="0"/>
                              <w:divBdr>
                                <w:top w:val="none" w:sz="0" w:space="0" w:color="auto"/>
                                <w:left w:val="none" w:sz="0" w:space="0" w:color="auto"/>
                                <w:bottom w:val="none" w:sz="0" w:space="0" w:color="auto"/>
                                <w:right w:val="none" w:sz="0" w:space="0" w:color="auto"/>
                              </w:divBdr>
                            </w:div>
                            <w:div w:id="1698117136">
                              <w:marLeft w:val="0"/>
                              <w:marRight w:val="0"/>
                              <w:marTop w:val="0"/>
                              <w:marBottom w:val="0"/>
                              <w:divBdr>
                                <w:top w:val="none" w:sz="0" w:space="0" w:color="auto"/>
                                <w:left w:val="none" w:sz="0" w:space="0" w:color="auto"/>
                                <w:bottom w:val="none" w:sz="0" w:space="0" w:color="auto"/>
                                <w:right w:val="none" w:sz="0" w:space="0" w:color="auto"/>
                              </w:divBdr>
                            </w:div>
                            <w:div w:id="227352416">
                              <w:marLeft w:val="0"/>
                              <w:marRight w:val="0"/>
                              <w:marTop w:val="0"/>
                              <w:marBottom w:val="0"/>
                              <w:divBdr>
                                <w:top w:val="none" w:sz="0" w:space="0" w:color="auto"/>
                                <w:left w:val="none" w:sz="0" w:space="0" w:color="auto"/>
                                <w:bottom w:val="none" w:sz="0" w:space="0" w:color="auto"/>
                                <w:right w:val="none" w:sz="0" w:space="0" w:color="auto"/>
                              </w:divBdr>
                            </w:div>
                            <w:div w:id="818956112">
                              <w:marLeft w:val="0"/>
                              <w:marRight w:val="0"/>
                              <w:marTop w:val="0"/>
                              <w:marBottom w:val="0"/>
                              <w:divBdr>
                                <w:top w:val="none" w:sz="0" w:space="0" w:color="auto"/>
                                <w:left w:val="none" w:sz="0" w:space="0" w:color="auto"/>
                                <w:bottom w:val="none" w:sz="0" w:space="0" w:color="auto"/>
                                <w:right w:val="none" w:sz="0" w:space="0" w:color="auto"/>
                              </w:divBdr>
                            </w:div>
                            <w:div w:id="1400401909">
                              <w:marLeft w:val="0"/>
                              <w:marRight w:val="0"/>
                              <w:marTop w:val="0"/>
                              <w:marBottom w:val="0"/>
                              <w:divBdr>
                                <w:top w:val="none" w:sz="0" w:space="0" w:color="auto"/>
                                <w:left w:val="none" w:sz="0" w:space="0" w:color="auto"/>
                                <w:bottom w:val="none" w:sz="0" w:space="0" w:color="auto"/>
                                <w:right w:val="none" w:sz="0" w:space="0" w:color="auto"/>
                              </w:divBdr>
                            </w:div>
                          </w:divsChild>
                        </w:div>
                        <w:div w:id="1228030626">
                          <w:marLeft w:val="0"/>
                          <w:marRight w:val="0"/>
                          <w:marTop w:val="0"/>
                          <w:marBottom w:val="0"/>
                          <w:divBdr>
                            <w:top w:val="none" w:sz="0" w:space="0" w:color="auto"/>
                            <w:left w:val="none" w:sz="0" w:space="0" w:color="auto"/>
                            <w:bottom w:val="none" w:sz="0" w:space="0" w:color="auto"/>
                            <w:right w:val="none" w:sz="0" w:space="0" w:color="auto"/>
                          </w:divBdr>
                          <w:divsChild>
                            <w:div w:id="1726955257">
                              <w:marLeft w:val="0"/>
                              <w:marRight w:val="0"/>
                              <w:marTop w:val="0"/>
                              <w:marBottom w:val="0"/>
                              <w:divBdr>
                                <w:top w:val="none" w:sz="0" w:space="0" w:color="auto"/>
                                <w:left w:val="none" w:sz="0" w:space="0" w:color="auto"/>
                                <w:bottom w:val="none" w:sz="0" w:space="0" w:color="auto"/>
                                <w:right w:val="none" w:sz="0" w:space="0" w:color="auto"/>
                              </w:divBdr>
                            </w:div>
                            <w:div w:id="1649818461">
                              <w:marLeft w:val="0"/>
                              <w:marRight w:val="0"/>
                              <w:marTop w:val="0"/>
                              <w:marBottom w:val="0"/>
                              <w:divBdr>
                                <w:top w:val="none" w:sz="0" w:space="0" w:color="auto"/>
                                <w:left w:val="none" w:sz="0" w:space="0" w:color="auto"/>
                                <w:bottom w:val="none" w:sz="0" w:space="0" w:color="auto"/>
                                <w:right w:val="none" w:sz="0" w:space="0" w:color="auto"/>
                              </w:divBdr>
                            </w:div>
                            <w:div w:id="9726056">
                              <w:marLeft w:val="0"/>
                              <w:marRight w:val="0"/>
                              <w:marTop w:val="0"/>
                              <w:marBottom w:val="0"/>
                              <w:divBdr>
                                <w:top w:val="none" w:sz="0" w:space="0" w:color="auto"/>
                                <w:left w:val="none" w:sz="0" w:space="0" w:color="auto"/>
                                <w:bottom w:val="none" w:sz="0" w:space="0" w:color="auto"/>
                                <w:right w:val="none" w:sz="0" w:space="0" w:color="auto"/>
                              </w:divBdr>
                            </w:div>
                            <w:div w:id="39787888">
                              <w:marLeft w:val="0"/>
                              <w:marRight w:val="0"/>
                              <w:marTop w:val="0"/>
                              <w:marBottom w:val="0"/>
                              <w:divBdr>
                                <w:top w:val="none" w:sz="0" w:space="0" w:color="auto"/>
                                <w:left w:val="none" w:sz="0" w:space="0" w:color="auto"/>
                                <w:bottom w:val="none" w:sz="0" w:space="0" w:color="auto"/>
                                <w:right w:val="none" w:sz="0" w:space="0" w:color="auto"/>
                              </w:divBdr>
                            </w:div>
                            <w:div w:id="1466511513">
                              <w:marLeft w:val="0"/>
                              <w:marRight w:val="0"/>
                              <w:marTop w:val="0"/>
                              <w:marBottom w:val="0"/>
                              <w:divBdr>
                                <w:top w:val="none" w:sz="0" w:space="0" w:color="auto"/>
                                <w:left w:val="none" w:sz="0" w:space="0" w:color="auto"/>
                                <w:bottom w:val="none" w:sz="0" w:space="0" w:color="auto"/>
                                <w:right w:val="none" w:sz="0" w:space="0" w:color="auto"/>
                              </w:divBdr>
                            </w:div>
                            <w:div w:id="1653290964">
                              <w:marLeft w:val="0"/>
                              <w:marRight w:val="0"/>
                              <w:marTop w:val="0"/>
                              <w:marBottom w:val="0"/>
                              <w:divBdr>
                                <w:top w:val="none" w:sz="0" w:space="0" w:color="auto"/>
                                <w:left w:val="none" w:sz="0" w:space="0" w:color="auto"/>
                                <w:bottom w:val="none" w:sz="0" w:space="0" w:color="auto"/>
                                <w:right w:val="none" w:sz="0" w:space="0" w:color="auto"/>
                              </w:divBdr>
                            </w:div>
                          </w:divsChild>
                        </w:div>
                        <w:div w:id="764689877">
                          <w:marLeft w:val="0"/>
                          <w:marRight w:val="0"/>
                          <w:marTop w:val="0"/>
                          <w:marBottom w:val="0"/>
                          <w:divBdr>
                            <w:top w:val="none" w:sz="0" w:space="0" w:color="auto"/>
                            <w:left w:val="none" w:sz="0" w:space="0" w:color="auto"/>
                            <w:bottom w:val="none" w:sz="0" w:space="0" w:color="auto"/>
                            <w:right w:val="none" w:sz="0" w:space="0" w:color="auto"/>
                          </w:divBdr>
                          <w:divsChild>
                            <w:div w:id="1318529579">
                              <w:marLeft w:val="0"/>
                              <w:marRight w:val="0"/>
                              <w:marTop w:val="0"/>
                              <w:marBottom w:val="0"/>
                              <w:divBdr>
                                <w:top w:val="none" w:sz="0" w:space="0" w:color="auto"/>
                                <w:left w:val="none" w:sz="0" w:space="0" w:color="auto"/>
                                <w:bottom w:val="none" w:sz="0" w:space="0" w:color="auto"/>
                                <w:right w:val="none" w:sz="0" w:space="0" w:color="auto"/>
                              </w:divBdr>
                            </w:div>
                            <w:div w:id="496389569">
                              <w:marLeft w:val="0"/>
                              <w:marRight w:val="0"/>
                              <w:marTop w:val="0"/>
                              <w:marBottom w:val="0"/>
                              <w:divBdr>
                                <w:top w:val="none" w:sz="0" w:space="0" w:color="auto"/>
                                <w:left w:val="none" w:sz="0" w:space="0" w:color="auto"/>
                                <w:bottom w:val="none" w:sz="0" w:space="0" w:color="auto"/>
                                <w:right w:val="none" w:sz="0" w:space="0" w:color="auto"/>
                              </w:divBdr>
                            </w:div>
                            <w:div w:id="1971742929">
                              <w:marLeft w:val="0"/>
                              <w:marRight w:val="0"/>
                              <w:marTop w:val="0"/>
                              <w:marBottom w:val="0"/>
                              <w:divBdr>
                                <w:top w:val="none" w:sz="0" w:space="0" w:color="auto"/>
                                <w:left w:val="none" w:sz="0" w:space="0" w:color="auto"/>
                                <w:bottom w:val="none" w:sz="0" w:space="0" w:color="auto"/>
                                <w:right w:val="none" w:sz="0" w:space="0" w:color="auto"/>
                              </w:divBdr>
                            </w:div>
                            <w:div w:id="937523606">
                              <w:marLeft w:val="0"/>
                              <w:marRight w:val="0"/>
                              <w:marTop w:val="0"/>
                              <w:marBottom w:val="0"/>
                              <w:divBdr>
                                <w:top w:val="none" w:sz="0" w:space="0" w:color="auto"/>
                                <w:left w:val="none" w:sz="0" w:space="0" w:color="auto"/>
                                <w:bottom w:val="none" w:sz="0" w:space="0" w:color="auto"/>
                                <w:right w:val="none" w:sz="0" w:space="0" w:color="auto"/>
                              </w:divBdr>
                            </w:div>
                            <w:div w:id="323514879">
                              <w:marLeft w:val="0"/>
                              <w:marRight w:val="0"/>
                              <w:marTop w:val="0"/>
                              <w:marBottom w:val="0"/>
                              <w:divBdr>
                                <w:top w:val="none" w:sz="0" w:space="0" w:color="auto"/>
                                <w:left w:val="none" w:sz="0" w:space="0" w:color="auto"/>
                                <w:bottom w:val="none" w:sz="0" w:space="0" w:color="auto"/>
                                <w:right w:val="none" w:sz="0" w:space="0" w:color="auto"/>
                              </w:divBdr>
                            </w:div>
                            <w:div w:id="1982034539">
                              <w:marLeft w:val="0"/>
                              <w:marRight w:val="0"/>
                              <w:marTop w:val="0"/>
                              <w:marBottom w:val="0"/>
                              <w:divBdr>
                                <w:top w:val="none" w:sz="0" w:space="0" w:color="auto"/>
                                <w:left w:val="none" w:sz="0" w:space="0" w:color="auto"/>
                                <w:bottom w:val="none" w:sz="0" w:space="0" w:color="auto"/>
                                <w:right w:val="none" w:sz="0" w:space="0" w:color="auto"/>
                              </w:divBdr>
                            </w:div>
                            <w:div w:id="683478075">
                              <w:marLeft w:val="0"/>
                              <w:marRight w:val="0"/>
                              <w:marTop w:val="0"/>
                              <w:marBottom w:val="0"/>
                              <w:divBdr>
                                <w:top w:val="none" w:sz="0" w:space="0" w:color="auto"/>
                                <w:left w:val="none" w:sz="0" w:space="0" w:color="auto"/>
                                <w:bottom w:val="none" w:sz="0" w:space="0" w:color="auto"/>
                                <w:right w:val="none" w:sz="0" w:space="0" w:color="auto"/>
                              </w:divBdr>
                            </w:div>
                          </w:divsChild>
                        </w:div>
                        <w:div w:id="966199076">
                          <w:marLeft w:val="0"/>
                          <w:marRight w:val="0"/>
                          <w:marTop w:val="0"/>
                          <w:marBottom w:val="0"/>
                          <w:divBdr>
                            <w:top w:val="none" w:sz="0" w:space="0" w:color="auto"/>
                            <w:left w:val="none" w:sz="0" w:space="0" w:color="auto"/>
                            <w:bottom w:val="none" w:sz="0" w:space="0" w:color="auto"/>
                            <w:right w:val="none" w:sz="0" w:space="0" w:color="auto"/>
                          </w:divBdr>
                          <w:divsChild>
                            <w:div w:id="642543753">
                              <w:marLeft w:val="0"/>
                              <w:marRight w:val="0"/>
                              <w:marTop w:val="0"/>
                              <w:marBottom w:val="0"/>
                              <w:divBdr>
                                <w:top w:val="none" w:sz="0" w:space="0" w:color="auto"/>
                                <w:left w:val="none" w:sz="0" w:space="0" w:color="auto"/>
                                <w:bottom w:val="none" w:sz="0" w:space="0" w:color="auto"/>
                                <w:right w:val="none" w:sz="0" w:space="0" w:color="auto"/>
                              </w:divBdr>
                            </w:div>
                          </w:divsChild>
                        </w:div>
                        <w:div w:id="961424795">
                          <w:marLeft w:val="0"/>
                          <w:marRight w:val="0"/>
                          <w:marTop w:val="0"/>
                          <w:marBottom w:val="0"/>
                          <w:divBdr>
                            <w:top w:val="none" w:sz="0" w:space="0" w:color="auto"/>
                            <w:left w:val="none" w:sz="0" w:space="0" w:color="auto"/>
                            <w:bottom w:val="none" w:sz="0" w:space="0" w:color="auto"/>
                            <w:right w:val="none" w:sz="0" w:space="0" w:color="auto"/>
                          </w:divBdr>
                          <w:divsChild>
                            <w:div w:id="192579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734830">
                      <w:marLeft w:val="0"/>
                      <w:marRight w:val="0"/>
                      <w:marTop w:val="0"/>
                      <w:marBottom w:val="0"/>
                      <w:divBdr>
                        <w:top w:val="none" w:sz="0" w:space="0" w:color="auto"/>
                        <w:left w:val="none" w:sz="0" w:space="0" w:color="auto"/>
                        <w:bottom w:val="none" w:sz="0" w:space="0" w:color="auto"/>
                        <w:right w:val="none" w:sz="0" w:space="0" w:color="auto"/>
                      </w:divBdr>
                      <w:divsChild>
                        <w:div w:id="1716389611">
                          <w:marLeft w:val="0"/>
                          <w:marRight w:val="0"/>
                          <w:marTop w:val="0"/>
                          <w:marBottom w:val="0"/>
                          <w:divBdr>
                            <w:top w:val="none" w:sz="0" w:space="0" w:color="auto"/>
                            <w:left w:val="none" w:sz="0" w:space="0" w:color="auto"/>
                            <w:bottom w:val="none" w:sz="0" w:space="0" w:color="auto"/>
                            <w:right w:val="none" w:sz="0" w:space="0" w:color="auto"/>
                          </w:divBdr>
                        </w:div>
                        <w:div w:id="196435262">
                          <w:marLeft w:val="0"/>
                          <w:marRight w:val="0"/>
                          <w:marTop w:val="0"/>
                          <w:marBottom w:val="0"/>
                          <w:divBdr>
                            <w:top w:val="none" w:sz="0" w:space="0" w:color="auto"/>
                            <w:left w:val="none" w:sz="0" w:space="0" w:color="auto"/>
                            <w:bottom w:val="none" w:sz="0" w:space="0" w:color="auto"/>
                            <w:right w:val="none" w:sz="0" w:space="0" w:color="auto"/>
                          </w:divBdr>
                          <w:divsChild>
                            <w:div w:id="1796561173">
                              <w:marLeft w:val="0"/>
                              <w:marRight w:val="0"/>
                              <w:marTop w:val="0"/>
                              <w:marBottom w:val="0"/>
                              <w:divBdr>
                                <w:top w:val="none" w:sz="0" w:space="0" w:color="auto"/>
                                <w:left w:val="none" w:sz="0" w:space="0" w:color="auto"/>
                                <w:bottom w:val="none" w:sz="0" w:space="0" w:color="auto"/>
                                <w:right w:val="none" w:sz="0" w:space="0" w:color="auto"/>
                              </w:divBdr>
                            </w:div>
                            <w:div w:id="1052928912">
                              <w:marLeft w:val="0"/>
                              <w:marRight w:val="0"/>
                              <w:marTop w:val="0"/>
                              <w:marBottom w:val="0"/>
                              <w:divBdr>
                                <w:top w:val="none" w:sz="0" w:space="0" w:color="auto"/>
                                <w:left w:val="none" w:sz="0" w:space="0" w:color="auto"/>
                                <w:bottom w:val="none" w:sz="0" w:space="0" w:color="auto"/>
                                <w:right w:val="none" w:sz="0" w:space="0" w:color="auto"/>
                              </w:divBdr>
                            </w:div>
                            <w:div w:id="286857435">
                              <w:marLeft w:val="0"/>
                              <w:marRight w:val="0"/>
                              <w:marTop w:val="0"/>
                              <w:marBottom w:val="0"/>
                              <w:divBdr>
                                <w:top w:val="none" w:sz="0" w:space="0" w:color="auto"/>
                                <w:left w:val="none" w:sz="0" w:space="0" w:color="auto"/>
                                <w:bottom w:val="none" w:sz="0" w:space="0" w:color="auto"/>
                                <w:right w:val="none" w:sz="0" w:space="0" w:color="auto"/>
                              </w:divBdr>
                            </w:div>
                            <w:div w:id="690836514">
                              <w:marLeft w:val="0"/>
                              <w:marRight w:val="0"/>
                              <w:marTop w:val="0"/>
                              <w:marBottom w:val="0"/>
                              <w:divBdr>
                                <w:top w:val="none" w:sz="0" w:space="0" w:color="auto"/>
                                <w:left w:val="none" w:sz="0" w:space="0" w:color="auto"/>
                                <w:bottom w:val="none" w:sz="0" w:space="0" w:color="auto"/>
                                <w:right w:val="none" w:sz="0" w:space="0" w:color="auto"/>
                              </w:divBdr>
                            </w:div>
                            <w:div w:id="1297220058">
                              <w:marLeft w:val="0"/>
                              <w:marRight w:val="0"/>
                              <w:marTop w:val="0"/>
                              <w:marBottom w:val="0"/>
                              <w:divBdr>
                                <w:top w:val="none" w:sz="0" w:space="0" w:color="auto"/>
                                <w:left w:val="none" w:sz="0" w:space="0" w:color="auto"/>
                                <w:bottom w:val="none" w:sz="0" w:space="0" w:color="auto"/>
                                <w:right w:val="none" w:sz="0" w:space="0" w:color="auto"/>
                              </w:divBdr>
                            </w:div>
                            <w:div w:id="467743928">
                              <w:marLeft w:val="0"/>
                              <w:marRight w:val="0"/>
                              <w:marTop w:val="0"/>
                              <w:marBottom w:val="0"/>
                              <w:divBdr>
                                <w:top w:val="none" w:sz="0" w:space="0" w:color="auto"/>
                                <w:left w:val="none" w:sz="0" w:space="0" w:color="auto"/>
                                <w:bottom w:val="none" w:sz="0" w:space="0" w:color="auto"/>
                                <w:right w:val="none" w:sz="0" w:space="0" w:color="auto"/>
                              </w:divBdr>
                            </w:div>
                            <w:div w:id="373193208">
                              <w:marLeft w:val="0"/>
                              <w:marRight w:val="0"/>
                              <w:marTop w:val="0"/>
                              <w:marBottom w:val="0"/>
                              <w:divBdr>
                                <w:top w:val="none" w:sz="0" w:space="0" w:color="auto"/>
                                <w:left w:val="none" w:sz="0" w:space="0" w:color="auto"/>
                                <w:bottom w:val="none" w:sz="0" w:space="0" w:color="auto"/>
                                <w:right w:val="none" w:sz="0" w:space="0" w:color="auto"/>
                              </w:divBdr>
                            </w:div>
                            <w:div w:id="1022197151">
                              <w:marLeft w:val="0"/>
                              <w:marRight w:val="0"/>
                              <w:marTop w:val="0"/>
                              <w:marBottom w:val="0"/>
                              <w:divBdr>
                                <w:top w:val="none" w:sz="0" w:space="0" w:color="auto"/>
                                <w:left w:val="none" w:sz="0" w:space="0" w:color="auto"/>
                                <w:bottom w:val="none" w:sz="0" w:space="0" w:color="auto"/>
                                <w:right w:val="none" w:sz="0" w:space="0" w:color="auto"/>
                              </w:divBdr>
                            </w:div>
                            <w:div w:id="1552645828">
                              <w:marLeft w:val="0"/>
                              <w:marRight w:val="0"/>
                              <w:marTop w:val="0"/>
                              <w:marBottom w:val="0"/>
                              <w:divBdr>
                                <w:top w:val="none" w:sz="0" w:space="0" w:color="auto"/>
                                <w:left w:val="none" w:sz="0" w:space="0" w:color="auto"/>
                                <w:bottom w:val="none" w:sz="0" w:space="0" w:color="auto"/>
                                <w:right w:val="none" w:sz="0" w:space="0" w:color="auto"/>
                              </w:divBdr>
                            </w:div>
                            <w:div w:id="1221479978">
                              <w:marLeft w:val="0"/>
                              <w:marRight w:val="0"/>
                              <w:marTop w:val="0"/>
                              <w:marBottom w:val="0"/>
                              <w:divBdr>
                                <w:top w:val="none" w:sz="0" w:space="0" w:color="auto"/>
                                <w:left w:val="none" w:sz="0" w:space="0" w:color="auto"/>
                                <w:bottom w:val="none" w:sz="0" w:space="0" w:color="auto"/>
                                <w:right w:val="none" w:sz="0" w:space="0" w:color="auto"/>
                              </w:divBdr>
                            </w:div>
                            <w:div w:id="1360937278">
                              <w:marLeft w:val="0"/>
                              <w:marRight w:val="0"/>
                              <w:marTop w:val="0"/>
                              <w:marBottom w:val="0"/>
                              <w:divBdr>
                                <w:top w:val="none" w:sz="0" w:space="0" w:color="auto"/>
                                <w:left w:val="none" w:sz="0" w:space="0" w:color="auto"/>
                                <w:bottom w:val="none" w:sz="0" w:space="0" w:color="auto"/>
                                <w:right w:val="none" w:sz="0" w:space="0" w:color="auto"/>
                              </w:divBdr>
                            </w:div>
                          </w:divsChild>
                        </w:div>
                        <w:div w:id="1515147370">
                          <w:marLeft w:val="0"/>
                          <w:marRight w:val="0"/>
                          <w:marTop w:val="0"/>
                          <w:marBottom w:val="0"/>
                          <w:divBdr>
                            <w:top w:val="none" w:sz="0" w:space="0" w:color="auto"/>
                            <w:left w:val="none" w:sz="0" w:space="0" w:color="auto"/>
                            <w:bottom w:val="none" w:sz="0" w:space="0" w:color="auto"/>
                            <w:right w:val="none" w:sz="0" w:space="0" w:color="auto"/>
                          </w:divBdr>
                          <w:divsChild>
                            <w:div w:id="791943614">
                              <w:marLeft w:val="0"/>
                              <w:marRight w:val="0"/>
                              <w:marTop w:val="0"/>
                              <w:marBottom w:val="0"/>
                              <w:divBdr>
                                <w:top w:val="none" w:sz="0" w:space="0" w:color="auto"/>
                                <w:left w:val="none" w:sz="0" w:space="0" w:color="auto"/>
                                <w:bottom w:val="none" w:sz="0" w:space="0" w:color="auto"/>
                                <w:right w:val="none" w:sz="0" w:space="0" w:color="auto"/>
                              </w:divBdr>
                            </w:div>
                            <w:div w:id="288128260">
                              <w:marLeft w:val="0"/>
                              <w:marRight w:val="0"/>
                              <w:marTop w:val="0"/>
                              <w:marBottom w:val="0"/>
                              <w:divBdr>
                                <w:top w:val="none" w:sz="0" w:space="0" w:color="auto"/>
                                <w:left w:val="none" w:sz="0" w:space="0" w:color="auto"/>
                                <w:bottom w:val="none" w:sz="0" w:space="0" w:color="auto"/>
                                <w:right w:val="none" w:sz="0" w:space="0" w:color="auto"/>
                              </w:divBdr>
                            </w:div>
                            <w:div w:id="848519129">
                              <w:marLeft w:val="0"/>
                              <w:marRight w:val="0"/>
                              <w:marTop w:val="0"/>
                              <w:marBottom w:val="0"/>
                              <w:divBdr>
                                <w:top w:val="none" w:sz="0" w:space="0" w:color="auto"/>
                                <w:left w:val="none" w:sz="0" w:space="0" w:color="auto"/>
                                <w:bottom w:val="none" w:sz="0" w:space="0" w:color="auto"/>
                                <w:right w:val="none" w:sz="0" w:space="0" w:color="auto"/>
                              </w:divBdr>
                            </w:div>
                            <w:div w:id="808594828">
                              <w:marLeft w:val="0"/>
                              <w:marRight w:val="0"/>
                              <w:marTop w:val="0"/>
                              <w:marBottom w:val="0"/>
                              <w:divBdr>
                                <w:top w:val="none" w:sz="0" w:space="0" w:color="auto"/>
                                <w:left w:val="none" w:sz="0" w:space="0" w:color="auto"/>
                                <w:bottom w:val="none" w:sz="0" w:space="0" w:color="auto"/>
                                <w:right w:val="none" w:sz="0" w:space="0" w:color="auto"/>
                              </w:divBdr>
                            </w:div>
                            <w:div w:id="1803576162">
                              <w:marLeft w:val="0"/>
                              <w:marRight w:val="0"/>
                              <w:marTop w:val="0"/>
                              <w:marBottom w:val="0"/>
                              <w:divBdr>
                                <w:top w:val="none" w:sz="0" w:space="0" w:color="auto"/>
                                <w:left w:val="none" w:sz="0" w:space="0" w:color="auto"/>
                                <w:bottom w:val="none" w:sz="0" w:space="0" w:color="auto"/>
                                <w:right w:val="none" w:sz="0" w:space="0" w:color="auto"/>
                              </w:divBdr>
                            </w:div>
                            <w:div w:id="1509981952">
                              <w:marLeft w:val="0"/>
                              <w:marRight w:val="0"/>
                              <w:marTop w:val="0"/>
                              <w:marBottom w:val="0"/>
                              <w:divBdr>
                                <w:top w:val="none" w:sz="0" w:space="0" w:color="auto"/>
                                <w:left w:val="none" w:sz="0" w:space="0" w:color="auto"/>
                                <w:bottom w:val="none" w:sz="0" w:space="0" w:color="auto"/>
                                <w:right w:val="none" w:sz="0" w:space="0" w:color="auto"/>
                              </w:divBdr>
                            </w:div>
                          </w:divsChild>
                        </w:div>
                        <w:div w:id="369494643">
                          <w:marLeft w:val="0"/>
                          <w:marRight w:val="0"/>
                          <w:marTop w:val="0"/>
                          <w:marBottom w:val="0"/>
                          <w:divBdr>
                            <w:top w:val="none" w:sz="0" w:space="0" w:color="auto"/>
                            <w:left w:val="none" w:sz="0" w:space="0" w:color="auto"/>
                            <w:bottom w:val="none" w:sz="0" w:space="0" w:color="auto"/>
                            <w:right w:val="none" w:sz="0" w:space="0" w:color="auto"/>
                          </w:divBdr>
                          <w:divsChild>
                            <w:div w:id="229772603">
                              <w:marLeft w:val="0"/>
                              <w:marRight w:val="0"/>
                              <w:marTop w:val="0"/>
                              <w:marBottom w:val="0"/>
                              <w:divBdr>
                                <w:top w:val="none" w:sz="0" w:space="0" w:color="auto"/>
                                <w:left w:val="none" w:sz="0" w:space="0" w:color="auto"/>
                                <w:bottom w:val="none" w:sz="0" w:space="0" w:color="auto"/>
                                <w:right w:val="none" w:sz="0" w:space="0" w:color="auto"/>
                              </w:divBdr>
                            </w:div>
                            <w:div w:id="795410963">
                              <w:marLeft w:val="0"/>
                              <w:marRight w:val="0"/>
                              <w:marTop w:val="0"/>
                              <w:marBottom w:val="0"/>
                              <w:divBdr>
                                <w:top w:val="none" w:sz="0" w:space="0" w:color="auto"/>
                                <w:left w:val="none" w:sz="0" w:space="0" w:color="auto"/>
                                <w:bottom w:val="none" w:sz="0" w:space="0" w:color="auto"/>
                                <w:right w:val="none" w:sz="0" w:space="0" w:color="auto"/>
                              </w:divBdr>
                            </w:div>
                            <w:div w:id="670837516">
                              <w:marLeft w:val="0"/>
                              <w:marRight w:val="0"/>
                              <w:marTop w:val="0"/>
                              <w:marBottom w:val="0"/>
                              <w:divBdr>
                                <w:top w:val="none" w:sz="0" w:space="0" w:color="auto"/>
                                <w:left w:val="none" w:sz="0" w:space="0" w:color="auto"/>
                                <w:bottom w:val="none" w:sz="0" w:space="0" w:color="auto"/>
                                <w:right w:val="none" w:sz="0" w:space="0" w:color="auto"/>
                              </w:divBdr>
                            </w:div>
                            <w:div w:id="14216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374704">
                  <w:marLeft w:val="0"/>
                  <w:marRight w:val="0"/>
                  <w:marTop w:val="0"/>
                  <w:marBottom w:val="0"/>
                  <w:divBdr>
                    <w:top w:val="none" w:sz="0" w:space="0" w:color="auto"/>
                    <w:left w:val="none" w:sz="0" w:space="0" w:color="auto"/>
                    <w:bottom w:val="none" w:sz="0" w:space="0" w:color="auto"/>
                    <w:right w:val="none" w:sz="0" w:space="0" w:color="auto"/>
                  </w:divBdr>
                  <w:divsChild>
                    <w:div w:id="1098672239">
                      <w:marLeft w:val="0"/>
                      <w:marRight w:val="0"/>
                      <w:marTop w:val="0"/>
                      <w:marBottom w:val="0"/>
                      <w:divBdr>
                        <w:top w:val="none" w:sz="0" w:space="0" w:color="auto"/>
                        <w:left w:val="none" w:sz="0" w:space="0" w:color="auto"/>
                        <w:bottom w:val="none" w:sz="0" w:space="0" w:color="auto"/>
                        <w:right w:val="none" w:sz="0" w:space="0" w:color="auto"/>
                      </w:divBdr>
                    </w:div>
                    <w:div w:id="1417898158">
                      <w:marLeft w:val="0"/>
                      <w:marRight w:val="0"/>
                      <w:marTop w:val="0"/>
                      <w:marBottom w:val="0"/>
                      <w:divBdr>
                        <w:top w:val="none" w:sz="0" w:space="0" w:color="auto"/>
                        <w:left w:val="none" w:sz="0" w:space="0" w:color="auto"/>
                        <w:bottom w:val="none" w:sz="0" w:space="0" w:color="auto"/>
                        <w:right w:val="none" w:sz="0" w:space="0" w:color="auto"/>
                      </w:divBdr>
                      <w:divsChild>
                        <w:div w:id="311182966">
                          <w:marLeft w:val="0"/>
                          <w:marRight w:val="0"/>
                          <w:marTop w:val="0"/>
                          <w:marBottom w:val="0"/>
                          <w:divBdr>
                            <w:top w:val="none" w:sz="0" w:space="0" w:color="auto"/>
                            <w:left w:val="none" w:sz="0" w:space="0" w:color="auto"/>
                            <w:bottom w:val="none" w:sz="0" w:space="0" w:color="auto"/>
                            <w:right w:val="none" w:sz="0" w:space="0" w:color="auto"/>
                          </w:divBdr>
                        </w:div>
                        <w:div w:id="1807309756">
                          <w:marLeft w:val="0"/>
                          <w:marRight w:val="0"/>
                          <w:marTop w:val="0"/>
                          <w:marBottom w:val="0"/>
                          <w:divBdr>
                            <w:top w:val="none" w:sz="0" w:space="0" w:color="auto"/>
                            <w:left w:val="none" w:sz="0" w:space="0" w:color="auto"/>
                            <w:bottom w:val="none" w:sz="0" w:space="0" w:color="auto"/>
                            <w:right w:val="none" w:sz="0" w:space="0" w:color="auto"/>
                          </w:divBdr>
                          <w:divsChild>
                            <w:div w:id="904147280">
                              <w:marLeft w:val="0"/>
                              <w:marRight w:val="0"/>
                              <w:marTop w:val="0"/>
                              <w:marBottom w:val="0"/>
                              <w:divBdr>
                                <w:top w:val="none" w:sz="0" w:space="0" w:color="auto"/>
                                <w:left w:val="none" w:sz="0" w:space="0" w:color="auto"/>
                                <w:bottom w:val="none" w:sz="0" w:space="0" w:color="auto"/>
                                <w:right w:val="none" w:sz="0" w:space="0" w:color="auto"/>
                              </w:divBdr>
                            </w:div>
                            <w:div w:id="2022200353">
                              <w:marLeft w:val="0"/>
                              <w:marRight w:val="0"/>
                              <w:marTop w:val="0"/>
                              <w:marBottom w:val="0"/>
                              <w:divBdr>
                                <w:top w:val="none" w:sz="0" w:space="0" w:color="auto"/>
                                <w:left w:val="none" w:sz="0" w:space="0" w:color="auto"/>
                                <w:bottom w:val="none" w:sz="0" w:space="0" w:color="auto"/>
                                <w:right w:val="none" w:sz="0" w:space="0" w:color="auto"/>
                              </w:divBdr>
                            </w:div>
                            <w:div w:id="616257196">
                              <w:marLeft w:val="0"/>
                              <w:marRight w:val="0"/>
                              <w:marTop w:val="0"/>
                              <w:marBottom w:val="0"/>
                              <w:divBdr>
                                <w:top w:val="none" w:sz="0" w:space="0" w:color="auto"/>
                                <w:left w:val="none" w:sz="0" w:space="0" w:color="auto"/>
                                <w:bottom w:val="none" w:sz="0" w:space="0" w:color="auto"/>
                                <w:right w:val="none" w:sz="0" w:space="0" w:color="auto"/>
                              </w:divBdr>
                            </w:div>
                            <w:div w:id="757405726">
                              <w:marLeft w:val="0"/>
                              <w:marRight w:val="0"/>
                              <w:marTop w:val="0"/>
                              <w:marBottom w:val="0"/>
                              <w:divBdr>
                                <w:top w:val="none" w:sz="0" w:space="0" w:color="auto"/>
                                <w:left w:val="none" w:sz="0" w:space="0" w:color="auto"/>
                                <w:bottom w:val="none" w:sz="0" w:space="0" w:color="auto"/>
                                <w:right w:val="none" w:sz="0" w:space="0" w:color="auto"/>
                              </w:divBdr>
                            </w:div>
                            <w:div w:id="1302274473">
                              <w:marLeft w:val="0"/>
                              <w:marRight w:val="0"/>
                              <w:marTop w:val="0"/>
                              <w:marBottom w:val="0"/>
                              <w:divBdr>
                                <w:top w:val="none" w:sz="0" w:space="0" w:color="auto"/>
                                <w:left w:val="none" w:sz="0" w:space="0" w:color="auto"/>
                                <w:bottom w:val="none" w:sz="0" w:space="0" w:color="auto"/>
                                <w:right w:val="none" w:sz="0" w:space="0" w:color="auto"/>
                              </w:divBdr>
                            </w:div>
                            <w:div w:id="1746611490">
                              <w:marLeft w:val="0"/>
                              <w:marRight w:val="0"/>
                              <w:marTop w:val="0"/>
                              <w:marBottom w:val="0"/>
                              <w:divBdr>
                                <w:top w:val="none" w:sz="0" w:space="0" w:color="auto"/>
                                <w:left w:val="none" w:sz="0" w:space="0" w:color="auto"/>
                                <w:bottom w:val="none" w:sz="0" w:space="0" w:color="auto"/>
                                <w:right w:val="none" w:sz="0" w:space="0" w:color="auto"/>
                              </w:divBdr>
                            </w:div>
                            <w:div w:id="71120042">
                              <w:marLeft w:val="0"/>
                              <w:marRight w:val="0"/>
                              <w:marTop w:val="0"/>
                              <w:marBottom w:val="0"/>
                              <w:divBdr>
                                <w:top w:val="none" w:sz="0" w:space="0" w:color="auto"/>
                                <w:left w:val="none" w:sz="0" w:space="0" w:color="auto"/>
                                <w:bottom w:val="none" w:sz="0" w:space="0" w:color="auto"/>
                                <w:right w:val="none" w:sz="0" w:space="0" w:color="auto"/>
                              </w:divBdr>
                            </w:div>
                            <w:div w:id="1948077178">
                              <w:marLeft w:val="0"/>
                              <w:marRight w:val="0"/>
                              <w:marTop w:val="0"/>
                              <w:marBottom w:val="0"/>
                              <w:divBdr>
                                <w:top w:val="none" w:sz="0" w:space="0" w:color="auto"/>
                                <w:left w:val="none" w:sz="0" w:space="0" w:color="auto"/>
                                <w:bottom w:val="none" w:sz="0" w:space="0" w:color="auto"/>
                                <w:right w:val="none" w:sz="0" w:space="0" w:color="auto"/>
                              </w:divBdr>
                            </w:div>
                            <w:div w:id="1898515523">
                              <w:marLeft w:val="0"/>
                              <w:marRight w:val="0"/>
                              <w:marTop w:val="0"/>
                              <w:marBottom w:val="0"/>
                              <w:divBdr>
                                <w:top w:val="none" w:sz="0" w:space="0" w:color="auto"/>
                                <w:left w:val="none" w:sz="0" w:space="0" w:color="auto"/>
                                <w:bottom w:val="none" w:sz="0" w:space="0" w:color="auto"/>
                                <w:right w:val="none" w:sz="0" w:space="0" w:color="auto"/>
                              </w:divBdr>
                            </w:div>
                          </w:divsChild>
                        </w:div>
                        <w:div w:id="319506570">
                          <w:marLeft w:val="0"/>
                          <w:marRight w:val="0"/>
                          <w:marTop w:val="0"/>
                          <w:marBottom w:val="0"/>
                          <w:divBdr>
                            <w:top w:val="none" w:sz="0" w:space="0" w:color="auto"/>
                            <w:left w:val="none" w:sz="0" w:space="0" w:color="auto"/>
                            <w:bottom w:val="none" w:sz="0" w:space="0" w:color="auto"/>
                            <w:right w:val="none" w:sz="0" w:space="0" w:color="auto"/>
                          </w:divBdr>
                          <w:divsChild>
                            <w:div w:id="1376462002">
                              <w:marLeft w:val="0"/>
                              <w:marRight w:val="0"/>
                              <w:marTop w:val="0"/>
                              <w:marBottom w:val="0"/>
                              <w:divBdr>
                                <w:top w:val="none" w:sz="0" w:space="0" w:color="auto"/>
                                <w:left w:val="none" w:sz="0" w:space="0" w:color="auto"/>
                                <w:bottom w:val="none" w:sz="0" w:space="0" w:color="auto"/>
                                <w:right w:val="none" w:sz="0" w:space="0" w:color="auto"/>
                              </w:divBdr>
                            </w:div>
                            <w:div w:id="1542396724">
                              <w:marLeft w:val="0"/>
                              <w:marRight w:val="0"/>
                              <w:marTop w:val="0"/>
                              <w:marBottom w:val="0"/>
                              <w:divBdr>
                                <w:top w:val="none" w:sz="0" w:space="0" w:color="auto"/>
                                <w:left w:val="none" w:sz="0" w:space="0" w:color="auto"/>
                                <w:bottom w:val="none" w:sz="0" w:space="0" w:color="auto"/>
                                <w:right w:val="none" w:sz="0" w:space="0" w:color="auto"/>
                              </w:divBdr>
                            </w:div>
                            <w:div w:id="729035352">
                              <w:marLeft w:val="0"/>
                              <w:marRight w:val="0"/>
                              <w:marTop w:val="0"/>
                              <w:marBottom w:val="0"/>
                              <w:divBdr>
                                <w:top w:val="none" w:sz="0" w:space="0" w:color="auto"/>
                                <w:left w:val="none" w:sz="0" w:space="0" w:color="auto"/>
                                <w:bottom w:val="none" w:sz="0" w:space="0" w:color="auto"/>
                                <w:right w:val="none" w:sz="0" w:space="0" w:color="auto"/>
                              </w:divBdr>
                            </w:div>
                            <w:div w:id="1602448225">
                              <w:marLeft w:val="0"/>
                              <w:marRight w:val="0"/>
                              <w:marTop w:val="0"/>
                              <w:marBottom w:val="0"/>
                              <w:divBdr>
                                <w:top w:val="none" w:sz="0" w:space="0" w:color="auto"/>
                                <w:left w:val="none" w:sz="0" w:space="0" w:color="auto"/>
                                <w:bottom w:val="none" w:sz="0" w:space="0" w:color="auto"/>
                                <w:right w:val="none" w:sz="0" w:space="0" w:color="auto"/>
                              </w:divBdr>
                            </w:div>
                            <w:div w:id="313531153">
                              <w:marLeft w:val="0"/>
                              <w:marRight w:val="0"/>
                              <w:marTop w:val="0"/>
                              <w:marBottom w:val="0"/>
                              <w:divBdr>
                                <w:top w:val="none" w:sz="0" w:space="0" w:color="auto"/>
                                <w:left w:val="none" w:sz="0" w:space="0" w:color="auto"/>
                                <w:bottom w:val="none" w:sz="0" w:space="0" w:color="auto"/>
                                <w:right w:val="none" w:sz="0" w:space="0" w:color="auto"/>
                              </w:divBdr>
                            </w:div>
                            <w:div w:id="544874085">
                              <w:marLeft w:val="0"/>
                              <w:marRight w:val="0"/>
                              <w:marTop w:val="0"/>
                              <w:marBottom w:val="0"/>
                              <w:divBdr>
                                <w:top w:val="none" w:sz="0" w:space="0" w:color="auto"/>
                                <w:left w:val="none" w:sz="0" w:space="0" w:color="auto"/>
                                <w:bottom w:val="none" w:sz="0" w:space="0" w:color="auto"/>
                                <w:right w:val="none" w:sz="0" w:space="0" w:color="auto"/>
                              </w:divBdr>
                            </w:div>
                            <w:div w:id="138157861">
                              <w:marLeft w:val="0"/>
                              <w:marRight w:val="0"/>
                              <w:marTop w:val="0"/>
                              <w:marBottom w:val="0"/>
                              <w:divBdr>
                                <w:top w:val="none" w:sz="0" w:space="0" w:color="auto"/>
                                <w:left w:val="none" w:sz="0" w:space="0" w:color="auto"/>
                                <w:bottom w:val="none" w:sz="0" w:space="0" w:color="auto"/>
                                <w:right w:val="none" w:sz="0" w:space="0" w:color="auto"/>
                              </w:divBdr>
                            </w:div>
                            <w:div w:id="1072122785">
                              <w:marLeft w:val="0"/>
                              <w:marRight w:val="0"/>
                              <w:marTop w:val="0"/>
                              <w:marBottom w:val="0"/>
                              <w:divBdr>
                                <w:top w:val="none" w:sz="0" w:space="0" w:color="auto"/>
                                <w:left w:val="none" w:sz="0" w:space="0" w:color="auto"/>
                                <w:bottom w:val="none" w:sz="0" w:space="0" w:color="auto"/>
                                <w:right w:val="none" w:sz="0" w:space="0" w:color="auto"/>
                              </w:divBdr>
                            </w:div>
                            <w:div w:id="202980854">
                              <w:marLeft w:val="0"/>
                              <w:marRight w:val="0"/>
                              <w:marTop w:val="0"/>
                              <w:marBottom w:val="0"/>
                              <w:divBdr>
                                <w:top w:val="none" w:sz="0" w:space="0" w:color="auto"/>
                                <w:left w:val="none" w:sz="0" w:space="0" w:color="auto"/>
                                <w:bottom w:val="none" w:sz="0" w:space="0" w:color="auto"/>
                                <w:right w:val="none" w:sz="0" w:space="0" w:color="auto"/>
                              </w:divBdr>
                            </w:div>
                            <w:div w:id="423384965">
                              <w:marLeft w:val="0"/>
                              <w:marRight w:val="0"/>
                              <w:marTop w:val="0"/>
                              <w:marBottom w:val="0"/>
                              <w:divBdr>
                                <w:top w:val="none" w:sz="0" w:space="0" w:color="auto"/>
                                <w:left w:val="none" w:sz="0" w:space="0" w:color="auto"/>
                                <w:bottom w:val="none" w:sz="0" w:space="0" w:color="auto"/>
                                <w:right w:val="none" w:sz="0" w:space="0" w:color="auto"/>
                              </w:divBdr>
                            </w:div>
                            <w:div w:id="818111980">
                              <w:marLeft w:val="0"/>
                              <w:marRight w:val="0"/>
                              <w:marTop w:val="0"/>
                              <w:marBottom w:val="0"/>
                              <w:divBdr>
                                <w:top w:val="none" w:sz="0" w:space="0" w:color="auto"/>
                                <w:left w:val="none" w:sz="0" w:space="0" w:color="auto"/>
                                <w:bottom w:val="none" w:sz="0" w:space="0" w:color="auto"/>
                                <w:right w:val="none" w:sz="0" w:space="0" w:color="auto"/>
                              </w:divBdr>
                            </w:div>
                            <w:div w:id="619722720">
                              <w:marLeft w:val="0"/>
                              <w:marRight w:val="0"/>
                              <w:marTop w:val="0"/>
                              <w:marBottom w:val="0"/>
                              <w:divBdr>
                                <w:top w:val="none" w:sz="0" w:space="0" w:color="auto"/>
                                <w:left w:val="none" w:sz="0" w:space="0" w:color="auto"/>
                                <w:bottom w:val="none" w:sz="0" w:space="0" w:color="auto"/>
                                <w:right w:val="none" w:sz="0" w:space="0" w:color="auto"/>
                              </w:divBdr>
                            </w:div>
                            <w:div w:id="599996248">
                              <w:marLeft w:val="0"/>
                              <w:marRight w:val="0"/>
                              <w:marTop w:val="0"/>
                              <w:marBottom w:val="0"/>
                              <w:divBdr>
                                <w:top w:val="none" w:sz="0" w:space="0" w:color="auto"/>
                                <w:left w:val="none" w:sz="0" w:space="0" w:color="auto"/>
                                <w:bottom w:val="none" w:sz="0" w:space="0" w:color="auto"/>
                                <w:right w:val="none" w:sz="0" w:space="0" w:color="auto"/>
                              </w:divBdr>
                            </w:div>
                            <w:div w:id="834609721">
                              <w:marLeft w:val="0"/>
                              <w:marRight w:val="0"/>
                              <w:marTop w:val="0"/>
                              <w:marBottom w:val="0"/>
                              <w:divBdr>
                                <w:top w:val="none" w:sz="0" w:space="0" w:color="auto"/>
                                <w:left w:val="none" w:sz="0" w:space="0" w:color="auto"/>
                                <w:bottom w:val="none" w:sz="0" w:space="0" w:color="auto"/>
                                <w:right w:val="none" w:sz="0" w:space="0" w:color="auto"/>
                              </w:divBdr>
                            </w:div>
                            <w:div w:id="2110195786">
                              <w:marLeft w:val="0"/>
                              <w:marRight w:val="0"/>
                              <w:marTop w:val="0"/>
                              <w:marBottom w:val="0"/>
                              <w:divBdr>
                                <w:top w:val="none" w:sz="0" w:space="0" w:color="auto"/>
                                <w:left w:val="none" w:sz="0" w:space="0" w:color="auto"/>
                                <w:bottom w:val="none" w:sz="0" w:space="0" w:color="auto"/>
                                <w:right w:val="none" w:sz="0" w:space="0" w:color="auto"/>
                              </w:divBdr>
                            </w:div>
                          </w:divsChild>
                        </w:div>
                        <w:div w:id="1312557944">
                          <w:marLeft w:val="0"/>
                          <w:marRight w:val="0"/>
                          <w:marTop w:val="0"/>
                          <w:marBottom w:val="0"/>
                          <w:divBdr>
                            <w:top w:val="none" w:sz="0" w:space="0" w:color="auto"/>
                            <w:left w:val="none" w:sz="0" w:space="0" w:color="auto"/>
                            <w:bottom w:val="none" w:sz="0" w:space="0" w:color="auto"/>
                            <w:right w:val="none" w:sz="0" w:space="0" w:color="auto"/>
                          </w:divBdr>
                          <w:divsChild>
                            <w:div w:id="1774477848">
                              <w:marLeft w:val="0"/>
                              <w:marRight w:val="0"/>
                              <w:marTop w:val="0"/>
                              <w:marBottom w:val="0"/>
                              <w:divBdr>
                                <w:top w:val="none" w:sz="0" w:space="0" w:color="auto"/>
                                <w:left w:val="none" w:sz="0" w:space="0" w:color="auto"/>
                                <w:bottom w:val="none" w:sz="0" w:space="0" w:color="auto"/>
                                <w:right w:val="none" w:sz="0" w:space="0" w:color="auto"/>
                              </w:divBdr>
                            </w:div>
                            <w:div w:id="1318075607">
                              <w:marLeft w:val="0"/>
                              <w:marRight w:val="0"/>
                              <w:marTop w:val="0"/>
                              <w:marBottom w:val="0"/>
                              <w:divBdr>
                                <w:top w:val="none" w:sz="0" w:space="0" w:color="auto"/>
                                <w:left w:val="none" w:sz="0" w:space="0" w:color="auto"/>
                                <w:bottom w:val="none" w:sz="0" w:space="0" w:color="auto"/>
                                <w:right w:val="none" w:sz="0" w:space="0" w:color="auto"/>
                              </w:divBdr>
                            </w:div>
                            <w:div w:id="677077616">
                              <w:marLeft w:val="0"/>
                              <w:marRight w:val="0"/>
                              <w:marTop w:val="0"/>
                              <w:marBottom w:val="0"/>
                              <w:divBdr>
                                <w:top w:val="none" w:sz="0" w:space="0" w:color="auto"/>
                                <w:left w:val="none" w:sz="0" w:space="0" w:color="auto"/>
                                <w:bottom w:val="none" w:sz="0" w:space="0" w:color="auto"/>
                                <w:right w:val="none" w:sz="0" w:space="0" w:color="auto"/>
                              </w:divBdr>
                            </w:div>
                            <w:div w:id="2025402657">
                              <w:marLeft w:val="0"/>
                              <w:marRight w:val="0"/>
                              <w:marTop w:val="0"/>
                              <w:marBottom w:val="0"/>
                              <w:divBdr>
                                <w:top w:val="none" w:sz="0" w:space="0" w:color="auto"/>
                                <w:left w:val="none" w:sz="0" w:space="0" w:color="auto"/>
                                <w:bottom w:val="none" w:sz="0" w:space="0" w:color="auto"/>
                                <w:right w:val="none" w:sz="0" w:space="0" w:color="auto"/>
                              </w:divBdr>
                            </w:div>
                          </w:divsChild>
                        </w:div>
                        <w:div w:id="386153445">
                          <w:marLeft w:val="0"/>
                          <w:marRight w:val="0"/>
                          <w:marTop w:val="0"/>
                          <w:marBottom w:val="0"/>
                          <w:divBdr>
                            <w:top w:val="none" w:sz="0" w:space="0" w:color="auto"/>
                            <w:left w:val="none" w:sz="0" w:space="0" w:color="auto"/>
                            <w:bottom w:val="none" w:sz="0" w:space="0" w:color="auto"/>
                            <w:right w:val="none" w:sz="0" w:space="0" w:color="auto"/>
                          </w:divBdr>
                          <w:divsChild>
                            <w:div w:id="223492712">
                              <w:marLeft w:val="0"/>
                              <w:marRight w:val="0"/>
                              <w:marTop w:val="0"/>
                              <w:marBottom w:val="0"/>
                              <w:divBdr>
                                <w:top w:val="none" w:sz="0" w:space="0" w:color="auto"/>
                                <w:left w:val="none" w:sz="0" w:space="0" w:color="auto"/>
                                <w:bottom w:val="none" w:sz="0" w:space="0" w:color="auto"/>
                                <w:right w:val="none" w:sz="0" w:space="0" w:color="auto"/>
                              </w:divBdr>
                            </w:div>
                            <w:div w:id="911234718">
                              <w:marLeft w:val="0"/>
                              <w:marRight w:val="0"/>
                              <w:marTop w:val="0"/>
                              <w:marBottom w:val="0"/>
                              <w:divBdr>
                                <w:top w:val="none" w:sz="0" w:space="0" w:color="auto"/>
                                <w:left w:val="none" w:sz="0" w:space="0" w:color="auto"/>
                                <w:bottom w:val="none" w:sz="0" w:space="0" w:color="auto"/>
                                <w:right w:val="none" w:sz="0" w:space="0" w:color="auto"/>
                              </w:divBdr>
                            </w:div>
                            <w:div w:id="929462498">
                              <w:marLeft w:val="0"/>
                              <w:marRight w:val="0"/>
                              <w:marTop w:val="0"/>
                              <w:marBottom w:val="0"/>
                              <w:divBdr>
                                <w:top w:val="none" w:sz="0" w:space="0" w:color="auto"/>
                                <w:left w:val="none" w:sz="0" w:space="0" w:color="auto"/>
                                <w:bottom w:val="none" w:sz="0" w:space="0" w:color="auto"/>
                                <w:right w:val="none" w:sz="0" w:space="0" w:color="auto"/>
                              </w:divBdr>
                            </w:div>
                            <w:div w:id="1010448706">
                              <w:marLeft w:val="0"/>
                              <w:marRight w:val="0"/>
                              <w:marTop w:val="0"/>
                              <w:marBottom w:val="0"/>
                              <w:divBdr>
                                <w:top w:val="none" w:sz="0" w:space="0" w:color="auto"/>
                                <w:left w:val="none" w:sz="0" w:space="0" w:color="auto"/>
                                <w:bottom w:val="none" w:sz="0" w:space="0" w:color="auto"/>
                                <w:right w:val="none" w:sz="0" w:space="0" w:color="auto"/>
                              </w:divBdr>
                            </w:div>
                            <w:div w:id="851146794">
                              <w:marLeft w:val="0"/>
                              <w:marRight w:val="0"/>
                              <w:marTop w:val="0"/>
                              <w:marBottom w:val="0"/>
                              <w:divBdr>
                                <w:top w:val="none" w:sz="0" w:space="0" w:color="auto"/>
                                <w:left w:val="none" w:sz="0" w:space="0" w:color="auto"/>
                                <w:bottom w:val="none" w:sz="0" w:space="0" w:color="auto"/>
                                <w:right w:val="none" w:sz="0" w:space="0" w:color="auto"/>
                              </w:divBdr>
                            </w:div>
                            <w:div w:id="525413694">
                              <w:marLeft w:val="0"/>
                              <w:marRight w:val="0"/>
                              <w:marTop w:val="0"/>
                              <w:marBottom w:val="0"/>
                              <w:divBdr>
                                <w:top w:val="none" w:sz="0" w:space="0" w:color="auto"/>
                                <w:left w:val="none" w:sz="0" w:space="0" w:color="auto"/>
                                <w:bottom w:val="none" w:sz="0" w:space="0" w:color="auto"/>
                                <w:right w:val="none" w:sz="0" w:space="0" w:color="auto"/>
                              </w:divBdr>
                            </w:div>
                            <w:div w:id="1039282627">
                              <w:marLeft w:val="0"/>
                              <w:marRight w:val="0"/>
                              <w:marTop w:val="0"/>
                              <w:marBottom w:val="0"/>
                              <w:divBdr>
                                <w:top w:val="none" w:sz="0" w:space="0" w:color="auto"/>
                                <w:left w:val="none" w:sz="0" w:space="0" w:color="auto"/>
                                <w:bottom w:val="none" w:sz="0" w:space="0" w:color="auto"/>
                                <w:right w:val="none" w:sz="0" w:space="0" w:color="auto"/>
                              </w:divBdr>
                            </w:div>
                          </w:divsChild>
                        </w:div>
                        <w:div w:id="1433431821">
                          <w:marLeft w:val="0"/>
                          <w:marRight w:val="0"/>
                          <w:marTop w:val="0"/>
                          <w:marBottom w:val="0"/>
                          <w:divBdr>
                            <w:top w:val="none" w:sz="0" w:space="0" w:color="auto"/>
                            <w:left w:val="none" w:sz="0" w:space="0" w:color="auto"/>
                            <w:bottom w:val="none" w:sz="0" w:space="0" w:color="auto"/>
                            <w:right w:val="none" w:sz="0" w:space="0" w:color="auto"/>
                          </w:divBdr>
                          <w:divsChild>
                            <w:div w:id="1406486948">
                              <w:marLeft w:val="0"/>
                              <w:marRight w:val="0"/>
                              <w:marTop w:val="0"/>
                              <w:marBottom w:val="0"/>
                              <w:divBdr>
                                <w:top w:val="none" w:sz="0" w:space="0" w:color="auto"/>
                                <w:left w:val="none" w:sz="0" w:space="0" w:color="auto"/>
                                <w:bottom w:val="none" w:sz="0" w:space="0" w:color="auto"/>
                                <w:right w:val="none" w:sz="0" w:space="0" w:color="auto"/>
                              </w:divBdr>
                            </w:div>
                            <w:div w:id="983121301">
                              <w:marLeft w:val="0"/>
                              <w:marRight w:val="0"/>
                              <w:marTop w:val="0"/>
                              <w:marBottom w:val="0"/>
                              <w:divBdr>
                                <w:top w:val="none" w:sz="0" w:space="0" w:color="auto"/>
                                <w:left w:val="none" w:sz="0" w:space="0" w:color="auto"/>
                                <w:bottom w:val="none" w:sz="0" w:space="0" w:color="auto"/>
                                <w:right w:val="none" w:sz="0" w:space="0" w:color="auto"/>
                              </w:divBdr>
                            </w:div>
                            <w:div w:id="559950256">
                              <w:marLeft w:val="0"/>
                              <w:marRight w:val="0"/>
                              <w:marTop w:val="0"/>
                              <w:marBottom w:val="0"/>
                              <w:divBdr>
                                <w:top w:val="none" w:sz="0" w:space="0" w:color="auto"/>
                                <w:left w:val="none" w:sz="0" w:space="0" w:color="auto"/>
                                <w:bottom w:val="none" w:sz="0" w:space="0" w:color="auto"/>
                                <w:right w:val="none" w:sz="0" w:space="0" w:color="auto"/>
                              </w:divBdr>
                            </w:div>
                            <w:div w:id="1379360798">
                              <w:marLeft w:val="0"/>
                              <w:marRight w:val="0"/>
                              <w:marTop w:val="0"/>
                              <w:marBottom w:val="0"/>
                              <w:divBdr>
                                <w:top w:val="none" w:sz="0" w:space="0" w:color="auto"/>
                                <w:left w:val="none" w:sz="0" w:space="0" w:color="auto"/>
                                <w:bottom w:val="none" w:sz="0" w:space="0" w:color="auto"/>
                                <w:right w:val="none" w:sz="0" w:space="0" w:color="auto"/>
                              </w:divBdr>
                            </w:div>
                            <w:div w:id="283967735">
                              <w:marLeft w:val="0"/>
                              <w:marRight w:val="0"/>
                              <w:marTop w:val="0"/>
                              <w:marBottom w:val="0"/>
                              <w:divBdr>
                                <w:top w:val="none" w:sz="0" w:space="0" w:color="auto"/>
                                <w:left w:val="none" w:sz="0" w:space="0" w:color="auto"/>
                                <w:bottom w:val="none" w:sz="0" w:space="0" w:color="auto"/>
                                <w:right w:val="none" w:sz="0" w:space="0" w:color="auto"/>
                              </w:divBdr>
                            </w:div>
                            <w:div w:id="1316838409">
                              <w:marLeft w:val="0"/>
                              <w:marRight w:val="0"/>
                              <w:marTop w:val="0"/>
                              <w:marBottom w:val="0"/>
                              <w:divBdr>
                                <w:top w:val="none" w:sz="0" w:space="0" w:color="auto"/>
                                <w:left w:val="none" w:sz="0" w:space="0" w:color="auto"/>
                                <w:bottom w:val="none" w:sz="0" w:space="0" w:color="auto"/>
                                <w:right w:val="none" w:sz="0" w:space="0" w:color="auto"/>
                              </w:divBdr>
                            </w:div>
                            <w:div w:id="124205515">
                              <w:marLeft w:val="0"/>
                              <w:marRight w:val="0"/>
                              <w:marTop w:val="0"/>
                              <w:marBottom w:val="0"/>
                              <w:divBdr>
                                <w:top w:val="none" w:sz="0" w:space="0" w:color="auto"/>
                                <w:left w:val="none" w:sz="0" w:space="0" w:color="auto"/>
                                <w:bottom w:val="none" w:sz="0" w:space="0" w:color="auto"/>
                                <w:right w:val="none" w:sz="0" w:space="0" w:color="auto"/>
                              </w:divBdr>
                            </w:div>
                            <w:div w:id="1227565289">
                              <w:marLeft w:val="0"/>
                              <w:marRight w:val="0"/>
                              <w:marTop w:val="0"/>
                              <w:marBottom w:val="0"/>
                              <w:divBdr>
                                <w:top w:val="none" w:sz="0" w:space="0" w:color="auto"/>
                                <w:left w:val="none" w:sz="0" w:space="0" w:color="auto"/>
                                <w:bottom w:val="none" w:sz="0" w:space="0" w:color="auto"/>
                                <w:right w:val="none" w:sz="0" w:space="0" w:color="auto"/>
                              </w:divBdr>
                            </w:div>
                            <w:div w:id="381250211">
                              <w:marLeft w:val="0"/>
                              <w:marRight w:val="0"/>
                              <w:marTop w:val="0"/>
                              <w:marBottom w:val="0"/>
                              <w:divBdr>
                                <w:top w:val="none" w:sz="0" w:space="0" w:color="auto"/>
                                <w:left w:val="none" w:sz="0" w:space="0" w:color="auto"/>
                                <w:bottom w:val="none" w:sz="0" w:space="0" w:color="auto"/>
                                <w:right w:val="none" w:sz="0" w:space="0" w:color="auto"/>
                              </w:divBdr>
                            </w:div>
                            <w:div w:id="327247283">
                              <w:marLeft w:val="0"/>
                              <w:marRight w:val="0"/>
                              <w:marTop w:val="0"/>
                              <w:marBottom w:val="0"/>
                              <w:divBdr>
                                <w:top w:val="none" w:sz="0" w:space="0" w:color="auto"/>
                                <w:left w:val="none" w:sz="0" w:space="0" w:color="auto"/>
                                <w:bottom w:val="none" w:sz="0" w:space="0" w:color="auto"/>
                                <w:right w:val="none" w:sz="0" w:space="0" w:color="auto"/>
                              </w:divBdr>
                            </w:div>
                            <w:div w:id="371540819">
                              <w:marLeft w:val="0"/>
                              <w:marRight w:val="0"/>
                              <w:marTop w:val="0"/>
                              <w:marBottom w:val="0"/>
                              <w:divBdr>
                                <w:top w:val="none" w:sz="0" w:space="0" w:color="auto"/>
                                <w:left w:val="none" w:sz="0" w:space="0" w:color="auto"/>
                                <w:bottom w:val="none" w:sz="0" w:space="0" w:color="auto"/>
                                <w:right w:val="none" w:sz="0" w:space="0" w:color="auto"/>
                              </w:divBdr>
                            </w:div>
                            <w:div w:id="1581022611">
                              <w:marLeft w:val="0"/>
                              <w:marRight w:val="0"/>
                              <w:marTop w:val="0"/>
                              <w:marBottom w:val="0"/>
                              <w:divBdr>
                                <w:top w:val="none" w:sz="0" w:space="0" w:color="auto"/>
                                <w:left w:val="none" w:sz="0" w:space="0" w:color="auto"/>
                                <w:bottom w:val="none" w:sz="0" w:space="0" w:color="auto"/>
                                <w:right w:val="none" w:sz="0" w:space="0" w:color="auto"/>
                              </w:divBdr>
                            </w:div>
                            <w:div w:id="611740307">
                              <w:marLeft w:val="0"/>
                              <w:marRight w:val="0"/>
                              <w:marTop w:val="0"/>
                              <w:marBottom w:val="0"/>
                              <w:divBdr>
                                <w:top w:val="none" w:sz="0" w:space="0" w:color="auto"/>
                                <w:left w:val="none" w:sz="0" w:space="0" w:color="auto"/>
                                <w:bottom w:val="none" w:sz="0" w:space="0" w:color="auto"/>
                                <w:right w:val="none" w:sz="0" w:space="0" w:color="auto"/>
                              </w:divBdr>
                            </w:div>
                            <w:div w:id="754278769">
                              <w:marLeft w:val="0"/>
                              <w:marRight w:val="0"/>
                              <w:marTop w:val="0"/>
                              <w:marBottom w:val="0"/>
                              <w:divBdr>
                                <w:top w:val="none" w:sz="0" w:space="0" w:color="auto"/>
                                <w:left w:val="none" w:sz="0" w:space="0" w:color="auto"/>
                                <w:bottom w:val="none" w:sz="0" w:space="0" w:color="auto"/>
                                <w:right w:val="none" w:sz="0" w:space="0" w:color="auto"/>
                              </w:divBdr>
                            </w:div>
                          </w:divsChild>
                        </w:div>
                        <w:div w:id="761335035">
                          <w:marLeft w:val="0"/>
                          <w:marRight w:val="0"/>
                          <w:marTop w:val="0"/>
                          <w:marBottom w:val="0"/>
                          <w:divBdr>
                            <w:top w:val="none" w:sz="0" w:space="0" w:color="auto"/>
                            <w:left w:val="none" w:sz="0" w:space="0" w:color="auto"/>
                            <w:bottom w:val="none" w:sz="0" w:space="0" w:color="auto"/>
                            <w:right w:val="none" w:sz="0" w:space="0" w:color="auto"/>
                          </w:divBdr>
                          <w:divsChild>
                            <w:div w:id="1740249141">
                              <w:marLeft w:val="0"/>
                              <w:marRight w:val="0"/>
                              <w:marTop w:val="0"/>
                              <w:marBottom w:val="0"/>
                              <w:divBdr>
                                <w:top w:val="none" w:sz="0" w:space="0" w:color="auto"/>
                                <w:left w:val="none" w:sz="0" w:space="0" w:color="auto"/>
                                <w:bottom w:val="none" w:sz="0" w:space="0" w:color="auto"/>
                                <w:right w:val="none" w:sz="0" w:space="0" w:color="auto"/>
                              </w:divBdr>
                            </w:div>
                            <w:div w:id="2098743041">
                              <w:marLeft w:val="0"/>
                              <w:marRight w:val="0"/>
                              <w:marTop w:val="0"/>
                              <w:marBottom w:val="0"/>
                              <w:divBdr>
                                <w:top w:val="none" w:sz="0" w:space="0" w:color="auto"/>
                                <w:left w:val="none" w:sz="0" w:space="0" w:color="auto"/>
                                <w:bottom w:val="none" w:sz="0" w:space="0" w:color="auto"/>
                                <w:right w:val="none" w:sz="0" w:space="0" w:color="auto"/>
                              </w:divBdr>
                            </w:div>
                            <w:div w:id="1946034314">
                              <w:marLeft w:val="0"/>
                              <w:marRight w:val="0"/>
                              <w:marTop w:val="0"/>
                              <w:marBottom w:val="0"/>
                              <w:divBdr>
                                <w:top w:val="none" w:sz="0" w:space="0" w:color="auto"/>
                                <w:left w:val="none" w:sz="0" w:space="0" w:color="auto"/>
                                <w:bottom w:val="none" w:sz="0" w:space="0" w:color="auto"/>
                                <w:right w:val="none" w:sz="0" w:space="0" w:color="auto"/>
                              </w:divBdr>
                            </w:div>
                            <w:div w:id="1440219191">
                              <w:marLeft w:val="0"/>
                              <w:marRight w:val="0"/>
                              <w:marTop w:val="0"/>
                              <w:marBottom w:val="0"/>
                              <w:divBdr>
                                <w:top w:val="none" w:sz="0" w:space="0" w:color="auto"/>
                                <w:left w:val="none" w:sz="0" w:space="0" w:color="auto"/>
                                <w:bottom w:val="none" w:sz="0" w:space="0" w:color="auto"/>
                                <w:right w:val="none" w:sz="0" w:space="0" w:color="auto"/>
                              </w:divBdr>
                            </w:div>
                            <w:div w:id="1216744577">
                              <w:marLeft w:val="0"/>
                              <w:marRight w:val="0"/>
                              <w:marTop w:val="0"/>
                              <w:marBottom w:val="0"/>
                              <w:divBdr>
                                <w:top w:val="none" w:sz="0" w:space="0" w:color="auto"/>
                                <w:left w:val="none" w:sz="0" w:space="0" w:color="auto"/>
                                <w:bottom w:val="none" w:sz="0" w:space="0" w:color="auto"/>
                                <w:right w:val="none" w:sz="0" w:space="0" w:color="auto"/>
                              </w:divBdr>
                            </w:div>
                            <w:div w:id="491680694">
                              <w:marLeft w:val="0"/>
                              <w:marRight w:val="0"/>
                              <w:marTop w:val="0"/>
                              <w:marBottom w:val="0"/>
                              <w:divBdr>
                                <w:top w:val="none" w:sz="0" w:space="0" w:color="auto"/>
                                <w:left w:val="none" w:sz="0" w:space="0" w:color="auto"/>
                                <w:bottom w:val="none" w:sz="0" w:space="0" w:color="auto"/>
                                <w:right w:val="none" w:sz="0" w:space="0" w:color="auto"/>
                              </w:divBdr>
                            </w:div>
                            <w:div w:id="796411772">
                              <w:marLeft w:val="0"/>
                              <w:marRight w:val="0"/>
                              <w:marTop w:val="0"/>
                              <w:marBottom w:val="0"/>
                              <w:divBdr>
                                <w:top w:val="none" w:sz="0" w:space="0" w:color="auto"/>
                                <w:left w:val="none" w:sz="0" w:space="0" w:color="auto"/>
                                <w:bottom w:val="none" w:sz="0" w:space="0" w:color="auto"/>
                                <w:right w:val="none" w:sz="0" w:space="0" w:color="auto"/>
                              </w:divBdr>
                            </w:div>
                            <w:div w:id="85151722">
                              <w:marLeft w:val="0"/>
                              <w:marRight w:val="0"/>
                              <w:marTop w:val="0"/>
                              <w:marBottom w:val="0"/>
                              <w:divBdr>
                                <w:top w:val="none" w:sz="0" w:space="0" w:color="auto"/>
                                <w:left w:val="none" w:sz="0" w:space="0" w:color="auto"/>
                                <w:bottom w:val="none" w:sz="0" w:space="0" w:color="auto"/>
                                <w:right w:val="none" w:sz="0" w:space="0" w:color="auto"/>
                              </w:divBdr>
                            </w:div>
                            <w:div w:id="1950428478">
                              <w:marLeft w:val="0"/>
                              <w:marRight w:val="0"/>
                              <w:marTop w:val="0"/>
                              <w:marBottom w:val="0"/>
                              <w:divBdr>
                                <w:top w:val="none" w:sz="0" w:space="0" w:color="auto"/>
                                <w:left w:val="none" w:sz="0" w:space="0" w:color="auto"/>
                                <w:bottom w:val="none" w:sz="0" w:space="0" w:color="auto"/>
                                <w:right w:val="none" w:sz="0" w:space="0" w:color="auto"/>
                              </w:divBdr>
                            </w:div>
                          </w:divsChild>
                        </w:div>
                        <w:div w:id="374623506">
                          <w:marLeft w:val="0"/>
                          <w:marRight w:val="0"/>
                          <w:marTop w:val="0"/>
                          <w:marBottom w:val="0"/>
                          <w:divBdr>
                            <w:top w:val="none" w:sz="0" w:space="0" w:color="auto"/>
                            <w:left w:val="none" w:sz="0" w:space="0" w:color="auto"/>
                            <w:bottom w:val="none" w:sz="0" w:space="0" w:color="auto"/>
                            <w:right w:val="none" w:sz="0" w:space="0" w:color="auto"/>
                          </w:divBdr>
                          <w:divsChild>
                            <w:div w:id="171067716">
                              <w:marLeft w:val="0"/>
                              <w:marRight w:val="0"/>
                              <w:marTop w:val="0"/>
                              <w:marBottom w:val="0"/>
                              <w:divBdr>
                                <w:top w:val="none" w:sz="0" w:space="0" w:color="auto"/>
                                <w:left w:val="none" w:sz="0" w:space="0" w:color="auto"/>
                                <w:bottom w:val="none" w:sz="0" w:space="0" w:color="auto"/>
                                <w:right w:val="none" w:sz="0" w:space="0" w:color="auto"/>
                              </w:divBdr>
                            </w:div>
                            <w:div w:id="226693836">
                              <w:marLeft w:val="0"/>
                              <w:marRight w:val="0"/>
                              <w:marTop w:val="0"/>
                              <w:marBottom w:val="0"/>
                              <w:divBdr>
                                <w:top w:val="none" w:sz="0" w:space="0" w:color="auto"/>
                                <w:left w:val="none" w:sz="0" w:space="0" w:color="auto"/>
                                <w:bottom w:val="none" w:sz="0" w:space="0" w:color="auto"/>
                                <w:right w:val="none" w:sz="0" w:space="0" w:color="auto"/>
                              </w:divBdr>
                            </w:div>
                            <w:div w:id="933787715">
                              <w:marLeft w:val="0"/>
                              <w:marRight w:val="0"/>
                              <w:marTop w:val="0"/>
                              <w:marBottom w:val="0"/>
                              <w:divBdr>
                                <w:top w:val="none" w:sz="0" w:space="0" w:color="auto"/>
                                <w:left w:val="none" w:sz="0" w:space="0" w:color="auto"/>
                                <w:bottom w:val="none" w:sz="0" w:space="0" w:color="auto"/>
                                <w:right w:val="none" w:sz="0" w:space="0" w:color="auto"/>
                              </w:divBdr>
                            </w:div>
                            <w:div w:id="1524705702">
                              <w:marLeft w:val="0"/>
                              <w:marRight w:val="0"/>
                              <w:marTop w:val="0"/>
                              <w:marBottom w:val="0"/>
                              <w:divBdr>
                                <w:top w:val="none" w:sz="0" w:space="0" w:color="auto"/>
                                <w:left w:val="none" w:sz="0" w:space="0" w:color="auto"/>
                                <w:bottom w:val="none" w:sz="0" w:space="0" w:color="auto"/>
                                <w:right w:val="none" w:sz="0" w:space="0" w:color="auto"/>
                              </w:divBdr>
                            </w:div>
                            <w:div w:id="156259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31165">
                      <w:marLeft w:val="0"/>
                      <w:marRight w:val="0"/>
                      <w:marTop w:val="0"/>
                      <w:marBottom w:val="0"/>
                      <w:divBdr>
                        <w:top w:val="none" w:sz="0" w:space="0" w:color="auto"/>
                        <w:left w:val="none" w:sz="0" w:space="0" w:color="auto"/>
                        <w:bottom w:val="none" w:sz="0" w:space="0" w:color="auto"/>
                        <w:right w:val="none" w:sz="0" w:space="0" w:color="auto"/>
                      </w:divBdr>
                      <w:divsChild>
                        <w:div w:id="151411704">
                          <w:marLeft w:val="0"/>
                          <w:marRight w:val="0"/>
                          <w:marTop w:val="0"/>
                          <w:marBottom w:val="0"/>
                          <w:divBdr>
                            <w:top w:val="none" w:sz="0" w:space="0" w:color="auto"/>
                            <w:left w:val="none" w:sz="0" w:space="0" w:color="auto"/>
                            <w:bottom w:val="none" w:sz="0" w:space="0" w:color="auto"/>
                            <w:right w:val="none" w:sz="0" w:space="0" w:color="auto"/>
                          </w:divBdr>
                        </w:div>
                        <w:div w:id="1127970106">
                          <w:marLeft w:val="0"/>
                          <w:marRight w:val="0"/>
                          <w:marTop w:val="0"/>
                          <w:marBottom w:val="0"/>
                          <w:divBdr>
                            <w:top w:val="none" w:sz="0" w:space="0" w:color="auto"/>
                            <w:left w:val="none" w:sz="0" w:space="0" w:color="auto"/>
                            <w:bottom w:val="none" w:sz="0" w:space="0" w:color="auto"/>
                            <w:right w:val="none" w:sz="0" w:space="0" w:color="auto"/>
                          </w:divBdr>
                          <w:divsChild>
                            <w:div w:id="1768384695">
                              <w:marLeft w:val="0"/>
                              <w:marRight w:val="0"/>
                              <w:marTop w:val="0"/>
                              <w:marBottom w:val="0"/>
                              <w:divBdr>
                                <w:top w:val="none" w:sz="0" w:space="0" w:color="auto"/>
                                <w:left w:val="none" w:sz="0" w:space="0" w:color="auto"/>
                                <w:bottom w:val="none" w:sz="0" w:space="0" w:color="auto"/>
                                <w:right w:val="none" w:sz="0" w:space="0" w:color="auto"/>
                              </w:divBdr>
                            </w:div>
                            <w:div w:id="1846361702">
                              <w:marLeft w:val="0"/>
                              <w:marRight w:val="0"/>
                              <w:marTop w:val="0"/>
                              <w:marBottom w:val="0"/>
                              <w:divBdr>
                                <w:top w:val="none" w:sz="0" w:space="0" w:color="auto"/>
                                <w:left w:val="none" w:sz="0" w:space="0" w:color="auto"/>
                                <w:bottom w:val="none" w:sz="0" w:space="0" w:color="auto"/>
                                <w:right w:val="none" w:sz="0" w:space="0" w:color="auto"/>
                              </w:divBdr>
                            </w:div>
                            <w:div w:id="1875920006">
                              <w:marLeft w:val="0"/>
                              <w:marRight w:val="0"/>
                              <w:marTop w:val="0"/>
                              <w:marBottom w:val="0"/>
                              <w:divBdr>
                                <w:top w:val="none" w:sz="0" w:space="0" w:color="auto"/>
                                <w:left w:val="none" w:sz="0" w:space="0" w:color="auto"/>
                                <w:bottom w:val="none" w:sz="0" w:space="0" w:color="auto"/>
                                <w:right w:val="none" w:sz="0" w:space="0" w:color="auto"/>
                              </w:divBdr>
                            </w:div>
                            <w:div w:id="1675183088">
                              <w:marLeft w:val="0"/>
                              <w:marRight w:val="0"/>
                              <w:marTop w:val="0"/>
                              <w:marBottom w:val="0"/>
                              <w:divBdr>
                                <w:top w:val="none" w:sz="0" w:space="0" w:color="auto"/>
                                <w:left w:val="none" w:sz="0" w:space="0" w:color="auto"/>
                                <w:bottom w:val="none" w:sz="0" w:space="0" w:color="auto"/>
                                <w:right w:val="none" w:sz="0" w:space="0" w:color="auto"/>
                              </w:divBdr>
                            </w:div>
                            <w:div w:id="1962419649">
                              <w:marLeft w:val="0"/>
                              <w:marRight w:val="0"/>
                              <w:marTop w:val="0"/>
                              <w:marBottom w:val="0"/>
                              <w:divBdr>
                                <w:top w:val="none" w:sz="0" w:space="0" w:color="auto"/>
                                <w:left w:val="none" w:sz="0" w:space="0" w:color="auto"/>
                                <w:bottom w:val="none" w:sz="0" w:space="0" w:color="auto"/>
                                <w:right w:val="none" w:sz="0" w:space="0" w:color="auto"/>
                              </w:divBdr>
                            </w:div>
                            <w:div w:id="1998024317">
                              <w:marLeft w:val="0"/>
                              <w:marRight w:val="0"/>
                              <w:marTop w:val="0"/>
                              <w:marBottom w:val="0"/>
                              <w:divBdr>
                                <w:top w:val="none" w:sz="0" w:space="0" w:color="auto"/>
                                <w:left w:val="none" w:sz="0" w:space="0" w:color="auto"/>
                                <w:bottom w:val="none" w:sz="0" w:space="0" w:color="auto"/>
                                <w:right w:val="none" w:sz="0" w:space="0" w:color="auto"/>
                              </w:divBdr>
                            </w:div>
                            <w:div w:id="1635526937">
                              <w:marLeft w:val="0"/>
                              <w:marRight w:val="0"/>
                              <w:marTop w:val="0"/>
                              <w:marBottom w:val="0"/>
                              <w:divBdr>
                                <w:top w:val="none" w:sz="0" w:space="0" w:color="auto"/>
                                <w:left w:val="none" w:sz="0" w:space="0" w:color="auto"/>
                                <w:bottom w:val="none" w:sz="0" w:space="0" w:color="auto"/>
                                <w:right w:val="none" w:sz="0" w:space="0" w:color="auto"/>
                              </w:divBdr>
                            </w:div>
                          </w:divsChild>
                        </w:div>
                        <w:div w:id="469172924">
                          <w:marLeft w:val="0"/>
                          <w:marRight w:val="0"/>
                          <w:marTop w:val="0"/>
                          <w:marBottom w:val="0"/>
                          <w:divBdr>
                            <w:top w:val="none" w:sz="0" w:space="0" w:color="auto"/>
                            <w:left w:val="none" w:sz="0" w:space="0" w:color="auto"/>
                            <w:bottom w:val="none" w:sz="0" w:space="0" w:color="auto"/>
                            <w:right w:val="none" w:sz="0" w:space="0" w:color="auto"/>
                          </w:divBdr>
                          <w:divsChild>
                            <w:div w:id="1744794782">
                              <w:marLeft w:val="0"/>
                              <w:marRight w:val="0"/>
                              <w:marTop w:val="0"/>
                              <w:marBottom w:val="0"/>
                              <w:divBdr>
                                <w:top w:val="none" w:sz="0" w:space="0" w:color="auto"/>
                                <w:left w:val="none" w:sz="0" w:space="0" w:color="auto"/>
                                <w:bottom w:val="none" w:sz="0" w:space="0" w:color="auto"/>
                                <w:right w:val="none" w:sz="0" w:space="0" w:color="auto"/>
                              </w:divBdr>
                            </w:div>
                            <w:div w:id="997925199">
                              <w:marLeft w:val="0"/>
                              <w:marRight w:val="0"/>
                              <w:marTop w:val="0"/>
                              <w:marBottom w:val="0"/>
                              <w:divBdr>
                                <w:top w:val="none" w:sz="0" w:space="0" w:color="auto"/>
                                <w:left w:val="none" w:sz="0" w:space="0" w:color="auto"/>
                                <w:bottom w:val="none" w:sz="0" w:space="0" w:color="auto"/>
                                <w:right w:val="none" w:sz="0" w:space="0" w:color="auto"/>
                              </w:divBdr>
                            </w:div>
                            <w:div w:id="1612929699">
                              <w:marLeft w:val="0"/>
                              <w:marRight w:val="0"/>
                              <w:marTop w:val="0"/>
                              <w:marBottom w:val="0"/>
                              <w:divBdr>
                                <w:top w:val="none" w:sz="0" w:space="0" w:color="auto"/>
                                <w:left w:val="none" w:sz="0" w:space="0" w:color="auto"/>
                                <w:bottom w:val="none" w:sz="0" w:space="0" w:color="auto"/>
                                <w:right w:val="none" w:sz="0" w:space="0" w:color="auto"/>
                              </w:divBdr>
                            </w:div>
                            <w:div w:id="185754749">
                              <w:marLeft w:val="0"/>
                              <w:marRight w:val="0"/>
                              <w:marTop w:val="0"/>
                              <w:marBottom w:val="0"/>
                              <w:divBdr>
                                <w:top w:val="none" w:sz="0" w:space="0" w:color="auto"/>
                                <w:left w:val="none" w:sz="0" w:space="0" w:color="auto"/>
                                <w:bottom w:val="none" w:sz="0" w:space="0" w:color="auto"/>
                                <w:right w:val="none" w:sz="0" w:space="0" w:color="auto"/>
                              </w:divBdr>
                            </w:div>
                            <w:div w:id="1852178608">
                              <w:marLeft w:val="0"/>
                              <w:marRight w:val="0"/>
                              <w:marTop w:val="0"/>
                              <w:marBottom w:val="0"/>
                              <w:divBdr>
                                <w:top w:val="none" w:sz="0" w:space="0" w:color="auto"/>
                                <w:left w:val="none" w:sz="0" w:space="0" w:color="auto"/>
                                <w:bottom w:val="none" w:sz="0" w:space="0" w:color="auto"/>
                                <w:right w:val="none" w:sz="0" w:space="0" w:color="auto"/>
                              </w:divBdr>
                            </w:div>
                            <w:div w:id="1775588620">
                              <w:marLeft w:val="0"/>
                              <w:marRight w:val="0"/>
                              <w:marTop w:val="0"/>
                              <w:marBottom w:val="0"/>
                              <w:divBdr>
                                <w:top w:val="none" w:sz="0" w:space="0" w:color="auto"/>
                                <w:left w:val="none" w:sz="0" w:space="0" w:color="auto"/>
                                <w:bottom w:val="none" w:sz="0" w:space="0" w:color="auto"/>
                                <w:right w:val="none" w:sz="0" w:space="0" w:color="auto"/>
                              </w:divBdr>
                            </w:div>
                            <w:div w:id="77792924">
                              <w:marLeft w:val="0"/>
                              <w:marRight w:val="0"/>
                              <w:marTop w:val="0"/>
                              <w:marBottom w:val="0"/>
                              <w:divBdr>
                                <w:top w:val="none" w:sz="0" w:space="0" w:color="auto"/>
                                <w:left w:val="none" w:sz="0" w:space="0" w:color="auto"/>
                                <w:bottom w:val="none" w:sz="0" w:space="0" w:color="auto"/>
                                <w:right w:val="none" w:sz="0" w:space="0" w:color="auto"/>
                              </w:divBdr>
                            </w:div>
                          </w:divsChild>
                        </w:div>
                        <w:div w:id="1877502855">
                          <w:marLeft w:val="0"/>
                          <w:marRight w:val="0"/>
                          <w:marTop w:val="0"/>
                          <w:marBottom w:val="0"/>
                          <w:divBdr>
                            <w:top w:val="none" w:sz="0" w:space="0" w:color="auto"/>
                            <w:left w:val="none" w:sz="0" w:space="0" w:color="auto"/>
                            <w:bottom w:val="none" w:sz="0" w:space="0" w:color="auto"/>
                            <w:right w:val="none" w:sz="0" w:space="0" w:color="auto"/>
                          </w:divBdr>
                          <w:divsChild>
                            <w:div w:id="23025164">
                              <w:marLeft w:val="0"/>
                              <w:marRight w:val="0"/>
                              <w:marTop w:val="0"/>
                              <w:marBottom w:val="0"/>
                              <w:divBdr>
                                <w:top w:val="none" w:sz="0" w:space="0" w:color="auto"/>
                                <w:left w:val="none" w:sz="0" w:space="0" w:color="auto"/>
                                <w:bottom w:val="none" w:sz="0" w:space="0" w:color="auto"/>
                                <w:right w:val="none" w:sz="0" w:space="0" w:color="auto"/>
                              </w:divBdr>
                            </w:div>
                            <w:div w:id="547454832">
                              <w:marLeft w:val="0"/>
                              <w:marRight w:val="0"/>
                              <w:marTop w:val="0"/>
                              <w:marBottom w:val="0"/>
                              <w:divBdr>
                                <w:top w:val="none" w:sz="0" w:space="0" w:color="auto"/>
                                <w:left w:val="none" w:sz="0" w:space="0" w:color="auto"/>
                                <w:bottom w:val="none" w:sz="0" w:space="0" w:color="auto"/>
                                <w:right w:val="none" w:sz="0" w:space="0" w:color="auto"/>
                              </w:divBdr>
                            </w:div>
                            <w:div w:id="686717614">
                              <w:marLeft w:val="0"/>
                              <w:marRight w:val="0"/>
                              <w:marTop w:val="0"/>
                              <w:marBottom w:val="0"/>
                              <w:divBdr>
                                <w:top w:val="none" w:sz="0" w:space="0" w:color="auto"/>
                                <w:left w:val="none" w:sz="0" w:space="0" w:color="auto"/>
                                <w:bottom w:val="none" w:sz="0" w:space="0" w:color="auto"/>
                                <w:right w:val="none" w:sz="0" w:space="0" w:color="auto"/>
                              </w:divBdr>
                            </w:div>
                            <w:div w:id="370764099">
                              <w:marLeft w:val="0"/>
                              <w:marRight w:val="0"/>
                              <w:marTop w:val="0"/>
                              <w:marBottom w:val="0"/>
                              <w:divBdr>
                                <w:top w:val="none" w:sz="0" w:space="0" w:color="auto"/>
                                <w:left w:val="none" w:sz="0" w:space="0" w:color="auto"/>
                                <w:bottom w:val="none" w:sz="0" w:space="0" w:color="auto"/>
                                <w:right w:val="none" w:sz="0" w:space="0" w:color="auto"/>
                              </w:divBdr>
                            </w:div>
                            <w:div w:id="1668897324">
                              <w:marLeft w:val="0"/>
                              <w:marRight w:val="0"/>
                              <w:marTop w:val="0"/>
                              <w:marBottom w:val="0"/>
                              <w:divBdr>
                                <w:top w:val="none" w:sz="0" w:space="0" w:color="auto"/>
                                <w:left w:val="none" w:sz="0" w:space="0" w:color="auto"/>
                                <w:bottom w:val="none" w:sz="0" w:space="0" w:color="auto"/>
                                <w:right w:val="none" w:sz="0" w:space="0" w:color="auto"/>
                              </w:divBdr>
                            </w:div>
                            <w:div w:id="1633829688">
                              <w:marLeft w:val="0"/>
                              <w:marRight w:val="0"/>
                              <w:marTop w:val="0"/>
                              <w:marBottom w:val="0"/>
                              <w:divBdr>
                                <w:top w:val="none" w:sz="0" w:space="0" w:color="auto"/>
                                <w:left w:val="none" w:sz="0" w:space="0" w:color="auto"/>
                                <w:bottom w:val="none" w:sz="0" w:space="0" w:color="auto"/>
                                <w:right w:val="none" w:sz="0" w:space="0" w:color="auto"/>
                              </w:divBdr>
                            </w:div>
                            <w:div w:id="1522473734">
                              <w:marLeft w:val="0"/>
                              <w:marRight w:val="0"/>
                              <w:marTop w:val="0"/>
                              <w:marBottom w:val="0"/>
                              <w:divBdr>
                                <w:top w:val="none" w:sz="0" w:space="0" w:color="auto"/>
                                <w:left w:val="none" w:sz="0" w:space="0" w:color="auto"/>
                                <w:bottom w:val="none" w:sz="0" w:space="0" w:color="auto"/>
                                <w:right w:val="none" w:sz="0" w:space="0" w:color="auto"/>
                              </w:divBdr>
                            </w:div>
                            <w:div w:id="1270815189">
                              <w:marLeft w:val="0"/>
                              <w:marRight w:val="0"/>
                              <w:marTop w:val="0"/>
                              <w:marBottom w:val="0"/>
                              <w:divBdr>
                                <w:top w:val="none" w:sz="0" w:space="0" w:color="auto"/>
                                <w:left w:val="none" w:sz="0" w:space="0" w:color="auto"/>
                                <w:bottom w:val="none" w:sz="0" w:space="0" w:color="auto"/>
                                <w:right w:val="none" w:sz="0" w:space="0" w:color="auto"/>
                              </w:divBdr>
                            </w:div>
                            <w:div w:id="121046112">
                              <w:marLeft w:val="0"/>
                              <w:marRight w:val="0"/>
                              <w:marTop w:val="0"/>
                              <w:marBottom w:val="0"/>
                              <w:divBdr>
                                <w:top w:val="none" w:sz="0" w:space="0" w:color="auto"/>
                                <w:left w:val="none" w:sz="0" w:space="0" w:color="auto"/>
                                <w:bottom w:val="none" w:sz="0" w:space="0" w:color="auto"/>
                                <w:right w:val="none" w:sz="0" w:space="0" w:color="auto"/>
                              </w:divBdr>
                            </w:div>
                            <w:div w:id="1788042282">
                              <w:marLeft w:val="0"/>
                              <w:marRight w:val="0"/>
                              <w:marTop w:val="0"/>
                              <w:marBottom w:val="0"/>
                              <w:divBdr>
                                <w:top w:val="none" w:sz="0" w:space="0" w:color="auto"/>
                                <w:left w:val="none" w:sz="0" w:space="0" w:color="auto"/>
                                <w:bottom w:val="none" w:sz="0" w:space="0" w:color="auto"/>
                                <w:right w:val="none" w:sz="0" w:space="0" w:color="auto"/>
                              </w:divBdr>
                            </w:div>
                            <w:div w:id="1693845457">
                              <w:marLeft w:val="0"/>
                              <w:marRight w:val="0"/>
                              <w:marTop w:val="0"/>
                              <w:marBottom w:val="0"/>
                              <w:divBdr>
                                <w:top w:val="none" w:sz="0" w:space="0" w:color="auto"/>
                                <w:left w:val="none" w:sz="0" w:space="0" w:color="auto"/>
                                <w:bottom w:val="none" w:sz="0" w:space="0" w:color="auto"/>
                                <w:right w:val="none" w:sz="0" w:space="0" w:color="auto"/>
                              </w:divBdr>
                            </w:div>
                          </w:divsChild>
                        </w:div>
                        <w:div w:id="1998459655">
                          <w:marLeft w:val="0"/>
                          <w:marRight w:val="0"/>
                          <w:marTop w:val="0"/>
                          <w:marBottom w:val="0"/>
                          <w:divBdr>
                            <w:top w:val="none" w:sz="0" w:space="0" w:color="auto"/>
                            <w:left w:val="none" w:sz="0" w:space="0" w:color="auto"/>
                            <w:bottom w:val="none" w:sz="0" w:space="0" w:color="auto"/>
                            <w:right w:val="none" w:sz="0" w:space="0" w:color="auto"/>
                          </w:divBdr>
                          <w:divsChild>
                            <w:div w:id="1258101485">
                              <w:marLeft w:val="0"/>
                              <w:marRight w:val="0"/>
                              <w:marTop w:val="0"/>
                              <w:marBottom w:val="0"/>
                              <w:divBdr>
                                <w:top w:val="none" w:sz="0" w:space="0" w:color="auto"/>
                                <w:left w:val="none" w:sz="0" w:space="0" w:color="auto"/>
                                <w:bottom w:val="none" w:sz="0" w:space="0" w:color="auto"/>
                                <w:right w:val="none" w:sz="0" w:space="0" w:color="auto"/>
                              </w:divBdr>
                            </w:div>
                          </w:divsChild>
                        </w:div>
                        <w:div w:id="1774861376">
                          <w:marLeft w:val="0"/>
                          <w:marRight w:val="0"/>
                          <w:marTop w:val="0"/>
                          <w:marBottom w:val="0"/>
                          <w:divBdr>
                            <w:top w:val="none" w:sz="0" w:space="0" w:color="auto"/>
                            <w:left w:val="none" w:sz="0" w:space="0" w:color="auto"/>
                            <w:bottom w:val="none" w:sz="0" w:space="0" w:color="auto"/>
                            <w:right w:val="none" w:sz="0" w:space="0" w:color="auto"/>
                          </w:divBdr>
                          <w:divsChild>
                            <w:div w:id="1895307458">
                              <w:marLeft w:val="0"/>
                              <w:marRight w:val="0"/>
                              <w:marTop w:val="0"/>
                              <w:marBottom w:val="0"/>
                              <w:divBdr>
                                <w:top w:val="none" w:sz="0" w:space="0" w:color="auto"/>
                                <w:left w:val="none" w:sz="0" w:space="0" w:color="auto"/>
                                <w:bottom w:val="none" w:sz="0" w:space="0" w:color="auto"/>
                                <w:right w:val="none" w:sz="0" w:space="0" w:color="auto"/>
                              </w:divBdr>
                            </w:div>
                            <w:div w:id="1676957894">
                              <w:marLeft w:val="0"/>
                              <w:marRight w:val="0"/>
                              <w:marTop w:val="0"/>
                              <w:marBottom w:val="0"/>
                              <w:divBdr>
                                <w:top w:val="none" w:sz="0" w:space="0" w:color="auto"/>
                                <w:left w:val="none" w:sz="0" w:space="0" w:color="auto"/>
                                <w:bottom w:val="none" w:sz="0" w:space="0" w:color="auto"/>
                                <w:right w:val="none" w:sz="0" w:space="0" w:color="auto"/>
                              </w:divBdr>
                            </w:div>
                            <w:div w:id="1221208737">
                              <w:marLeft w:val="0"/>
                              <w:marRight w:val="0"/>
                              <w:marTop w:val="0"/>
                              <w:marBottom w:val="0"/>
                              <w:divBdr>
                                <w:top w:val="none" w:sz="0" w:space="0" w:color="auto"/>
                                <w:left w:val="none" w:sz="0" w:space="0" w:color="auto"/>
                                <w:bottom w:val="none" w:sz="0" w:space="0" w:color="auto"/>
                                <w:right w:val="none" w:sz="0" w:space="0" w:color="auto"/>
                              </w:divBdr>
                            </w:div>
                            <w:div w:id="1687977864">
                              <w:marLeft w:val="0"/>
                              <w:marRight w:val="0"/>
                              <w:marTop w:val="0"/>
                              <w:marBottom w:val="0"/>
                              <w:divBdr>
                                <w:top w:val="none" w:sz="0" w:space="0" w:color="auto"/>
                                <w:left w:val="none" w:sz="0" w:space="0" w:color="auto"/>
                                <w:bottom w:val="none" w:sz="0" w:space="0" w:color="auto"/>
                                <w:right w:val="none" w:sz="0" w:space="0" w:color="auto"/>
                              </w:divBdr>
                            </w:div>
                            <w:div w:id="21712789">
                              <w:marLeft w:val="0"/>
                              <w:marRight w:val="0"/>
                              <w:marTop w:val="0"/>
                              <w:marBottom w:val="0"/>
                              <w:divBdr>
                                <w:top w:val="none" w:sz="0" w:space="0" w:color="auto"/>
                                <w:left w:val="none" w:sz="0" w:space="0" w:color="auto"/>
                                <w:bottom w:val="none" w:sz="0" w:space="0" w:color="auto"/>
                                <w:right w:val="none" w:sz="0" w:space="0" w:color="auto"/>
                              </w:divBdr>
                            </w:div>
                            <w:div w:id="967248359">
                              <w:marLeft w:val="0"/>
                              <w:marRight w:val="0"/>
                              <w:marTop w:val="0"/>
                              <w:marBottom w:val="0"/>
                              <w:divBdr>
                                <w:top w:val="none" w:sz="0" w:space="0" w:color="auto"/>
                                <w:left w:val="none" w:sz="0" w:space="0" w:color="auto"/>
                                <w:bottom w:val="none" w:sz="0" w:space="0" w:color="auto"/>
                                <w:right w:val="none" w:sz="0" w:space="0" w:color="auto"/>
                              </w:divBdr>
                            </w:div>
                          </w:divsChild>
                        </w:div>
                        <w:div w:id="5136155">
                          <w:marLeft w:val="0"/>
                          <w:marRight w:val="0"/>
                          <w:marTop w:val="0"/>
                          <w:marBottom w:val="0"/>
                          <w:divBdr>
                            <w:top w:val="none" w:sz="0" w:space="0" w:color="auto"/>
                            <w:left w:val="none" w:sz="0" w:space="0" w:color="auto"/>
                            <w:bottom w:val="none" w:sz="0" w:space="0" w:color="auto"/>
                            <w:right w:val="none" w:sz="0" w:space="0" w:color="auto"/>
                          </w:divBdr>
                          <w:divsChild>
                            <w:div w:id="221448421">
                              <w:marLeft w:val="0"/>
                              <w:marRight w:val="0"/>
                              <w:marTop w:val="0"/>
                              <w:marBottom w:val="0"/>
                              <w:divBdr>
                                <w:top w:val="none" w:sz="0" w:space="0" w:color="auto"/>
                                <w:left w:val="none" w:sz="0" w:space="0" w:color="auto"/>
                                <w:bottom w:val="none" w:sz="0" w:space="0" w:color="auto"/>
                                <w:right w:val="none" w:sz="0" w:space="0" w:color="auto"/>
                              </w:divBdr>
                            </w:div>
                            <w:div w:id="1048189115">
                              <w:marLeft w:val="0"/>
                              <w:marRight w:val="0"/>
                              <w:marTop w:val="0"/>
                              <w:marBottom w:val="0"/>
                              <w:divBdr>
                                <w:top w:val="none" w:sz="0" w:space="0" w:color="auto"/>
                                <w:left w:val="none" w:sz="0" w:space="0" w:color="auto"/>
                                <w:bottom w:val="none" w:sz="0" w:space="0" w:color="auto"/>
                                <w:right w:val="none" w:sz="0" w:space="0" w:color="auto"/>
                              </w:divBdr>
                            </w:div>
                            <w:div w:id="1478692239">
                              <w:marLeft w:val="0"/>
                              <w:marRight w:val="0"/>
                              <w:marTop w:val="0"/>
                              <w:marBottom w:val="0"/>
                              <w:divBdr>
                                <w:top w:val="none" w:sz="0" w:space="0" w:color="auto"/>
                                <w:left w:val="none" w:sz="0" w:space="0" w:color="auto"/>
                                <w:bottom w:val="none" w:sz="0" w:space="0" w:color="auto"/>
                                <w:right w:val="none" w:sz="0" w:space="0" w:color="auto"/>
                              </w:divBdr>
                            </w:div>
                            <w:div w:id="762150285">
                              <w:marLeft w:val="0"/>
                              <w:marRight w:val="0"/>
                              <w:marTop w:val="0"/>
                              <w:marBottom w:val="0"/>
                              <w:divBdr>
                                <w:top w:val="none" w:sz="0" w:space="0" w:color="auto"/>
                                <w:left w:val="none" w:sz="0" w:space="0" w:color="auto"/>
                                <w:bottom w:val="none" w:sz="0" w:space="0" w:color="auto"/>
                                <w:right w:val="none" w:sz="0" w:space="0" w:color="auto"/>
                              </w:divBdr>
                            </w:div>
                            <w:div w:id="1169102030">
                              <w:marLeft w:val="0"/>
                              <w:marRight w:val="0"/>
                              <w:marTop w:val="0"/>
                              <w:marBottom w:val="0"/>
                              <w:divBdr>
                                <w:top w:val="none" w:sz="0" w:space="0" w:color="auto"/>
                                <w:left w:val="none" w:sz="0" w:space="0" w:color="auto"/>
                                <w:bottom w:val="none" w:sz="0" w:space="0" w:color="auto"/>
                                <w:right w:val="none" w:sz="0" w:space="0" w:color="auto"/>
                              </w:divBdr>
                            </w:div>
                            <w:div w:id="656885515">
                              <w:marLeft w:val="0"/>
                              <w:marRight w:val="0"/>
                              <w:marTop w:val="0"/>
                              <w:marBottom w:val="0"/>
                              <w:divBdr>
                                <w:top w:val="none" w:sz="0" w:space="0" w:color="auto"/>
                                <w:left w:val="none" w:sz="0" w:space="0" w:color="auto"/>
                                <w:bottom w:val="none" w:sz="0" w:space="0" w:color="auto"/>
                                <w:right w:val="none" w:sz="0" w:space="0" w:color="auto"/>
                              </w:divBdr>
                            </w:div>
                          </w:divsChild>
                        </w:div>
                        <w:div w:id="704795322">
                          <w:marLeft w:val="0"/>
                          <w:marRight w:val="0"/>
                          <w:marTop w:val="0"/>
                          <w:marBottom w:val="0"/>
                          <w:divBdr>
                            <w:top w:val="none" w:sz="0" w:space="0" w:color="auto"/>
                            <w:left w:val="none" w:sz="0" w:space="0" w:color="auto"/>
                            <w:bottom w:val="none" w:sz="0" w:space="0" w:color="auto"/>
                            <w:right w:val="none" w:sz="0" w:space="0" w:color="auto"/>
                          </w:divBdr>
                          <w:divsChild>
                            <w:div w:id="987124460">
                              <w:marLeft w:val="0"/>
                              <w:marRight w:val="0"/>
                              <w:marTop w:val="0"/>
                              <w:marBottom w:val="0"/>
                              <w:divBdr>
                                <w:top w:val="none" w:sz="0" w:space="0" w:color="auto"/>
                                <w:left w:val="none" w:sz="0" w:space="0" w:color="auto"/>
                                <w:bottom w:val="none" w:sz="0" w:space="0" w:color="auto"/>
                                <w:right w:val="none" w:sz="0" w:space="0" w:color="auto"/>
                              </w:divBdr>
                            </w:div>
                            <w:div w:id="2043940504">
                              <w:marLeft w:val="0"/>
                              <w:marRight w:val="0"/>
                              <w:marTop w:val="0"/>
                              <w:marBottom w:val="0"/>
                              <w:divBdr>
                                <w:top w:val="none" w:sz="0" w:space="0" w:color="auto"/>
                                <w:left w:val="none" w:sz="0" w:space="0" w:color="auto"/>
                                <w:bottom w:val="none" w:sz="0" w:space="0" w:color="auto"/>
                                <w:right w:val="none" w:sz="0" w:space="0" w:color="auto"/>
                              </w:divBdr>
                            </w:div>
                            <w:div w:id="1465079207">
                              <w:marLeft w:val="0"/>
                              <w:marRight w:val="0"/>
                              <w:marTop w:val="0"/>
                              <w:marBottom w:val="0"/>
                              <w:divBdr>
                                <w:top w:val="none" w:sz="0" w:space="0" w:color="auto"/>
                                <w:left w:val="none" w:sz="0" w:space="0" w:color="auto"/>
                                <w:bottom w:val="none" w:sz="0" w:space="0" w:color="auto"/>
                                <w:right w:val="none" w:sz="0" w:space="0" w:color="auto"/>
                              </w:divBdr>
                            </w:div>
                            <w:div w:id="381905825">
                              <w:marLeft w:val="0"/>
                              <w:marRight w:val="0"/>
                              <w:marTop w:val="0"/>
                              <w:marBottom w:val="0"/>
                              <w:divBdr>
                                <w:top w:val="none" w:sz="0" w:space="0" w:color="auto"/>
                                <w:left w:val="none" w:sz="0" w:space="0" w:color="auto"/>
                                <w:bottom w:val="none" w:sz="0" w:space="0" w:color="auto"/>
                                <w:right w:val="none" w:sz="0" w:space="0" w:color="auto"/>
                              </w:divBdr>
                            </w:div>
                            <w:div w:id="524296974">
                              <w:marLeft w:val="0"/>
                              <w:marRight w:val="0"/>
                              <w:marTop w:val="0"/>
                              <w:marBottom w:val="0"/>
                              <w:divBdr>
                                <w:top w:val="none" w:sz="0" w:space="0" w:color="auto"/>
                                <w:left w:val="none" w:sz="0" w:space="0" w:color="auto"/>
                                <w:bottom w:val="none" w:sz="0" w:space="0" w:color="auto"/>
                                <w:right w:val="none" w:sz="0" w:space="0" w:color="auto"/>
                              </w:divBdr>
                            </w:div>
                            <w:div w:id="512839747">
                              <w:marLeft w:val="0"/>
                              <w:marRight w:val="0"/>
                              <w:marTop w:val="0"/>
                              <w:marBottom w:val="0"/>
                              <w:divBdr>
                                <w:top w:val="none" w:sz="0" w:space="0" w:color="auto"/>
                                <w:left w:val="none" w:sz="0" w:space="0" w:color="auto"/>
                                <w:bottom w:val="none" w:sz="0" w:space="0" w:color="auto"/>
                                <w:right w:val="none" w:sz="0" w:space="0" w:color="auto"/>
                              </w:divBdr>
                            </w:div>
                          </w:divsChild>
                        </w:div>
                        <w:div w:id="18623516">
                          <w:marLeft w:val="0"/>
                          <w:marRight w:val="0"/>
                          <w:marTop w:val="0"/>
                          <w:marBottom w:val="0"/>
                          <w:divBdr>
                            <w:top w:val="none" w:sz="0" w:space="0" w:color="auto"/>
                            <w:left w:val="none" w:sz="0" w:space="0" w:color="auto"/>
                            <w:bottom w:val="none" w:sz="0" w:space="0" w:color="auto"/>
                            <w:right w:val="none" w:sz="0" w:space="0" w:color="auto"/>
                          </w:divBdr>
                          <w:divsChild>
                            <w:div w:id="1438140376">
                              <w:marLeft w:val="0"/>
                              <w:marRight w:val="0"/>
                              <w:marTop w:val="0"/>
                              <w:marBottom w:val="0"/>
                              <w:divBdr>
                                <w:top w:val="none" w:sz="0" w:space="0" w:color="auto"/>
                                <w:left w:val="none" w:sz="0" w:space="0" w:color="auto"/>
                                <w:bottom w:val="none" w:sz="0" w:space="0" w:color="auto"/>
                                <w:right w:val="none" w:sz="0" w:space="0" w:color="auto"/>
                              </w:divBdr>
                            </w:div>
                            <w:div w:id="606158538">
                              <w:marLeft w:val="0"/>
                              <w:marRight w:val="0"/>
                              <w:marTop w:val="0"/>
                              <w:marBottom w:val="0"/>
                              <w:divBdr>
                                <w:top w:val="none" w:sz="0" w:space="0" w:color="auto"/>
                                <w:left w:val="none" w:sz="0" w:space="0" w:color="auto"/>
                                <w:bottom w:val="none" w:sz="0" w:space="0" w:color="auto"/>
                                <w:right w:val="none" w:sz="0" w:space="0" w:color="auto"/>
                              </w:divBdr>
                            </w:div>
                            <w:div w:id="1586303910">
                              <w:marLeft w:val="0"/>
                              <w:marRight w:val="0"/>
                              <w:marTop w:val="0"/>
                              <w:marBottom w:val="0"/>
                              <w:divBdr>
                                <w:top w:val="none" w:sz="0" w:space="0" w:color="auto"/>
                                <w:left w:val="none" w:sz="0" w:space="0" w:color="auto"/>
                                <w:bottom w:val="none" w:sz="0" w:space="0" w:color="auto"/>
                                <w:right w:val="none" w:sz="0" w:space="0" w:color="auto"/>
                              </w:divBdr>
                            </w:div>
                            <w:div w:id="1376616123">
                              <w:marLeft w:val="0"/>
                              <w:marRight w:val="0"/>
                              <w:marTop w:val="0"/>
                              <w:marBottom w:val="0"/>
                              <w:divBdr>
                                <w:top w:val="none" w:sz="0" w:space="0" w:color="auto"/>
                                <w:left w:val="none" w:sz="0" w:space="0" w:color="auto"/>
                                <w:bottom w:val="none" w:sz="0" w:space="0" w:color="auto"/>
                                <w:right w:val="none" w:sz="0" w:space="0" w:color="auto"/>
                              </w:divBdr>
                            </w:div>
                            <w:div w:id="1753235283">
                              <w:marLeft w:val="0"/>
                              <w:marRight w:val="0"/>
                              <w:marTop w:val="0"/>
                              <w:marBottom w:val="0"/>
                              <w:divBdr>
                                <w:top w:val="none" w:sz="0" w:space="0" w:color="auto"/>
                                <w:left w:val="none" w:sz="0" w:space="0" w:color="auto"/>
                                <w:bottom w:val="none" w:sz="0" w:space="0" w:color="auto"/>
                                <w:right w:val="none" w:sz="0" w:space="0" w:color="auto"/>
                              </w:divBdr>
                            </w:div>
                          </w:divsChild>
                        </w:div>
                        <w:div w:id="535237282">
                          <w:marLeft w:val="0"/>
                          <w:marRight w:val="0"/>
                          <w:marTop w:val="0"/>
                          <w:marBottom w:val="0"/>
                          <w:divBdr>
                            <w:top w:val="none" w:sz="0" w:space="0" w:color="auto"/>
                            <w:left w:val="none" w:sz="0" w:space="0" w:color="auto"/>
                            <w:bottom w:val="none" w:sz="0" w:space="0" w:color="auto"/>
                            <w:right w:val="none" w:sz="0" w:space="0" w:color="auto"/>
                          </w:divBdr>
                          <w:divsChild>
                            <w:div w:id="11226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903191">
                      <w:marLeft w:val="0"/>
                      <w:marRight w:val="0"/>
                      <w:marTop w:val="0"/>
                      <w:marBottom w:val="0"/>
                      <w:divBdr>
                        <w:top w:val="none" w:sz="0" w:space="0" w:color="auto"/>
                        <w:left w:val="none" w:sz="0" w:space="0" w:color="auto"/>
                        <w:bottom w:val="none" w:sz="0" w:space="0" w:color="auto"/>
                        <w:right w:val="none" w:sz="0" w:space="0" w:color="auto"/>
                      </w:divBdr>
                      <w:divsChild>
                        <w:div w:id="1753045016">
                          <w:marLeft w:val="0"/>
                          <w:marRight w:val="0"/>
                          <w:marTop w:val="0"/>
                          <w:marBottom w:val="0"/>
                          <w:divBdr>
                            <w:top w:val="none" w:sz="0" w:space="0" w:color="auto"/>
                            <w:left w:val="none" w:sz="0" w:space="0" w:color="auto"/>
                            <w:bottom w:val="none" w:sz="0" w:space="0" w:color="auto"/>
                            <w:right w:val="none" w:sz="0" w:space="0" w:color="auto"/>
                          </w:divBdr>
                        </w:div>
                        <w:div w:id="1012344349">
                          <w:marLeft w:val="0"/>
                          <w:marRight w:val="0"/>
                          <w:marTop w:val="0"/>
                          <w:marBottom w:val="0"/>
                          <w:divBdr>
                            <w:top w:val="none" w:sz="0" w:space="0" w:color="auto"/>
                            <w:left w:val="none" w:sz="0" w:space="0" w:color="auto"/>
                            <w:bottom w:val="none" w:sz="0" w:space="0" w:color="auto"/>
                            <w:right w:val="none" w:sz="0" w:space="0" w:color="auto"/>
                          </w:divBdr>
                          <w:divsChild>
                            <w:div w:id="959386052">
                              <w:marLeft w:val="0"/>
                              <w:marRight w:val="0"/>
                              <w:marTop w:val="0"/>
                              <w:marBottom w:val="0"/>
                              <w:divBdr>
                                <w:top w:val="none" w:sz="0" w:space="0" w:color="auto"/>
                                <w:left w:val="none" w:sz="0" w:space="0" w:color="auto"/>
                                <w:bottom w:val="none" w:sz="0" w:space="0" w:color="auto"/>
                                <w:right w:val="none" w:sz="0" w:space="0" w:color="auto"/>
                              </w:divBdr>
                            </w:div>
                            <w:div w:id="890076766">
                              <w:marLeft w:val="0"/>
                              <w:marRight w:val="0"/>
                              <w:marTop w:val="0"/>
                              <w:marBottom w:val="0"/>
                              <w:divBdr>
                                <w:top w:val="none" w:sz="0" w:space="0" w:color="auto"/>
                                <w:left w:val="none" w:sz="0" w:space="0" w:color="auto"/>
                                <w:bottom w:val="none" w:sz="0" w:space="0" w:color="auto"/>
                                <w:right w:val="none" w:sz="0" w:space="0" w:color="auto"/>
                              </w:divBdr>
                            </w:div>
                            <w:div w:id="356974783">
                              <w:marLeft w:val="0"/>
                              <w:marRight w:val="0"/>
                              <w:marTop w:val="0"/>
                              <w:marBottom w:val="0"/>
                              <w:divBdr>
                                <w:top w:val="none" w:sz="0" w:space="0" w:color="auto"/>
                                <w:left w:val="none" w:sz="0" w:space="0" w:color="auto"/>
                                <w:bottom w:val="none" w:sz="0" w:space="0" w:color="auto"/>
                                <w:right w:val="none" w:sz="0" w:space="0" w:color="auto"/>
                              </w:divBdr>
                            </w:div>
                            <w:div w:id="477767780">
                              <w:marLeft w:val="0"/>
                              <w:marRight w:val="0"/>
                              <w:marTop w:val="0"/>
                              <w:marBottom w:val="0"/>
                              <w:divBdr>
                                <w:top w:val="none" w:sz="0" w:space="0" w:color="auto"/>
                                <w:left w:val="none" w:sz="0" w:space="0" w:color="auto"/>
                                <w:bottom w:val="none" w:sz="0" w:space="0" w:color="auto"/>
                                <w:right w:val="none" w:sz="0" w:space="0" w:color="auto"/>
                              </w:divBdr>
                            </w:div>
                            <w:div w:id="684940752">
                              <w:marLeft w:val="0"/>
                              <w:marRight w:val="0"/>
                              <w:marTop w:val="0"/>
                              <w:marBottom w:val="0"/>
                              <w:divBdr>
                                <w:top w:val="none" w:sz="0" w:space="0" w:color="auto"/>
                                <w:left w:val="none" w:sz="0" w:space="0" w:color="auto"/>
                                <w:bottom w:val="none" w:sz="0" w:space="0" w:color="auto"/>
                                <w:right w:val="none" w:sz="0" w:space="0" w:color="auto"/>
                              </w:divBdr>
                            </w:div>
                            <w:div w:id="473647232">
                              <w:marLeft w:val="0"/>
                              <w:marRight w:val="0"/>
                              <w:marTop w:val="0"/>
                              <w:marBottom w:val="0"/>
                              <w:divBdr>
                                <w:top w:val="none" w:sz="0" w:space="0" w:color="auto"/>
                                <w:left w:val="none" w:sz="0" w:space="0" w:color="auto"/>
                                <w:bottom w:val="none" w:sz="0" w:space="0" w:color="auto"/>
                                <w:right w:val="none" w:sz="0" w:space="0" w:color="auto"/>
                              </w:divBdr>
                            </w:div>
                            <w:div w:id="43986717">
                              <w:marLeft w:val="0"/>
                              <w:marRight w:val="0"/>
                              <w:marTop w:val="0"/>
                              <w:marBottom w:val="0"/>
                              <w:divBdr>
                                <w:top w:val="none" w:sz="0" w:space="0" w:color="auto"/>
                                <w:left w:val="none" w:sz="0" w:space="0" w:color="auto"/>
                                <w:bottom w:val="none" w:sz="0" w:space="0" w:color="auto"/>
                                <w:right w:val="none" w:sz="0" w:space="0" w:color="auto"/>
                              </w:divBdr>
                            </w:div>
                            <w:div w:id="97528447">
                              <w:marLeft w:val="0"/>
                              <w:marRight w:val="0"/>
                              <w:marTop w:val="0"/>
                              <w:marBottom w:val="0"/>
                              <w:divBdr>
                                <w:top w:val="none" w:sz="0" w:space="0" w:color="auto"/>
                                <w:left w:val="none" w:sz="0" w:space="0" w:color="auto"/>
                                <w:bottom w:val="none" w:sz="0" w:space="0" w:color="auto"/>
                                <w:right w:val="none" w:sz="0" w:space="0" w:color="auto"/>
                              </w:divBdr>
                            </w:div>
                            <w:div w:id="1440370973">
                              <w:marLeft w:val="0"/>
                              <w:marRight w:val="0"/>
                              <w:marTop w:val="0"/>
                              <w:marBottom w:val="0"/>
                              <w:divBdr>
                                <w:top w:val="none" w:sz="0" w:space="0" w:color="auto"/>
                                <w:left w:val="none" w:sz="0" w:space="0" w:color="auto"/>
                                <w:bottom w:val="none" w:sz="0" w:space="0" w:color="auto"/>
                                <w:right w:val="none" w:sz="0" w:space="0" w:color="auto"/>
                              </w:divBdr>
                            </w:div>
                            <w:div w:id="1531458271">
                              <w:marLeft w:val="0"/>
                              <w:marRight w:val="0"/>
                              <w:marTop w:val="0"/>
                              <w:marBottom w:val="0"/>
                              <w:divBdr>
                                <w:top w:val="none" w:sz="0" w:space="0" w:color="auto"/>
                                <w:left w:val="none" w:sz="0" w:space="0" w:color="auto"/>
                                <w:bottom w:val="none" w:sz="0" w:space="0" w:color="auto"/>
                                <w:right w:val="none" w:sz="0" w:space="0" w:color="auto"/>
                              </w:divBdr>
                            </w:div>
                          </w:divsChild>
                        </w:div>
                        <w:div w:id="1645163001">
                          <w:marLeft w:val="0"/>
                          <w:marRight w:val="0"/>
                          <w:marTop w:val="0"/>
                          <w:marBottom w:val="0"/>
                          <w:divBdr>
                            <w:top w:val="none" w:sz="0" w:space="0" w:color="auto"/>
                            <w:left w:val="none" w:sz="0" w:space="0" w:color="auto"/>
                            <w:bottom w:val="none" w:sz="0" w:space="0" w:color="auto"/>
                            <w:right w:val="none" w:sz="0" w:space="0" w:color="auto"/>
                          </w:divBdr>
                          <w:divsChild>
                            <w:div w:id="958417800">
                              <w:marLeft w:val="0"/>
                              <w:marRight w:val="0"/>
                              <w:marTop w:val="0"/>
                              <w:marBottom w:val="0"/>
                              <w:divBdr>
                                <w:top w:val="none" w:sz="0" w:space="0" w:color="auto"/>
                                <w:left w:val="none" w:sz="0" w:space="0" w:color="auto"/>
                                <w:bottom w:val="none" w:sz="0" w:space="0" w:color="auto"/>
                                <w:right w:val="none" w:sz="0" w:space="0" w:color="auto"/>
                              </w:divBdr>
                            </w:div>
                            <w:div w:id="1798446235">
                              <w:marLeft w:val="0"/>
                              <w:marRight w:val="0"/>
                              <w:marTop w:val="0"/>
                              <w:marBottom w:val="0"/>
                              <w:divBdr>
                                <w:top w:val="none" w:sz="0" w:space="0" w:color="auto"/>
                                <w:left w:val="none" w:sz="0" w:space="0" w:color="auto"/>
                                <w:bottom w:val="none" w:sz="0" w:space="0" w:color="auto"/>
                                <w:right w:val="none" w:sz="0" w:space="0" w:color="auto"/>
                              </w:divBdr>
                            </w:div>
                            <w:div w:id="2003465346">
                              <w:marLeft w:val="0"/>
                              <w:marRight w:val="0"/>
                              <w:marTop w:val="0"/>
                              <w:marBottom w:val="0"/>
                              <w:divBdr>
                                <w:top w:val="none" w:sz="0" w:space="0" w:color="auto"/>
                                <w:left w:val="none" w:sz="0" w:space="0" w:color="auto"/>
                                <w:bottom w:val="none" w:sz="0" w:space="0" w:color="auto"/>
                                <w:right w:val="none" w:sz="0" w:space="0" w:color="auto"/>
                              </w:divBdr>
                            </w:div>
                            <w:div w:id="1170635109">
                              <w:marLeft w:val="0"/>
                              <w:marRight w:val="0"/>
                              <w:marTop w:val="0"/>
                              <w:marBottom w:val="0"/>
                              <w:divBdr>
                                <w:top w:val="none" w:sz="0" w:space="0" w:color="auto"/>
                                <w:left w:val="none" w:sz="0" w:space="0" w:color="auto"/>
                                <w:bottom w:val="none" w:sz="0" w:space="0" w:color="auto"/>
                                <w:right w:val="none" w:sz="0" w:space="0" w:color="auto"/>
                              </w:divBdr>
                            </w:div>
                            <w:div w:id="854920424">
                              <w:marLeft w:val="0"/>
                              <w:marRight w:val="0"/>
                              <w:marTop w:val="0"/>
                              <w:marBottom w:val="0"/>
                              <w:divBdr>
                                <w:top w:val="none" w:sz="0" w:space="0" w:color="auto"/>
                                <w:left w:val="none" w:sz="0" w:space="0" w:color="auto"/>
                                <w:bottom w:val="none" w:sz="0" w:space="0" w:color="auto"/>
                                <w:right w:val="none" w:sz="0" w:space="0" w:color="auto"/>
                              </w:divBdr>
                            </w:div>
                            <w:div w:id="706180005">
                              <w:marLeft w:val="0"/>
                              <w:marRight w:val="0"/>
                              <w:marTop w:val="0"/>
                              <w:marBottom w:val="0"/>
                              <w:divBdr>
                                <w:top w:val="none" w:sz="0" w:space="0" w:color="auto"/>
                                <w:left w:val="none" w:sz="0" w:space="0" w:color="auto"/>
                                <w:bottom w:val="none" w:sz="0" w:space="0" w:color="auto"/>
                                <w:right w:val="none" w:sz="0" w:space="0" w:color="auto"/>
                              </w:divBdr>
                            </w:div>
                            <w:div w:id="888416723">
                              <w:marLeft w:val="0"/>
                              <w:marRight w:val="0"/>
                              <w:marTop w:val="0"/>
                              <w:marBottom w:val="0"/>
                              <w:divBdr>
                                <w:top w:val="none" w:sz="0" w:space="0" w:color="auto"/>
                                <w:left w:val="none" w:sz="0" w:space="0" w:color="auto"/>
                                <w:bottom w:val="none" w:sz="0" w:space="0" w:color="auto"/>
                                <w:right w:val="none" w:sz="0" w:space="0" w:color="auto"/>
                              </w:divBdr>
                            </w:div>
                            <w:div w:id="510342769">
                              <w:marLeft w:val="0"/>
                              <w:marRight w:val="0"/>
                              <w:marTop w:val="0"/>
                              <w:marBottom w:val="0"/>
                              <w:divBdr>
                                <w:top w:val="none" w:sz="0" w:space="0" w:color="auto"/>
                                <w:left w:val="none" w:sz="0" w:space="0" w:color="auto"/>
                                <w:bottom w:val="none" w:sz="0" w:space="0" w:color="auto"/>
                                <w:right w:val="none" w:sz="0" w:space="0" w:color="auto"/>
                              </w:divBdr>
                            </w:div>
                            <w:div w:id="902645621">
                              <w:marLeft w:val="0"/>
                              <w:marRight w:val="0"/>
                              <w:marTop w:val="0"/>
                              <w:marBottom w:val="0"/>
                              <w:divBdr>
                                <w:top w:val="none" w:sz="0" w:space="0" w:color="auto"/>
                                <w:left w:val="none" w:sz="0" w:space="0" w:color="auto"/>
                                <w:bottom w:val="none" w:sz="0" w:space="0" w:color="auto"/>
                                <w:right w:val="none" w:sz="0" w:space="0" w:color="auto"/>
                              </w:divBdr>
                            </w:div>
                            <w:div w:id="2099717923">
                              <w:marLeft w:val="0"/>
                              <w:marRight w:val="0"/>
                              <w:marTop w:val="0"/>
                              <w:marBottom w:val="0"/>
                              <w:divBdr>
                                <w:top w:val="none" w:sz="0" w:space="0" w:color="auto"/>
                                <w:left w:val="none" w:sz="0" w:space="0" w:color="auto"/>
                                <w:bottom w:val="none" w:sz="0" w:space="0" w:color="auto"/>
                                <w:right w:val="none" w:sz="0" w:space="0" w:color="auto"/>
                              </w:divBdr>
                            </w:div>
                            <w:div w:id="126748046">
                              <w:marLeft w:val="0"/>
                              <w:marRight w:val="0"/>
                              <w:marTop w:val="0"/>
                              <w:marBottom w:val="0"/>
                              <w:divBdr>
                                <w:top w:val="none" w:sz="0" w:space="0" w:color="auto"/>
                                <w:left w:val="none" w:sz="0" w:space="0" w:color="auto"/>
                                <w:bottom w:val="none" w:sz="0" w:space="0" w:color="auto"/>
                                <w:right w:val="none" w:sz="0" w:space="0" w:color="auto"/>
                              </w:divBdr>
                            </w:div>
                            <w:div w:id="657851670">
                              <w:marLeft w:val="0"/>
                              <w:marRight w:val="0"/>
                              <w:marTop w:val="0"/>
                              <w:marBottom w:val="0"/>
                              <w:divBdr>
                                <w:top w:val="none" w:sz="0" w:space="0" w:color="auto"/>
                                <w:left w:val="none" w:sz="0" w:space="0" w:color="auto"/>
                                <w:bottom w:val="none" w:sz="0" w:space="0" w:color="auto"/>
                                <w:right w:val="none" w:sz="0" w:space="0" w:color="auto"/>
                              </w:divBdr>
                            </w:div>
                            <w:div w:id="605961209">
                              <w:marLeft w:val="0"/>
                              <w:marRight w:val="0"/>
                              <w:marTop w:val="0"/>
                              <w:marBottom w:val="0"/>
                              <w:divBdr>
                                <w:top w:val="none" w:sz="0" w:space="0" w:color="auto"/>
                                <w:left w:val="none" w:sz="0" w:space="0" w:color="auto"/>
                                <w:bottom w:val="none" w:sz="0" w:space="0" w:color="auto"/>
                                <w:right w:val="none" w:sz="0" w:space="0" w:color="auto"/>
                              </w:divBdr>
                            </w:div>
                            <w:div w:id="1701202881">
                              <w:marLeft w:val="0"/>
                              <w:marRight w:val="0"/>
                              <w:marTop w:val="0"/>
                              <w:marBottom w:val="0"/>
                              <w:divBdr>
                                <w:top w:val="none" w:sz="0" w:space="0" w:color="auto"/>
                                <w:left w:val="none" w:sz="0" w:space="0" w:color="auto"/>
                                <w:bottom w:val="none" w:sz="0" w:space="0" w:color="auto"/>
                                <w:right w:val="none" w:sz="0" w:space="0" w:color="auto"/>
                              </w:divBdr>
                            </w:div>
                            <w:div w:id="1067261034">
                              <w:marLeft w:val="0"/>
                              <w:marRight w:val="0"/>
                              <w:marTop w:val="0"/>
                              <w:marBottom w:val="0"/>
                              <w:divBdr>
                                <w:top w:val="none" w:sz="0" w:space="0" w:color="auto"/>
                                <w:left w:val="none" w:sz="0" w:space="0" w:color="auto"/>
                                <w:bottom w:val="none" w:sz="0" w:space="0" w:color="auto"/>
                                <w:right w:val="none" w:sz="0" w:space="0" w:color="auto"/>
                              </w:divBdr>
                            </w:div>
                            <w:div w:id="412436499">
                              <w:marLeft w:val="0"/>
                              <w:marRight w:val="0"/>
                              <w:marTop w:val="0"/>
                              <w:marBottom w:val="0"/>
                              <w:divBdr>
                                <w:top w:val="none" w:sz="0" w:space="0" w:color="auto"/>
                                <w:left w:val="none" w:sz="0" w:space="0" w:color="auto"/>
                                <w:bottom w:val="none" w:sz="0" w:space="0" w:color="auto"/>
                                <w:right w:val="none" w:sz="0" w:space="0" w:color="auto"/>
                              </w:divBdr>
                            </w:div>
                            <w:div w:id="699548482">
                              <w:marLeft w:val="0"/>
                              <w:marRight w:val="0"/>
                              <w:marTop w:val="0"/>
                              <w:marBottom w:val="0"/>
                              <w:divBdr>
                                <w:top w:val="none" w:sz="0" w:space="0" w:color="auto"/>
                                <w:left w:val="none" w:sz="0" w:space="0" w:color="auto"/>
                                <w:bottom w:val="none" w:sz="0" w:space="0" w:color="auto"/>
                                <w:right w:val="none" w:sz="0" w:space="0" w:color="auto"/>
                              </w:divBdr>
                            </w:div>
                          </w:divsChild>
                        </w:div>
                        <w:div w:id="1839347843">
                          <w:marLeft w:val="0"/>
                          <w:marRight w:val="0"/>
                          <w:marTop w:val="0"/>
                          <w:marBottom w:val="0"/>
                          <w:divBdr>
                            <w:top w:val="none" w:sz="0" w:space="0" w:color="auto"/>
                            <w:left w:val="none" w:sz="0" w:space="0" w:color="auto"/>
                            <w:bottom w:val="none" w:sz="0" w:space="0" w:color="auto"/>
                            <w:right w:val="none" w:sz="0" w:space="0" w:color="auto"/>
                          </w:divBdr>
                          <w:divsChild>
                            <w:div w:id="727000480">
                              <w:marLeft w:val="0"/>
                              <w:marRight w:val="0"/>
                              <w:marTop w:val="0"/>
                              <w:marBottom w:val="0"/>
                              <w:divBdr>
                                <w:top w:val="none" w:sz="0" w:space="0" w:color="auto"/>
                                <w:left w:val="none" w:sz="0" w:space="0" w:color="auto"/>
                                <w:bottom w:val="none" w:sz="0" w:space="0" w:color="auto"/>
                                <w:right w:val="none" w:sz="0" w:space="0" w:color="auto"/>
                              </w:divBdr>
                            </w:div>
                            <w:div w:id="51589008">
                              <w:marLeft w:val="0"/>
                              <w:marRight w:val="0"/>
                              <w:marTop w:val="0"/>
                              <w:marBottom w:val="0"/>
                              <w:divBdr>
                                <w:top w:val="none" w:sz="0" w:space="0" w:color="auto"/>
                                <w:left w:val="none" w:sz="0" w:space="0" w:color="auto"/>
                                <w:bottom w:val="none" w:sz="0" w:space="0" w:color="auto"/>
                                <w:right w:val="none" w:sz="0" w:space="0" w:color="auto"/>
                              </w:divBdr>
                            </w:div>
                            <w:div w:id="972514695">
                              <w:marLeft w:val="0"/>
                              <w:marRight w:val="0"/>
                              <w:marTop w:val="0"/>
                              <w:marBottom w:val="0"/>
                              <w:divBdr>
                                <w:top w:val="none" w:sz="0" w:space="0" w:color="auto"/>
                                <w:left w:val="none" w:sz="0" w:space="0" w:color="auto"/>
                                <w:bottom w:val="none" w:sz="0" w:space="0" w:color="auto"/>
                                <w:right w:val="none" w:sz="0" w:space="0" w:color="auto"/>
                              </w:divBdr>
                            </w:div>
                            <w:div w:id="67074355">
                              <w:marLeft w:val="0"/>
                              <w:marRight w:val="0"/>
                              <w:marTop w:val="0"/>
                              <w:marBottom w:val="0"/>
                              <w:divBdr>
                                <w:top w:val="none" w:sz="0" w:space="0" w:color="auto"/>
                                <w:left w:val="none" w:sz="0" w:space="0" w:color="auto"/>
                                <w:bottom w:val="none" w:sz="0" w:space="0" w:color="auto"/>
                                <w:right w:val="none" w:sz="0" w:space="0" w:color="auto"/>
                              </w:divBdr>
                            </w:div>
                            <w:div w:id="1258059807">
                              <w:marLeft w:val="0"/>
                              <w:marRight w:val="0"/>
                              <w:marTop w:val="0"/>
                              <w:marBottom w:val="0"/>
                              <w:divBdr>
                                <w:top w:val="none" w:sz="0" w:space="0" w:color="auto"/>
                                <w:left w:val="none" w:sz="0" w:space="0" w:color="auto"/>
                                <w:bottom w:val="none" w:sz="0" w:space="0" w:color="auto"/>
                                <w:right w:val="none" w:sz="0" w:space="0" w:color="auto"/>
                              </w:divBdr>
                            </w:div>
                          </w:divsChild>
                        </w:div>
                        <w:div w:id="1298342107">
                          <w:marLeft w:val="0"/>
                          <w:marRight w:val="0"/>
                          <w:marTop w:val="0"/>
                          <w:marBottom w:val="0"/>
                          <w:divBdr>
                            <w:top w:val="none" w:sz="0" w:space="0" w:color="auto"/>
                            <w:left w:val="none" w:sz="0" w:space="0" w:color="auto"/>
                            <w:bottom w:val="none" w:sz="0" w:space="0" w:color="auto"/>
                            <w:right w:val="none" w:sz="0" w:space="0" w:color="auto"/>
                          </w:divBdr>
                          <w:divsChild>
                            <w:div w:id="496578760">
                              <w:marLeft w:val="0"/>
                              <w:marRight w:val="0"/>
                              <w:marTop w:val="0"/>
                              <w:marBottom w:val="0"/>
                              <w:divBdr>
                                <w:top w:val="none" w:sz="0" w:space="0" w:color="auto"/>
                                <w:left w:val="none" w:sz="0" w:space="0" w:color="auto"/>
                                <w:bottom w:val="none" w:sz="0" w:space="0" w:color="auto"/>
                                <w:right w:val="none" w:sz="0" w:space="0" w:color="auto"/>
                              </w:divBdr>
                            </w:div>
                            <w:div w:id="64884583">
                              <w:marLeft w:val="0"/>
                              <w:marRight w:val="0"/>
                              <w:marTop w:val="0"/>
                              <w:marBottom w:val="0"/>
                              <w:divBdr>
                                <w:top w:val="none" w:sz="0" w:space="0" w:color="auto"/>
                                <w:left w:val="none" w:sz="0" w:space="0" w:color="auto"/>
                                <w:bottom w:val="none" w:sz="0" w:space="0" w:color="auto"/>
                                <w:right w:val="none" w:sz="0" w:space="0" w:color="auto"/>
                              </w:divBdr>
                            </w:div>
                            <w:div w:id="2095737505">
                              <w:marLeft w:val="0"/>
                              <w:marRight w:val="0"/>
                              <w:marTop w:val="0"/>
                              <w:marBottom w:val="0"/>
                              <w:divBdr>
                                <w:top w:val="none" w:sz="0" w:space="0" w:color="auto"/>
                                <w:left w:val="none" w:sz="0" w:space="0" w:color="auto"/>
                                <w:bottom w:val="none" w:sz="0" w:space="0" w:color="auto"/>
                                <w:right w:val="none" w:sz="0" w:space="0" w:color="auto"/>
                              </w:divBdr>
                            </w:div>
                            <w:div w:id="1308508566">
                              <w:marLeft w:val="0"/>
                              <w:marRight w:val="0"/>
                              <w:marTop w:val="0"/>
                              <w:marBottom w:val="0"/>
                              <w:divBdr>
                                <w:top w:val="none" w:sz="0" w:space="0" w:color="auto"/>
                                <w:left w:val="none" w:sz="0" w:space="0" w:color="auto"/>
                                <w:bottom w:val="none" w:sz="0" w:space="0" w:color="auto"/>
                                <w:right w:val="none" w:sz="0" w:space="0" w:color="auto"/>
                              </w:divBdr>
                            </w:div>
                            <w:div w:id="786235766">
                              <w:marLeft w:val="0"/>
                              <w:marRight w:val="0"/>
                              <w:marTop w:val="0"/>
                              <w:marBottom w:val="0"/>
                              <w:divBdr>
                                <w:top w:val="none" w:sz="0" w:space="0" w:color="auto"/>
                                <w:left w:val="none" w:sz="0" w:space="0" w:color="auto"/>
                                <w:bottom w:val="none" w:sz="0" w:space="0" w:color="auto"/>
                                <w:right w:val="none" w:sz="0" w:space="0" w:color="auto"/>
                              </w:divBdr>
                            </w:div>
                            <w:div w:id="611058675">
                              <w:marLeft w:val="0"/>
                              <w:marRight w:val="0"/>
                              <w:marTop w:val="0"/>
                              <w:marBottom w:val="0"/>
                              <w:divBdr>
                                <w:top w:val="none" w:sz="0" w:space="0" w:color="auto"/>
                                <w:left w:val="none" w:sz="0" w:space="0" w:color="auto"/>
                                <w:bottom w:val="none" w:sz="0" w:space="0" w:color="auto"/>
                                <w:right w:val="none" w:sz="0" w:space="0" w:color="auto"/>
                              </w:divBdr>
                            </w:div>
                            <w:div w:id="365447438">
                              <w:marLeft w:val="0"/>
                              <w:marRight w:val="0"/>
                              <w:marTop w:val="0"/>
                              <w:marBottom w:val="0"/>
                              <w:divBdr>
                                <w:top w:val="none" w:sz="0" w:space="0" w:color="auto"/>
                                <w:left w:val="none" w:sz="0" w:space="0" w:color="auto"/>
                                <w:bottom w:val="none" w:sz="0" w:space="0" w:color="auto"/>
                                <w:right w:val="none" w:sz="0" w:space="0" w:color="auto"/>
                              </w:divBdr>
                            </w:div>
                          </w:divsChild>
                        </w:div>
                        <w:div w:id="1012801328">
                          <w:marLeft w:val="0"/>
                          <w:marRight w:val="0"/>
                          <w:marTop w:val="0"/>
                          <w:marBottom w:val="0"/>
                          <w:divBdr>
                            <w:top w:val="none" w:sz="0" w:space="0" w:color="auto"/>
                            <w:left w:val="none" w:sz="0" w:space="0" w:color="auto"/>
                            <w:bottom w:val="none" w:sz="0" w:space="0" w:color="auto"/>
                            <w:right w:val="none" w:sz="0" w:space="0" w:color="auto"/>
                          </w:divBdr>
                          <w:divsChild>
                            <w:div w:id="146213129">
                              <w:marLeft w:val="0"/>
                              <w:marRight w:val="0"/>
                              <w:marTop w:val="0"/>
                              <w:marBottom w:val="0"/>
                              <w:divBdr>
                                <w:top w:val="none" w:sz="0" w:space="0" w:color="auto"/>
                                <w:left w:val="none" w:sz="0" w:space="0" w:color="auto"/>
                                <w:bottom w:val="none" w:sz="0" w:space="0" w:color="auto"/>
                                <w:right w:val="none" w:sz="0" w:space="0" w:color="auto"/>
                              </w:divBdr>
                            </w:div>
                            <w:div w:id="1466504926">
                              <w:marLeft w:val="0"/>
                              <w:marRight w:val="0"/>
                              <w:marTop w:val="0"/>
                              <w:marBottom w:val="0"/>
                              <w:divBdr>
                                <w:top w:val="none" w:sz="0" w:space="0" w:color="auto"/>
                                <w:left w:val="none" w:sz="0" w:space="0" w:color="auto"/>
                                <w:bottom w:val="none" w:sz="0" w:space="0" w:color="auto"/>
                                <w:right w:val="none" w:sz="0" w:space="0" w:color="auto"/>
                              </w:divBdr>
                            </w:div>
                            <w:div w:id="1441533474">
                              <w:marLeft w:val="0"/>
                              <w:marRight w:val="0"/>
                              <w:marTop w:val="0"/>
                              <w:marBottom w:val="0"/>
                              <w:divBdr>
                                <w:top w:val="none" w:sz="0" w:space="0" w:color="auto"/>
                                <w:left w:val="none" w:sz="0" w:space="0" w:color="auto"/>
                                <w:bottom w:val="none" w:sz="0" w:space="0" w:color="auto"/>
                                <w:right w:val="none" w:sz="0" w:space="0" w:color="auto"/>
                              </w:divBdr>
                            </w:div>
                          </w:divsChild>
                        </w:div>
                        <w:div w:id="1879782324">
                          <w:marLeft w:val="0"/>
                          <w:marRight w:val="0"/>
                          <w:marTop w:val="0"/>
                          <w:marBottom w:val="0"/>
                          <w:divBdr>
                            <w:top w:val="none" w:sz="0" w:space="0" w:color="auto"/>
                            <w:left w:val="none" w:sz="0" w:space="0" w:color="auto"/>
                            <w:bottom w:val="none" w:sz="0" w:space="0" w:color="auto"/>
                            <w:right w:val="none" w:sz="0" w:space="0" w:color="auto"/>
                          </w:divBdr>
                          <w:divsChild>
                            <w:div w:id="327447076">
                              <w:marLeft w:val="0"/>
                              <w:marRight w:val="0"/>
                              <w:marTop w:val="0"/>
                              <w:marBottom w:val="0"/>
                              <w:divBdr>
                                <w:top w:val="none" w:sz="0" w:space="0" w:color="auto"/>
                                <w:left w:val="none" w:sz="0" w:space="0" w:color="auto"/>
                                <w:bottom w:val="none" w:sz="0" w:space="0" w:color="auto"/>
                                <w:right w:val="none" w:sz="0" w:space="0" w:color="auto"/>
                              </w:divBdr>
                            </w:div>
                            <w:div w:id="2057776622">
                              <w:marLeft w:val="0"/>
                              <w:marRight w:val="0"/>
                              <w:marTop w:val="0"/>
                              <w:marBottom w:val="0"/>
                              <w:divBdr>
                                <w:top w:val="none" w:sz="0" w:space="0" w:color="auto"/>
                                <w:left w:val="none" w:sz="0" w:space="0" w:color="auto"/>
                                <w:bottom w:val="none" w:sz="0" w:space="0" w:color="auto"/>
                                <w:right w:val="none" w:sz="0" w:space="0" w:color="auto"/>
                              </w:divBdr>
                            </w:div>
                            <w:div w:id="453139634">
                              <w:marLeft w:val="0"/>
                              <w:marRight w:val="0"/>
                              <w:marTop w:val="0"/>
                              <w:marBottom w:val="0"/>
                              <w:divBdr>
                                <w:top w:val="none" w:sz="0" w:space="0" w:color="auto"/>
                                <w:left w:val="none" w:sz="0" w:space="0" w:color="auto"/>
                                <w:bottom w:val="none" w:sz="0" w:space="0" w:color="auto"/>
                                <w:right w:val="none" w:sz="0" w:space="0" w:color="auto"/>
                              </w:divBdr>
                            </w:div>
                            <w:div w:id="1269585699">
                              <w:marLeft w:val="0"/>
                              <w:marRight w:val="0"/>
                              <w:marTop w:val="0"/>
                              <w:marBottom w:val="0"/>
                              <w:divBdr>
                                <w:top w:val="none" w:sz="0" w:space="0" w:color="auto"/>
                                <w:left w:val="none" w:sz="0" w:space="0" w:color="auto"/>
                                <w:bottom w:val="none" w:sz="0" w:space="0" w:color="auto"/>
                                <w:right w:val="none" w:sz="0" w:space="0" w:color="auto"/>
                              </w:divBdr>
                            </w:div>
                          </w:divsChild>
                        </w:div>
                        <w:div w:id="802845090">
                          <w:marLeft w:val="0"/>
                          <w:marRight w:val="0"/>
                          <w:marTop w:val="0"/>
                          <w:marBottom w:val="0"/>
                          <w:divBdr>
                            <w:top w:val="none" w:sz="0" w:space="0" w:color="auto"/>
                            <w:left w:val="none" w:sz="0" w:space="0" w:color="auto"/>
                            <w:bottom w:val="none" w:sz="0" w:space="0" w:color="auto"/>
                            <w:right w:val="none" w:sz="0" w:space="0" w:color="auto"/>
                          </w:divBdr>
                          <w:divsChild>
                            <w:div w:id="680594997">
                              <w:marLeft w:val="0"/>
                              <w:marRight w:val="0"/>
                              <w:marTop w:val="0"/>
                              <w:marBottom w:val="0"/>
                              <w:divBdr>
                                <w:top w:val="none" w:sz="0" w:space="0" w:color="auto"/>
                                <w:left w:val="none" w:sz="0" w:space="0" w:color="auto"/>
                                <w:bottom w:val="none" w:sz="0" w:space="0" w:color="auto"/>
                                <w:right w:val="none" w:sz="0" w:space="0" w:color="auto"/>
                              </w:divBdr>
                            </w:div>
                            <w:div w:id="309991530">
                              <w:marLeft w:val="0"/>
                              <w:marRight w:val="0"/>
                              <w:marTop w:val="0"/>
                              <w:marBottom w:val="0"/>
                              <w:divBdr>
                                <w:top w:val="none" w:sz="0" w:space="0" w:color="auto"/>
                                <w:left w:val="none" w:sz="0" w:space="0" w:color="auto"/>
                                <w:bottom w:val="none" w:sz="0" w:space="0" w:color="auto"/>
                                <w:right w:val="none" w:sz="0" w:space="0" w:color="auto"/>
                              </w:divBdr>
                            </w:div>
                            <w:div w:id="999774510">
                              <w:marLeft w:val="0"/>
                              <w:marRight w:val="0"/>
                              <w:marTop w:val="0"/>
                              <w:marBottom w:val="0"/>
                              <w:divBdr>
                                <w:top w:val="none" w:sz="0" w:space="0" w:color="auto"/>
                                <w:left w:val="none" w:sz="0" w:space="0" w:color="auto"/>
                                <w:bottom w:val="none" w:sz="0" w:space="0" w:color="auto"/>
                                <w:right w:val="none" w:sz="0" w:space="0" w:color="auto"/>
                              </w:divBdr>
                            </w:div>
                            <w:div w:id="1401632197">
                              <w:marLeft w:val="0"/>
                              <w:marRight w:val="0"/>
                              <w:marTop w:val="0"/>
                              <w:marBottom w:val="0"/>
                              <w:divBdr>
                                <w:top w:val="none" w:sz="0" w:space="0" w:color="auto"/>
                                <w:left w:val="none" w:sz="0" w:space="0" w:color="auto"/>
                                <w:bottom w:val="none" w:sz="0" w:space="0" w:color="auto"/>
                                <w:right w:val="none" w:sz="0" w:space="0" w:color="auto"/>
                              </w:divBdr>
                            </w:div>
                            <w:div w:id="1851329094">
                              <w:marLeft w:val="0"/>
                              <w:marRight w:val="0"/>
                              <w:marTop w:val="0"/>
                              <w:marBottom w:val="0"/>
                              <w:divBdr>
                                <w:top w:val="none" w:sz="0" w:space="0" w:color="auto"/>
                                <w:left w:val="none" w:sz="0" w:space="0" w:color="auto"/>
                                <w:bottom w:val="none" w:sz="0" w:space="0" w:color="auto"/>
                                <w:right w:val="none" w:sz="0" w:space="0" w:color="auto"/>
                              </w:divBdr>
                            </w:div>
                            <w:div w:id="594630288">
                              <w:marLeft w:val="0"/>
                              <w:marRight w:val="0"/>
                              <w:marTop w:val="0"/>
                              <w:marBottom w:val="0"/>
                              <w:divBdr>
                                <w:top w:val="none" w:sz="0" w:space="0" w:color="auto"/>
                                <w:left w:val="none" w:sz="0" w:space="0" w:color="auto"/>
                                <w:bottom w:val="none" w:sz="0" w:space="0" w:color="auto"/>
                                <w:right w:val="none" w:sz="0" w:space="0" w:color="auto"/>
                              </w:divBdr>
                            </w:div>
                            <w:div w:id="1922837838">
                              <w:marLeft w:val="0"/>
                              <w:marRight w:val="0"/>
                              <w:marTop w:val="0"/>
                              <w:marBottom w:val="0"/>
                              <w:divBdr>
                                <w:top w:val="none" w:sz="0" w:space="0" w:color="auto"/>
                                <w:left w:val="none" w:sz="0" w:space="0" w:color="auto"/>
                                <w:bottom w:val="none" w:sz="0" w:space="0" w:color="auto"/>
                                <w:right w:val="none" w:sz="0" w:space="0" w:color="auto"/>
                              </w:divBdr>
                            </w:div>
                            <w:div w:id="501043954">
                              <w:marLeft w:val="0"/>
                              <w:marRight w:val="0"/>
                              <w:marTop w:val="0"/>
                              <w:marBottom w:val="0"/>
                              <w:divBdr>
                                <w:top w:val="none" w:sz="0" w:space="0" w:color="auto"/>
                                <w:left w:val="none" w:sz="0" w:space="0" w:color="auto"/>
                                <w:bottom w:val="none" w:sz="0" w:space="0" w:color="auto"/>
                                <w:right w:val="none" w:sz="0" w:space="0" w:color="auto"/>
                              </w:divBdr>
                            </w:div>
                            <w:div w:id="705105986">
                              <w:marLeft w:val="0"/>
                              <w:marRight w:val="0"/>
                              <w:marTop w:val="0"/>
                              <w:marBottom w:val="0"/>
                              <w:divBdr>
                                <w:top w:val="none" w:sz="0" w:space="0" w:color="auto"/>
                                <w:left w:val="none" w:sz="0" w:space="0" w:color="auto"/>
                                <w:bottom w:val="none" w:sz="0" w:space="0" w:color="auto"/>
                                <w:right w:val="none" w:sz="0" w:space="0" w:color="auto"/>
                              </w:divBdr>
                            </w:div>
                            <w:div w:id="1410926457">
                              <w:marLeft w:val="0"/>
                              <w:marRight w:val="0"/>
                              <w:marTop w:val="0"/>
                              <w:marBottom w:val="0"/>
                              <w:divBdr>
                                <w:top w:val="none" w:sz="0" w:space="0" w:color="auto"/>
                                <w:left w:val="none" w:sz="0" w:space="0" w:color="auto"/>
                                <w:bottom w:val="none" w:sz="0" w:space="0" w:color="auto"/>
                                <w:right w:val="none" w:sz="0" w:space="0" w:color="auto"/>
                              </w:divBdr>
                            </w:div>
                            <w:div w:id="636372813">
                              <w:marLeft w:val="0"/>
                              <w:marRight w:val="0"/>
                              <w:marTop w:val="0"/>
                              <w:marBottom w:val="0"/>
                              <w:divBdr>
                                <w:top w:val="none" w:sz="0" w:space="0" w:color="auto"/>
                                <w:left w:val="none" w:sz="0" w:space="0" w:color="auto"/>
                                <w:bottom w:val="none" w:sz="0" w:space="0" w:color="auto"/>
                                <w:right w:val="none" w:sz="0" w:space="0" w:color="auto"/>
                              </w:divBdr>
                            </w:div>
                            <w:div w:id="1599871169">
                              <w:marLeft w:val="0"/>
                              <w:marRight w:val="0"/>
                              <w:marTop w:val="0"/>
                              <w:marBottom w:val="0"/>
                              <w:divBdr>
                                <w:top w:val="none" w:sz="0" w:space="0" w:color="auto"/>
                                <w:left w:val="none" w:sz="0" w:space="0" w:color="auto"/>
                                <w:bottom w:val="none" w:sz="0" w:space="0" w:color="auto"/>
                                <w:right w:val="none" w:sz="0" w:space="0" w:color="auto"/>
                              </w:divBdr>
                            </w:div>
                            <w:div w:id="652175646">
                              <w:marLeft w:val="0"/>
                              <w:marRight w:val="0"/>
                              <w:marTop w:val="0"/>
                              <w:marBottom w:val="0"/>
                              <w:divBdr>
                                <w:top w:val="none" w:sz="0" w:space="0" w:color="auto"/>
                                <w:left w:val="none" w:sz="0" w:space="0" w:color="auto"/>
                                <w:bottom w:val="none" w:sz="0" w:space="0" w:color="auto"/>
                                <w:right w:val="none" w:sz="0" w:space="0" w:color="auto"/>
                              </w:divBdr>
                            </w:div>
                            <w:div w:id="102268751">
                              <w:marLeft w:val="0"/>
                              <w:marRight w:val="0"/>
                              <w:marTop w:val="0"/>
                              <w:marBottom w:val="0"/>
                              <w:divBdr>
                                <w:top w:val="none" w:sz="0" w:space="0" w:color="auto"/>
                                <w:left w:val="none" w:sz="0" w:space="0" w:color="auto"/>
                                <w:bottom w:val="none" w:sz="0" w:space="0" w:color="auto"/>
                                <w:right w:val="none" w:sz="0" w:space="0" w:color="auto"/>
                              </w:divBdr>
                            </w:div>
                            <w:div w:id="737825501">
                              <w:marLeft w:val="0"/>
                              <w:marRight w:val="0"/>
                              <w:marTop w:val="0"/>
                              <w:marBottom w:val="0"/>
                              <w:divBdr>
                                <w:top w:val="none" w:sz="0" w:space="0" w:color="auto"/>
                                <w:left w:val="none" w:sz="0" w:space="0" w:color="auto"/>
                                <w:bottom w:val="none" w:sz="0" w:space="0" w:color="auto"/>
                                <w:right w:val="none" w:sz="0" w:space="0" w:color="auto"/>
                              </w:divBdr>
                            </w:div>
                            <w:div w:id="1413894091">
                              <w:marLeft w:val="0"/>
                              <w:marRight w:val="0"/>
                              <w:marTop w:val="0"/>
                              <w:marBottom w:val="0"/>
                              <w:divBdr>
                                <w:top w:val="none" w:sz="0" w:space="0" w:color="auto"/>
                                <w:left w:val="none" w:sz="0" w:space="0" w:color="auto"/>
                                <w:bottom w:val="none" w:sz="0" w:space="0" w:color="auto"/>
                                <w:right w:val="none" w:sz="0" w:space="0" w:color="auto"/>
                              </w:divBdr>
                            </w:div>
                          </w:divsChild>
                        </w:div>
                        <w:div w:id="1507943103">
                          <w:marLeft w:val="0"/>
                          <w:marRight w:val="0"/>
                          <w:marTop w:val="0"/>
                          <w:marBottom w:val="0"/>
                          <w:divBdr>
                            <w:top w:val="none" w:sz="0" w:space="0" w:color="auto"/>
                            <w:left w:val="none" w:sz="0" w:space="0" w:color="auto"/>
                            <w:bottom w:val="none" w:sz="0" w:space="0" w:color="auto"/>
                            <w:right w:val="none" w:sz="0" w:space="0" w:color="auto"/>
                          </w:divBdr>
                          <w:divsChild>
                            <w:div w:id="211699323">
                              <w:marLeft w:val="0"/>
                              <w:marRight w:val="0"/>
                              <w:marTop w:val="0"/>
                              <w:marBottom w:val="0"/>
                              <w:divBdr>
                                <w:top w:val="none" w:sz="0" w:space="0" w:color="auto"/>
                                <w:left w:val="none" w:sz="0" w:space="0" w:color="auto"/>
                                <w:bottom w:val="none" w:sz="0" w:space="0" w:color="auto"/>
                                <w:right w:val="none" w:sz="0" w:space="0" w:color="auto"/>
                              </w:divBdr>
                            </w:div>
                            <w:div w:id="2002466901">
                              <w:marLeft w:val="0"/>
                              <w:marRight w:val="0"/>
                              <w:marTop w:val="0"/>
                              <w:marBottom w:val="0"/>
                              <w:divBdr>
                                <w:top w:val="none" w:sz="0" w:space="0" w:color="auto"/>
                                <w:left w:val="none" w:sz="0" w:space="0" w:color="auto"/>
                                <w:bottom w:val="none" w:sz="0" w:space="0" w:color="auto"/>
                                <w:right w:val="none" w:sz="0" w:space="0" w:color="auto"/>
                              </w:divBdr>
                            </w:div>
                            <w:div w:id="45070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689375">
                      <w:marLeft w:val="0"/>
                      <w:marRight w:val="0"/>
                      <w:marTop w:val="0"/>
                      <w:marBottom w:val="0"/>
                      <w:divBdr>
                        <w:top w:val="none" w:sz="0" w:space="0" w:color="auto"/>
                        <w:left w:val="none" w:sz="0" w:space="0" w:color="auto"/>
                        <w:bottom w:val="none" w:sz="0" w:space="0" w:color="auto"/>
                        <w:right w:val="none" w:sz="0" w:space="0" w:color="auto"/>
                      </w:divBdr>
                      <w:divsChild>
                        <w:div w:id="1272974485">
                          <w:marLeft w:val="0"/>
                          <w:marRight w:val="0"/>
                          <w:marTop w:val="0"/>
                          <w:marBottom w:val="0"/>
                          <w:divBdr>
                            <w:top w:val="none" w:sz="0" w:space="0" w:color="auto"/>
                            <w:left w:val="none" w:sz="0" w:space="0" w:color="auto"/>
                            <w:bottom w:val="none" w:sz="0" w:space="0" w:color="auto"/>
                            <w:right w:val="none" w:sz="0" w:space="0" w:color="auto"/>
                          </w:divBdr>
                        </w:div>
                        <w:div w:id="131942806">
                          <w:marLeft w:val="0"/>
                          <w:marRight w:val="0"/>
                          <w:marTop w:val="0"/>
                          <w:marBottom w:val="0"/>
                          <w:divBdr>
                            <w:top w:val="none" w:sz="0" w:space="0" w:color="auto"/>
                            <w:left w:val="none" w:sz="0" w:space="0" w:color="auto"/>
                            <w:bottom w:val="none" w:sz="0" w:space="0" w:color="auto"/>
                            <w:right w:val="none" w:sz="0" w:space="0" w:color="auto"/>
                          </w:divBdr>
                          <w:divsChild>
                            <w:div w:id="691222647">
                              <w:marLeft w:val="0"/>
                              <w:marRight w:val="0"/>
                              <w:marTop w:val="0"/>
                              <w:marBottom w:val="0"/>
                              <w:divBdr>
                                <w:top w:val="none" w:sz="0" w:space="0" w:color="auto"/>
                                <w:left w:val="none" w:sz="0" w:space="0" w:color="auto"/>
                                <w:bottom w:val="none" w:sz="0" w:space="0" w:color="auto"/>
                                <w:right w:val="none" w:sz="0" w:space="0" w:color="auto"/>
                              </w:divBdr>
                            </w:div>
                            <w:div w:id="1149174271">
                              <w:marLeft w:val="0"/>
                              <w:marRight w:val="0"/>
                              <w:marTop w:val="0"/>
                              <w:marBottom w:val="0"/>
                              <w:divBdr>
                                <w:top w:val="none" w:sz="0" w:space="0" w:color="auto"/>
                                <w:left w:val="none" w:sz="0" w:space="0" w:color="auto"/>
                                <w:bottom w:val="none" w:sz="0" w:space="0" w:color="auto"/>
                                <w:right w:val="none" w:sz="0" w:space="0" w:color="auto"/>
                              </w:divBdr>
                            </w:div>
                            <w:div w:id="574977751">
                              <w:marLeft w:val="0"/>
                              <w:marRight w:val="0"/>
                              <w:marTop w:val="0"/>
                              <w:marBottom w:val="0"/>
                              <w:divBdr>
                                <w:top w:val="none" w:sz="0" w:space="0" w:color="auto"/>
                                <w:left w:val="none" w:sz="0" w:space="0" w:color="auto"/>
                                <w:bottom w:val="none" w:sz="0" w:space="0" w:color="auto"/>
                                <w:right w:val="none" w:sz="0" w:space="0" w:color="auto"/>
                              </w:divBdr>
                            </w:div>
                            <w:div w:id="1390879622">
                              <w:marLeft w:val="0"/>
                              <w:marRight w:val="0"/>
                              <w:marTop w:val="0"/>
                              <w:marBottom w:val="0"/>
                              <w:divBdr>
                                <w:top w:val="none" w:sz="0" w:space="0" w:color="auto"/>
                                <w:left w:val="none" w:sz="0" w:space="0" w:color="auto"/>
                                <w:bottom w:val="none" w:sz="0" w:space="0" w:color="auto"/>
                                <w:right w:val="none" w:sz="0" w:space="0" w:color="auto"/>
                              </w:divBdr>
                            </w:div>
                            <w:div w:id="1659335473">
                              <w:marLeft w:val="0"/>
                              <w:marRight w:val="0"/>
                              <w:marTop w:val="0"/>
                              <w:marBottom w:val="0"/>
                              <w:divBdr>
                                <w:top w:val="none" w:sz="0" w:space="0" w:color="auto"/>
                                <w:left w:val="none" w:sz="0" w:space="0" w:color="auto"/>
                                <w:bottom w:val="none" w:sz="0" w:space="0" w:color="auto"/>
                                <w:right w:val="none" w:sz="0" w:space="0" w:color="auto"/>
                              </w:divBdr>
                            </w:div>
                            <w:div w:id="1461916630">
                              <w:marLeft w:val="0"/>
                              <w:marRight w:val="0"/>
                              <w:marTop w:val="0"/>
                              <w:marBottom w:val="0"/>
                              <w:divBdr>
                                <w:top w:val="none" w:sz="0" w:space="0" w:color="auto"/>
                                <w:left w:val="none" w:sz="0" w:space="0" w:color="auto"/>
                                <w:bottom w:val="none" w:sz="0" w:space="0" w:color="auto"/>
                                <w:right w:val="none" w:sz="0" w:space="0" w:color="auto"/>
                              </w:divBdr>
                            </w:div>
                            <w:div w:id="2031058791">
                              <w:marLeft w:val="0"/>
                              <w:marRight w:val="0"/>
                              <w:marTop w:val="0"/>
                              <w:marBottom w:val="0"/>
                              <w:divBdr>
                                <w:top w:val="none" w:sz="0" w:space="0" w:color="auto"/>
                                <w:left w:val="none" w:sz="0" w:space="0" w:color="auto"/>
                                <w:bottom w:val="none" w:sz="0" w:space="0" w:color="auto"/>
                                <w:right w:val="none" w:sz="0" w:space="0" w:color="auto"/>
                              </w:divBdr>
                            </w:div>
                            <w:div w:id="1274169497">
                              <w:marLeft w:val="0"/>
                              <w:marRight w:val="0"/>
                              <w:marTop w:val="0"/>
                              <w:marBottom w:val="0"/>
                              <w:divBdr>
                                <w:top w:val="none" w:sz="0" w:space="0" w:color="auto"/>
                                <w:left w:val="none" w:sz="0" w:space="0" w:color="auto"/>
                                <w:bottom w:val="none" w:sz="0" w:space="0" w:color="auto"/>
                                <w:right w:val="none" w:sz="0" w:space="0" w:color="auto"/>
                              </w:divBdr>
                            </w:div>
                            <w:div w:id="641957768">
                              <w:marLeft w:val="0"/>
                              <w:marRight w:val="0"/>
                              <w:marTop w:val="0"/>
                              <w:marBottom w:val="0"/>
                              <w:divBdr>
                                <w:top w:val="none" w:sz="0" w:space="0" w:color="auto"/>
                                <w:left w:val="none" w:sz="0" w:space="0" w:color="auto"/>
                                <w:bottom w:val="none" w:sz="0" w:space="0" w:color="auto"/>
                                <w:right w:val="none" w:sz="0" w:space="0" w:color="auto"/>
                              </w:divBdr>
                            </w:div>
                            <w:div w:id="1145006274">
                              <w:marLeft w:val="0"/>
                              <w:marRight w:val="0"/>
                              <w:marTop w:val="0"/>
                              <w:marBottom w:val="0"/>
                              <w:divBdr>
                                <w:top w:val="none" w:sz="0" w:space="0" w:color="auto"/>
                                <w:left w:val="none" w:sz="0" w:space="0" w:color="auto"/>
                                <w:bottom w:val="none" w:sz="0" w:space="0" w:color="auto"/>
                                <w:right w:val="none" w:sz="0" w:space="0" w:color="auto"/>
                              </w:divBdr>
                            </w:div>
                          </w:divsChild>
                        </w:div>
                        <w:div w:id="746222755">
                          <w:marLeft w:val="0"/>
                          <w:marRight w:val="0"/>
                          <w:marTop w:val="0"/>
                          <w:marBottom w:val="0"/>
                          <w:divBdr>
                            <w:top w:val="none" w:sz="0" w:space="0" w:color="auto"/>
                            <w:left w:val="none" w:sz="0" w:space="0" w:color="auto"/>
                            <w:bottom w:val="none" w:sz="0" w:space="0" w:color="auto"/>
                            <w:right w:val="none" w:sz="0" w:space="0" w:color="auto"/>
                          </w:divBdr>
                          <w:divsChild>
                            <w:div w:id="560940663">
                              <w:marLeft w:val="0"/>
                              <w:marRight w:val="0"/>
                              <w:marTop w:val="0"/>
                              <w:marBottom w:val="0"/>
                              <w:divBdr>
                                <w:top w:val="none" w:sz="0" w:space="0" w:color="auto"/>
                                <w:left w:val="none" w:sz="0" w:space="0" w:color="auto"/>
                                <w:bottom w:val="none" w:sz="0" w:space="0" w:color="auto"/>
                                <w:right w:val="none" w:sz="0" w:space="0" w:color="auto"/>
                              </w:divBdr>
                            </w:div>
                            <w:div w:id="861628264">
                              <w:marLeft w:val="0"/>
                              <w:marRight w:val="0"/>
                              <w:marTop w:val="0"/>
                              <w:marBottom w:val="0"/>
                              <w:divBdr>
                                <w:top w:val="none" w:sz="0" w:space="0" w:color="auto"/>
                                <w:left w:val="none" w:sz="0" w:space="0" w:color="auto"/>
                                <w:bottom w:val="none" w:sz="0" w:space="0" w:color="auto"/>
                                <w:right w:val="none" w:sz="0" w:space="0" w:color="auto"/>
                              </w:divBdr>
                            </w:div>
                            <w:div w:id="414284672">
                              <w:marLeft w:val="0"/>
                              <w:marRight w:val="0"/>
                              <w:marTop w:val="0"/>
                              <w:marBottom w:val="0"/>
                              <w:divBdr>
                                <w:top w:val="none" w:sz="0" w:space="0" w:color="auto"/>
                                <w:left w:val="none" w:sz="0" w:space="0" w:color="auto"/>
                                <w:bottom w:val="none" w:sz="0" w:space="0" w:color="auto"/>
                                <w:right w:val="none" w:sz="0" w:space="0" w:color="auto"/>
                              </w:divBdr>
                            </w:div>
                            <w:div w:id="53089455">
                              <w:marLeft w:val="0"/>
                              <w:marRight w:val="0"/>
                              <w:marTop w:val="0"/>
                              <w:marBottom w:val="0"/>
                              <w:divBdr>
                                <w:top w:val="none" w:sz="0" w:space="0" w:color="auto"/>
                                <w:left w:val="none" w:sz="0" w:space="0" w:color="auto"/>
                                <w:bottom w:val="none" w:sz="0" w:space="0" w:color="auto"/>
                                <w:right w:val="none" w:sz="0" w:space="0" w:color="auto"/>
                              </w:divBdr>
                            </w:div>
                            <w:div w:id="209866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996701">
                      <w:marLeft w:val="0"/>
                      <w:marRight w:val="0"/>
                      <w:marTop w:val="0"/>
                      <w:marBottom w:val="0"/>
                      <w:divBdr>
                        <w:top w:val="none" w:sz="0" w:space="0" w:color="auto"/>
                        <w:left w:val="none" w:sz="0" w:space="0" w:color="auto"/>
                        <w:bottom w:val="none" w:sz="0" w:space="0" w:color="auto"/>
                        <w:right w:val="none" w:sz="0" w:space="0" w:color="auto"/>
                      </w:divBdr>
                      <w:divsChild>
                        <w:div w:id="1401446699">
                          <w:marLeft w:val="0"/>
                          <w:marRight w:val="0"/>
                          <w:marTop w:val="0"/>
                          <w:marBottom w:val="0"/>
                          <w:divBdr>
                            <w:top w:val="none" w:sz="0" w:space="0" w:color="auto"/>
                            <w:left w:val="none" w:sz="0" w:space="0" w:color="auto"/>
                            <w:bottom w:val="none" w:sz="0" w:space="0" w:color="auto"/>
                            <w:right w:val="none" w:sz="0" w:space="0" w:color="auto"/>
                          </w:divBdr>
                        </w:div>
                        <w:div w:id="456991240">
                          <w:marLeft w:val="0"/>
                          <w:marRight w:val="0"/>
                          <w:marTop w:val="0"/>
                          <w:marBottom w:val="0"/>
                          <w:divBdr>
                            <w:top w:val="none" w:sz="0" w:space="0" w:color="auto"/>
                            <w:left w:val="none" w:sz="0" w:space="0" w:color="auto"/>
                            <w:bottom w:val="none" w:sz="0" w:space="0" w:color="auto"/>
                            <w:right w:val="none" w:sz="0" w:space="0" w:color="auto"/>
                          </w:divBdr>
                          <w:divsChild>
                            <w:div w:id="1549106544">
                              <w:marLeft w:val="0"/>
                              <w:marRight w:val="0"/>
                              <w:marTop w:val="0"/>
                              <w:marBottom w:val="0"/>
                              <w:divBdr>
                                <w:top w:val="none" w:sz="0" w:space="0" w:color="auto"/>
                                <w:left w:val="none" w:sz="0" w:space="0" w:color="auto"/>
                                <w:bottom w:val="none" w:sz="0" w:space="0" w:color="auto"/>
                                <w:right w:val="none" w:sz="0" w:space="0" w:color="auto"/>
                              </w:divBdr>
                            </w:div>
                            <w:div w:id="1654795469">
                              <w:marLeft w:val="0"/>
                              <w:marRight w:val="0"/>
                              <w:marTop w:val="0"/>
                              <w:marBottom w:val="0"/>
                              <w:divBdr>
                                <w:top w:val="none" w:sz="0" w:space="0" w:color="auto"/>
                                <w:left w:val="none" w:sz="0" w:space="0" w:color="auto"/>
                                <w:bottom w:val="none" w:sz="0" w:space="0" w:color="auto"/>
                                <w:right w:val="none" w:sz="0" w:space="0" w:color="auto"/>
                              </w:divBdr>
                            </w:div>
                            <w:div w:id="1066565271">
                              <w:marLeft w:val="0"/>
                              <w:marRight w:val="0"/>
                              <w:marTop w:val="0"/>
                              <w:marBottom w:val="0"/>
                              <w:divBdr>
                                <w:top w:val="none" w:sz="0" w:space="0" w:color="auto"/>
                                <w:left w:val="none" w:sz="0" w:space="0" w:color="auto"/>
                                <w:bottom w:val="none" w:sz="0" w:space="0" w:color="auto"/>
                                <w:right w:val="none" w:sz="0" w:space="0" w:color="auto"/>
                              </w:divBdr>
                            </w:div>
                            <w:div w:id="707802695">
                              <w:marLeft w:val="0"/>
                              <w:marRight w:val="0"/>
                              <w:marTop w:val="0"/>
                              <w:marBottom w:val="0"/>
                              <w:divBdr>
                                <w:top w:val="none" w:sz="0" w:space="0" w:color="auto"/>
                                <w:left w:val="none" w:sz="0" w:space="0" w:color="auto"/>
                                <w:bottom w:val="none" w:sz="0" w:space="0" w:color="auto"/>
                                <w:right w:val="none" w:sz="0" w:space="0" w:color="auto"/>
                              </w:divBdr>
                            </w:div>
                            <w:div w:id="1711031023">
                              <w:marLeft w:val="0"/>
                              <w:marRight w:val="0"/>
                              <w:marTop w:val="0"/>
                              <w:marBottom w:val="0"/>
                              <w:divBdr>
                                <w:top w:val="none" w:sz="0" w:space="0" w:color="auto"/>
                                <w:left w:val="none" w:sz="0" w:space="0" w:color="auto"/>
                                <w:bottom w:val="none" w:sz="0" w:space="0" w:color="auto"/>
                                <w:right w:val="none" w:sz="0" w:space="0" w:color="auto"/>
                              </w:divBdr>
                            </w:div>
                            <w:div w:id="153164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396934">
                  <w:marLeft w:val="0"/>
                  <w:marRight w:val="0"/>
                  <w:marTop w:val="0"/>
                  <w:marBottom w:val="0"/>
                  <w:divBdr>
                    <w:top w:val="none" w:sz="0" w:space="0" w:color="auto"/>
                    <w:left w:val="none" w:sz="0" w:space="0" w:color="auto"/>
                    <w:bottom w:val="none" w:sz="0" w:space="0" w:color="auto"/>
                    <w:right w:val="none" w:sz="0" w:space="0" w:color="auto"/>
                  </w:divBdr>
                  <w:divsChild>
                    <w:div w:id="264507546">
                      <w:marLeft w:val="0"/>
                      <w:marRight w:val="0"/>
                      <w:marTop w:val="0"/>
                      <w:marBottom w:val="0"/>
                      <w:divBdr>
                        <w:top w:val="none" w:sz="0" w:space="0" w:color="auto"/>
                        <w:left w:val="none" w:sz="0" w:space="0" w:color="auto"/>
                        <w:bottom w:val="none" w:sz="0" w:space="0" w:color="auto"/>
                        <w:right w:val="none" w:sz="0" w:space="0" w:color="auto"/>
                      </w:divBdr>
                    </w:div>
                    <w:div w:id="244075928">
                      <w:marLeft w:val="0"/>
                      <w:marRight w:val="0"/>
                      <w:marTop w:val="0"/>
                      <w:marBottom w:val="0"/>
                      <w:divBdr>
                        <w:top w:val="none" w:sz="0" w:space="0" w:color="auto"/>
                        <w:left w:val="none" w:sz="0" w:space="0" w:color="auto"/>
                        <w:bottom w:val="none" w:sz="0" w:space="0" w:color="auto"/>
                        <w:right w:val="none" w:sz="0" w:space="0" w:color="auto"/>
                      </w:divBdr>
                      <w:divsChild>
                        <w:div w:id="1783381881">
                          <w:marLeft w:val="0"/>
                          <w:marRight w:val="0"/>
                          <w:marTop w:val="0"/>
                          <w:marBottom w:val="0"/>
                          <w:divBdr>
                            <w:top w:val="none" w:sz="0" w:space="0" w:color="auto"/>
                            <w:left w:val="none" w:sz="0" w:space="0" w:color="auto"/>
                            <w:bottom w:val="none" w:sz="0" w:space="0" w:color="auto"/>
                            <w:right w:val="none" w:sz="0" w:space="0" w:color="auto"/>
                          </w:divBdr>
                        </w:div>
                        <w:div w:id="270628812">
                          <w:marLeft w:val="0"/>
                          <w:marRight w:val="0"/>
                          <w:marTop w:val="0"/>
                          <w:marBottom w:val="0"/>
                          <w:divBdr>
                            <w:top w:val="none" w:sz="0" w:space="0" w:color="auto"/>
                            <w:left w:val="none" w:sz="0" w:space="0" w:color="auto"/>
                            <w:bottom w:val="none" w:sz="0" w:space="0" w:color="auto"/>
                            <w:right w:val="none" w:sz="0" w:space="0" w:color="auto"/>
                          </w:divBdr>
                        </w:div>
                        <w:div w:id="1798913927">
                          <w:marLeft w:val="0"/>
                          <w:marRight w:val="0"/>
                          <w:marTop w:val="0"/>
                          <w:marBottom w:val="0"/>
                          <w:divBdr>
                            <w:top w:val="none" w:sz="0" w:space="0" w:color="auto"/>
                            <w:left w:val="none" w:sz="0" w:space="0" w:color="auto"/>
                            <w:bottom w:val="none" w:sz="0" w:space="0" w:color="auto"/>
                            <w:right w:val="none" w:sz="0" w:space="0" w:color="auto"/>
                          </w:divBdr>
                        </w:div>
                        <w:div w:id="982807947">
                          <w:marLeft w:val="0"/>
                          <w:marRight w:val="0"/>
                          <w:marTop w:val="0"/>
                          <w:marBottom w:val="0"/>
                          <w:divBdr>
                            <w:top w:val="none" w:sz="0" w:space="0" w:color="auto"/>
                            <w:left w:val="none" w:sz="0" w:space="0" w:color="auto"/>
                            <w:bottom w:val="none" w:sz="0" w:space="0" w:color="auto"/>
                            <w:right w:val="none" w:sz="0" w:space="0" w:color="auto"/>
                          </w:divBdr>
                        </w:div>
                      </w:divsChild>
                    </w:div>
                    <w:div w:id="574970938">
                      <w:marLeft w:val="0"/>
                      <w:marRight w:val="0"/>
                      <w:marTop w:val="0"/>
                      <w:marBottom w:val="0"/>
                      <w:divBdr>
                        <w:top w:val="none" w:sz="0" w:space="0" w:color="auto"/>
                        <w:left w:val="none" w:sz="0" w:space="0" w:color="auto"/>
                        <w:bottom w:val="none" w:sz="0" w:space="0" w:color="auto"/>
                        <w:right w:val="none" w:sz="0" w:space="0" w:color="auto"/>
                      </w:divBdr>
                      <w:divsChild>
                        <w:div w:id="1823154256">
                          <w:marLeft w:val="0"/>
                          <w:marRight w:val="0"/>
                          <w:marTop w:val="0"/>
                          <w:marBottom w:val="0"/>
                          <w:divBdr>
                            <w:top w:val="none" w:sz="0" w:space="0" w:color="auto"/>
                            <w:left w:val="none" w:sz="0" w:space="0" w:color="auto"/>
                            <w:bottom w:val="none" w:sz="0" w:space="0" w:color="auto"/>
                            <w:right w:val="none" w:sz="0" w:space="0" w:color="auto"/>
                          </w:divBdr>
                        </w:div>
                        <w:div w:id="903612160">
                          <w:marLeft w:val="0"/>
                          <w:marRight w:val="0"/>
                          <w:marTop w:val="0"/>
                          <w:marBottom w:val="0"/>
                          <w:divBdr>
                            <w:top w:val="none" w:sz="0" w:space="0" w:color="auto"/>
                            <w:left w:val="none" w:sz="0" w:space="0" w:color="auto"/>
                            <w:bottom w:val="none" w:sz="0" w:space="0" w:color="auto"/>
                            <w:right w:val="none" w:sz="0" w:space="0" w:color="auto"/>
                          </w:divBdr>
                        </w:div>
                        <w:div w:id="633682637">
                          <w:marLeft w:val="0"/>
                          <w:marRight w:val="0"/>
                          <w:marTop w:val="0"/>
                          <w:marBottom w:val="0"/>
                          <w:divBdr>
                            <w:top w:val="none" w:sz="0" w:space="0" w:color="auto"/>
                            <w:left w:val="none" w:sz="0" w:space="0" w:color="auto"/>
                            <w:bottom w:val="none" w:sz="0" w:space="0" w:color="auto"/>
                            <w:right w:val="none" w:sz="0" w:space="0" w:color="auto"/>
                          </w:divBdr>
                        </w:div>
                        <w:div w:id="1884445483">
                          <w:marLeft w:val="0"/>
                          <w:marRight w:val="0"/>
                          <w:marTop w:val="0"/>
                          <w:marBottom w:val="0"/>
                          <w:divBdr>
                            <w:top w:val="none" w:sz="0" w:space="0" w:color="auto"/>
                            <w:left w:val="none" w:sz="0" w:space="0" w:color="auto"/>
                            <w:bottom w:val="none" w:sz="0" w:space="0" w:color="auto"/>
                            <w:right w:val="none" w:sz="0" w:space="0" w:color="auto"/>
                          </w:divBdr>
                        </w:div>
                        <w:div w:id="334039592">
                          <w:marLeft w:val="0"/>
                          <w:marRight w:val="0"/>
                          <w:marTop w:val="0"/>
                          <w:marBottom w:val="0"/>
                          <w:divBdr>
                            <w:top w:val="none" w:sz="0" w:space="0" w:color="auto"/>
                            <w:left w:val="none" w:sz="0" w:space="0" w:color="auto"/>
                            <w:bottom w:val="none" w:sz="0" w:space="0" w:color="auto"/>
                            <w:right w:val="none" w:sz="0" w:space="0" w:color="auto"/>
                          </w:divBdr>
                        </w:div>
                      </w:divsChild>
                    </w:div>
                    <w:div w:id="240794699">
                      <w:marLeft w:val="0"/>
                      <w:marRight w:val="0"/>
                      <w:marTop w:val="0"/>
                      <w:marBottom w:val="0"/>
                      <w:divBdr>
                        <w:top w:val="none" w:sz="0" w:space="0" w:color="auto"/>
                        <w:left w:val="none" w:sz="0" w:space="0" w:color="auto"/>
                        <w:bottom w:val="none" w:sz="0" w:space="0" w:color="auto"/>
                        <w:right w:val="none" w:sz="0" w:space="0" w:color="auto"/>
                      </w:divBdr>
                      <w:divsChild>
                        <w:div w:id="1319730380">
                          <w:marLeft w:val="0"/>
                          <w:marRight w:val="0"/>
                          <w:marTop w:val="0"/>
                          <w:marBottom w:val="0"/>
                          <w:divBdr>
                            <w:top w:val="none" w:sz="0" w:space="0" w:color="auto"/>
                            <w:left w:val="none" w:sz="0" w:space="0" w:color="auto"/>
                            <w:bottom w:val="none" w:sz="0" w:space="0" w:color="auto"/>
                            <w:right w:val="none" w:sz="0" w:space="0" w:color="auto"/>
                          </w:divBdr>
                        </w:div>
                        <w:div w:id="1013413980">
                          <w:marLeft w:val="0"/>
                          <w:marRight w:val="0"/>
                          <w:marTop w:val="0"/>
                          <w:marBottom w:val="0"/>
                          <w:divBdr>
                            <w:top w:val="none" w:sz="0" w:space="0" w:color="auto"/>
                            <w:left w:val="none" w:sz="0" w:space="0" w:color="auto"/>
                            <w:bottom w:val="none" w:sz="0" w:space="0" w:color="auto"/>
                            <w:right w:val="none" w:sz="0" w:space="0" w:color="auto"/>
                          </w:divBdr>
                        </w:div>
                        <w:div w:id="781388457">
                          <w:marLeft w:val="0"/>
                          <w:marRight w:val="0"/>
                          <w:marTop w:val="0"/>
                          <w:marBottom w:val="0"/>
                          <w:divBdr>
                            <w:top w:val="none" w:sz="0" w:space="0" w:color="auto"/>
                            <w:left w:val="none" w:sz="0" w:space="0" w:color="auto"/>
                            <w:bottom w:val="none" w:sz="0" w:space="0" w:color="auto"/>
                            <w:right w:val="none" w:sz="0" w:space="0" w:color="auto"/>
                          </w:divBdr>
                        </w:div>
                        <w:div w:id="175510473">
                          <w:marLeft w:val="0"/>
                          <w:marRight w:val="0"/>
                          <w:marTop w:val="0"/>
                          <w:marBottom w:val="0"/>
                          <w:divBdr>
                            <w:top w:val="none" w:sz="0" w:space="0" w:color="auto"/>
                            <w:left w:val="none" w:sz="0" w:space="0" w:color="auto"/>
                            <w:bottom w:val="none" w:sz="0" w:space="0" w:color="auto"/>
                            <w:right w:val="none" w:sz="0" w:space="0" w:color="auto"/>
                          </w:divBdr>
                        </w:div>
                        <w:div w:id="1695114668">
                          <w:marLeft w:val="0"/>
                          <w:marRight w:val="0"/>
                          <w:marTop w:val="0"/>
                          <w:marBottom w:val="0"/>
                          <w:divBdr>
                            <w:top w:val="none" w:sz="0" w:space="0" w:color="auto"/>
                            <w:left w:val="none" w:sz="0" w:space="0" w:color="auto"/>
                            <w:bottom w:val="none" w:sz="0" w:space="0" w:color="auto"/>
                            <w:right w:val="none" w:sz="0" w:space="0" w:color="auto"/>
                          </w:divBdr>
                        </w:div>
                      </w:divsChild>
                    </w:div>
                    <w:div w:id="1261135735">
                      <w:marLeft w:val="0"/>
                      <w:marRight w:val="0"/>
                      <w:marTop w:val="0"/>
                      <w:marBottom w:val="0"/>
                      <w:divBdr>
                        <w:top w:val="none" w:sz="0" w:space="0" w:color="auto"/>
                        <w:left w:val="none" w:sz="0" w:space="0" w:color="auto"/>
                        <w:bottom w:val="none" w:sz="0" w:space="0" w:color="auto"/>
                        <w:right w:val="none" w:sz="0" w:space="0" w:color="auto"/>
                      </w:divBdr>
                      <w:divsChild>
                        <w:div w:id="769396853">
                          <w:marLeft w:val="0"/>
                          <w:marRight w:val="0"/>
                          <w:marTop w:val="0"/>
                          <w:marBottom w:val="0"/>
                          <w:divBdr>
                            <w:top w:val="none" w:sz="0" w:space="0" w:color="auto"/>
                            <w:left w:val="none" w:sz="0" w:space="0" w:color="auto"/>
                            <w:bottom w:val="none" w:sz="0" w:space="0" w:color="auto"/>
                            <w:right w:val="none" w:sz="0" w:space="0" w:color="auto"/>
                          </w:divBdr>
                        </w:div>
                        <w:div w:id="1446270043">
                          <w:marLeft w:val="0"/>
                          <w:marRight w:val="0"/>
                          <w:marTop w:val="0"/>
                          <w:marBottom w:val="0"/>
                          <w:divBdr>
                            <w:top w:val="none" w:sz="0" w:space="0" w:color="auto"/>
                            <w:left w:val="none" w:sz="0" w:space="0" w:color="auto"/>
                            <w:bottom w:val="none" w:sz="0" w:space="0" w:color="auto"/>
                            <w:right w:val="none" w:sz="0" w:space="0" w:color="auto"/>
                          </w:divBdr>
                        </w:div>
                        <w:div w:id="989093195">
                          <w:marLeft w:val="0"/>
                          <w:marRight w:val="0"/>
                          <w:marTop w:val="0"/>
                          <w:marBottom w:val="0"/>
                          <w:divBdr>
                            <w:top w:val="none" w:sz="0" w:space="0" w:color="auto"/>
                            <w:left w:val="none" w:sz="0" w:space="0" w:color="auto"/>
                            <w:bottom w:val="none" w:sz="0" w:space="0" w:color="auto"/>
                            <w:right w:val="none" w:sz="0" w:space="0" w:color="auto"/>
                          </w:divBdr>
                        </w:div>
                        <w:div w:id="1133253932">
                          <w:marLeft w:val="0"/>
                          <w:marRight w:val="0"/>
                          <w:marTop w:val="0"/>
                          <w:marBottom w:val="0"/>
                          <w:divBdr>
                            <w:top w:val="none" w:sz="0" w:space="0" w:color="auto"/>
                            <w:left w:val="none" w:sz="0" w:space="0" w:color="auto"/>
                            <w:bottom w:val="none" w:sz="0" w:space="0" w:color="auto"/>
                            <w:right w:val="none" w:sz="0" w:space="0" w:color="auto"/>
                          </w:divBdr>
                        </w:div>
                        <w:div w:id="1181823550">
                          <w:marLeft w:val="0"/>
                          <w:marRight w:val="0"/>
                          <w:marTop w:val="0"/>
                          <w:marBottom w:val="0"/>
                          <w:divBdr>
                            <w:top w:val="none" w:sz="0" w:space="0" w:color="auto"/>
                            <w:left w:val="none" w:sz="0" w:space="0" w:color="auto"/>
                            <w:bottom w:val="none" w:sz="0" w:space="0" w:color="auto"/>
                            <w:right w:val="none" w:sz="0" w:space="0" w:color="auto"/>
                          </w:divBdr>
                        </w:div>
                        <w:div w:id="869344296">
                          <w:marLeft w:val="0"/>
                          <w:marRight w:val="0"/>
                          <w:marTop w:val="0"/>
                          <w:marBottom w:val="0"/>
                          <w:divBdr>
                            <w:top w:val="none" w:sz="0" w:space="0" w:color="auto"/>
                            <w:left w:val="none" w:sz="0" w:space="0" w:color="auto"/>
                            <w:bottom w:val="none" w:sz="0" w:space="0" w:color="auto"/>
                            <w:right w:val="none" w:sz="0" w:space="0" w:color="auto"/>
                          </w:divBdr>
                        </w:div>
                        <w:div w:id="359935034">
                          <w:marLeft w:val="0"/>
                          <w:marRight w:val="0"/>
                          <w:marTop w:val="0"/>
                          <w:marBottom w:val="0"/>
                          <w:divBdr>
                            <w:top w:val="none" w:sz="0" w:space="0" w:color="auto"/>
                            <w:left w:val="none" w:sz="0" w:space="0" w:color="auto"/>
                            <w:bottom w:val="none" w:sz="0" w:space="0" w:color="auto"/>
                            <w:right w:val="none" w:sz="0" w:space="0" w:color="auto"/>
                          </w:divBdr>
                        </w:div>
                      </w:divsChild>
                    </w:div>
                    <w:div w:id="658995821">
                      <w:marLeft w:val="0"/>
                      <w:marRight w:val="0"/>
                      <w:marTop w:val="0"/>
                      <w:marBottom w:val="0"/>
                      <w:divBdr>
                        <w:top w:val="none" w:sz="0" w:space="0" w:color="auto"/>
                        <w:left w:val="none" w:sz="0" w:space="0" w:color="auto"/>
                        <w:bottom w:val="none" w:sz="0" w:space="0" w:color="auto"/>
                        <w:right w:val="none" w:sz="0" w:space="0" w:color="auto"/>
                      </w:divBdr>
                      <w:divsChild>
                        <w:div w:id="1828158410">
                          <w:marLeft w:val="0"/>
                          <w:marRight w:val="0"/>
                          <w:marTop w:val="0"/>
                          <w:marBottom w:val="0"/>
                          <w:divBdr>
                            <w:top w:val="none" w:sz="0" w:space="0" w:color="auto"/>
                            <w:left w:val="none" w:sz="0" w:space="0" w:color="auto"/>
                            <w:bottom w:val="none" w:sz="0" w:space="0" w:color="auto"/>
                            <w:right w:val="none" w:sz="0" w:space="0" w:color="auto"/>
                          </w:divBdr>
                        </w:div>
                        <w:div w:id="691345746">
                          <w:marLeft w:val="0"/>
                          <w:marRight w:val="0"/>
                          <w:marTop w:val="0"/>
                          <w:marBottom w:val="0"/>
                          <w:divBdr>
                            <w:top w:val="none" w:sz="0" w:space="0" w:color="auto"/>
                            <w:left w:val="none" w:sz="0" w:space="0" w:color="auto"/>
                            <w:bottom w:val="none" w:sz="0" w:space="0" w:color="auto"/>
                            <w:right w:val="none" w:sz="0" w:space="0" w:color="auto"/>
                          </w:divBdr>
                        </w:div>
                        <w:div w:id="1687369873">
                          <w:marLeft w:val="0"/>
                          <w:marRight w:val="0"/>
                          <w:marTop w:val="0"/>
                          <w:marBottom w:val="0"/>
                          <w:divBdr>
                            <w:top w:val="none" w:sz="0" w:space="0" w:color="auto"/>
                            <w:left w:val="none" w:sz="0" w:space="0" w:color="auto"/>
                            <w:bottom w:val="none" w:sz="0" w:space="0" w:color="auto"/>
                            <w:right w:val="none" w:sz="0" w:space="0" w:color="auto"/>
                          </w:divBdr>
                        </w:div>
                      </w:divsChild>
                    </w:div>
                    <w:div w:id="40325126">
                      <w:marLeft w:val="0"/>
                      <w:marRight w:val="0"/>
                      <w:marTop w:val="0"/>
                      <w:marBottom w:val="0"/>
                      <w:divBdr>
                        <w:top w:val="none" w:sz="0" w:space="0" w:color="auto"/>
                        <w:left w:val="none" w:sz="0" w:space="0" w:color="auto"/>
                        <w:bottom w:val="none" w:sz="0" w:space="0" w:color="auto"/>
                        <w:right w:val="none" w:sz="0" w:space="0" w:color="auto"/>
                      </w:divBdr>
                      <w:divsChild>
                        <w:div w:id="1188954226">
                          <w:marLeft w:val="0"/>
                          <w:marRight w:val="0"/>
                          <w:marTop w:val="0"/>
                          <w:marBottom w:val="0"/>
                          <w:divBdr>
                            <w:top w:val="none" w:sz="0" w:space="0" w:color="auto"/>
                            <w:left w:val="none" w:sz="0" w:space="0" w:color="auto"/>
                            <w:bottom w:val="none" w:sz="0" w:space="0" w:color="auto"/>
                            <w:right w:val="none" w:sz="0" w:space="0" w:color="auto"/>
                          </w:divBdr>
                        </w:div>
                        <w:div w:id="574894860">
                          <w:marLeft w:val="0"/>
                          <w:marRight w:val="0"/>
                          <w:marTop w:val="0"/>
                          <w:marBottom w:val="0"/>
                          <w:divBdr>
                            <w:top w:val="none" w:sz="0" w:space="0" w:color="auto"/>
                            <w:left w:val="none" w:sz="0" w:space="0" w:color="auto"/>
                            <w:bottom w:val="none" w:sz="0" w:space="0" w:color="auto"/>
                            <w:right w:val="none" w:sz="0" w:space="0" w:color="auto"/>
                          </w:divBdr>
                        </w:div>
                        <w:div w:id="1155603946">
                          <w:marLeft w:val="0"/>
                          <w:marRight w:val="0"/>
                          <w:marTop w:val="0"/>
                          <w:marBottom w:val="0"/>
                          <w:divBdr>
                            <w:top w:val="none" w:sz="0" w:space="0" w:color="auto"/>
                            <w:left w:val="none" w:sz="0" w:space="0" w:color="auto"/>
                            <w:bottom w:val="none" w:sz="0" w:space="0" w:color="auto"/>
                            <w:right w:val="none" w:sz="0" w:space="0" w:color="auto"/>
                          </w:divBdr>
                        </w:div>
                        <w:div w:id="869955599">
                          <w:marLeft w:val="0"/>
                          <w:marRight w:val="0"/>
                          <w:marTop w:val="0"/>
                          <w:marBottom w:val="0"/>
                          <w:divBdr>
                            <w:top w:val="none" w:sz="0" w:space="0" w:color="auto"/>
                            <w:left w:val="none" w:sz="0" w:space="0" w:color="auto"/>
                            <w:bottom w:val="none" w:sz="0" w:space="0" w:color="auto"/>
                            <w:right w:val="none" w:sz="0" w:space="0" w:color="auto"/>
                          </w:divBdr>
                        </w:div>
                      </w:divsChild>
                    </w:div>
                    <w:div w:id="1576938344">
                      <w:marLeft w:val="0"/>
                      <w:marRight w:val="0"/>
                      <w:marTop w:val="0"/>
                      <w:marBottom w:val="0"/>
                      <w:divBdr>
                        <w:top w:val="none" w:sz="0" w:space="0" w:color="auto"/>
                        <w:left w:val="none" w:sz="0" w:space="0" w:color="auto"/>
                        <w:bottom w:val="none" w:sz="0" w:space="0" w:color="auto"/>
                        <w:right w:val="none" w:sz="0" w:space="0" w:color="auto"/>
                      </w:divBdr>
                      <w:divsChild>
                        <w:div w:id="452330634">
                          <w:marLeft w:val="0"/>
                          <w:marRight w:val="0"/>
                          <w:marTop w:val="0"/>
                          <w:marBottom w:val="0"/>
                          <w:divBdr>
                            <w:top w:val="none" w:sz="0" w:space="0" w:color="auto"/>
                            <w:left w:val="none" w:sz="0" w:space="0" w:color="auto"/>
                            <w:bottom w:val="none" w:sz="0" w:space="0" w:color="auto"/>
                            <w:right w:val="none" w:sz="0" w:space="0" w:color="auto"/>
                          </w:divBdr>
                        </w:div>
                        <w:div w:id="832258101">
                          <w:marLeft w:val="0"/>
                          <w:marRight w:val="0"/>
                          <w:marTop w:val="0"/>
                          <w:marBottom w:val="0"/>
                          <w:divBdr>
                            <w:top w:val="none" w:sz="0" w:space="0" w:color="auto"/>
                            <w:left w:val="none" w:sz="0" w:space="0" w:color="auto"/>
                            <w:bottom w:val="none" w:sz="0" w:space="0" w:color="auto"/>
                            <w:right w:val="none" w:sz="0" w:space="0" w:color="auto"/>
                          </w:divBdr>
                        </w:div>
                        <w:div w:id="759761688">
                          <w:marLeft w:val="0"/>
                          <w:marRight w:val="0"/>
                          <w:marTop w:val="0"/>
                          <w:marBottom w:val="0"/>
                          <w:divBdr>
                            <w:top w:val="none" w:sz="0" w:space="0" w:color="auto"/>
                            <w:left w:val="none" w:sz="0" w:space="0" w:color="auto"/>
                            <w:bottom w:val="none" w:sz="0" w:space="0" w:color="auto"/>
                            <w:right w:val="none" w:sz="0" w:space="0" w:color="auto"/>
                          </w:divBdr>
                        </w:div>
                        <w:div w:id="71775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434843">
                  <w:marLeft w:val="0"/>
                  <w:marRight w:val="0"/>
                  <w:marTop w:val="0"/>
                  <w:marBottom w:val="0"/>
                  <w:divBdr>
                    <w:top w:val="none" w:sz="0" w:space="0" w:color="auto"/>
                    <w:left w:val="none" w:sz="0" w:space="0" w:color="auto"/>
                    <w:bottom w:val="none" w:sz="0" w:space="0" w:color="auto"/>
                    <w:right w:val="none" w:sz="0" w:space="0" w:color="auto"/>
                  </w:divBdr>
                  <w:divsChild>
                    <w:div w:id="1902053965">
                      <w:marLeft w:val="0"/>
                      <w:marRight w:val="0"/>
                      <w:marTop w:val="0"/>
                      <w:marBottom w:val="0"/>
                      <w:divBdr>
                        <w:top w:val="none" w:sz="0" w:space="0" w:color="auto"/>
                        <w:left w:val="none" w:sz="0" w:space="0" w:color="auto"/>
                        <w:bottom w:val="none" w:sz="0" w:space="0" w:color="auto"/>
                        <w:right w:val="none" w:sz="0" w:space="0" w:color="auto"/>
                      </w:divBdr>
                    </w:div>
                    <w:div w:id="959872343">
                      <w:marLeft w:val="0"/>
                      <w:marRight w:val="0"/>
                      <w:marTop w:val="0"/>
                      <w:marBottom w:val="0"/>
                      <w:divBdr>
                        <w:top w:val="none" w:sz="0" w:space="0" w:color="auto"/>
                        <w:left w:val="none" w:sz="0" w:space="0" w:color="auto"/>
                        <w:bottom w:val="none" w:sz="0" w:space="0" w:color="auto"/>
                        <w:right w:val="none" w:sz="0" w:space="0" w:color="auto"/>
                      </w:divBdr>
                      <w:divsChild>
                        <w:div w:id="706569101">
                          <w:marLeft w:val="0"/>
                          <w:marRight w:val="0"/>
                          <w:marTop w:val="0"/>
                          <w:marBottom w:val="0"/>
                          <w:divBdr>
                            <w:top w:val="none" w:sz="0" w:space="0" w:color="auto"/>
                            <w:left w:val="none" w:sz="0" w:space="0" w:color="auto"/>
                            <w:bottom w:val="none" w:sz="0" w:space="0" w:color="auto"/>
                            <w:right w:val="none" w:sz="0" w:space="0" w:color="auto"/>
                          </w:divBdr>
                        </w:div>
                        <w:div w:id="149176347">
                          <w:marLeft w:val="0"/>
                          <w:marRight w:val="0"/>
                          <w:marTop w:val="0"/>
                          <w:marBottom w:val="0"/>
                          <w:divBdr>
                            <w:top w:val="none" w:sz="0" w:space="0" w:color="auto"/>
                            <w:left w:val="none" w:sz="0" w:space="0" w:color="auto"/>
                            <w:bottom w:val="none" w:sz="0" w:space="0" w:color="auto"/>
                            <w:right w:val="none" w:sz="0" w:space="0" w:color="auto"/>
                          </w:divBdr>
                          <w:divsChild>
                            <w:div w:id="1269585009">
                              <w:marLeft w:val="0"/>
                              <w:marRight w:val="0"/>
                              <w:marTop w:val="0"/>
                              <w:marBottom w:val="0"/>
                              <w:divBdr>
                                <w:top w:val="none" w:sz="0" w:space="0" w:color="auto"/>
                                <w:left w:val="none" w:sz="0" w:space="0" w:color="auto"/>
                                <w:bottom w:val="none" w:sz="0" w:space="0" w:color="auto"/>
                                <w:right w:val="none" w:sz="0" w:space="0" w:color="auto"/>
                              </w:divBdr>
                            </w:div>
                            <w:div w:id="533083839">
                              <w:marLeft w:val="0"/>
                              <w:marRight w:val="0"/>
                              <w:marTop w:val="0"/>
                              <w:marBottom w:val="0"/>
                              <w:divBdr>
                                <w:top w:val="none" w:sz="0" w:space="0" w:color="auto"/>
                                <w:left w:val="none" w:sz="0" w:space="0" w:color="auto"/>
                                <w:bottom w:val="none" w:sz="0" w:space="0" w:color="auto"/>
                                <w:right w:val="none" w:sz="0" w:space="0" w:color="auto"/>
                              </w:divBdr>
                            </w:div>
                            <w:div w:id="1288050434">
                              <w:marLeft w:val="0"/>
                              <w:marRight w:val="0"/>
                              <w:marTop w:val="0"/>
                              <w:marBottom w:val="0"/>
                              <w:divBdr>
                                <w:top w:val="none" w:sz="0" w:space="0" w:color="auto"/>
                                <w:left w:val="none" w:sz="0" w:space="0" w:color="auto"/>
                                <w:bottom w:val="none" w:sz="0" w:space="0" w:color="auto"/>
                                <w:right w:val="none" w:sz="0" w:space="0" w:color="auto"/>
                              </w:divBdr>
                            </w:div>
                            <w:div w:id="698242865">
                              <w:marLeft w:val="0"/>
                              <w:marRight w:val="0"/>
                              <w:marTop w:val="0"/>
                              <w:marBottom w:val="0"/>
                              <w:divBdr>
                                <w:top w:val="none" w:sz="0" w:space="0" w:color="auto"/>
                                <w:left w:val="none" w:sz="0" w:space="0" w:color="auto"/>
                                <w:bottom w:val="none" w:sz="0" w:space="0" w:color="auto"/>
                                <w:right w:val="none" w:sz="0" w:space="0" w:color="auto"/>
                              </w:divBdr>
                            </w:div>
                          </w:divsChild>
                        </w:div>
                        <w:div w:id="900361701">
                          <w:marLeft w:val="0"/>
                          <w:marRight w:val="0"/>
                          <w:marTop w:val="0"/>
                          <w:marBottom w:val="0"/>
                          <w:divBdr>
                            <w:top w:val="none" w:sz="0" w:space="0" w:color="auto"/>
                            <w:left w:val="none" w:sz="0" w:space="0" w:color="auto"/>
                            <w:bottom w:val="none" w:sz="0" w:space="0" w:color="auto"/>
                            <w:right w:val="none" w:sz="0" w:space="0" w:color="auto"/>
                          </w:divBdr>
                          <w:divsChild>
                            <w:div w:id="1440490560">
                              <w:marLeft w:val="0"/>
                              <w:marRight w:val="0"/>
                              <w:marTop w:val="0"/>
                              <w:marBottom w:val="0"/>
                              <w:divBdr>
                                <w:top w:val="none" w:sz="0" w:space="0" w:color="auto"/>
                                <w:left w:val="none" w:sz="0" w:space="0" w:color="auto"/>
                                <w:bottom w:val="none" w:sz="0" w:space="0" w:color="auto"/>
                                <w:right w:val="none" w:sz="0" w:space="0" w:color="auto"/>
                              </w:divBdr>
                            </w:div>
                            <w:div w:id="1806049001">
                              <w:marLeft w:val="0"/>
                              <w:marRight w:val="0"/>
                              <w:marTop w:val="0"/>
                              <w:marBottom w:val="0"/>
                              <w:divBdr>
                                <w:top w:val="none" w:sz="0" w:space="0" w:color="auto"/>
                                <w:left w:val="none" w:sz="0" w:space="0" w:color="auto"/>
                                <w:bottom w:val="none" w:sz="0" w:space="0" w:color="auto"/>
                                <w:right w:val="none" w:sz="0" w:space="0" w:color="auto"/>
                              </w:divBdr>
                            </w:div>
                            <w:div w:id="1537501312">
                              <w:marLeft w:val="0"/>
                              <w:marRight w:val="0"/>
                              <w:marTop w:val="0"/>
                              <w:marBottom w:val="0"/>
                              <w:divBdr>
                                <w:top w:val="none" w:sz="0" w:space="0" w:color="auto"/>
                                <w:left w:val="none" w:sz="0" w:space="0" w:color="auto"/>
                                <w:bottom w:val="none" w:sz="0" w:space="0" w:color="auto"/>
                                <w:right w:val="none" w:sz="0" w:space="0" w:color="auto"/>
                              </w:divBdr>
                            </w:div>
                            <w:div w:id="534931597">
                              <w:marLeft w:val="0"/>
                              <w:marRight w:val="0"/>
                              <w:marTop w:val="0"/>
                              <w:marBottom w:val="0"/>
                              <w:divBdr>
                                <w:top w:val="none" w:sz="0" w:space="0" w:color="auto"/>
                                <w:left w:val="none" w:sz="0" w:space="0" w:color="auto"/>
                                <w:bottom w:val="none" w:sz="0" w:space="0" w:color="auto"/>
                                <w:right w:val="none" w:sz="0" w:space="0" w:color="auto"/>
                              </w:divBdr>
                            </w:div>
                            <w:div w:id="317153624">
                              <w:marLeft w:val="0"/>
                              <w:marRight w:val="0"/>
                              <w:marTop w:val="0"/>
                              <w:marBottom w:val="0"/>
                              <w:divBdr>
                                <w:top w:val="none" w:sz="0" w:space="0" w:color="auto"/>
                                <w:left w:val="none" w:sz="0" w:space="0" w:color="auto"/>
                                <w:bottom w:val="none" w:sz="0" w:space="0" w:color="auto"/>
                                <w:right w:val="none" w:sz="0" w:space="0" w:color="auto"/>
                              </w:divBdr>
                            </w:div>
                            <w:div w:id="1148132463">
                              <w:marLeft w:val="0"/>
                              <w:marRight w:val="0"/>
                              <w:marTop w:val="0"/>
                              <w:marBottom w:val="0"/>
                              <w:divBdr>
                                <w:top w:val="none" w:sz="0" w:space="0" w:color="auto"/>
                                <w:left w:val="none" w:sz="0" w:space="0" w:color="auto"/>
                                <w:bottom w:val="none" w:sz="0" w:space="0" w:color="auto"/>
                                <w:right w:val="none" w:sz="0" w:space="0" w:color="auto"/>
                              </w:divBdr>
                            </w:div>
                            <w:div w:id="1885752991">
                              <w:marLeft w:val="0"/>
                              <w:marRight w:val="0"/>
                              <w:marTop w:val="0"/>
                              <w:marBottom w:val="0"/>
                              <w:divBdr>
                                <w:top w:val="none" w:sz="0" w:space="0" w:color="auto"/>
                                <w:left w:val="none" w:sz="0" w:space="0" w:color="auto"/>
                                <w:bottom w:val="none" w:sz="0" w:space="0" w:color="auto"/>
                                <w:right w:val="none" w:sz="0" w:space="0" w:color="auto"/>
                              </w:divBdr>
                            </w:div>
                            <w:div w:id="923218895">
                              <w:marLeft w:val="0"/>
                              <w:marRight w:val="0"/>
                              <w:marTop w:val="0"/>
                              <w:marBottom w:val="0"/>
                              <w:divBdr>
                                <w:top w:val="none" w:sz="0" w:space="0" w:color="auto"/>
                                <w:left w:val="none" w:sz="0" w:space="0" w:color="auto"/>
                                <w:bottom w:val="none" w:sz="0" w:space="0" w:color="auto"/>
                                <w:right w:val="none" w:sz="0" w:space="0" w:color="auto"/>
                              </w:divBdr>
                            </w:div>
                          </w:divsChild>
                        </w:div>
                        <w:div w:id="31200530">
                          <w:marLeft w:val="0"/>
                          <w:marRight w:val="0"/>
                          <w:marTop w:val="0"/>
                          <w:marBottom w:val="0"/>
                          <w:divBdr>
                            <w:top w:val="none" w:sz="0" w:space="0" w:color="auto"/>
                            <w:left w:val="none" w:sz="0" w:space="0" w:color="auto"/>
                            <w:bottom w:val="none" w:sz="0" w:space="0" w:color="auto"/>
                            <w:right w:val="none" w:sz="0" w:space="0" w:color="auto"/>
                          </w:divBdr>
                          <w:divsChild>
                            <w:div w:id="639112658">
                              <w:marLeft w:val="0"/>
                              <w:marRight w:val="0"/>
                              <w:marTop w:val="0"/>
                              <w:marBottom w:val="0"/>
                              <w:divBdr>
                                <w:top w:val="none" w:sz="0" w:space="0" w:color="auto"/>
                                <w:left w:val="none" w:sz="0" w:space="0" w:color="auto"/>
                                <w:bottom w:val="none" w:sz="0" w:space="0" w:color="auto"/>
                                <w:right w:val="none" w:sz="0" w:space="0" w:color="auto"/>
                              </w:divBdr>
                            </w:div>
                            <w:div w:id="936258424">
                              <w:marLeft w:val="0"/>
                              <w:marRight w:val="0"/>
                              <w:marTop w:val="0"/>
                              <w:marBottom w:val="0"/>
                              <w:divBdr>
                                <w:top w:val="none" w:sz="0" w:space="0" w:color="auto"/>
                                <w:left w:val="none" w:sz="0" w:space="0" w:color="auto"/>
                                <w:bottom w:val="none" w:sz="0" w:space="0" w:color="auto"/>
                                <w:right w:val="none" w:sz="0" w:space="0" w:color="auto"/>
                              </w:divBdr>
                            </w:div>
                            <w:div w:id="1202475203">
                              <w:marLeft w:val="0"/>
                              <w:marRight w:val="0"/>
                              <w:marTop w:val="0"/>
                              <w:marBottom w:val="0"/>
                              <w:divBdr>
                                <w:top w:val="none" w:sz="0" w:space="0" w:color="auto"/>
                                <w:left w:val="none" w:sz="0" w:space="0" w:color="auto"/>
                                <w:bottom w:val="none" w:sz="0" w:space="0" w:color="auto"/>
                                <w:right w:val="none" w:sz="0" w:space="0" w:color="auto"/>
                              </w:divBdr>
                            </w:div>
                            <w:div w:id="1931815115">
                              <w:marLeft w:val="0"/>
                              <w:marRight w:val="0"/>
                              <w:marTop w:val="0"/>
                              <w:marBottom w:val="0"/>
                              <w:divBdr>
                                <w:top w:val="none" w:sz="0" w:space="0" w:color="auto"/>
                                <w:left w:val="none" w:sz="0" w:space="0" w:color="auto"/>
                                <w:bottom w:val="none" w:sz="0" w:space="0" w:color="auto"/>
                                <w:right w:val="none" w:sz="0" w:space="0" w:color="auto"/>
                              </w:divBdr>
                            </w:div>
                            <w:div w:id="949824908">
                              <w:marLeft w:val="0"/>
                              <w:marRight w:val="0"/>
                              <w:marTop w:val="0"/>
                              <w:marBottom w:val="0"/>
                              <w:divBdr>
                                <w:top w:val="none" w:sz="0" w:space="0" w:color="auto"/>
                                <w:left w:val="none" w:sz="0" w:space="0" w:color="auto"/>
                                <w:bottom w:val="none" w:sz="0" w:space="0" w:color="auto"/>
                                <w:right w:val="none" w:sz="0" w:space="0" w:color="auto"/>
                              </w:divBdr>
                            </w:div>
                            <w:div w:id="2041471295">
                              <w:marLeft w:val="0"/>
                              <w:marRight w:val="0"/>
                              <w:marTop w:val="0"/>
                              <w:marBottom w:val="0"/>
                              <w:divBdr>
                                <w:top w:val="none" w:sz="0" w:space="0" w:color="auto"/>
                                <w:left w:val="none" w:sz="0" w:space="0" w:color="auto"/>
                                <w:bottom w:val="none" w:sz="0" w:space="0" w:color="auto"/>
                                <w:right w:val="none" w:sz="0" w:space="0" w:color="auto"/>
                              </w:divBdr>
                            </w:div>
                            <w:div w:id="1629118786">
                              <w:marLeft w:val="0"/>
                              <w:marRight w:val="0"/>
                              <w:marTop w:val="0"/>
                              <w:marBottom w:val="0"/>
                              <w:divBdr>
                                <w:top w:val="none" w:sz="0" w:space="0" w:color="auto"/>
                                <w:left w:val="none" w:sz="0" w:space="0" w:color="auto"/>
                                <w:bottom w:val="none" w:sz="0" w:space="0" w:color="auto"/>
                                <w:right w:val="none" w:sz="0" w:space="0" w:color="auto"/>
                              </w:divBdr>
                            </w:div>
                            <w:div w:id="1005087574">
                              <w:marLeft w:val="0"/>
                              <w:marRight w:val="0"/>
                              <w:marTop w:val="0"/>
                              <w:marBottom w:val="0"/>
                              <w:divBdr>
                                <w:top w:val="none" w:sz="0" w:space="0" w:color="auto"/>
                                <w:left w:val="none" w:sz="0" w:space="0" w:color="auto"/>
                                <w:bottom w:val="none" w:sz="0" w:space="0" w:color="auto"/>
                                <w:right w:val="none" w:sz="0" w:space="0" w:color="auto"/>
                              </w:divBdr>
                            </w:div>
                            <w:div w:id="1927958423">
                              <w:marLeft w:val="0"/>
                              <w:marRight w:val="0"/>
                              <w:marTop w:val="0"/>
                              <w:marBottom w:val="0"/>
                              <w:divBdr>
                                <w:top w:val="none" w:sz="0" w:space="0" w:color="auto"/>
                                <w:left w:val="none" w:sz="0" w:space="0" w:color="auto"/>
                                <w:bottom w:val="none" w:sz="0" w:space="0" w:color="auto"/>
                                <w:right w:val="none" w:sz="0" w:space="0" w:color="auto"/>
                              </w:divBdr>
                            </w:div>
                            <w:div w:id="1951230972">
                              <w:marLeft w:val="0"/>
                              <w:marRight w:val="0"/>
                              <w:marTop w:val="0"/>
                              <w:marBottom w:val="0"/>
                              <w:divBdr>
                                <w:top w:val="none" w:sz="0" w:space="0" w:color="auto"/>
                                <w:left w:val="none" w:sz="0" w:space="0" w:color="auto"/>
                                <w:bottom w:val="none" w:sz="0" w:space="0" w:color="auto"/>
                                <w:right w:val="none" w:sz="0" w:space="0" w:color="auto"/>
                              </w:divBdr>
                            </w:div>
                            <w:div w:id="995036708">
                              <w:marLeft w:val="0"/>
                              <w:marRight w:val="0"/>
                              <w:marTop w:val="0"/>
                              <w:marBottom w:val="0"/>
                              <w:divBdr>
                                <w:top w:val="none" w:sz="0" w:space="0" w:color="auto"/>
                                <w:left w:val="none" w:sz="0" w:space="0" w:color="auto"/>
                                <w:bottom w:val="none" w:sz="0" w:space="0" w:color="auto"/>
                                <w:right w:val="none" w:sz="0" w:space="0" w:color="auto"/>
                              </w:divBdr>
                            </w:div>
                            <w:div w:id="373970900">
                              <w:marLeft w:val="0"/>
                              <w:marRight w:val="0"/>
                              <w:marTop w:val="0"/>
                              <w:marBottom w:val="0"/>
                              <w:divBdr>
                                <w:top w:val="none" w:sz="0" w:space="0" w:color="auto"/>
                                <w:left w:val="none" w:sz="0" w:space="0" w:color="auto"/>
                                <w:bottom w:val="none" w:sz="0" w:space="0" w:color="auto"/>
                                <w:right w:val="none" w:sz="0" w:space="0" w:color="auto"/>
                              </w:divBdr>
                            </w:div>
                          </w:divsChild>
                        </w:div>
                        <w:div w:id="1856655575">
                          <w:marLeft w:val="0"/>
                          <w:marRight w:val="0"/>
                          <w:marTop w:val="0"/>
                          <w:marBottom w:val="0"/>
                          <w:divBdr>
                            <w:top w:val="none" w:sz="0" w:space="0" w:color="auto"/>
                            <w:left w:val="none" w:sz="0" w:space="0" w:color="auto"/>
                            <w:bottom w:val="none" w:sz="0" w:space="0" w:color="auto"/>
                            <w:right w:val="none" w:sz="0" w:space="0" w:color="auto"/>
                          </w:divBdr>
                          <w:divsChild>
                            <w:div w:id="1413235716">
                              <w:marLeft w:val="0"/>
                              <w:marRight w:val="0"/>
                              <w:marTop w:val="0"/>
                              <w:marBottom w:val="0"/>
                              <w:divBdr>
                                <w:top w:val="none" w:sz="0" w:space="0" w:color="auto"/>
                                <w:left w:val="none" w:sz="0" w:space="0" w:color="auto"/>
                                <w:bottom w:val="none" w:sz="0" w:space="0" w:color="auto"/>
                                <w:right w:val="none" w:sz="0" w:space="0" w:color="auto"/>
                              </w:divBdr>
                            </w:div>
                            <w:div w:id="1660503555">
                              <w:marLeft w:val="0"/>
                              <w:marRight w:val="0"/>
                              <w:marTop w:val="0"/>
                              <w:marBottom w:val="0"/>
                              <w:divBdr>
                                <w:top w:val="none" w:sz="0" w:space="0" w:color="auto"/>
                                <w:left w:val="none" w:sz="0" w:space="0" w:color="auto"/>
                                <w:bottom w:val="none" w:sz="0" w:space="0" w:color="auto"/>
                                <w:right w:val="none" w:sz="0" w:space="0" w:color="auto"/>
                              </w:divBdr>
                            </w:div>
                            <w:div w:id="76876145">
                              <w:marLeft w:val="0"/>
                              <w:marRight w:val="0"/>
                              <w:marTop w:val="0"/>
                              <w:marBottom w:val="0"/>
                              <w:divBdr>
                                <w:top w:val="none" w:sz="0" w:space="0" w:color="auto"/>
                                <w:left w:val="none" w:sz="0" w:space="0" w:color="auto"/>
                                <w:bottom w:val="none" w:sz="0" w:space="0" w:color="auto"/>
                                <w:right w:val="none" w:sz="0" w:space="0" w:color="auto"/>
                              </w:divBdr>
                            </w:div>
                            <w:div w:id="854460346">
                              <w:marLeft w:val="0"/>
                              <w:marRight w:val="0"/>
                              <w:marTop w:val="0"/>
                              <w:marBottom w:val="0"/>
                              <w:divBdr>
                                <w:top w:val="none" w:sz="0" w:space="0" w:color="auto"/>
                                <w:left w:val="none" w:sz="0" w:space="0" w:color="auto"/>
                                <w:bottom w:val="none" w:sz="0" w:space="0" w:color="auto"/>
                                <w:right w:val="none" w:sz="0" w:space="0" w:color="auto"/>
                              </w:divBdr>
                            </w:div>
                          </w:divsChild>
                        </w:div>
                        <w:div w:id="794954338">
                          <w:marLeft w:val="0"/>
                          <w:marRight w:val="0"/>
                          <w:marTop w:val="0"/>
                          <w:marBottom w:val="0"/>
                          <w:divBdr>
                            <w:top w:val="none" w:sz="0" w:space="0" w:color="auto"/>
                            <w:left w:val="none" w:sz="0" w:space="0" w:color="auto"/>
                            <w:bottom w:val="none" w:sz="0" w:space="0" w:color="auto"/>
                            <w:right w:val="none" w:sz="0" w:space="0" w:color="auto"/>
                          </w:divBdr>
                          <w:divsChild>
                            <w:div w:id="1590506646">
                              <w:marLeft w:val="0"/>
                              <w:marRight w:val="0"/>
                              <w:marTop w:val="0"/>
                              <w:marBottom w:val="0"/>
                              <w:divBdr>
                                <w:top w:val="none" w:sz="0" w:space="0" w:color="auto"/>
                                <w:left w:val="none" w:sz="0" w:space="0" w:color="auto"/>
                                <w:bottom w:val="none" w:sz="0" w:space="0" w:color="auto"/>
                                <w:right w:val="none" w:sz="0" w:space="0" w:color="auto"/>
                              </w:divBdr>
                            </w:div>
                            <w:div w:id="2000695816">
                              <w:marLeft w:val="0"/>
                              <w:marRight w:val="0"/>
                              <w:marTop w:val="0"/>
                              <w:marBottom w:val="0"/>
                              <w:divBdr>
                                <w:top w:val="none" w:sz="0" w:space="0" w:color="auto"/>
                                <w:left w:val="none" w:sz="0" w:space="0" w:color="auto"/>
                                <w:bottom w:val="none" w:sz="0" w:space="0" w:color="auto"/>
                                <w:right w:val="none" w:sz="0" w:space="0" w:color="auto"/>
                              </w:divBdr>
                            </w:div>
                            <w:div w:id="1967351916">
                              <w:marLeft w:val="0"/>
                              <w:marRight w:val="0"/>
                              <w:marTop w:val="0"/>
                              <w:marBottom w:val="0"/>
                              <w:divBdr>
                                <w:top w:val="none" w:sz="0" w:space="0" w:color="auto"/>
                                <w:left w:val="none" w:sz="0" w:space="0" w:color="auto"/>
                                <w:bottom w:val="none" w:sz="0" w:space="0" w:color="auto"/>
                                <w:right w:val="none" w:sz="0" w:space="0" w:color="auto"/>
                              </w:divBdr>
                            </w:div>
                            <w:div w:id="679239430">
                              <w:marLeft w:val="0"/>
                              <w:marRight w:val="0"/>
                              <w:marTop w:val="0"/>
                              <w:marBottom w:val="0"/>
                              <w:divBdr>
                                <w:top w:val="none" w:sz="0" w:space="0" w:color="auto"/>
                                <w:left w:val="none" w:sz="0" w:space="0" w:color="auto"/>
                                <w:bottom w:val="none" w:sz="0" w:space="0" w:color="auto"/>
                                <w:right w:val="none" w:sz="0" w:space="0" w:color="auto"/>
                              </w:divBdr>
                            </w:div>
                            <w:div w:id="412162164">
                              <w:marLeft w:val="0"/>
                              <w:marRight w:val="0"/>
                              <w:marTop w:val="0"/>
                              <w:marBottom w:val="0"/>
                              <w:divBdr>
                                <w:top w:val="none" w:sz="0" w:space="0" w:color="auto"/>
                                <w:left w:val="none" w:sz="0" w:space="0" w:color="auto"/>
                                <w:bottom w:val="none" w:sz="0" w:space="0" w:color="auto"/>
                                <w:right w:val="none" w:sz="0" w:space="0" w:color="auto"/>
                              </w:divBdr>
                            </w:div>
                          </w:divsChild>
                        </w:div>
                        <w:div w:id="992371454">
                          <w:marLeft w:val="0"/>
                          <w:marRight w:val="0"/>
                          <w:marTop w:val="0"/>
                          <w:marBottom w:val="0"/>
                          <w:divBdr>
                            <w:top w:val="none" w:sz="0" w:space="0" w:color="auto"/>
                            <w:left w:val="none" w:sz="0" w:space="0" w:color="auto"/>
                            <w:bottom w:val="none" w:sz="0" w:space="0" w:color="auto"/>
                            <w:right w:val="none" w:sz="0" w:space="0" w:color="auto"/>
                          </w:divBdr>
                          <w:divsChild>
                            <w:div w:id="1279338347">
                              <w:marLeft w:val="0"/>
                              <w:marRight w:val="0"/>
                              <w:marTop w:val="0"/>
                              <w:marBottom w:val="0"/>
                              <w:divBdr>
                                <w:top w:val="none" w:sz="0" w:space="0" w:color="auto"/>
                                <w:left w:val="none" w:sz="0" w:space="0" w:color="auto"/>
                                <w:bottom w:val="none" w:sz="0" w:space="0" w:color="auto"/>
                                <w:right w:val="none" w:sz="0" w:space="0" w:color="auto"/>
                              </w:divBdr>
                            </w:div>
                          </w:divsChild>
                        </w:div>
                        <w:div w:id="1594511088">
                          <w:marLeft w:val="0"/>
                          <w:marRight w:val="0"/>
                          <w:marTop w:val="0"/>
                          <w:marBottom w:val="0"/>
                          <w:divBdr>
                            <w:top w:val="none" w:sz="0" w:space="0" w:color="auto"/>
                            <w:left w:val="none" w:sz="0" w:space="0" w:color="auto"/>
                            <w:bottom w:val="none" w:sz="0" w:space="0" w:color="auto"/>
                            <w:right w:val="none" w:sz="0" w:space="0" w:color="auto"/>
                          </w:divBdr>
                          <w:divsChild>
                            <w:div w:id="1382055363">
                              <w:marLeft w:val="0"/>
                              <w:marRight w:val="0"/>
                              <w:marTop w:val="0"/>
                              <w:marBottom w:val="0"/>
                              <w:divBdr>
                                <w:top w:val="none" w:sz="0" w:space="0" w:color="auto"/>
                                <w:left w:val="none" w:sz="0" w:space="0" w:color="auto"/>
                                <w:bottom w:val="none" w:sz="0" w:space="0" w:color="auto"/>
                                <w:right w:val="none" w:sz="0" w:space="0" w:color="auto"/>
                              </w:divBdr>
                            </w:div>
                          </w:divsChild>
                        </w:div>
                        <w:div w:id="700857662">
                          <w:marLeft w:val="0"/>
                          <w:marRight w:val="0"/>
                          <w:marTop w:val="0"/>
                          <w:marBottom w:val="0"/>
                          <w:divBdr>
                            <w:top w:val="none" w:sz="0" w:space="0" w:color="auto"/>
                            <w:left w:val="none" w:sz="0" w:space="0" w:color="auto"/>
                            <w:bottom w:val="none" w:sz="0" w:space="0" w:color="auto"/>
                            <w:right w:val="none" w:sz="0" w:space="0" w:color="auto"/>
                          </w:divBdr>
                          <w:divsChild>
                            <w:div w:id="1585381840">
                              <w:marLeft w:val="0"/>
                              <w:marRight w:val="0"/>
                              <w:marTop w:val="0"/>
                              <w:marBottom w:val="0"/>
                              <w:divBdr>
                                <w:top w:val="none" w:sz="0" w:space="0" w:color="auto"/>
                                <w:left w:val="none" w:sz="0" w:space="0" w:color="auto"/>
                                <w:bottom w:val="none" w:sz="0" w:space="0" w:color="auto"/>
                                <w:right w:val="none" w:sz="0" w:space="0" w:color="auto"/>
                              </w:divBdr>
                            </w:div>
                            <w:div w:id="483283368">
                              <w:marLeft w:val="0"/>
                              <w:marRight w:val="0"/>
                              <w:marTop w:val="0"/>
                              <w:marBottom w:val="0"/>
                              <w:divBdr>
                                <w:top w:val="none" w:sz="0" w:space="0" w:color="auto"/>
                                <w:left w:val="none" w:sz="0" w:space="0" w:color="auto"/>
                                <w:bottom w:val="none" w:sz="0" w:space="0" w:color="auto"/>
                                <w:right w:val="none" w:sz="0" w:space="0" w:color="auto"/>
                              </w:divBdr>
                            </w:div>
                            <w:div w:id="844517509">
                              <w:marLeft w:val="0"/>
                              <w:marRight w:val="0"/>
                              <w:marTop w:val="0"/>
                              <w:marBottom w:val="0"/>
                              <w:divBdr>
                                <w:top w:val="none" w:sz="0" w:space="0" w:color="auto"/>
                                <w:left w:val="none" w:sz="0" w:space="0" w:color="auto"/>
                                <w:bottom w:val="none" w:sz="0" w:space="0" w:color="auto"/>
                                <w:right w:val="none" w:sz="0" w:space="0" w:color="auto"/>
                              </w:divBdr>
                            </w:div>
                          </w:divsChild>
                        </w:div>
                        <w:div w:id="834761420">
                          <w:marLeft w:val="0"/>
                          <w:marRight w:val="0"/>
                          <w:marTop w:val="0"/>
                          <w:marBottom w:val="0"/>
                          <w:divBdr>
                            <w:top w:val="none" w:sz="0" w:space="0" w:color="auto"/>
                            <w:left w:val="none" w:sz="0" w:space="0" w:color="auto"/>
                            <w:bottom w:val="none" w:sz="0" w:space="0" w:color="auto"/>
                            <w:right w:val="none" w:sz="0" w:space="0" w:color="auto"/>
                          </w:divBdr>
                          <w:divsChild>
                            <w:div w:id="23098414">
                              <w:marLeft w:val="0"/>
                              <w:marRight w:val="0"/>
                              <w:marTop w:val="0"/>
                              <w:marBottom w:val="0"/>
                              <w:divBdr>
                                <w:top w:val="none" w:sz="0" w:space="0" w:color="auto"/>
                                <w:left w:val="none" w:sz="0" w:space="0" w:color="auto"/>
                                <w:bottom w:val="none" w:sz="0" w:space="0" w:color="auto"/>
                                <w:right w:val="none" w:sz="0" w:space="0" w:color="auto"/>
                              </w:divBdr>
                            </w:div>
                          </w:divsChild>
                        </w:div>
                        <w:div w:id="15079956">
                          <w:marLeft w:val="0"/>
                          <w:marRight w:val="0"/>
                          <w:marTop w:val="0"/>
                          <w:marBottom w:val="0"/>
                          <w:divBdr>
                            <w:top w:val="none" w:sz="0" w:space="0" w:color="auto"/>
                            <w:left w:val="none" w:sz="0" w:space="0" w:color="auto"/>
                            <w:bottom w:val="none" w:sz="0" w:space="0" w:color="auto"/>
                            <w:right w:val="none" w:sz="0" w:space="0" w:color="auto"/>
                          </w:divBdr>
                          <w:divsChild>
                            <w:div w:id="558978159">
                              <w:marLeft w:val="0"/>
                              <w:marRight w:val="0"/>
                              <w:marTop w:val="0"/>
                              <w:marBottom w:val="0"/>
                              <w:divBdr>
                                <w:top w:val="none" w:sz="0" w:space="0" w:color="auto"/>
                                <w:left w:val="none" w:sz="0" w:space="0" w:color="auto"/>
                                <w:bottom w:val="none" w:sz="0" w:space="0" w:color="auto"/>
                                <w:right w:val="none" w:sz="0" w:space="0" w:color="auto"/>
                              </w:divBdr>
                            </w:div>
                            <w:div w:id="1275137379">
                              <w:marLeft w:val="0"/>
                              <w:marRight w:val="0"/>
                              <w:marTop w:val="0"/>
                              <w:marBottom w:val="0"/>
                              <w:divBdr>
                                <w:top w:val="none" w:sz="0" w:space="0" w:color="auto"/>
                                <w:left w:val="none" w:sz="0" w:space="0" w:color="auto"/>
                                <w:bottom w:val="none" w:sz="0" w:space="0" w:color="auto"/>
                                <w:right w:val="none" w:sz="0" w:space="0" w:color="auto"/>
                              </w:divBdr>
                            </w:div>
                            <w:div w:id="155534845">
                              <w:marLeft w:val="0"/>
                              <w:marRight w:val="0"/>
                              <w:marTop w:val="0"/>
                              <w:marBottom w:val="0"/>
                              <w:divBdr>
                                <w:top w:val="none" w:sz="0" w:space="0" w:color="auto"/>
                                <w:left w:val="none" w:sz="0" w:space="0" w:color="auto"/>
                                <w:bottom w:val="none" w:sz="0" w:space="0" w:color="auto"/>
                                <w:right w:val="none" w:sz="0" w:space="0" w:color="auto"/>
                              </w:divBdr>
                            </w:div>
                            <w:div w:id="263853337">
                              <w:marLeft w:val="0"/>
                              <w:marRight w:val="0"/>
                              <w:marTop w:val="0"/>
                              <w:marBottom w:val="0"/>
                              <w:divBdr>
                                <w:top w:val="none" w:sz="0" w:space="0" w:color="auto"/>
                                <w:left w:val="none" w:sz="0" w:space="0" w:color="auto"/>
                                <w:bottom w:val="none" w:sz="0" w:space="0" w:color="auto"/>
                                <w:right w:val="none" w:sz="0" w:space="0" w:color="auto"/>
                              </w:divBdr>
                            </w:div>
                          </w:divsChild>
                        </w:div>
                        <w:div w:id="2033190720">
                          <w:marLeft w:val="0"/>
                          <w:marRight w:val="0"/>
                          <w:marTop w:val="0"/>
                          <w:marBottom w:val="0"/>
                          <w:divBdr>
                            <w:top w:val="none" w:sz="0" w:space="0" w:color="auto"/>
                            <w:left w:val="none" w:sz="0" w:space="0" w:color="auto"/>
                            <w:bottom w:val="none" w:sz="0" w:space="0" w:color="auto"/>
                            <w:right w:val="none" w:sz="0" w:space="0" w:color="auto"/>
                          </w:divBdr>
                          <w:divsChild>
                            <w:div w:id="259795077">
                              <w:marLeft w:val="0"/>
                              <w:marRight w:val="0"/>
                              <w:marTop w:val="0"/>
                              <w:marBottom w:val="0"/>
                              <w:divBdr>
                                <w:top w:val="none" w:sz="0" w:space="0" w:color="auto"/>
                                <w:left w:val="none" w:sz="0" w:space="0" w:color="auto"/>
                                <w:bottom w:val="none" w:sz="0" w:space="0" w:color="auto"/>
                                <w:right w:val="none" w:sz="0" w:space="0" w:color="auto"/>
                              </w:divBdr>
                            </w:div>
                            <w:div w:id="1728914830">
                              <w:marLeft w:val="0"/>
                              <w:marRight w:val="0"/>
                              <w:marTop w:val="0"/>
                              <w:marBottom w:val="0"/>
                              <w:divBdr>
                                <w:top w:val="none" w:sz="0" w:space="0" w:color="auto"/>
                                <w:left w:val="none" w:sz="0" w:space="0" w:color="auto"/>
                                <w:bottom w:val="none" w:sz="0" w:space="0" w:color="auto"/>
                                <w:right w:val="none" w:sz="0" w:space="0" w:color="auto"/>
                              </w:divBdr>
                            </w:div>
                            <w:div w:id="1618368600">
                              <w:marLeft w:val="0"/>
                              <w:marRight w:val="0"/>
                              <w:marTop w:val="0"/>
                              <w:marBottom w:val="0"/>
                              <w:divBdr>
                                <w:top w:val="none" w:sz="0" w:space="0" w:color="auto"/>
                                <w:left w:val="none" w:sz="0" w:space="0" w:color="auto"/>
                                <w:bottom w:val="none" w:sz="0" w:space="0" w:color="auto"/>
                                <w:right w:val="none" w:sz="0" w:space="0" w:color="auto"/>
                              </w:divBdr>
                            </w:div>
                            <w:div w:id="1636713668">
                              <w:marLeft w:val="0"/>
                              <w:marRight w:val="0"/>
                              <w:marTop w:val="0"/>
                              <w:marBottom w:val="0"/>
                              <w:divBdr>
                                <w:top w:val="none" w:sz="0" w:space="0" w:color="auto"/>
                                <w:left w:val="none" w:sz="0" w:space="0" w:color="auto"/>
                                <w:bottom w:val="none" w:sz="0" w:space="0" w:color="auto"/>
                                <w:right w:val="none" w:sz="0" w:space="0" w:color="auto"/>
                              </w:divBdr>
                            </w:div>
                            <w:div w:id="1000934013">
                              <w:marLeft w:val="0"/>
                              <w:marRight w:val="0"/>
                              <w:marTop w:val="0"/>
                              <w:marBottom w:val="0"/>
                              <w:divBdr>
                                <w:top w:val="none" w:sz="0" w:space="0" w:color="auto"/>
                                <w:left w:val="none" w:sz="0" w:space="0" w:color="auto"/>
                                <w:bottom w:val="none" w:sz="0" w:space="0" w:color="auto"/>
                                <w:right w:val="none" w:sz="0" w:space="0" w:color="auto"/>
                              </w:divBdr>
                            </w:div>
                            <w:div w:id="1599748370">
                              <w:marLeft w:val="0"/>
                              <w:marRight w:val="0"/>
                              <w:marTop w:val="0"/>
                              <w:marBottom w:val="0"/>
                              <w:divBdr>
                                <w:top w:val="none" w:sz="0" w:space="0" w:color="auto"/>
                                <w:left w:val="none" w:sz="0" w:space="0" w:color="auto"/>
                                <w:bottom w:val="none" w:sz="0" w:space="0" w:color="auto"/>
                                <w:right w:val="none" w:sz="0" w:space="0" w:color="auto"/>
                              </w:divBdr>
                            </w:div>
                            <w:div w:id="89399990">
                              <w:marLeft w:val="0"/>
                              <w:marRight w:val="0"/>
                              <w:marTop w:val="0"/>
                              <w:marBottom w:val="0"/>
                              <w:divBdr>
                                <w:top w:val="none" w:sz="0" w:space="0" w:color="auto"/>
                                <w:left w:val="none" w:sz="0" w:space="0" w:color="auto"/>
                                <w:bottom w:val="none" w:sz="0" w:space="0" w:color="auto"/>
                                <w:right w:val="none" w:sz="0" w:space="0" w:color="auto"/>
                              </w:divBdr>
                            </w:div>
                            <w:div w:id="1069157211">
                              <w:marLeft w:val="0"/>
                              <w:marRight w:val="0"/>
                              <w:marTop w:val="0"/>
                              <w:marBottom w:val="0"/>
                              <w:divBdr>
                                <w:top w:val="none" w:sz="0" w:space="0" w:color="auto"/>
                                <w:left w:val="none" w:sz="0" w:space="0" w:color="auto"/>
                                <w:bottom w:val="none" w:sz="0" w:space="0" w:color="auto"/>
                                <w:right w:val="none" w:sz="0" w:space="0" w:color="auto"/>
                              </w:divBdr>
                            </w:div>
                            <w:div w:id="989014726">
                              <w:marLeft w:val="0"/>
                              <w:marRight w:val="0"/>
                              <w:marTop w:val="0"/>
                              <w:marBottom w:val="0"/>
                              <w:divBdr>
                                <w:top w:val="none" w:sz="0" w:space="0" w:color="auto"/>
                                <w:left w:val="none" w:sz="0" w:space="0" w:color="auto"/>
                                <w:bottom w:val="none" w:sz="0" w:space="0" w:color="auto"/>
                                <w:right w:val="none" w:sz="0" w:space="0" w:color="auto"/>
                              </w:divBdr>
                            </w:div>
                          </w:divsChild>
                        </w:div>
                        <w:div w:id="825557482">
                          <w:marLeft w:val="0"/>
                          <w:marRight w:val="0"/>
                          <w:marTop w:val="0"/>
                          <w:marBottom w:val="0"/>
                          <w:divBdr>
                            <w:top w:val="none" w:sz="0" w:space="0" w:color="auto"/>
                            <w:left w:val="none" w:sz="0" w:space="0" w:color="auto"/>
                            <w:bottom w:val="none" w:sz="0" w:space="0" w:color="auto"/>
                            <w:right w:val="none" w:sz="0" w:space="0" w:color="auto"/>
                          </w:divBdr>
                          <w:divsChild>
                            <w:div w:id="898632120">
                              <w:marLeft w:val="0"/>
                              <w:marRight w:val="0"/>
                              <w:marTop w:val="0"/>
                              <w:marBottom w:val="0"/>
                              <w:divBdr>
                                <w:top w:val="none" w:sz="0" w:space="0" w:color="auto"/>
                                <w:left w:val="none" w:sz="0" w:space="0" w:color="auto"/>
                                <w:bottom w:val="none" w:sz="0" w:space="0" w:color="auto"/>
                                <w:right w:val="none" w:sz="0" w:space="0" w:color="auto"/>
                              </w:divBdr>
                            </w:div>
                            <w:div w:id="1476752779">
                              <w:marLeft w:val="0"/>
                              <w:marRight w:val="0"/>
                              <w:marTop w:val="0"/>
                              <w:marBottom w:val="0"/>
                              <w:divBdr>
                                <w:top w:val="none" w:sz="0" w:space="0" w:color="auto"/>
                                <w:left w:val="none" w:sz="0" w:space="0" w:color="auto"/>
                                <w:bottom w:val="none" w:sz="0" w:space="0" w:color="auto"/>
                                <w:right w:val="none" w:sz="0" w:space="0" w:color="auto"/>
                              </w:divBdr>
                            </w:div>
                            <w:div w:id="13385140">
                              <w:marLeft w:val="0"/>
                              <w:marRight w:val="0"/>
                              <w:marTop w:val="0"/>
                              <w:marBottom w:val="0"/>
                              <w:divBdr>
                                <w:top w:val="none" w:sz="0" w:space="0" w:color="auto"/>
                                <w:left w:val="none" w:sz="0" w:space="0" w:color="auto"/>
                                <w:bottom w:val="none" w:sz="0" w:space="0" w:color="auto"/>
                                <w:right w:val="none" w:sz="0" w:space="0" w:color="auto"/>
                              </w:divBdr>
                            </w:div>
                            <w:div w:id="747339360">
                              <w:marLeft w:val="0"/>
                              <w:marRight w:val="0"/>
                              <w:marTop w:val="0"/>
                              <w:marBottom w:val="0"/>
                              <w:divBdr>
                                <w:top w:val="none" w:sz="0" w:space="0" w:color="auto"/>
                                <w:left w:val="none" w:sz="0" w:space="0" w:color="auto"/>
                                <w:bottom w:val="none" w:sz="0" w:space="0" w:color="auto"/>
                                <w:right w:val="none" w:sz="0" w:space="0" w:color="auto"/>
                              </w:divBdr>
                            </w:div>
                            <w:div w:id="1196043874">
                              <w:marLeft w:val="0"/>
                              <w:marRight w:val="0"/>
                              <w:marTop w:val="0"/>
                              <w:marBottom w:val="0"/>
                              <w:divBdr>
                                <w:top w:val="none" w:sz="0" w:space="0" w:color="auto"/>
                                <w:left w:val="none" w:sz="0" w:space="0" w:color="auto"/>
                                <w:bottom w:val="none" w:sz="0" w:space="0" w:color="auto"/>
                                <w:right w:val="none" w:sz="0" w:space="0" w:color="auto"/>
                              </w:divBdr>
                            </w:div>
                            <w:div w:id="1872918573">
                              <w:marLeft w:val="0"/>
                              <w:marRight w:val="0"/>
                              <w:marTop w:val="0"/>
                              <w:marBottom w:val="0"/>
                              <w:divBdr>
                                <w:top w:val="none" w:sz="0" w:space="0" w:color="auto"/>
                                <w:left w:val="none" w:sz="0" w:space="0" w:color="auto"/>
                                <w:bottom w:val="none" w:sz="0" w:space="0" w:color="auto"/>
                                <w:right w:val="none" w:sz="0" w:space="0" w:color="auto"/>
                              </w:divBdr>
                            </w:div>
                            <w:div w:id="1981424623">
                              <w:marLeft w:val="0"/>
                              <w:marRight w:val="0"/>
                              <w:marTop w:val="0"/>
                              <w:marBottom w:val="0"/>
                              <w:divBdr>
                                <w:top w:val="none" w:sz="0" w:space="0" w:color="auto"/>
                                <w:left w:val="none" w:sz="0" w:space="0" w:color="auto"/>
                                <w:bottom w:val="none" w:sz="0" w:space="0" w:color="auto"/>
                                <w:right w:val="none" w:sz="0" w:space="0" w:color="auto"/>
                              </w:divBdr>
                            </w:div>
                            <w:div w:id="193007708">
                              <w:marLeft w:val="0"/>
                              <w:marRight w:val="0"/>
                              <w:marTop w:val="0"/>
                              <w:marBottom w:val="0"/>
                              <w:divBdr>
                                <w:top w:val="none" w:sz="0" w:space="0" w:color="auto"/>
                                <w:left w:val="none" w:sz="0" w:space="0" w:color="auto"/>
                                <w:bottom w:val="none" w:sz="0" w:space="0" w:color="auto"/>
                                <w:right w:val="none" w:sz="0" w:space="0" w:color="auto"/>
                              </w:divBdr>
                            </w:div>
                            <w:div w:id="711806512">
                              <w:marLeft w:val="0"/>
                              <w:marRight w:val="0"/>
                              <w:marTop w:val="0"/>
                              <w:marBottom w:val="0"/>
                              <w:divBdr>
                                <w:top w:val="none" w:sz="0" w:space="0" w:color="auto"/>
                                <w:left w:val="none" w:sz="0" w:space="0" w:color="auto"/>
                                <w:bottom w:val="none" w:sz="0" w:space="0" w:color="auto"/>
                                <w:right w:val="none" w:sz="0" w:space="0" w:color="auto"/>
                              </w:divBdr>
                            </w:div>
                          </w:divsChild>
                        </w:div>
                        <w:div w:id="1700811639">
                          <w:marLeft w:val="0"/>
                          <w:marRight w:val="0"/>
                          <w:marTop w:val="0"/>
                          <w:marBottom w:val="0"/>
                          <w:divBdr>
                            <w:top w:val="none" w:sz="0" w:space="0" w:color="auto"/>
                            <w:left w:val="none" w:sz="0" w:space="0" w:color="auto"/>
                            <w:bottom w:val="none" w:sz="0" w:space="0" w:color="auto"/>
                            <w:right w:val="none" w:sz="0" w:space="0" w:color="auto"/>
                          </w:divBdr>
                          <w:divsChild>
                            <w:div w:id="2129160282">
                              <w:marLeft w:val="0"/>
                              <w:marRight w:val="0"/>
                              <w:marTop w:val="0"/>
                              <w:marBottom w:val="0"/>
                              <w:divBdr>
                                <w:top w:val="none" w:sz="0" w:space="0" w:color="auto"/>
                                <w:left w:val="none" w:sz="0" w:space="0" w:color="auto"/>
                                <w:bottom w:val="none" w:sz="0" w:space="0" w:color="auto"/>
                                <w:right w:val="none" w:sz="0" w:space="0" w:color="auto"/>
                              </w:divBdr>
                            </w:div>
                            <w:div w:id="654115409">
                              <w:marLeft w:val="0"/>
                              <w:marRight w:val="0"/>
                              <w:marTop w:val="0"/>
                              <w:marBottom w:val="0"/>
                              <w:divBdr>
                                <w:top w:val="none" w:sz="0" w:space="0" w:color="auto"/>
                                <w:left w:val="none" w:sz="0" w:space="0" w:color="auto"/>
                                <w:bottom w:val="none" w:sz="0" w:space="0" w:color="auto"/>
                                <w:right w:val="none" w:sz="0" w:space="0" w:color="auto"/>
                              </w:divBdr>
                            </w:div>
                            <w:div w:id="475225725">
                              <w:marLeft w:val="0"/>
                              <w:marRight w:val="0"/>
                              <w:marTop w:val="0"/>
                              <w:marBottom w:val="0"/>
                              <w:divBdr>
                                <w:top w:val="none" w:sz="0" w:space="0" w:color="auto"/>
                                <w:left w:val="none" w:sz="0" w:space="0" w:color="auto"/>
                                <w:bottom w:val="none" w:sz="0" w:space="0" w:color="auto"/>
                                <w:right w:val="none" w:sz="0" w:space="0" w:color="auto"/>
                              </w:divBdr>
                            </w:div>
                            <w:div w:id="231038892">
                              <w:marLeft w:val="0"/>
                              <w:marRight w:val="0"/>
                              <w:marTop w:val="0"/>
                              <w:marBottom w:val="0"/>
                              <w:divBdr>
                                <w:top w:val="none" w:sz="0" w:space="0" w:color="auto"/>
                                <w:left w:val="none" w:sz="0" w:space="0" w:color="auto"/>
                                <w:bottom w:val="none" w:sz="0" w:space="0" w:color="auto"/>
                                <w:right w:val="none" w:sz="0" w:space="0" w:color="auto"/>
                              </w:divBdr>
                            </w:div>
                            <w:div w:id="1524441160">
                              <w:marLeft w:val="0"/>
                              <w:marRight w:val="0"/>
                              <w:marTop w:val="0"/>
                              <w:marBottom w:val="0"/>
                              <w:divBdr>
                                <w:top w:val="none" w:sz="0" w:space="0" w:color="auto"/>
                                <w:left w:val="none" w:sz="0" w:space="0" w:color="auto"/>
                                <w:bottom w:val="none" w:sz="0" w:space="0" w:color="auto"/>
                                <w:right w:val="none" w:sz="0" w:space="0" w:color="auto"/>
                              </w:divBdr>
                            </w:div>
                            <w:div w:id="1942106916">
                              <w:marLeft w:val="0"/>
                              <w:marRight w:val="0"/>
                              <w:marTop w:val="0"/>
                              <w:marBottom w:val="0"/>
                              <w:divBdr>
                                <w:top w:val="none" w:sz="0" w:space="0" w:color="auto"/>
                                <w:left w:val="none" w:sz="0" w:space="0" w:color="auto"/>
                                <w:bottom w:val="none" w:sz="0" w:space="0" w:color="auto"/>
                                <w:right w:val="none" w:sz="0" w:space="0" w:color="auto"/>
                              </w:divBdr>
                            </w:div>
                            <w:div w:id="323582649">
                              <w:marLeft w:val="0"/>
                              <w:marRight w:val="0"/>
                              <w:marTop w:val="0"/>
                              <w:marBottom w:val="0"/>
                              <w:divBdr>
                                <w:top w:val="none" w:sz="0" w:space="0" w:color="auto"/>
                                <w:left w:val="none" w:sz="0" w:space="0" w:color="auto"/>
                                <w:bottom w:val="none" w:sz="0" w:space="0" w:color="auto"/>
                                <w:right w:val="none" w:sz="0" w:space="0" w:color="auto"/>
                              </w:divBdr>
                            </w:div>
                            <w:div w:id="1252280371">
                              <w:marLeft w:val="0"/>
                              <w:marRight w:val="0"/>
                              <w:marTop w:val="0"/>
                              <w:marBottom w:val="0"/>
                              <w:divBdr>
                                <w:top w:val="none" w:sz="0" w:space="0" w:color="auto"/>
                                <w:left w:val="none" w:sz="0" w:space="0" w:color="auto"/>
                                <w:bottom w:val="none" w:sz="0" w:space="0" w:color="auto"/>
                                <w:right w:val="none" w:sz="0" w:space="0" w:color="auto"/>
                              </w:divBdr>
                            </w:div>
                          </w:divsChild>
                        </w:div>
                        <w:div w:id="1604263820">
                          <w:marLeft w:val="0"/>
                          <w:marRight w:val="0"/>
                          <w:marTop w:val="0"/>
                          <w:marBottom w:val="0"/>
                          <w:divBdr>
                            <w:top w:val="none" w:sz="0" w:space="0" w:color="auto"/>
                            <w:left w:val="none" w:sz="0" w:space="0" w:color="auto"/>
                            <w:bottom w:val="none" w:sz="0" w:space="0" w:color="auto"/>
                            <w:right w:val="none" w:sz="0" w:space="0" w:color="auto"/>
                          </w:divBdr>
                          <w:divsChild>
                            <w:div w:id="587008551">
                              <w:marLeft w:val="0"/>
                              <w:marRight w:val="0"/>
                              <w:marTop w:val="0"/>
                              <w:marBottom w:val="0"/>
                              <w:divBdr>
                                <w:top w:val="none" w:sz="0" w:space="0" w:color="auto"/>
                                <w:left w:val="none" w:sz="0" w:space="0" w:color="auto"/>
                                <w:bottom w:val="none" w:sz="0" w:space="0" w:color="auto"/>
                                <w:right w:val="none" w:sz="0" w:space="0" w:color="auto"/>
                              </w:divBdr>
                            </w:div>
                            <w:div w:id="25646676">
                              <w:marLeft w:val="0"/>
                              <w:marRight w:val="0"/>
                              <w:marTop w:val="0"/>
                              <w:marBottom w:val="0"/>
                              <w:divBdr>
                                <w:top w:val="none" w:sz="0" w:space="0" w:color="auto"/>
                                <w:left w:val="none" w:sz="0" w:space="0" w:color="auto"/>
                                <w:bottom w:val="none" w:sz="0" w:space="0" w:color="auto"/>
                                <w:right w:val="none" w:sz="0" w:space="0" w:color="auto"/>
                              </w:divBdr>
                            </w:div>
                            <w:div w:id="1965038798">
                              <w:marLeft w:val="0"/>
                              <w:marRight w:val="0"/>
                              <w:marTop w:val="0"/>
                              <w:marBottom w:val="0"/>
                              <w:divBdr>
                                <w:top w:val="none" w:sz="0" w:space="0" w:color="auto"/>
                                <w:left w:val="none" w:sz="0" w:space="0" w:color="auto"/>
                                <w:bottom w:val="none" w:sz="0" w:space="0" w:color="auto"/>
                                <w:right w:val="none" w:sz="0" w:space="0" w:color="auto"/>
                              </w:divBdr>
                            </w:div>
                            <w:div w:id="185797922">
                              <w:marLeft w:val="0"/>
                              <w:marRight w:val="0"/>
                              <w:marTop w:val="0"/>
                              <w:marBottom w:val="0"/>
                              <w:divBdr>
                                <w:top w:val="none" w:sz="0" w:space="0" w:color="auto"/>
                                <w:left w:val="none" w:sz="0" w:space="0" w:color="auto"/>
                                <w:bottom w:val="none" w:sz="0" w:space="0" w:color="auto"/>
                                <w:right w:val="none" w:sz="0" w:space="0" w:color="auto"/>
                              </w:divBdr>
                            </w:div>
                          </w:divsChild>
                        </w:div>
                        <w:div w:id="603198256">
                          <w:marLeft w:val="0"/>
                          <w:marRight w:val="0"/>
                          <w:marTop w:val="0"/>
                          <w:marBottom w:val="0"/>
                          <w:divBdr>
                            <w:top w:val="none" w:sz="0" w:space="0" w:color="auto"/>
                            <w:left w:val="none" w:sz="0" w:space="0" w:color="auto"/>
                            <w:bottom w:val="none" w:sz="0" w:space="0" w:color="auto"/>
                            <w:right w:val="none" w:sz="0" w:space="0" w:color="auto"/>
                          </w:divBdr>
                          <w:divsChild>
                            <w:div w:id="1338388848">
                              <w:marLeft w:val="0"/>
                              <w:marRight w:val="0"/>
                              <w:marTop w:val="0"/>
                              <w:marBottom w:val="0"/>
                              <w:divBdr>
                                <w:top w:val="none" w:sz="0" w:space="0" w:color="auto"/>
                                <w:left w:val="none" w:sz="0" w:space="0" w:color="auto"/>
                                <w:bottom w:val="none" w:sz="0" w:space="0" w:color="auto"/>
                                <w:right w:val="none" w:sz="0" w:space="0" w:color="auto"/>
                              </w:divBdr>
                            </w:div>
                            <w:div w:id="638002711">
                              <w:marLeft w:val="0"/>
                              <w:marRight w:val="0"/>
                              <w:marTop w:val="0"/>
                              <w:marBottom w:val="0"/>
                              <w:divBdr>
                                <w:top w:val="none" w:sz="0" w:space="0" w:color="auto"/>
                                <w:left w:val="none" w:sz="0" w:space="0" w:color="auto"/>
                                <w:bottom w:val="none" w:sz="0" w:space="0" w:color="auto"/>
                                <w:right w:val="none" w:sz="0" w:space="0" w:color="auto"/>
                              </w:divBdr>
                            </w:div>
                            <w:div w:id="1121730855">
                              <w:marLeft w:val="0"/>
                              <w:marRight w:val="0"/>
                              <w:marTop w:val="0"/>
                              <w:marBottom w:val="0"/>
                              <w:divBdr>
                                <w:top w:val="none" w:sz="0" w:space="0" w:color="auto"/>
                                <w:left w:val="none" w:sz="0" w:space="0" w:color="auto"/>
                                <w:bottom w:val="none" w:sz="0" w:space="0" w:color="auto"/>
                                <w:right w:val="none" w:sz="0" w:space="0" w:color="auto"/>
                              </w:divBdr>
                            </w:div>
                            <w:div w:id="542252663">
                              <w:marLeft w:val="0"/>
                              <w:marRight w:val="0"/>
                              <w:marTop w:val="0"/>
                              <w:marBottom w:val="0"/>
                              <w:divBdr>
                                <w:top w:val="none" w:sz="0" w:space="0" w:color="auto"/>
                                <w:left w:val="none" w:sz="0" w:space="0" w:color="auto"/>
                                <w:bottom w:val="none" w:sz="0" w:space="0" w:color="auto"/>
                                <w:right w:val="none" w:sz="0" w:space="0" w:color="auto"/>
                              </w:divBdr>
                            </w:div>
                            <w:div w:id="1226989743">
                              <w:marLeft w:val="0"/>
                              <w:marRight w:val="0"/>
                              <w:marTop w:val="0"/>
                              <w:marBottom w:val="0"/>
                              <w:divBdr>
                                <w:top w:val="none" w:sz="0" w:space="0" w:color="auto"/>
                                <w:left w:val="none" w:sz="0" w:space="0" w:color="auto"/>
                                <w:bottom w:val="none" w:sz="0" w:space="0" w:color="auto"/>
                                <w:right w:val="none" w:sz="0" w:space="0" w:color="auto"/>
                              </w:divBdr>
                            </w:div>
                            <w:div w:id="883373708">
                              <w:marLeft w:val="0"/>
                              <w:marRight w:val="0"/>
                              <w:marTop w:val="0"/>
                              <w:marBottom w:val="0"/>
                              <w:divBdr>
                                <w:top w:val="none" w:sz="0" w:space="0" w:color="auto"/>
                                <w:left w:val="none" w:sz="0" w:space="0" w:color="auto"/>
                                <w:bottom w:val="none" w:sz="0" w:space="0" w:color="auto"/>
                                <w:right w:val="none" w:sz="0" w:space="0" w:color="auto"/>
                              </w:divBdr>
                            </w:div>
                          </w:divsChild>
                        </w:div>
                        <w:div w:id="1275595645">
                          <w:marLeft w:val="0"/>
                          <w:marRight w:val="0"/>
                          <w:marTop w:val="0"/>
                          <w:marBottom w:val="0"/>
                          <w:divBdr>
                            <w:top w:val="none" w:sz="0" w:space="0" w:color="auto"/>
                            <w:left w:val="none" w:sz="0" w:space="0" w:color="auto"/>
                            <w:bottom w:val="none" w:sz="0" w:space="0" w:color="auto"/>
                            <w:right w:val="none" w:sz="0" w:space="0" w:color="auto"/>
                          </w:divBdr>
                          <w:divsChild>
                            <w:div w:id="942225017">
                              <w:marLeft w:val="0"/>
                              <w:marRight w:val="0"/>
                              <w:marTop w:val="0"/>
                              <w:marBottom w:val="0"/>
                              <w:divBdr>
                                <w:top w:val="none" w:sz="0" w:space="0" w:color="auto"/>
                                <w:left w:val="none" w:sz="0" w:space="0" w:color="auto"/>
                                <w:bottom w:val="none" w:sz="0" w:space="0" w:color="auto"/>
                                <w:right w:val="none" w:sz="0" w:space="0" w:color="auto"/>
                              </w:divBdr>
                            </w:div>
                            <w:div w:id="1333140909">
                              <w:marLeft w:val="0"/>
                              <w:marRight w:val="0"/>
                              <w:marTop w:val="0"/>
                              <w:marBottom w:val="0"/>
                              <w:divBdr>
                                <w:top w:val="none" w:sz="0" w:space="0" w:color="auto"/>
                                <w:left w:val="none" w:sz="0" w:space="0" w:color="auto"/>
                                <w:bottom w:val="none" w:sz="0" w:space="0" w:color="auto"/>
                                <w:right w:val="none" w:sz="0" w:space="0" w:color="auto"/>
                              </w:divBdr>
                            </w:div>
                            <w:div w:id="7840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132753">
                      <w:marLeft w:val="0"/>
                      <w:marRight w:val="0"/>
                      <w:marTop w:val="0"/>
                      <w:marBottom w:val="0"/>
                      <w:divBdr>
                        <w:top w:val="none" w:sz="0" w:space="0" w:color="auto"/>
                        <w:left w:val="none" w:sz="0" w:space="0" w:color="auto"/>
                        <w:bottom w:val="none" w:sz="0" w:space="0" w:color="auto"/>
                        <w:right w:val="none" w:sz="0" w:space="0" w:color="auto"/>
                      </w:divBdr>
                      <w:divsChild>
                        <w:div w:id="734859669">
                          <w:marLeft w:val="0"/>
                          <w:marRight w:val="0"/>
                          <w:marTop w:val="0"/>
                          <w:marBottom w:val="0"/>
                          <w:divBdr>
                            <w:top w:val="none" w:sz="0" w:space="0" w:color="auto"/>
                            <w:left w:val="none" w:sz="0" w:space="0" w:color="auto"/>
                            <w:bottom w:val="none" w:sz="0" w:space="0" w:color="auto"/>
                            <w:right w:val="none" w:sz="0" w:space="0" w:color="auto"/>
                          </w:divBdr>
                        </w:div>
                        <w:div w:id="50470729">
                          <w:marLeft w:val="0"/>
                          <w:marRight w:val="0"/>
                          <w:marTop w:val="0"/>
                          <w:marBottom w:val="0"/>
                          <w:divBdr>
                            <w:top w:val="none" w:sz="0" w:space="0" w:color="auto"/>
                            <w:left w:val="none" w:sz="0" w:space="0" w:color="auto"/>
                            <w:bottom w:val="none" w:sz="0" w:space="0" w:color="auto"/>
                            <w:right w:val="none" w:sz="0" w:space="0" w:color="auto"/>
                          </w:divBdr>
                          <w:divsChild>
                            <w:div w:id="2111777783">
                              <w:marLeft w:val="0"/>
                              <w:marRight w:val="0"/>
                              <w:marTop w:val="0"/>
                              <w:marBottom w:val="0"/>
                              <w:divBdr>
                                <w:top w:val="none" w:sz="0" w:space="0" w:color="auto"/>
                                <w:left w:val="none" w:sz="0" w:space="0" w:color="auto"/>
                                <w:bottom w:val="none" w:sz="0" w:space="0" w:color="auto"/>
                                <w:right w:val="none" w:sz="0" w:space="0" w:color="auto"/>
                              </w:divBdr>
                            </w:div>
                            <w:div w:id="1354919477">
                              <w:marLeft w:val="0"/>
                              <w:marRight w:val="0"/>
                              <w:marTop w:val="0"/>
                              <w:marBottom w:val="0"/>
                              <w:divBdr>
                                <w:top w:val="none" w:sz="0" w:space="0" w:color="auto"/>
                                <w:left w:val="none" w:sz="0" w:space="0" w:color="auto"/>
                                <w:bottom w:val="none" w:sz="0" w:space="0" w:color="auto"/>
                                <w:right w:val="none" w:sz="0" w:space="0" w:color="auto"/>
                              </w:divBdr>
                            </w:div>
                            <w:div w:id="228224212">
                              <w:marLeft w:val="0"/>
                              <w:marRight w:val="0"/>
                              <w:marTop w:val="0"/>
                              <w:marBottom w:val="0"/>
                              <w:divBdr>
                                <w:top w:val="none" w:sz="0" w:space="0" w:color="auto"/>
                                <w:left w:val="none" w:sz="0" w:space="0" w:color="auto"/>
                                <w:bottom w:val="none" w:sz="0" w:space="0" w:color="auto"/>
                                <w:right w:val="none" w:sz="0" w:space="0" w:color="auto"/>
                              </w:divBdr>
                            </w:div>
                            <w:div w:id="1956598631">
                              <w:marLeft w:val="0"/>
                              <w:marRight w:val="0"/>
                              <w:marTop w:val="0"/>
                              <w:marBottom w:val="0"/>
                              <w:divBdr>
                                <w:top w:val="none" w:sz="0" w:space="0" w:color="auto"/>
                                <w:left w:val="none" w:sz="0" w:space="0" w:color="auto"/>
                                <w:bottom w:val="none" w:sz="0" w:space="0" w:color="auto"/>
                                <w:right w:val="none" w:sz="0" w:space="0" w:color="auto"/>
                              </w:divBdr>
                            </w:div>
                            <w:div w:id="1690645026">
                              <w:marLeft w:val="0"/>
                              <w:marRight w:val="0"/>
                              <w:marTop w:val="0"/>
                              <w:marBottom w:val="0"/>
                              <w:divBdr>
                                <w:top w:val="none" w:sz="0" w:space="0" w:color="auto"/>
                                <w:left w:val="none" w:sz="0" w:space="0" w:color="auto"/>
                                <w:bottom w:val="none" w:sz="0" w:space="0" w:color="auto"/>
                                <w:right w:val="none" w:sz="0" w:space="0" w:color="auto"/>
                              </w:divBdr>
                            </w:div>
                            <w:div w:id="591938268">
                              <w:marLeft w:val="0"/>
                              <w:marRight w:val="0"/>
                              <w:marTop w:val="0"/>
                              <w:marBottom w:val="0"/>
                              <w:divBdr>
                                <w:top w:val="none" w:sz="0" w:space="0" w:color="auto"/>
                                <w:left w:val="none" w:sz="0" w:space="0" w:color="auto"/>
                                <w:bottom w:val="none" w:sz="0" w:space="0" w:color="auto"/>
                                <w:right w:val="none" w:sz="0" w:space="0" w:color="auto"/>
                              </w:divBdr>
                            </w:div>
                            <w:div w:id="326397115">
                              <w:marLeft w:val="0"/>
                              <w:marRight w:val="0"/>
                              <w:marTop w:val="0"/>
                              <w:marBottom w:val="0"/>
                              <w:divBdr>
                                <w:top w:val="none" w:sz="0" w:space="0" w:color="auto"/>
                                <w:left w:val="none" w:sz="0" w:space="0" w:color="auto"/>
                                <w:bottom w:val="none" w:sz="0" w:space="0" w:color="auto"/>
                                <w:right w:val="none" w:sz="0" w:space="0" w:color="auto"/>
                              </w:divBdr>
                            </w:div>
                            <w:div w:id="1915503548">
                              <w:marLeft w:val="0"/>
                              <w:marRight w:val="0"/>
                              <w:marTop w:val="0"/>
                              <w:marBottom w:val="0"/>
                              <w:divBdr>
                                <w:top w:val="none" w:sz="0" w:space="0" w:color="auto"/>
                                <w:left w:val="none" w:sz="0" w:space="0" w:color="auto"/>
                                <w:bottom w:val="none" w:sz="0" w:space="0" w:color="auto"/>
                                <w:right w:val="none" w:sz="0" w:space="0" w:color="auto"/>
                              </w:divBdr>
                            </w:div>
                            <w:div w:id="234633894">
                              <w:marLeft w:val="0"/>
                              <w:marRight w:val="0"/>
                              <w:marTop w:val="0"/>
                              <w:marBottom w:val="0"/>
                              <w:divBdr>
                                <w:top w:val="none" w:sz="0" w:space="0" w:color="auto"/>
                                <w:left w:val="none" w:sz="0" w:space="0" w:color="auto"/>
                                <w:bottom w:val="none" w:sz="0" w:space="0" w:color="auto"/>
                                <w:right w:val="none" w:sz="0" w:space="0" w:color="auto"/>
                              </w:divBdr>
                            </w:div>
                          </w:divsChild>
                        </w:div>
                        <w:div w:id="1613970843">
                          <w:marLeft w:val="0"/>
                          <w:marRight w:val="0"/>
                          <w:marTop w:val="0"/>
                          <w:marBottom w:val="0"/>
                          <w:divBdr>
                            <w:top w:val="none" w:sz="0" w:space="0" w:color="auto"/>
                            <w:left w:val="none" w:sz="0" w:space="0" w:color="auto"/>
                            <w:bottom w:val="none" w:sz="0" w:space="0" w:color="auto"/>
                            <w:right w:val="none" w:sz="0" w:space="0" w:color="auto"/>
                          </w:divBdr>
                          <w:divsChild>
                            <w:div w:id="1036269274">
                              <w:marLeft w:val="0"/>
                              <w:marRight w:val="0"/>
                              <w:marTop w:val="0"/>
                              <w:marBottom w:val="0"/>
                              <w:divBdr>
                                <w:top w:val="none" w:sz="0" w:space="0" w:color="auto"/>
                                <w:left w:val="none" w:sz="0" w:space="0" w:color="auto"/>
                                <w:bottom w:val="none" w:sz="0" w:space="0" w:color="auto"/>
                                <w:right w:val="none" w:sz="0" w:space="0" w:color="auto"/>
                              </w:divBdr>
                            </w:div>
                            <w:div w:id="1715812317">
                              <w:marLeft w:val="0"/>
                              <w:marRight w:val="0"/>
                              <w:marTop w:val="0"/>
                              <w:marBottom w:val="0"/>
                              <w:divBdr>
                                <w:top w:val="none" w:sz="0" w:space="0" w:color="auto"/>
                                <w:left w:val="none" w:sz="0" w:space="0" w:color="auto"/>
                                <w:bottom w:val="none" w:sz="0" w:space="0" w:color="auto"/>
                                <w:right w:val="none" w:sz="0" w:space="0" w:color="auto"/>
                              </w:divBdr>
                            </w:div>
                            <w:div w:id="822818699">
                              <w:marLeft w:val="0"/>
                              <w:marRight w:val="0"/>
                              <w:marTop w:val="0"/>
                              <w:marBottom w:val="0"/>
                              <w:divBdr>
                                <w:top w:val="none" w:sz="0" w:space="0" w:color="auto"/>
                                <w:left w:val="none" w:sz="0" w:space="0" w:color="auto"/>
                                <w:bottom w:val="none" w:sz="0" w:space="0" w:color="auto"/>
                                <w:right w:val="none" w:sz="0" w:space="0" w:color="auto"/>
                              </w:divBdr>
                            </w:div>
                            <w:div w:id="2035228259">
                              <w:marLeft w:val="0"/>
                              <w:marRight w:val="0"/>
                              <w:marTop w:val="0"/>
                              <w:marBottom w:val="0"/>
                              <w:divBdr>
                                <w:top w:val="none" w:sz="0" w:space="0" w:color="auto"/>
                                <w:left w:val="none" w:sz="0" w:space="0" w:color="auto"/>
                                <w:bottom w:val="none" w:sz="0" w:space="0" w:color="auto"/>
                                <w:right w:val="none" w:sz="0" w:space="0" w:color="auto"/>
                              </w:divBdr>
                            </w:div>
                            <w:div w:id="1426683382">
                              <w:marLeft w:val="0"/>
                              <w:marRight w:val="0"/>
                              <w:marTop w:val="0"/>
                              <w:marBottom w:val="0"/>
                              <w:divBdr>
                                <w:top w:val="none" w:sz="0" w:space="0" w:color="auto"/>
                                <w:left w:val="none" w:sz="0" w:space="0" w:color="auto"/>
                                <w:bottom w:val="none" w:sz="0" w:space="0" w:color="auto"/>
                                <w:right w:val="none" w:sz="0" w:space="0" w:color="auto"/>
                              </w:divBdr>
                            </w:div>
                            <w:div w:id="3369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973403">
                      <w:marLeft w:val="0"/>
                      <w:marRight w:val="0"/>
                      <w:marTop w:val="0"/>
                      <w:marBottom w:val="0"/>
                      <w:divBdr>
                        <w:top w:val="none" w:sz="0" w:space="0" w:color="auto"/>
                        <w:left w:val="none" w:sz="0" w:space="0" w:color="auto"/>
                        <w:bottom w:val="none" w:sz="0" w:space="0" w:color="auto"/>
                        <w:right w:val="none" w:sz="0" w:space="0" w:color="auto"/>
                      </w:divBdr>
                      <w:divsChild>
                        <w:div w:id="1400862331">
                          <w:marLeft w:val="0"/>
                          <w:marRight w:val="0"/>
                          <w:marTop w:val="0"/>
                          <w:marBottom w:val="0"/>
                          <w:divBdr>
                            <w:top w:val="none" w:sz="0" w:space="0" w:color="auto"/>
                            <w:left w:val="none" w:sz="0" w:space="0" w:color="auto"/>
                            <w:bottom w:val="none" w:sz="0" w:space="0" w:color="auto"/>
                            <w:right w:val="none" w:sz="0" w:space="0" w:color="auto"/>
                          </w:divBdr>
                        </w:div>
                        <w:div w:id="603725935">
                          <w:marLeft w:val="0"/>
                          <w:marRight w:val="0"/>
                          <w:marTop w:val="0"/>
                          <w:marBottom w:val="0"/>
                          <w:divBdr>
                            <w:top w:val="none" w:sz="0" w:space="0" w:color="auto"/>
                            <w:left w:val="none" w:sz="0" w:space="0" w:color="auto"/>
                            <w:bottom w:val="none" w:sz="0" w:space="0" w:color="auto"/>
                            <w:right w:val="none" w:sz="0" w:space="0" w:color="auto"/>
                          </w:divBdr>
                          <w:divsChild>
                            <w:div w:id="1980375123">
                              <w:marLeft w:val="0"/>
                              <w:marRight w:val="0"/>
                              <w:marTop w:val="0"/>
                              <w:marBottom w:val="0"/>
                              <w:divBdr>
                                <w:top w:val="none" w:sz="0" w:space="0" w:color="auto"/>
                                <w:left w:val="none" w:sz="0" w:space="0" w:color="auto"/>
                                <w:bottom w:val="none" w:sz="0" w:space="0" w:color="auto"/>
                                <w:right w:val="none" w:sz="0" w:space="0" w:color="auto"/>
                              </w:divBdr>
                            </w:div>
                            <w:div w:id="2141805518">
                              <w:marLeft w:val="0"/>
                              <w:marRight w:val="0"/>
                              <w:marTop w:val="0"/>
                              <w:marBottom w:val="0"/>
                              <w:divBdr>
                                <w:top w:val="none" w:sz="0" w:space="0" w:color="auto"/>
                                <w:left w:val="none" w:sz="0" w:space="0" w:color="auto"/>
                                <w:bottom w:val="none" w:sz="0" w:space="0" w:color="auto"/>
                                <w:right w:val="none" w:sz="0" w:space="0" w:color="auto"/>
                              </w:divBdr>
                            </w:div>
                            <w:div w:id="271132818">
                              <w:marLeft w:val="0"/>
                              <w:marRight w:val="0"/>
                              <w:marTop w:val="0"/>
                              <w:marBottom w:val="0"/>
                              <w:divBdr>
                                <w:top w:val="none" w:sz="0" w:space="0" w:color="auto"/>
                                <w:left w:val="none" w:sz="0" w:space="0" w:color="auto"/>
                                <w:bottom w:val="none" w:sz="0" w:space="0" w:color="auto"/>
                                <w:right w:val="none" w:sz="0" w:space="0" w:color="auto"/>
                              </w:divBdr>
                            </w:div>
                            <w:div w:id="7145000">
                              <w:marLeft w:val="0"/>
                              <w:marRight w:val="0"/>
                              <w:marTop w:val="0"/>
                              <w:marBottom w:val="0"/>
                              <w:divBdr>
                                <w:top w:val="none" w:sz="0" w:space="0" w:color="auto"/>
                                <w:left w:val="none" w:sz="0" w:space="0" w:color="auto"/>
                                <w:bottom w:val="none" w:sz="0" w:space="0" w:color="auto"/>
                                <w:right w:val="none" w:sz="0" w:space="0" w:color="auto"/>
                              </w:divBdr>
                            </w:div>
                            <w:div w:id="801191464">
                              <w:marLeft w:val="0"/>
                              <w:marRight w:val="0"/>
                              <w:marTop w:val="0"/>
                              <w:marBottom w:val="0"/>
                              <w:divBdr>
                                <w:top w:val="none" w:sz="0" w:space="0" w:color="auto"/>
                                <w:left w:val="none" w:sz="0" w:space="0" w:color="auto"/>
                                <w:bottom w:val="none" w:sz="0" w:space="0" w:color="auto"/>
                                <w:right w:val="none" w:sz="0" w:space="0" w:color="auto"/>
                              </w:divBdr>
                            </w:div>
                            <w:div w:id="1130201017">
                              <w:marLeft w:val="0"/>
                              <w:marRight w:val="0"/>
                              <w:marTop w:val="0"/>
                              <w:marBottom w:val="0"/>
                              <w:divBdr>
                                <w:top w:val="none" w:sz="0" w:space="0" w:color="auto"/>
                                <w:left w:val="none" w:sz="0" w:space="0" w:color="auto"/>
                                <w:bottom w:val="none" w:sz="0" w:space="0" w:color="auto"/>
                                <w:right w:val="none" w:sz="0" w:space="0" w:color="auto"/>
                              </w:divBdr>
                            </w:div>
                            <w:div w:id="387807328">
                              <w:marLeft w:val="0"/>
                              <w:marRight w:val="0"/>
                              <w:marTop w:val="0"/>
                              <w:marBottom w:val="0"/>
                              <w:divBdr>
                                <w:top w:val="none" w:sz="0" w:space="0" w:color="auto"/>
                                <w:left w:val="none" w:sz="0" w:space="0" w:color="auto"/>
                                <w:bottom w:val="none" w:sz="0" w:space="0" w:color="auto"/>
                                <w:right w:val="none" w:sz="0" w:space="0" w:color="auto"/>
                              </w:divBdr>
                            </w:div>
                          </w:divsChild>
                        </w:div>
                        <w:div w:id="1969777709">
                          <w:marLeft w:val="0"/>
                          <w:marRight w:val="0"/>
                          <w:marTop w:val="0"/>
                          <w:marBottom w:val="0"/>
                          <w:divBdr>
                            <w:top w:val="none" w:sz="0" w:space="0" w:color="auto"/>
                            <w:left w:val="none" w:sz="0" w:space="0" w:color="auto"/>
                            <w:bottom w:val="none" w:sz="0" w:space="0" w:color="auto"/>
                            <w:right w:val="none" w:sz="0" w:space="0" w:color="auto"/>
                          </w:divBdr>
                          <w:divsChild>
                            <w:div w:id="1498155213">
                              <w:marLeft w:val="0"/>
                              <w:marRight w:val="0"/>
                              <w:marTop w:val="0"/>
                              <w:marBottom w:val="0"/>
                              <w:divBdr>
                                <w:top w:val="none" w:sz="0" w:space="0" w:color="auto"/>
                                <w:left w:val="none" w:sz="0" w:space="0" w:color="auto"/>
                                <w:bottom w:val="none" w:sz="0" w:space="0" w:color="auto"/>
                                <w:right w:val="none" w:sz="0" w:space="0" w:color="auto"/>
                              </w:divBdr>
                            </w:div>
                            <w:div w:id="656960403">
                              <w:marLeft w:val="0"/>
                              <w:marRight w:val="0"/>
                              <w:marTop w:val="0"/>
                              <w:marBottom w:val="0"/>
                              <w:divBdr>
                                <w:top w:val="none" w:sz="0" w:space="0" w:color="auto"/>
                                <w:left w:val="none" w:sz="0" w:space="0" w:color="auto"/>
                                <w:bottom w:val="none" w:sz="0" w:space="0" w:color="auto"/>
                                <w:right w:val="none" w:sz="0" w:space="0" w:color="auto"/>
                              </w:divBdr>
                            </w:div>
                            <w:div w:id="136999376">
                              <w:marLeft w:val="0"/>
                              <w:marRight w:val="0"/>
                              <w:marTop w:val="0"/>
                              <w:marBottom w:val="0"/>
                              <w:divBdr>
                                <w:top w:val="none" w:sz="0" w:space="0" w:color="auto"/>
                                <w:left w:val="none" w:sz="0" w:space="0" w:color="auto"/>
                                <w:bottom w:val="none" w:sz="0" w:space="0" w:color="auto"/>
                                <w:right w:val="none" w:sz="0" w:space="0" w:color="auto"/>
                              </w:divBdr>
                            </w:div>
                          </w:divsChild>
                        </w:div>
                        <w:div w:id="996424600">
                          <w:marLeft w:val="0"/>
                          <w:marRight w:val="0"/>
                          <w:marTop w:val="0"/>
                          <w:marBottom w:val="0"/>
                          <w:divBdr>
                            <w:top w:val="none" w:sz="0" w:space="0" w:color="auto"/>
                            <w:left w:val="none" w:sz="0" w:space="0" w:color="auto"/>
                            <w:bottom w:val="none" w:sz="0" w:space="0" w:color="auto"/>
                            <w:right w:val="none" w:sz="0" w:space="0" w:color="auto"/>
                          </w:divBdr>
                          <w:divsChild>
                            <w:div w:id="377049594">
                              <w:marLeft w:val="0"/>
                              <w:marRight w:val="0"/>
                              <w:marTop w:val="0"/>
                              <w:marBottom w:val="0"/>
                              <w:divBdr>
                                <w:top w:val="none" w:sz="0" w:space="0" w:color="auto"/>
                                <w:left w:val="none" w:sz="0" w:space="0" w:color="auto"/>
                                <w:bottom w:val="none" w:sz="0" w:space="0" w:color="auto"/>
                                <w:right w:val="none" w:sz="0" w:space="0" w:color="auto"/>
                              </w:divBdr>
                            </w:div>
                            <w:div w:id="2084136620">
                              <w:marLeft w:val="0"/>
                              <w:marRight w:val="0"/>
                              <w:marTop w:val="0"/>
                              <w:marBottom w:val="0"/>
                              <w:divBdr>
                                <w:top w:val="none" w:sz="0" w:space="0" w:color="auto"/>
                                <w:left w:val="none" w:sz="0" w:space="0" w:color="auto"/>
                                <w:bottom w:val="none" w:sz="0" w:space="0" w:color="auto"/>
                                <w:right w:val="none" w:sz="0" w:space="0" w:color="auto"/>
                              </w:divBdr>
                            </w:div>
                            <w:div w:id="1922834229">
                              <w:marLeft w:val="0"/>
                              <w:marRight w:val="0"/>
                              <w:marTop w:val="0"/>
                              <w:marBottom w:val="0"/>
                              <w:divBdr>
                                <w:top w:val="none" w:sz="0" w:space="0" w:color="auto"/>
                                <w:left w:val="none" w:sz="0" w:space="0" w:color="auto"/>
                                <w:bottom w:val="none" w:sz="0" w:space="0" w:color="auto"/>
                                <w:right w:val="none" w:sz="0" w:space="0" w:color="auto"/>
                              </w:divBdr>
                            </w:div>
                          </w:divsChild>
                        </w:div>
                        <w:div w:id="223639569">
                          <w:marLeft w:val="0"/>
                          <w:marRight w:val="0"/>
                          <w:marTop w:val="0"/>
                          <w:marBottom w:val="0"/>
                          <w:divBdr>
                            <w:top w:val="none" w:sz="0" w:space="0" w:color="auto"/>
                            <w:left w:val="none" w:sz="0" w:space="0" w:color="auto"/>
                            <w:bottom w:val="none" w:sz="0" w:space="0" w:color="auto"/>
                            <w:right w:val="none" w:sz="0" w:space="0" w:color="auto"/>
                          </w:divBdr>
                          <w:divsChild>
                            <w:div w:id="1262296049">
                              <w:marLeft w:val="0"/>
                              <w:marRight w:val="0"/>
                              <w:marTop w:val="0"/>
                              <w:marBottom w:val="0"/>
                              <w:divBdr>
                                <w:top w:val="none" w:sz="0" w:space="0" w:color="auto"/>
                                <w:left w:val="none" w:sz="0" w:space="0" w:color="auto"/>
                                <w:bottom w:val="none" w:sz="0" w:space="0" w:color="auto"/>
                                <w:right w:val="none" w:sz="0" w:space="0" w:color="auto"/>
                              </w:divBdr>
                            </w:div>
                            <w:div w:id="1928735232">
                              <w:marLeft w:val="0"/>
                              <w:marRight w:val="0"/>
                              <w:marTop w:val="0"/>
                              <w:marBottom w:val="0"/>
                              <w:divBdr>
                                <w:top w:val="none" w:sz="0" w:space="0" w:color="auto"/>
                                <w:left w:val="none" w:sz="0" w:space="0" w:color="auto"/>
                                <w:bottom w:val="none" w:sz="0" w:space="0" w:color="auto"/>
                                <w:right w:val="none" w:sz="0" w:space="0" w:color="auto"/>
                              </w:divBdr>
                            </w:div>
                            <w:div w:id="1034966359">
                              <w:marLeft w:val="0"/>
                              <w:marRight w:val="0"/>
                              <w:marTop w:val="0"/>
                              <w:marBottom w:val="0"/>
                              <w:divBdr>
                                <w:top w:val="none" w:sz="0" w:space="0" w:color="auto"/>
                                <w:left w:val="none" w:sz="0" w:space="0" w:color="auto"/>
                                <w:bottom w:val="none" w:sz="0" w:space="0" w:color="auto"/>
                                <w:right w:val="none" w:sz="0" w:space="0" w:color="auto"/>
                              </w:divBdr>
                            </w:div>
                            <w:div w:id="265891059">
                              <w:marLeft w:val="0"/>
                              <w:marRight w:val="0"/>
                              <w:marTop w:val="0"/>
                              <w:marBottom w:val="0"/>
                              <w:divBdr>
                                <w:top w:val="none" w:sz="0" w:space="0" w:color="auto"/>
                                <w:left w:val="none" w:sz="0" w:space="0" w:color="auto"/>
                                <w:bottom w:val="none" w:sz="0" w:space="0" w:color="auto"/>
                                <w:right w:val="none" w:sz="0" w:space="0" w:color="auto"/>
                              </w:divBdr>
                            </w:div>
                            <w:div w:id="1972394397">
                              <w:marLeft w:val="0"/>
                              <w:marRight w:val="0"/>
                              <w:marTop w:val="0"/>
                              <w:marBottom w:val="0"/>
                              <w:divBdr>
                                <w:top w:val="none" w:sz="0" w:space="0" w:color="auto"/>
                                <w:left w:val="none" w:sz="0" w:space="0" w:color="auto"/>
                                <w:bottom w:val="none" w:sz="0" w:space="0" w:color="auto"/>
                                <w:right w:val="none" w:sz="0" w:space="0" w:color="auto"/>
                              </w:divBdr>
                            </w:div>
                          </w:divsChild>
                        </w:div>
                        <w:div w:id="847208048">
                          <w:marLeft w:val="0"/>
                          <w:marRight w:val="0"/>
                          <w:marTop w:val="0"/>
                          <w:marBottom w:val="0"/>
                          <w:divBdr>
                            <w:top w:val="none" w:sz="0" w:space="0" w:color="auto"/>
                            <w:left w:val="none" w:sz="0" w:space="0" w:color="auto"/>
                            <w:bottom w:val="none" w:sz="0" w:space="0" w:color="auto"/>
                            <w:right w:val="none" w:sz="0" w:space="0" w:color="auto"/>
                          </w:divBdr>
                          <w:divsChild>
                            <w:div w:id="1020934838">
                              <w:marLeft w:val="0"/>
                              <w:marRight w:val="0"/>
                              <w:marTop w:val="0"/>
                              <w:marBottom w:val="0"/>
                              <w:divBdr>
                                <w:top w:val="none" w:sz="0" w:space="0" w:color="auto"/>
                                <w:left w:val="none" w:sz="0" w:space="0" w:color="auto"/>
                                <w:bottom w:val="none" w:sz="0" w:space="0" w:color="auto"/>
                                <w:right w:val="none" w:sz="0" w:space="0" w:color="auto"/>
                              </w:divBdr>
                            </w:div>
                            <w:div w:id="1737630339">
                              <w:marLeft w:val="0"/>
                              <w:marRight w:val="0"/>
                              <w:marTop w:val="0"/>
                              <w:marBottom w:val="0"/>
                              <w:divBdr>
                                <w:top w:val="none" w:sz="0" w:space="0" w:color="auto"/>
                                <w:left w:val="none" w:sz="0" w:space="0" w:color="auto"/>
                                <w:bottom w:val="none" w:sz="0" w:space="0" w:color="auto"/>
                                <w:right w:val="none" w:sz="0" w:space="0" w:color="auto"/>
                              </w:divBdr>
                            </w:div>
                            <w:div w:id="408500855">
                              <w:marLeft w:val="0"/>
                              <w:marRight w:val="0"/>
                              <w:marTop w:val="0"/>
                              <w:marBottom w:val="0"/>
                              <w:divBdr>
                                <w:top w:val="none" w:sz="0" w:space="0" w:color="auto"/>
                                <w:left w:val="none" w:sz="0" w:space="0" w:color="auto"/>
                                <w:bottom w:val="none" w:sz="0" w:space="0" w:color="auto"/>
                                <w:right w:val="none" w:sz="0" w:space="0" w:color="auto"/>
                              </w:divBdr>
                            </w:div>
                            <w:div w:id="12149711">
                              <w:marLeft w:val="0"/>
                              <w:marRight w:val="0"/>
                              <w:marTop w:val="0"/>
                              <w:marBottom w:val="0"/>
                              <w:divBdr>
                                <w:top w:val="none" w:sz="0" w:space="0" w:color="auto"/>
                                <w:left w:val="none" w:sz="0" w:space="0" w:color="auto"/>
                                <w:bottom w:val="none" w:sz="0" w:space="0" w:color="auto"/>
                                <w:right w:val="none" w:sz="0" w:space="0" w:color="auto"/>
                              </w:divBdr>
                            </w:div>
                          </w:divsChild>
                        </w:div>
                        <w:div w:id="718671441">
                          <w:marLeft w:val="0"/>
                          <w:marRight w:val="0"/>
                          <w:marTop w:val="0"/>
                          <w:marBottom w:val="0"/>
                          <w:divBdr>
                            <w:top w:val="none" w:sz="0" w:space="0" w:color="auto"/>
                            <w:left w:val="none" w:sz="0" w:space="0" w:color="auto"/>
                            <w:bottom w:val="none" w:sz="0" w:space="0" w:color="auto"/>
                            <w:right w:val="none" w:sz="0" w:space="0" w:color="auto"/>
                          </w:divBdr>
                          <w:divsChild>
                            <w:div w:id="12427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76989">
                      <w:marLeft w:val="0"/>
                      <w:marRight w:val="0"/>
                      <w:marTop w:val="0"/>
                      <w:marBottom w:val="0"/>
                      <w:divBdr>
                        <w:top w:val="none" w:sz="0" w:space="0" w:color="auto"/>
                        <w:left w:val="none" w:sz="0" w:space="0" w:color="auto"/>
                        <w:bottom w:val="none" w:sz="0" w:space="0" w:color="auto"/>
                        <w:right w:val="none" w:sz="0" w:space="0" w:color="auto"/>
                      </w:divBdr>
                      <w:divsChild>
                        <w:div w:id="1388989457">
                          <w:marLeft w:val="0"/>
                          <w:marRight w:val="0"/>
                          <w:marTop w:val="0"/>
                          <w:marBottom w:val="0"/>
                          <w:divBdr>
                            <w:top w:val="none" w:sz="0" w:space="0" w:color="auto"/>
                            <w:left w:val="none" w:sz="0" w:space="0" w:color="auto"/>
                            <w:bottom w:val="none" w:sz="0" w:space="0" w:color="auto"/>
                            <w:right w:val="none" w:sz="0" w:space="0" w:color="auto"/>
                          </w:divBdr>
                        </w:div>
                        <w:div w:id="801508968">
                          <w:marLeft w:val="0"/>
                          <w:marRight w:val="0"/>
                          <w:marTop w:val="0"/>
                          <w:marBottom w:val="0"/>
                          <w:divBdr>
                            <w:top w:val="none" w:sz="0" w:space="0" w:color="auto"/>
                            <w:left w:val="none" w:sz="0" w:space="0" w:color="auto"/>
                            <w:bottom w:val="none" w:sz="0" w:space="0" w:color="auto"/>
                            <w:right w:val="none" w:sz="0" w:space="0" w:color="auto"/>
                          </w:divBdr>
                          <w:divsChild>
                            <w:div w:id="986667624">
                              <w:marLeft w:val="0"/>
                              <w:marRight w:val="0"/>
                              <w:marTop w:val="0"/>
                              <w:marBottom w:val="0"/>
                              <w:divBdr>
                                <w:top w:val="none" w:sz="0" w:space="0" w:color="auto"/>
                                <w:left w:val="none" w:sz="0" w:space="0" w:color="auto"/>
                                <w:bottom w:val="none" w:sz="0" w:space="0" w:color="auto"/>
                                <w:right w:val="none" w:sz="0" w:space="0" w:color="auto"/>
                              </w:divBdr>
                            </w:div>
                            <w:div w:id="1867909289">
                              <w:marLeft w:val="0"/>
                              <w:marRight w:val="0"/>
                              <w:marTop w:val="0"/>
                              <w:marBottom w:val="0"/>
                              <w:divBdr>
                                <w:top w:val="none" w:sz="0" w:space="0" w:color="auto"/>
                                <w:left w:val="none" w:sz="0" w:space="0" w:color="auto"/>
                                <w:bottom w:val="none" w:sz="0" w:space="0" w:color="auto"/>
                                <w:right w:val="none" w:sz="0" w:space="0" w:color="auto"/>
                              </w:divBdr>
                            </w:div>
                            <w:div w:id="1425103669">
                              <w:marLeft w:val="0"/>
                              <w:marRight w:val="0"/>
                              <w:marTop w:val="0"/>
                              <w:marBottom w:val="0"/>
                              <w:divBdr>
                                <w:top w:val="none" w:sz="0" w:space="0" w:color="auto"/>
                                <w:left w:val="none" w:sz="0" w:space="0" w:color="auto"/>
                                <w:bottom w:val="none" w:sz="0" w:space="0" w:color="auto"/>
                                <w:right w:val="none" w:sz="0" w:space="0" w:color="auto"/>
                              </w:divBdr>
                            </w:div>
                            <w:div w:id="615142571">
                              <w:marLeft w:val="0"/>
                              <w:marRight w:val="0"/>
                              <w:marTop w:val="0"/>
                              <w:marBottom w:val="0"/>
                              <w:divBdr>
                                <w:top w:val="none" w:sz="0" w:space="0" w:color="auto"/>
                                <w:left w:val="none" w:sz="0" w:space="0" w:color="auto"/>
                                <w:bottom w:val="none" w:sz="0" w:space="0" w:color="auto"/>
                                <w:right w:val="none" w:sz="0" w:space="0" w:color="auto"/>
                              </w:divBdr>
                            </w:div>
                            <w:div w:id="1320308766">
                              <w:marLeft w:val="0"/>
                              <w:marRight w:val="0"/>
                              <w:marTop w:val="0"/>
                              <w:marBottom w:val="0"/>
                              <w:divBdr>
                                <w:top w:val="none" w:sz="0" w:space="0" w:color="auto"/>
                                <w:left w:val="none" w:sz="0" w:space="0" w:color="auto"/>
                                <w:bottom w:val="none" w:sz="0" w:space="0" w:color="auto"/>
                                <w:right w:val="none" w:sz="0" w:space="0" w:color="auto"/>
                              </w:divBdr>
                            </w:div>
                            <w:div w:id="2065175454">
                              <w:marLeft w:val="0"/>
                              <w:marRight w:val="0"/>
                              <w:marTop w:val="0"/>
                              <w:marBottom w:val="0"/>
                              <w:divBdr>
                                <w:top w:val="none" w:sz="0" w:space="0" w:color="auto"/>
                                <w:left w:val="none" w:sz="0" w:space="0" w:color="auto"/>
                                <w:bottom w:val="none" w:sz="0" w:space="0" w:color="auto"/>
                                <w:right w:val="none" w:sz="0" w:space="0" w:color="auto"/>
                              </w:divBdr>
                            </w:div>
                          </w:divsChild>
                        </w:div>
                        <w:div w:id="1296058796">
                          <w:marLeft w:val="0"/>
                          <w:marRight w:val="0"/>
                          <w:marTop w:val="0"/>
                          <w:marBottom w:val="0"/>
                          <w:divBdr>
                            <w:top w:val="none" w:sz="0" w:space="0" w:color="auto"/>
                            <w:left w:val="none" w:sz="0" w:space="0" w:color="auto"/>
                            <w:bottom w:val="none" w:sz="0" w:space="0" w:color="auto"/>
                            <w:right w:val="none" w:sz="0" w:space="0" w:color="auto"/>
                          </w:divBdr>
                          <w:divsChild>
                            <w:div w:id="864368545">
                              <w:marLeft w:val="0"/>
                              <w:marRight w:val="0"/>
                              <w:marTop w:val="0"/>
                              <w:marBottom w:val="0"/>
                              <w:divBdr>
                                <w:top w:val="none" w:sz="0" w:space="0" w:color="auto"/>
                                <w:left w:val="none" w:sz="0" w:space="0" w:color="auto"/>
                                <w:bottom w:val="none" w:sz="0" w:space="0" w:color="auto"/>
                                <w:right w:val="none" w:sz="0" w:space="0" w:color="auto"/>
                              </w:divBdr>
                            </w:div>
                            <w:div w:id="1183546318">
                              <w:marLeft w:val="0"/>
                              <w:marRight w:val="0"/>
                              <w:marTop w:val="0"/>
                              <w:marBottom w:val="0"/>
                              <w:divBdr>
                                <w:top w:val="none" w:sz="0" w:space="0" w:color="auto"/>
                                <w:left w:val="none" w:sz="0" w:space="0" w:color="auto"/>
                                <w:bottom w:val="none" w:sz="0" w:space="0" w:color="auto"/>
                                <w:right w:val="none" w:sz="0" w:space="0" w:color="auto"/>
                              </w:divBdr>
                            </w:div>
                            <w:div w:id="1232082763">
                              <w:marLeft w:val="0"/>
                              <w:marRight w:val="0"/>
                              <w:marTop w:val="0"/>
                              <w:marBottom w:val="0"/>
                              <w:divBdr>
                                <w:top w:val="none" w:sz="0" w:space="0" w:color="auto"/>
                                <w:left w:val="none" w:sz="0" w:space="0" w:color="auto"/>
                                <w:bottom w:val="none" w:sz="0" w:space="0" w:color="auto"/>
                                <w:right w:val="none" w:sz="0" w:space="0" w:color="auto"/>
                              </w:divBdr>
                            </w:div>
                            <w:div w:id="570778616">
                              <w:marLeft w:val="0"/>
                              <w:marRight w:val="0"/>
                              <w:marTop w:val="0"/>
                              <w:marBottom w:val="0"/>
                              <w:divBdr>
                                <w:top w:val="none" w:sz="0" w:space="0" w:color="auto"/>
                                <w:left w:val="none" w:sz="0" w:space="0" w:color="auto"/>
                                <w:bottom w:val="none" w:sz="0" w:space="0" w:color="auto"/>
                                <w:right w:val="none" w:sz="0" w:space="0" w:color="auto"/>
                              </w:divBdr>
                            </w:div>
                          </w:divsChild>
                        </w:div>
                        <w:div w:id="1012878285">
                          <w:marLeft w:val="0"/>
                          <w:marRight w:val="0"/>
                          <w:marTop w:val="0"/>
                          <w:marBottom w:val="0"/>
                          <w:divBdr>
                            <w:top w:val="none" w:sz="0" w:space="0" w:color="auto"/>
                            <w:left w:val="none" w:sz="0" w:space="0" w:color="auto"/>
                            <w:bottom w:val="none" w:sz="0" w:space="0" w:color="auto"/>
                            <w:right w:val="none" w:sz="0" w:space="0" w:color="auto"/>
                          </w:divBdr>
                          <w:divsChild>
                            <w:div w:id="1551573972">
                              <w:marLeft w:val="0"/>
                              <w:marRight w:val="0"/>
                              <w:marTop w:val="0"/>
                              <w:marBottom w:val="0"/>
                              <w:divBdr>
                                <w:top w:val="none" w:sz="0" w:space="0" w:color="auto"/>
                                <w:left w:val="none" w:sz="0" w:space="0" w:color="auto"/>
                                <w:bottom w:val="none" w:sz="0" w:space="0" w:color="auto"/>
                                <w:right w:val="none" w:sz="0" w:space="0" w:color="auto"/>
                              </w:divBdr>
                            </w:div>
                            <w:div w:id="146291911">
                              <w:marLeft w:val="0"/>
                              <w:marRight w:val="0"/>
                              <w:marTop w:val="0"/>
                              <w:marBottom w:val="0"/>
                              <w:divBdr>
                                <w:top w:val="none" w:sz="0" w:space="0" w:color="auto"/>
                                <w:left w:val="none" w:sz="0" w:space="0" w:color="auto"/>
                                <w:bottom w:val="none" w:sz="0" w:space="0" w:color="auto"/>
                                <w:right w:val="none" w:sz="0" w:space="0" w:color="auto"/>
                              </w:divBdr>
                            </w:div>
                            <w:div w:id="724371972">
                              <w:marLeft w:val="0"/>
                              <w:marRight w:val="0"/>
                              <w:marTop w:val="0"/>
                              <w:marBottom w:val="0"/>
                              <w:divBdr>
                                <w:top w:val="none" w:sz="0" w:space="0" w:color="auto"/>
                                <w:left w:val="none" w:sz="0" w:space="0" w:color="auto"/>
                                <w:bottom w:val="none" w:sz="0" w:space="0" w:color="auto"/>
                                <w:right w:val="none" w:sz="0" w:space="0" w:color="auto"/>
                              </w:divBdr>
                            </w:div>
                            <w:div w:id="1165635196">
                              <w:marLeft w:val="0"/>
                              <w:marRight w:val="0"/>
                              <w:marTop w:val="0"/>
                              <w:marBottom w:val="0"/>
                              <w:divBdr>
                                <w:top w:val="none" w:sz="0" w:space="0" w:color="auto"/>
                                <w:left w:val="none" w:sz="0" w:space="0" w:color="auto"/>
                                <w:bottom w:val="none" w:sz="0" w:space="0" w:color="auto"/>
                                <w:right w:val="none" w:sz="0" w:space="0" w:color="auto"/>
                              </w:divBdr>
                            </w:div>
                            <w:div w:id="1784878597">
                              <w:marLeft w:val="0"/>
                              <w:marRight w:val="0"/>
                              <w:marTop w:val="0"/>
                              <w:marBottom w:val="0"/>
                              <w:divBdr>
                                <w:top w:val="none" w:sz="0" w:space="0" w:color="auto"/>
                                <w:left w:val="none" w:sz="0" w:space="0" w:color="auto"/>
                                <w:bottom w:val="none" w:sz="0" w:space="0" w:color="auto"/>
                                <w:right w:val="none" w:sz="0" w:space="0" w:color="auto"/>
                              </w:divBdr>
                            </w:div>
                            <w:div w:id="224486793">
                              <w:marLeft w:val="0"/>
                              <w:marRight w:val="0"/>
                              <w:marTop w:val="0"/>
                              <w:marBottom w:val="0"/>
                              <w:divBdr>
                                <w:top w:val="none" w:sz="0" w:space="0" w:color="auto"/>
                                <w:left w:val="none" w:sz="0" w:space="0" w:color="auto"/>
                                <w:bottom w:val="none" w:sz="0" w:space="0" w:color="auto"/>
                                <w:right w:val="none" w:sz="0" w:space="0" w:color="auto"/>
                              </w:divBdr>
                            </w:div>
                            <w:div w:id="1397898873">
                              <w:marLeft w:val="0"/>
                              <w:marRight w:val="0"/>
                              <w:marTop w:val="0"/>
                              <w:marBottom w:val="0"/>
                              <w:divBdr>
                                <w:top w:val="none" w:sz="0" w:space="0" w:color="auto"/>
                                <w:left w:val="none" w:sz="0" w:space="0" w:color="auto"/>
                                <w:bottom w:val="none" w:sz="0" w:space="0" w:color="auto"/>
                                <w:right w:val="none" w:sz="0" w:space="0" w:color="auto"/>
                              </w:divBdr>
                            </w:div>
                            <w:div w:id="317269445">
                              <w:marLeft w:val="0"/>
                              <w:marRight w:val="0"/>
                              <w:marTop w:val="0"/>
                              <w:marBottom w:val="0"/>
                              <w:divBdr>
                                <w:top w:val="none" w:sz="0" w:space="0" w:color="auto"/>
                                <w:left w:val="none" w:sz="0" w:space="0" w:color="auto"/>
                                <w:bottom w:val="none" w:sz="0" w:space="0" w:color="auto"/>
                                <w:right w:val="none" w:sz="0" w:space="0" w:color="auto"/>
                              </w:divBdr>
                            </w:div>
                            <w:div w:id="1706371437">
                              <w:marLeft w:val="0"/>
                              <w:marRight w:val="0"/>
                              <w:marTop w:val="0"/>
                              <w:marBottom w:val="0"/>
                              <w:divBdr>
                                <w:top w:val="none" w:sz="0" w:space="0" w:color="auto"/>
                                <w:left w:val="none" w:sz="0" w:space="0" w:color="auto"/>
                                <w:bottom w:val="none" w:sz="0" w:space="0" w:color="auto"/>
                                <w:right w:val="none" w:sz="0" w:space="0" w:color="auto"/>
                              </w:divBdr>
                            </w:div>
                          </w:divsChild>
                        </w:div>
                        <w:div w:id="1891573092">
                          <w:marLeft w:val="0"/>
                          <w:marRight w:val="0"/>
                          <w:marTop w:val="0"/>
                          <w:marBottom w:val="0"/>
                          <w:divBdr>
                            <w:top w:val="none" w:sz="0" w:space="0" w:color="auto"/>
                            <w:left w:val="none" w:sz="0" w:space="0" w:color="auto"/>
                            <w:bottom w:val="none" w:sz="0" w:space="0" w:color="auto"/>
                            <w:right w:val="none" w:sz="0" w:space="0" w:color="auto"/>
                          </w:divBdr>
                          <w:divsChild>
                            <w:div w:id="129440764">
                              <w:marLeft w:val="0"/>
                              <w:marRight w:val="0"/>
                              <w:marTop w:val="0"/>
                              <w:marBottom w:val="0"/>
                              <w:divBdr>
                                <w:top w:val="none" w:sz="0" w:space="0" w:color="auto"/>
                                <w:left w:val="none" w:sz="0" w:space="0" w:color="auto"/>
                                <w:bottom w:val="none" w:sz="0" w:space="0" w:color="auto"/>
                                <w:right w:val="none" w:sz="0" w:space="0" w:color="auto"/>
                              </w:divBdr>
                            </w:div>
                            <w:div w:id="1088623147">
                              <w:marLeft w:val="0"/>
                              <w:marRight w:val="0"/>
                              <w:marTop w:val="0"/>
                              <w:marBottom w:val="0"/>
                              <w:divBdr>
                                <w:top w:val="none" w:sz="0" w:space="0" w:color="auto"/>
                                <w:left w:val="none" w:sz="0" w:space="0" w:color="auto"/>
                                <w:bottom w:val="none" w:sz="0" w:space="0" w:color="auto"/>
                                <w:right w:val="none" w:sz="0" w:space="0" w:color="auto"/>
                              </w:divBdr>
                            </w:div>
                            <w:div w:id="398599085">
                              <w:marLeft w:val="0"/>
                              <w:marRight w:val="0"/>
                              <w:marTop w:val="0"/>
                              <w:marBottom w:val="0"/>
                              <w:divBdr>
                                <w:top w:val="none" w:sz="0" w:space="0" w:color="auto"/>
                                <w:left w:val="none" w:sz="0" w:space="0" w:color="auto"/>
                                <w:bottom w:val="none" w:sz="0" w:space="0" w:color="auto"/>
                                <w:right w:val="none" w:sz="0" w:space="0" w:color="auto"/>
                              </w:divBdr>
                            </w:div>
                            <w:div w:id="935986988">
                              <w:marLeft w:val="0"/>
                              <w:marRight w:val="0"/>
                              <w:marTop w:val="0"/>
                              <w:marBottom w:val="0"/>
                              <w:divBdr>
                                <w:top w:val="none" w:sz="0" w:space="0" w:color="auto"/>
                                <w:left w:val="none" w:sz="0" w:space="0" w:color="auto"/>
                                <w:bottom w:val="none" w:sz="0" w:space="0" w:color="auto"/>
                                <w:right w:val="none" w:sz="0" w:space="0" w:color="auto"/>
                              </w:divBdr>
                            </w:div>
                            <w:div w:id="101273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906729">
                      <w:marLeft w:val="0"/>
                      <w:marRight w:val="0"/>
                      <w:marTop w:val="0"/>
                      <w:marBottom w:val="0"/>
                      <w:divBdr>
                        <w:top w:val="none" w:sz="0" w:space="0" w:color="auto"/>
                        <w:left w:val="none" w:sz="0" w:space="0" w:color="auto"/>
                        <w:bottom w:val="none" w:sz="0" w:space="0" w:color="auto"/>
                        <w:right w:val="none" w:sz="0" w:space="0" w:color="auto"/>
                      </w:divBdr>
                      <w:divsChild>
                        <w:div w:id="1914580695">
                          <w:marLeft w:val="0"/>
                          <w:marRight w:val="0"/>
                          <w:marTop w:val="0"/>
                          <w:marBottom w:val="0"/>
                          <w:divBdr>
                            <w:top w:val="none" w:sz="0" w:space="0" w:color="auto"/>
                            <w:left w:val="none" w:sz="0" w:space="0" w:color="auto"/>
                            <w:bottom w:val="none" w:sz="0" w:space="0" w:color="auto"/>
                            <w:right w:val="none" w:sz="0" w:space="0" w:color="auto"/>
                          </w:divBdr>
                        </w:div>
                        <w:div w:id="832262420">
                          <w:marLeft w:val="0"/>
                          <w:marRight w:val="0"/>
                          <w:marTop w:val="0"/>
                          <w:marBottom w:val="0"/>
                          <w:divBdr>
                            <w:top w:val="none" w:sz="0" w:space="0" w:color="auto"/>
                            <w:left w:val="none" w:sz="0" w:space="0" w:color="auto"/>
                            <w:bottom w:val="none" w:sz="0" w:space="0" w:color="auto"/>
                            <w:right w:val="none" w:sz="0" w:space="0" w:color="auto"/>
                          </w:divBdr>
                          <w:divsChild>
                            <w:div w:id="308948636">
                              <w:marLeft w:val="0"/>
                              <w:marRight w:val="0"/>
                              <w:marTop w:val="0"/>
                              <w:marBottom w:val="0"/>
                              <w:divBdr>
                                <w:top w:val="none" w:sz="0" w:space="0" w:color="auto"/>
                                <w:left w:val="none" w:sz="0" w:space="0" w:color="auto"/>
                                <w:bottom w:val="none" w:sz="0" w:space="0" w:color="auto"/>
                                <w:right w:val="none" w:sz="0" w:space="0" w:color="auto"/>
                              </w:divBdr>
                            </w:div>
                          </w:divsChild>
                        </w:div>
                        <w:div w:id="694700161">
                          <w:marLeft w:val="0"/>
                          <w:marRight w:val="0"/>
                          <w:marTop w:val="0"/>
                          <w:marBottom w:val="0"/>
                          <w:divBdr>
                            <w:top w:val="none" w:sz="0" w:space="0" w:color="auto"/>
                            <w:left w:val="none" w:sz="0" w:space="0" w:color="auto"/>
                            <w:bottom w:val="none" w:sz="0" w:space="0" w:color="auto"/>
                            <w:right w:val="none" w:sz="0" w:space="0" w:color="auto"/>
                          </w:divBdr>
                          <w:divsChild>
                            <w:div w:id="2135556806">
                              <w:marLeft w:val="0"/>
                              <w:marRight w:val="0"/>
                              <w:marTop w:val="0"/>
                              <w:marBottom w:val="0"/>
                              <w:divBdr>
                                <w:top w:val="none" w:sz="0" w:space="0" w:color="auto"/>
                                <w:left w:val="none" w:sz="0" w:space="0" w:color="auto"/>
                                <w:bottom w:val="none" w:sz="0" w:space="0" w:color="auto"/>
                                <w:right w:val="none" w:sz="0" w:space="0" w:color="auto"/>
                              </w:divBdr>
                            </w:div>
                            <w:div w:id="50228288">
                              <w:marLeft w:val="0"/>
                              <w:marRight w:val="0"/>
                              <w:marTop w:val="0"/>
                              <w:marBottom w:val="0"/>
                              <w:divBdr>
                                <w:top w:val="none" w:sz="0" w:space="0" w:color="auto"/>
                                <w:left w:val="none" w:sz="0" w:space="0" w:color="auto"/>
                                <w:bottom w:val="none" w:sz="0" w:space="0" w:color="auto"/>
                                <w:right w:val="none" w:sz="0" w:space="0" w:color="auto"/>
                              </w:divBdr>
                            </w:div>
                            <w:div w:id="655232907">
                              <w:marLeft w:val="0"/>
                              <w:marRight w:val="0"/>
                              <w:marTop w:val="0"/>
                              <w:marBottom w:val="0"/>
                              <w:divBdr>
                                <w:top w:val="none" w:sz="0" w:space="0" w:color="auto"/>
                                <w:left w:val="none" w:sz="0" w:space="0" w:color="auto"/>
                                <w:bottom w:val="none" w:sz="0" w:space="0" w:color="auto"/>
                                <w:right w:val="none" w:sz="0" w:space="0" w:color="auto"/>
                              </w:divBdr>
                            </w:div>
                            <w:div w:id="964503592">
                              <w:marLeft w:val="0"/>
                              <w:marRight w:val="0"/>
                              <w:marTop w:val="0"/>
                              <w:marBottom w:val="0"/>
                              <w:divBdr>
                                <w:top w:val="none" w:sz="0" w:space="0" w:color="auto"/>
                                <w:left w:val="none" w:sz="0" w:space="0" w:color="auto"/>
                                <w:bottom w:val="none" w:sz="0" w:space="0" w:color="auto"/>
                                <w:right w:val="none" w:sz="0" w:space="0" w:color="auto"/>
                              </w:divBdr>
                            </w:div>
                            <w:div w:id="668949984">
                              <w:marLeft w:val="0"/>
                              <w:marRight w:val="0"/>
                              <w:marTop w:val="0"/>
                              <w:marBottom w:val="0"/>
                              <w:divBdr>
                                <w:top w:val="none" w:sz="0" w:space="0" w:color="auto"/>
                                <w:left w:val="none" w:sz="0" w:space="0" w:color="auto"/>
                                <w:bottom w:val="none" w:sz="0" w:space="0" w:color="auto"/>
                                <w:right w:val="none" w:sz="0" w:space="0" w:color="auto"/>
                              </w:divBdr>
                            </w:div>
                            <w:div w:id="60249862">
                              <w:marLeft w:val="0"/>
                              <w:marRight w:val="0"/>
                              <w:marTop w:val="0"/>
                              <w:marBottom w:val="0"/>
                              <w:divBdr>
                                <w:top w:val="none" w:sz="0" w:space="0" w:color="auto"/>
                                <w:left w:val="none" w:sz="0" w:space="0" w:color="auto"/>
                                <w:bottom w:val="none" w:sz="0" w:space="0" w:color="auto"/>
                                <w:right w:val="none" w:sz="0" w:space="0" w:color="auto"/>
                              </w:divBdr>
                            </w:div>
                          </w:divsChild>
                        </w:div>
                        <w:div w:id="1161240036">
                          <w:marLeft w:val="0"/>
                          <w:marRight w:val="0"/>
                          <w:marTop w:val="0"/>
                          <w:marBottom w:val="0"/>
                          <w:divBdr>
                            <w:top w:val="none" w:sz="0" w:space="0" w:color="auto"/>
                            <w:left w:val="none" w:sz="0" w:space="0" w:color="auto"/>
                            <w:bottom w:val="none" w:sz="0" w:space="0" w:color="auto"/>
                            <w:right w:val="none" w:sz="0" w:space="0" w:color="auto"/>
                          </w:divBdr>
                          <w:divsChild>
                            <w:div w:id="192620504">
                              <w:marLeft w:val="0"/>
                              <w:marRight w:val="0"/>
                              <w:marTop w:val="0"/>
                              <w:marBottom w:val="0"/>
                              <w:divBdr>
                                <w:top w:val="none" w:sz="0" w:space="0" w:color="auto"/>
                                <w:left w:val="none" w:sz="0" w:space="0" w:color="auto"/>
                                <w:bottom w:val="none" w:sz="0" w:space="0" w:color="auto"/>
                                <w:right w:val="none" w:sz="0" w:space="0" w:color="auto"/>
                              </w:divBdr>
                            </w:div>
                            <w:div w:id="1216699683">
                              <w:marLeft w:val="0"/>
                              <w:marRight w:val="0"/>
                              <w:marTop w:val="0"/>
                              <w:marBottom w:val="0"/>
                              <w:divBdr>
                                <w:top w:val="none" w:sz="0" w:space="0" w:color="auto"/>
                                <w:left w:val="none" w:sz="0" w:space="0" w:color="auto"/>
                                <w:bottom w:val="none" w:sz="0" w:space="0" w:color="auto"/>
                                <w:right w:val="none" w:sz="0" w:space="0" w:color="auto"/>
                              </w:divBdr>
                            </w:div>
                            <w:div w:id="564532616">
                              <w:marLeft w:val="0"/>
                              <w:marRight w:val="0"/>
                              <w:marTop w:val="0"/>
                              <w:marBottom w:val="0"/>
                              <w:divBdr>
                                <w:top w:val="none" w:sz="0" w:space="0" w:color="auto"/>
                                <w:left w:val="none" w:sz="0" w:space="0" w:color="auto"/>
                                <w:bottom w:val="none" w:sz="0" w:space="0" w:color="auto"/>
                                <w:right w:val="none" w:sz="0" w:space="0" w:color="auto"/>
                              </w:divBdr>
                            </w:div>
                            <w:div w:id="452290110">
                              <w:marLeft w:val="0"/>
                              <w:marRight w:val="0"/>
                              <w:marTop w:val="0"/>
                              <w:marBottom w:val="0"/>
                              <w:divBdr>
                                <w:top w:val="none" w:sz="0" w:space="0" w:color="auto"/>
                                <w:left w:val="none" w:sz="0" w:space="0" w:color="auto"/>
                                <w:bottom w:val="none" w:sz="0" w:space="0" w:color="auto"/>
                                <w:right w:val="none" w:sz="0" w:space="0" w:color="auto"/>
                              </w:divBdr>
                            </w:div>
                            <w:div w:id="88696656">
                              <w:marLeft w:val="0"/>
                              <w:marRight w:val="0"/>
                              <w:marTop w:val="0"/>
                              <w:marBottom w:val="0"/>
                              <w:divBdr>
                                <w:top w:val="none" w:sz="0" w:space="0" w:color="auto"/>
                                <w:left w:val="none" w:sz="0" w:space="0" w:color="auto"/>
                                <w:bottom w:val="none" w:sz="0" w:space="0" w:color="auto"/>
                                <w:right w:val="none" w:sz="0" w:space="0" w:color="auto"/>
                              </w:divBdr>
                            </w:div>
                            <w:div w:id="30882809">
                              <w:marLeft w:val="0"/>
                              <w:marRight w:val="0"/>
                              <w:marTop w:val="0"/>
                              <w:marBottom w:val="0"/>
                              <w:divBdr>
                                <w:top w:val="none" w:sz="0" w:space="0" w:color="auto"/>
                                <w:left w:val="none" w:sz="0" w:space="0" w:color="auto"/>
                                <w:bottom w:val="none" w:sz="0" w:space="0" w:color="auto"/>
                                <w:right w:val="none" w:sz="0" w:space="0" w:color="auto"/>
                              </w:divBdr>
                            </w:div>
                            <w:div w:id="15891200">
                              <w:marLeft w:val="0"/>
                              <w:marRight w:val="0"/>
                              <w:marTop w:val="0"/>
                              <w:marBottom w:val="0"/>
                              <w:divBdr>
                                <w:top w:val="none" w:sz="0" w:space="0" w:color="auto"/>
                                <w:left w:val="none" w:sz="0" w:space="0" w:color="auto"/>
                                <w:bottom w:val="none" w:sz="0" w:space="0" w:color="auto"/>
                                <w:right w:val="none" w:sz="0" w:space="0" w:color="auto"/>
                              </w:divBdr>
                            </w:div>
                            <w:div w:id="1445349436">
                              <w:marLeft w:val="0"/>
                              <w:marRight w:val="0"/>
                              <w:marTop w:val="0"/>
                              <w:marBottom w:val="0"/>
                              <w:divBdr>
                                <w:top w:val="none" w:sz="0" w:space="0" w:color="auto"/>
                                <w:left w:val="none" w:sz="0" w:space="0" w:color="auto"/>
                                <w:bottom w:val="none" w:sz="0" w:space="0" w:color="auto"/>
                                <w:right w:val="none" w:sz="0" w:space="0" w:color="auto"/>
                              </w:divBdr>
                            </w:div>
                          </w:divsChild>
                        </w:div>
                        <w:div w:id="402221777">
                          <w:marLeft w:val="0"/>
                          <w:marRight w:val="0"/>
                          <w:marTop w:val="0"/>
                          <w:marBottom w:val="0"/>
                          <w:divBdr>
                            <w:top w:val="none" w:sz="0" w:space="0" w:color="auto"/>
                            <w:left w:val="none" w:sz="0" w:space="0" w:color="auto"/>
                            <w:bottom w:val="none" w:sz="0" w:space="0" w:color="auto"/>
                            <w:right w:val="none" w:sz="0" w:space="0" w:color="auto"/>
                          </w:divBdr>
                          <w:divsChild>
                            <w:div w:id="1157262341">
                              <w:marLeft w:val="0"/>
                              <w:marRight w:val="0"/>
                              <w:marTop w:val="0"/>
                              <w:marBottom w:val="0"/>
                              <w:divBdr>
                                <w:top w:val="none" w:sz="0" w:space="0" w:color="auto"/>
                                <w:left w:val="none" w:sz="0" w:space="0" w:color="auto"/>
                                <w:bottom w:val="none" w:sz="0" w:space="0" w:color="auto"/>
                                <w:right w:val="none" w:sz="0" w:space="0" w:color="auto"/>
                              </w:divBdr>
                            </w:div>
                            <w:div w:id="492834947">
                              <w:marLeft w:val="0"/>
                              <w:marRight w:val="0"/>
                              <w:marTop w:val="0"/>
                              <w:marBottom w:val="0"/>
                              <w:divBdr>
                                <w:top w:val="none" w:sz="0" w:space="0" w:color="auto"/>
                                <w:left w:val="none" w:sz="0" w:space="0" w:color="auto"/>
                                <w:bottom w:val="none" w:sz="0" w:space="0" w:color="auto"/>
                                <w:right w:val="none" w:sz="0" w:space="0" w:color="auto"/>
                              </w:divBdr>
                            </w:div>
                            <w:div w:id="1908345296">
                              <w:marLeft w:val="0"/>
                              <w:marRight w:val="0"/>
                              <w:marTop w:val="0"/>
                              <w:marBottom w:val="0"/>
                              <w:divBdr>
                                <w:top w:val="none" w:sz="0" w:space="0" w:color="auto"/>
                                <w:left w:val="none" w:sz="0" w:space="0" w:color="auto"/>
                                <w:bottom w:val="none" w:sz="0" w:space="0" w:color="auto"/>
                                <w:right w:val="none" w:sz="0" w:space="0" w:color="auto"/>
                              </w:divBdr>
                            </w:div>
                            <w:div w:id="1846357307">
                              <w:marLeft w:val="0"/>
                              <w:marRight w:val="0"/>
                              <w:marTop w:val="0"/>
                              <w:marBottom w:val="0"/>
                              <w:divBdr>
                                <w:top w:val="none" w:sz="0" w:space="0" w:color="auto"/>
                                <w:left w:val="none" w:sz="0" w:space="0" w:color="auto"/>
                                <w:bottom w:val="none" w:sz="0" w:space="0" w:color="auto"/>
                                <w:right w:val="none" w:sz="0" w:space="0" w:color="auto"/>
                              </w:divBdr>
                            </w:div>
                            <w:div w:id="1157114555">
                              <w:marLeft w:val="0"/>
                              <w:marRight w:val="0"/>
                              <w:marTop w:val="0"/>
                              <w:marBottom w:val="0"/>
                              <w:divBdr>
                                <w:top w:val="none" w:sz="0" w:space="0" w:color="auto"/>
                                <w:left w:val="none" w:sz="0" w:space="0" w:color="auto"/>
                                <w:bottom w:val="none" w:sz="0" w:space="0" w:color="auto"/>
                                <w:right w:val="none" w:sz="0" w:space="0" w:color="auto"/>
                              </w:divBdr>
                            </w:div>
                            <w:div w:id="1559050796">
                              <w:marLeft w:val="0"/>
                              <w:marRight w:val="0"/>
                              <w:marTop w:val="0"/>
                              <w:marBottom w:val="0"/>
                              <w:divBdr>
                                <w:top w:val="none" w:sz="0" w:space="0" w:color="auto"/>
                                <w:left w:val="none" w:sz="0" w:space="0" w:color="auto"/>
                                <w:bottom w:val="none" w:sz="0" w:space="0" w:color="auto"/>
                                <w:right w:val="none" w:sz="0" w:space="0" w:color="auto"/>
                              </w:divBdr>
                            </w:div>
                            <w:div w:id="1007563856">
                              <w:marLeft w:val="0"/>
                              <w:marRight w:val="0"/>
                              <w:marTop w:val="0"/>
                              <w:marBottom w:val="0"/>
                              <w:divBdr>
                                <w:top w:val="none" w:sz="0" w:space="0" w:color="auto"/>
                                <w:left w:val="none" w:sz="0" w:space="0" w:color="auto"/>
                                <w:bottom w:val="none" w:sz="0" w:space="0" w:color="auto"/>
                                <w:right w:val="none" w:sz="0" w:space="0" w:color="auto"/>
                              </w:divBdr>
                            </w:div>
                            <w:div w:id="146287371">
                              <w:marLeft w:val="0"/>
                              <w:marRight w:val="0"/>
                              <w:marTop w:val="0"/>
                              <w:marBottom w:val="0"/>
                              <w:divBdr>
                                <w:top w:val="none" w:sz="0" w:space="0" w:color="auto"/>
                                <w:left w:val="none" w:sz="0" w:space="0" w:color="auto"/>
                                <w:bottom w:val="none" w:sz="0" w:space="0" w:color="auto"/>
                                <w:right w:val="none" w:sz="0" w:space="0" w:color="auto"/>
                              </w:divBdr>
                            </w:div>
                            <w:div w:id="1369720249">
                              <w:marLeft w:val="0"/>
                              <w:marRight w:val="0"/>
                              <w:marTop w:val="0"/>
                              <w:marBottom w:val="0"/>
                              <w:divBdr>
                                <w:top w:val="none" w:sz="0" w:space="0" w:color="auto"/>
                                <w:left w:val="none" w:sz="0" w:space="0" w:color="auto"/>
                                <w:bottom w:val="none" w:sz="0" w:space="0" w:color="auto"/>
                                <w:right w:val="none" w:sz="0" w:space="0" w:color="auto"/>
                              </w:divBdr>
                            </w:div>
                            <w:div w:id="1499150199">
                              <w:marLeft w:val="0"/>
                              <w:marRight w:val="0"/>
                              <w:marTop w:val="0"/>
                              <w:marBottom w:val="0"/>
                              <w:divBdr>
                                <w:top w:val="none" w:sz="0" w:space="0" w:color="auto"/>
                                <w:left w:val="none" w:sz="0" w:space="0" w:color="auto"/>
                                <w:bottom w:val="none" w:sz="0" w:space="0" w:color="auto"/>
                                <w:right w:val="none" w:sz="0" w:space="0" w:color="auto"/>
                              </w:divBdr>
                            </w:div>
                            <w:div w:id="853112056">
                              <w:marLeft w:val="0"/>
                              <w:marRight w:val="0"/>
                              <w:marTop w:val="0"/>
                              <w:marBottom w:val="0"/>
                              <w:divBdr>
                                <w:top w:val="none" w:sz="0" w:space="0" w:color="auto"/>
                                <w:left w:val="none" w:sz="0" w:space="0" w:color="auto"/>
                                <w:bottom w:val="none" w:sz="0" w:space="0" w:color="auto"/>
                                <w:right w:val="none" w:sz="0" w:space="0" w:color="auto"/>
                              </w:divBdr>
                            </w:div>
                            <w:div w:id="1954555657">
                              <w:marLeft w:val="0"/>
                              <w:marRight w:val="0"/>
                              <w:marTop w:val="0"/>
                              <w:marBottom w:val="0"/>
                              <w:divBdr>
                                <w:top w:val="none" w:sz="0" w:space="0" w:color="auto"/>
                                <w:left w:val="none" w:sz="0" w:space="0" w:color="auto"/>
                                <w:bottom w:val="none" w:sz="0" w:space="0" w:color="auto"/>
                                <w:right w:val="none" w:sz="0" w:space="0" w:color="auto"/>
                              </w:divBdr>
                            </w:div>
                          </w:divsChild>
                        </w:div>
                        <w:div w:id="1213346865">
                          <w:marLeft w:val="0"/>
                          <w:marRight w:val="0"/>
                          <w:marTop w:val="0"/>
                          <w:marBottom w:val="0"/>
                          <w:divBdr>
                            <w:top w:val="none" w:sz="0" w:space="0" w:color="auto"/>
                            <w:left w:val="none" w:sz="0" w:space="0" w:color="auto"/>
                            <w:bottom w:val="none" w:sz="0" w:space="0" w:color="auto"/>
                            <w:right w:val="none" w:sz="0" w:space="0" w:color="auto"/>
                          </w:divBdr>
                          <w:divsChild>
                            <w:div w:id="246235590">
                              <w:marLeft w:val="0"/>
                              <w:marRight w:val="0"/>
                              <w:marTop w:val="0"/>
                              <w:marBottom w:val="0"/>
                              <w:divBdr>
                                <w:top w:val="none" w:sz="0" w:space="0" w:color="auto"/>
                                <w:left w:val="none" w:sz="0" w:space="0" w:color="auto"/>
                                <w:bottom w:val="none" w:sz="0" w:space="0" w:color="auto"/>
                                <w:right w:val="none" w:sz="0" w:space="0" w:color="auto"/>
                              </w:divBdr>
                            </w:div>
                            <w:div w:id="56905522">
                              <w:marLeft w:val="0"/>
                              <w:marRight w:val="0"/>
                              <w:marTop w:val="0"/>
                              <w:marBottom w:val="0"/>
                              <w:divBdr>
                                <w:top w:val="none" w:sz="0" w:space="0" w:color="auto"/>
                                <w:left w:val="none" w:sz="0" w:space="0" w:color="auto"/>
                                <w:bottom w:val="none" w:sz="0" w:space="0" w:color="auto"/>
                                <w:right w:val="none" w:sz="0" w:space="0" w:color="auto"/>
                              </w:divBdr>
                            </w:div>
                            <w:div w:id="484471144">
                              <w:marLeft w:val="0"/>
                              <w:marRight w:val="0"/>
                              <w:marTop w:val="0"/>
                              <w:marBottom w:val="0"/>
                              <w:divBdr>
                                <w:top w:val="none" w:sz="0" w:space="0" w:color="auto"/>
                                <w:left w:val="none" w:sz="0" w:space="0" w:color="auto"/>
                                <w:bottom w:val="none" w:sz="0" w:space="0" w:color="auto"/>
                                <w:right w:val="none" w:sz="0" w:space="0" w:color="auto"/>
                              </w:divBdr>
                            </w:div>
                          </w:divsChild>
                        </w:div>
                        <w:div w:id="2042708602">
                          <w:marLeft w:val="0"/>
                          <w:marRight w:val="0"/>
                          <w:marTop w:val="0"/>
                          <w:marBottom w:val="0"/>
                          <w:divBdr>
                            <w:top w:val="none" w:sz="0" w:space="0" w:color="auto"/>
                            <w:left w:val="none" w:sz="0" w:space="0" w:color="auto"/>
                            <w:bottom w:val="none" w:sz="0" w:space="0" w:color="auto"/>
                            <w:right w:val="none" w:sz="0" w:space="0" w:color="auto"/>
                          </w:divBdr>
                          <w:divsChild>
                            <w:div w:id="1647054170">
                              <w:marLeft w:val="0"/>
                              <w:marRight w:val="0"/>
                              <w:marTop w:val="0"/>
                              <w:marBottom w:val="0"/>
                              <w:divBdr>
                                <w:top w:val="none" w:sz="0" w:space="0" w:color="auto"/>
                                <w:left w:val="none" w:sz="0" w:space="0" w:color="auto"/>
                                <w:bottom w:val="none" w:sz="0" w:space="0" w:color="auto"/>
                                <w:right w:val="none" w:sz="0" w:space="0" w:color="auto"/>
                              </w:divBdr>
                            </w:div>
                            <w:div w:id="1135753491">
                              <w:marLeft w:val="0"/>
                              <w:marRight w:val="0"/>
                              <w:marTop w:val="0"/>
                              <w:marBottom w:val="0"/>
                              <w:divBdr>
                                <w:top w:val="none" w:sz="0" w:space="0" w:color="auto"/>
                                <w:left w:val="none" w:sz="0" w:space="0" w:color="auto"/>
                                <w:bottom w:val="none" w:sz="0" w:space="0" w:color="auto"/>
                                <w:right w:val="none" w:sz="0" w:space="0" w:color="auto"/>
                              </w:divBdr>
                            </w:div>
                            <w:div w:id="431096918">
                              <w:marLeft w:val="0"/>
                              <w:marRight w:val="0"/>
                              <w:marTop w:val="0"/>
                              <w:marBottom w:val="0"/>
                              <w:divBdr>
                                <w:top w:val="none" w:sz="0" w:space="0" w:color="auto"/>
                                <w:left w:val="none" w:sz="0" w:space="0" w:color="auto"/>
                                <w:bottom w:val="none" w:sz="0" w:space="0" w:color="auto"/>
                                <w:right w:val="none" w:sz="0" w:space="0" w:color="auto"/>
                              </w:divBdr>
                            </w:div>
                            <w:div w:id="1880778692">
                              <w:marLeft w:val="0"/>
                              <w:marRight w:val="0"/>
                              <w:marTop w:val="0"/>
                              <w:marBottom w:val="0"/>
                              <w:divBdr>
                                <w:top w:val="none" w:sz="0" w:space="0" w:color="auto"/>
                                <w:left w:val="none" w:sz="0" w:space="0" w:color="auto"/>
                                <w:bottom w:val="none" w:sz="0" w:space="0" w:color="auto"/>
                                <w:right w:val="none" w:sz="0" w:space="0" w:color="auto"/>
                              </w:divBdr>
                            </w:div>
                          </w:divsChild>
                        </w:div>
                        <w:div w:id="895240996">
                          <w:marLeft w:val="0"/>
                          <w:marRight w:val="0"/>
                          <w:marTop w:val="0"/>
                          <w:marBottom w:val="0"/>
                          <w:divBdr>
                            <w:top w:val="none" w:sz="0" w:space="0" w:color="auto"/>
                            <w:left w:val="none" w:sz="0" w:space="0" w:color="auto"/>
                            <w:bottom w:val="none" w:sz="0" w:space="0" w:color="auto"/>
                            <w:right w:val="none" w:sz="0" w:space="0" w:color="auto"/>
                          </w:divBdr>
                          <w:divsChild>
                            <w:div w:id="1679700426">
                              <w:marLeft w:val="0"/>
                              <w:marRight w:val="0"/>
                              <w:marTop w:val="0"/>
                              <w:marBottom w:val="0"/>
                              <w:divBdr>
                                <w:top w:val="none" w:sz="0" w:space="0" w:color="auto"/>
                                <w:left w:val="none" w:sz="0" w:space="0" w:color="auto"/>
                                <w:bottom w:val="none" w:sz="0" w:space="0" w:color="auto"/>
                                <w:right w:val="none" w:sz="0" w:space="0" w:color="auto"/>
                              </w:divBdr>
                            </w:div>
                            <w:div w:id="933901051">
                              <w:marLeft w:val="0"/>
                              <w:marRight w:val="0"/>
                              <w:marTop w:val="0"/>
                              <w:marBottom w:val="0"/>
                              <w:divBdr>
                                <w:top w:val="none" w:sz="0" w:space="0" w:color="auto"/>
                                <w:left w:val="none" w:sz="0" w:space="0" w:color="auto"/>
                                <w:bottom w:val="none" w:sz="0" w:space="0" w:color="auto"/>
                                <w:right w:val="none" w:sz="0" w:space="0" w:color="auto"/>
                              </w:divBdr>
                            </w:div>
                            <w:div w:id="1582904859">
                              <w:marLeft w:val="0"/>
                              <w:marRight w:val="0"/>
                              <w:marTop w:val="0"/>
                              <w:marBottom w:val="0"/>
                              <w:divBdr>
                                <w:top w:val="none" w:sz="0" w:space="0" w:color="auto"/>
                                <w:left w:val="none" w:sz="0" w:space="0" w:color="auto"/>
                                <w:bottom w:val="none" w:sz="0" w:space="0" w:color="auto"/>
                                <w:right w:val="none" w:sz="0" w:space="0" w:color="auto"/>
                              </w:divBdr>
                            </w:div>
                          </w:divsChild>
                        </w:div>
                        <w:div w:id="2039894493">
                          <w:marLeft w:val="0"/>
                          <w:marRight w:val="0"/>
                          <w:marTop w:val="0"/>
                          <w:marBottom w:val="0"/>
                          <w:divBdr>
                            <w:top w:val="none" w:sz="0" w:space="0" w:color="auto"/>
                            <w:left w:val="none" w:sz="0" w:space="0" w:color="auto"/>
                            <w:bottom w:val="none" w:sz="0" w:space="0" w:color="auto"/>
                            <w:right w:val="none" w:sz="0" w:space="0" w:color="auto"/>
                          </w:divBdr>
                          <w:divsChild>
                            <w:div w:id="1327787125">
                              <w:marLeft w:val="0"/>
                              <w:marRight w:val="0"/>
                              <w:marTop w:val="0"/>
                              <w:marBottom w:val="0"/>
                              <w:divBdr>
                                <w:top w:val="none" w:sz="0" w:space="0" w:color="auto"/>
                                <w:left w:val="none" w:sz="0" w:space="0" w:color="auto"/>
                                <w:bottom w:val="none" w:sz="0" w:space="0" w:color="auto"/>
                                <w:right w:val="none" w:sz="0" w:space="0" w:color="auto"/>
                              </w:divBdr>
                            </w:div>
                          </w:divsChild>
                        </w:div>
                        <w:div w:id="596640868">
                          <w:marLeft w:val="0"/>
                          <w:marRight w:val="0"/>
                          <w:marTop w:val="0"/>
                          <w:marBottom w:val="0"/>
                          <w:divBdr>
                            <w:top w:val="none" w:sz="0" w:space="0" w:color="auto"/>
                            <w:left w:val="none" w:sz="0" w:space="0" w:color="auto"/>
                            <w:bottom w:val="none" w:sz="0" w:space="0" w:color="auto"/>
                            <w:right w:val="none" w:sz="0" w:space="0" w:color="auto"/>
                          </w:divBdr>
                          <w:divsChild>
                            <w:div w:id="1043138655">
                              <w:marLeft w:val="0"/>
                              <w:marRight w:val="0"/>
                              <w:marTop w:val="0"/>
                              <w:marBottom w:val="0"/>
                              <w:divBdr>
                                <w:top w:val="none" w:sz="0" w:space="0" w:color="auto"/>
                                <w:left w:val="none" w:sz="0" w:space="0" w:color="auto"/>
                                <w:bottom w:val="none" w:sz="0" w:space="0" w:color="auto"/>
                                <w:right w:val="none" w:sz="0" w:space="0" w:color="auto"/>
                              </w:divBdr>
                            </w:div>
                          </w:divsChild>
                        </w:div>
                        <w:div w:id="1681352642">
                          <w:marLeft w:val="0"/>
                          <w:marRight w:val="0"/>
                          <w:marTop w:val="0"/>
                          <w:marBottom w:val="0"/>
                          <w:divBdr>
                            <w:top w:val="none" w:sz="0" w:space="0" w:color="auto"/>
                            <w:left w:val="none" w:sz="0" w:space="0" w:color="auto"/>
                            <w:bottom w:val="none" w:sz="0" w:space="0" w:color="auto"/>
                            <w:right w:val="none" w:sz="0" w:space="0" w:color="auto"/>
                          </w:divBdr>
                          <w:divsChild>
                            <w:div w:id="1821186753">
                              <w:marLeft w:val="0"/>
                              <w:marRight w:val="0"/>
                              <w:marTop w:val="0"/>
                              <w:marBottom w:val="0"/>
                              <w:divBdr>
                                <w:top w:val="none" w:sz="0" w:space="0" w:color="auto"/>
                                <w:left w:val="none" w:sz="0" w:space="0" w:color="auto"/>
                                <w:bottom w:val="none" w:sz="0" w:space="0" w:color="auto"/>
                                <w:right w:val="none" w:sz="0" w:space="0" w:color="auto"/>
                              </w:divBdr>
                            </w:div>
                            <w:div w:id="693311728">
                              <w:marLeft w:val="0"/>
                              <w:marRight w:val="0"/>
                              <w:marTop w:val="0"/>
                              <w:marBottom w:val="0"/>
                              <w:divBdr>
                                <w:top w:val="none" w:sz="0" w:space="0" w:color="auto"/>
                                <w:left w:val="none" w:sz="0" w:space="0" w:color="auto"/>
                                <w:bottom w:val="none" w:sz="0" w:space="0" w:color="auto"/>
                                <w:right w:val="none" w:sz="0" w:space="0" w:color="auto"/>
                              </w:divBdr>
                            </w:div>
                            <w:div w:id="1249538777">
                              <w:marLeft w:val="0"/>
                              <w:marRight w:val="0"/>
                              <w:marTop w:val="0"/>
                              <w:marBottom w:val="0"/>
                              <w:divBdr>
                                <w:top w:val="none" w:sz="0" w:space="0" w:color="auto"/>
                                <w:left w:val="none" w:sz="0" w:space="0" w:color="auto"/>
                                <w:bottom w:val="none" w:sz="0" w:space="0" w:color="auto"/>
                                <w:right w:val="none" w:sz="0" w:space="0" w:color="auto"/>
                              </w:divBdr>
                            </w:div>
                            <w:div w:id="619413139">
                              <w:marLeft w:val="0"/>
                              <w:marRight w:val="0"/>
                              <w:marTop w:val="0"/>
                              <w:marBottom w:val="0"/>
                              <w:divBdr>
                                <w:top w:val="none" w:sz="0" w:space="0" w:color="auto"/>
                                <w:left w:val="none" w:sz="0" w:space="0" w:color="auto"/>
                                <w:bottom w:val="none" w:sz="0" w:space="0" w:color="auto"/>
                                <w:right w:val="none" w:sz="0" w:space="0" w:color="auto"/>
                              </w:divBdr>
                            </w:div>
                            <w:div w:id="179978922">
                              <w:marLeft w:val="0"/>
                              <w:marRight w:val="0"/>
                              <w:marTop w:val="0"/>
                              <w:marBottom w:val="0"/>
                              <w:divBdr>
                                <w:top w:val="none" w:sz="0" w:space="0" w:color="auto"/>
                                <w:left w:val="none" w:sz="0" w:space="0" w:color="auto"/>
                                <w:bottom w:val="none" w:sz="0" w:space="0" w:color="auto"/>
                                <w:right w:val="none" w:sz="0" w:space="0" w:color="auto"/>
                              </w:divBdr>
                            </w:div>
                            <w:div w:id="501553738">
                              <w:marLeft w:val="0"/>
                              <w:marRight w:val="0"/>
                              <w:marTop w:val="0"/>
                              <w:marBottom w:val="0"/>
                              <w:divBdr>
                                <w:top w:val="none" w:sz="0" w:space="0" w:color="auto"/>
                                <w:left w:val="none" w:sz="0" w:space="0" w:color="auto"/>
                                <w:bottom w:val="none" w:sz="0" w:space="0" w:color="auto"/>
                                <w:right w:val="none" w:sz="0" w:space="0" w:color="auto"/>
                              </w:divBdr>
                            </w:div>
                            <w:div w:id="137695711">
                              <w:marLeft w:val="0"/>
                              <w:marRight w:val="0"/>
                              <w:marTop w:val="0"/>
                              <w:marBottom w:val="0"/>
                              <w:divBdr>
                                <w:top w:val="none" w:sz="0" w:space="0" w:color="auto"/>
                                <w:left w:val="none" w:sz="0" w:space="0" w:color="auto"/>
                                <w:bottom w:val="none" w:sz="0" w:space="0" w:color="auto"/>
                                <w:right w:val="none" w:sz="0" w:space="0" w:color="auto"/>
                              </w:divBdr>
                            </w:div>
                            <w:div w:id="1915434187">
                              <w:marLeft w:val="0"/>
                              <w:marRight w:val="0"/>
                              <w:marTop w:val="0"/>
                              <w:marBottom w:val="0"/>
                              <w:divBdr>
                                <w:top w:val="none" w:sz="0" w:space="0" w:color="auto"/>
                                <w:left w:val="none" w:sz="0" w:space="0" w:color="auto"/>
                                <w:bottom w:val="none" w:sz="0" w:space="0" w:color="auto"/>
                                <w:right w:val="none" w:sz="0" w:space="0" w:color="auto"/>
                              </w:divBdr>
                            </w:div>
                          </w:divsChild>
                        </w:div>
                        <w:div w:id="328683054">
                          <w:marLeft w:val="0"/>
                          <w:marRight w:val="0"/>
                          <w:marTop w:val="0"/>
                          <w:marBottom w:val="0"/>
                          <w:divBdr>
                            <w:top w:val="none" w:sz="0" w:space="0" w:color="auto"/>
                            <w:left w:val="none" w:sz="0" w:space="0" w:color="auto"/>
                            <w:bottom w:val="none" w:sz="0" w:space="0" w:color="auto"/>
                            <w:right w:val="none" w:sz="0" w:space="0" w:color="auto"/>
                          </w:divBdr>
                          <w:divsChild>
                            <w:div w:id="587008823">
                              <w:marLeft w:val="0"/>
                              <w:marRight w:val="0"/>
                              <w:marTop w:val="0"/>
                              <w:marBottom w:val="0"/>
                              <w:divBdr>
                                <w:top w:val="none" w:sz="0" w:space="0" w:color="auto"/>
                                <w:left w:val="none" w:sz="0" w:space="0" w:color="auto"/>
                                <w:bottom w:val="none" w:sz="0" w:space="0" w:color="auto"/>
                                <w:right w:val="none" w:sz="0" w:space="0" w:color="auto"/>
                              </w:divBdr>
                            </w:div>
                            <w:div w:id="2039381491">
                              <w:marLeft w:val="0"/>
                              <w:marRight w:val="0"/>
                              <w:marTop w:val="0"/>
                              <w:marBottom w:val="0"/>
                              <w:divBdr>
                                <w:top w:val="none" w:sz="0" w:space="0" w:color="auto"/>
                                <w:left w:val="none" w:sz="0" w:space="0" w:color="auto"/>
                                <w:bottom w:val="none" w:sz="0" w:space="0" w:color="auto"/>
                                <w:right w:val="none" w:sz="0" w:space="0" w:color="auto"/>
                              </w:divBdr>
                            </w:div>
                            <w:div w:id="117915641">
                              <w:marLeft w:val="0"/>
                              <w:marRight w:val="0"/>
                              <w:marTop w:val="0"/>
                              <w:marBottom w:val="0"/>
                              <w:divBdr>
                                <w:top w:val="none" w:sz="0" w:space="0" w:color="auto"/>
                                <w:left w:val="none" w:sz="0" w:space="0" w:color="auto"/>
                                <w:bottom w:val="none" w:sz="0" w:space="0" w:color="auto"/>
                                <w:right w:val="none" w:sz="0" w:space="0" w:color="auto"/>
                              </w:divBdr>
                            </w:div>
                            <w:div w:id="1451123920">
                              <w:marLeft w:val="0"/>
                              <w:marRight w:val="0"/>
                              <w:marTop w:val="0"/>
                              <w:marBottom w:val="0"/>
                              <w:divBdr>
                                <w:top w:val="none" w:sz="0" w:space="0" w:color="auto"/>
                                <w:left w:val="none" w:sz="0" w:space="0" w:color="auto"/>
                                <w:bottom w:val="none" w:sz="0" w:space="0" w:color="auto"/>
                                <w:right w:val="none" w:sz="0" w:space="0" w:color="auto"/>
                              </w:divBdr>
                            </w:div>
                            <w:div w:id="632710635">
                              <w:marLeft w:val="0"/>
                              <w:marRight w:val="0"/>
                              <w:marTop w:val="0"/>
                              <w:marBottom w:val="0"/>
                              <w:divBdr>
                                <w:top w:val="none" w:sz="0" w:space="0" w:color="auto"/>
                                <w:left w:val="none" w:sz="0" w:space="0" w:color="auto"/>
                                <w:bottom w:val="none" w:sz="0" w:space="0" w:color="auto"/>
                                <w:right w:val="none" w:sz="0" w:space="0" w:color="auto"/>
                              </w:divBdr>
                            </w:div>
                          </w:divsChild>
                        </w:div>
                        <w:div w:id="74128566">
                          <w:marLeft w:val="0"/>
                          <w:marRight w:val="0"/>
                          <w:marTop w:val="0"/>
                          <w:marBottom w:val="0"/>
                          <w:divBdr>
                            <w:top w:val="none" w:sz="0" w:space="0" w:color="auto"/>
                            <w:left w:val="none" w:sz="0" w:space="0" w:color="auto"/>
                            <w:bottom w:val="none" w:sz="0" w:space="0" w:color="auto"/>
                            <w:right w:val="none" w:sz="0" w:space="0" w:color="auto"/>
                          </w:divBdr>
                          <w:divsChild>
                            <w:div w:id="1291667836">
                              <w:marLeft w:val="0"/>
                              <w:marRight w:val="0"/>
                              <w:marTop w:val="0"/>
                              <w:marBottom w:val="0"/>
                              <w:divBdr>
                                <w:top w:val="none" w:sz="0" w:space="0" w:color="auto"/>
                                <w:left w:val="none" w:sz="0" w:space="0" w:color="auto"/>
                                <w:bottom w:val="none" w:sz="0" w:space="0" w:color="auto"/>
                                <w:right w:val="none" w:sz="0" w:space="0" w:color="auto"/>
                              </w:divBdr>
                            </w:div>
                            <w:div w:id="991761154">
                              <w:marLeft w:val="0"/>
                              <w:marRight w:val="0"/>
                              <w:marTop w:val="0"/>
                              <w:marBottom w:val="0"/>
                              <w:divBdr>
                                <w:top w:val="none" w:sz="0" w:space="0" w:color="auto"/>
                                <w:left w:val="none" w:sz="0" w:space="0" w:color="auto"/>
                                <w:bottom w:val="none" w:sz="0" w:space="0" w:color="auto"/>
                                <w:right w:val="none" w:sz="0" w:space="0" w:color="auto"/>
                              </w:divBdr>
                            </w:div>
                            <w:div w:id="916747111">
                              <w:marLeft w:val="0"/>
                              <w:marRight w:val="0"/>
                              <w:marTop w:val="0"/>
                              <w:marBottom w:val="0"/>
                              <w:divBdr>
                                <w:top w:val="none" w:sz="0" w:space="0" w:color="auto"/>
                                <w:left w:val="none" w:sz="0" w:space="0" w:color="auto"/>
                                <w:bottom w:val="none" w:sz="0" w:space="0" w:color="auto"/>
                                <w:right w:val="none" w:sz="0" w:space="0" w:color="auto"/>
                              </w:divBdr>
                            </w:div>
                            <w:div w:id="1475180350">
                              <w:marLeft w:val="0"/>
                              <w:marRight w:val="0"/>
                              <w:marTop w:val="0"/>
                              <w:marBottom w:val="0"/>
                              <w:divBdr>
                                <w:top w:val="none" w:sz="0" w:space="0" w:color="auto"/>
                                <w:left w:val="none" w:sz="0" w:space="0" w:color="auto"/>
                                <w:bottom w:val="none" w:sz="0" w:space="0" w:color="auto"/>
                                <w:right w:val="none" w:sz="0" w:space="0" w:color="auto"/>
                              </w:divBdr>
                            </w:div>
                            <w:div w:id="1138188835">
                              <w:marLeft w:val="0"/>
                              <w:marRight w:val="0"/>
                              <w:marTop w:val="0"/>
                              <w:marBottom w:val="0"/>
                              <w:divBdr>
                                <w:top w:val="none" w:sz="0" w:space="0" w:color="auto"/>
                                <w:left w:val="none" w:sz="0" w:space="0" w:color="auto"/>
                                <w:bottom w:val="none" w:sz="0" w:space="0" w:color="auto"/>
                                <w:right w:val="none" w:sz="0" w:space="0" w:color="auto"/>
                              </w:divBdr>
                            </w:div>
                          </w:divsChild>
                        </w:div>
                        <w:div w:id="820006122">
                          <w:marLeft w:val="0"/>
                          <w:marRight w:val="0"/>
                          <w:marTop w:val="0"/>
                          <w:marBottom w:val="0"/>
                          <w:divBdr>
                            <w:top w:val="none" w:sz="0" w:space="0" w:color="auto"/>
                            <w:left w:val="none" w:sz="0" w:space="0" w:color="auto"/>
                            <w:bottom w:val="none" w:sz="0" w:space="0" w:color="auto"/>
                            <w:right w:val="none" w:sz="0" w:space="0" w:color="auto"/>
                          </w:divBdr>
                          <w:divsChild>
                            <w:div w:id="2113742479">
                              <w:marLeft w:val="0"/>
                              <w:marRight w:val="0"/>
                              <w:marTop w:val="0"/>
                              <w:marBottom w:val="0"/>
                              <w:divBdr>
                                <w:top w:val="none" w:sz="0" w:space="0" w:color="auto"/>
                                <w:left w:val="none" w:sz="0" w:space="0" w:color="auto"/>
                                <w:bottom w:val="none" w:sz="0" w:space="0" w:color="auto"/>
                                <w:right w:val="none" w:sz="0" w:space="0" w:color="auto"/>
                              </w:divBdr>
                            </w:div>
                            <w:div w:id="1562060100">
                              <w:marLeft w:val="0"/>
                              <w:marRight w:val="0"/>
                              <w:marTop w:val="0"/>
                              <w:marBottom w:val="0"/>
                              <w:divBdr>
                                <w:top w:val="none" w:sz="0" w:space="0" w:color="auto"/>
                                <w:left w:val="none" w:sz="0" w:space="0" w:color="auto"/>
                                <w:bottom w:val="none" w:sz="0" w:space="0" w:color="auto"/>
                                <w:right w:val="none" w:sz="0" w:space="0" w:color="auto"/>
                              </w:divBdr>
                            </w:div>
                            <w:div w:id="1005980789">
                              <w:marLeft w:val="0"/>
                              <w:marRight w:val="0"/>
                              <w:marTop w:val="0"/>
                              <w:marBottom w:val="0"/>
                              <w:divBdr>
                                <w:top w:val="none" w:sz="0" w:space="0" w:color="auto"/>
                                <w:left w:val="none" w:sz="0" w:space="0" w:color="auto"/>
                                <w:bottom w:val="none" w:sz="0" w:space="0" w:color="auto"/>
                                <w:right w:val="none" w:sz="0" w:space="0" w:color="auto"/>
                              </w:divBdr>
                            </w:div>
                            <w:div w:id="1865513245">
                              <w:marLeft w:val="0"/>
                              <w:marRight w:val="0"/>
                              <w:marTop w:val="0"/>
                              <w:marBottom w:val="0"/>
                              <w:divBdr>
                                <w:top w:val="none" w:sz="0" w:space="0" w:color="auto"/>
                                <w:left w:val="none" w:sz="0" w:space="0" w:color="auto"/>
                                <w:bottom w:val="none" w:sz="0" w:space="0" w:color="auto"/>
                                <w:right w:val="none" w:sz="0" w:space="0" w:color="auto"/>
                              </w:divBdr>
                            </w:div>
                            <w:div w:id="2076968908">
                              <w:marLeft w:val="0"/>
                              <w:marRight w:val="0"/>
                              <w:marTop w:val="0"/>
                              <w:marBottom w:val="0"/>
                              <w:divBdr>
                                <w:top w:val="none" w:sz="0" w:space="0" w:color="auto"/>
                                <w:left w:val="none" w:sz="0" w:space="0" w:color="auto"/>
                                <w:bottom w:val="none" w:sz="0" w:space="0" w:color="auto"/>
                                <w:right w:val="none" w:sz="0" w:space="0" w:color="auto"/>
                              </w:divBdr>
                            </w:div>
                            <w:div w:id="752318110">
                              <w:marLeft w:val="0"/>
                              <w:marRight w:val="0"/>
                              <w:marTop w:val="0"/>
                              <w:marBottom w:val="0"/>
                              <w:divBdr>
                                <w:top w:val="none" w:sz="0" w:space="0" w:color="auto"/>
                                <w:left w:val="none" w:sz="0" w:space="0" w:color="auto"/>
                                <w:bottom w:val="none" w:sz="0" w:space="0" w:color="auto"/>
                                <w:right w:val="none" w:sz="0" w:space="0" w:color="auto"/>
                              </w:divBdr>
                            </w:div>
                          </w:divsChild>
                        </w:div>
                        <w:div w:id="163861837">
                          <w:marLeft w:val="0"/>
                          <w:marRight w:val="0"/>
                          <w:marTop w:val="0"/>
                          <w:marBottom w:val="0"/>
                          <w:divBdr>
                            <w:top w:val="none" w:sz="0" w:space="0" w:color="auto"/>
                            <w:left w:val="none" w:sz="0" w:space="0" w:color="auto"/>
                            <w:bottom w:val="none" w:sz="0" w:space="0" w:color="auto"/>
                            <w:right w:val="none" w:sz="0" w:space="0" w:color="auto"/>
                          </w:divBdr>
                          <w:divsChild>
                            <w:div w:id="1209024312">
                              <w:marLeft w:val="0"/>
                              <w:marRight w:val="0"/>
                              <w:marTop w:val="0"/>
                              <w:marBottom w:val="0"/>
                              <w:divBdr>
                                <w:top w:val="none" w:sz="0" w:space="0" w:color="auto"/>
                                <w:left w:val="none" w:sz="0" w:space="0" w:color="auto"/>
                                <w:bottom w:val="none" w:sz="0" w:space="0" w:color="auto"/>
                                <w:right w:val="none" w:sz="0" w:space="0" w:color="auto"/>
                              </w:divBdr>
                            </w:div>
                            <w:div w:id="1815491510">
                              <w:marLeft w:val="0"/>
                              <w:marRight w:val="0"/>
                              <w:marTop w:val="0"/>
                              <w:marBottom w:val="0"/>
                              <w:divBdr>
                                <w:top w:val="none" w:sz="0" w:space="0" w:color="auto"/>
                                <w:left w:val="none" w:sz="0" w:space="0" w:color="auto"/>
                                <w:bottom w:val="none" w:sz="0" w:space="0" w:color="auto"/>
                                <w:right w:val="none" w:sz="0" w:space="0" w:color="auto"/>
                              </w:divBdr>
                            </w:div>
                            <w:div w:id="1879705043">
                              <w:marLeft w:val="0"/>
                              <w:marRight w:val="0"/>
                              <w:marTop w:val="0"/>
                              <w:marBottom w:val="0"/>
                              <w:divBdr>
                                <w:top w:val="none" w:sz="0" w:space="0" w:color="auto"/>
                                <w:left w:val="none" w:sz="0" w:space="0" w:color="auto"/>
                                <w:bottom w:val="none" w:sz="0" w:space="0" w:color="auto"/>
                                <w:right w:val="none" w:sz="0" w:space="0" w:color="auto"/>
                              </w:divBdr>
                            </w:div>
                            <w:div w:id="64692094">
                              <w:marLeft w:val="0"/>
                              <w:marRight w:val="0"/>
                              <w:marTop w:val="0"/>
                              <w:marBottom w:val="0"/>
                              <w:divBdr>
                                <w:top w:val="none" w:sz="0" w:space="0" w:color="auto"/>
                                <w:left w:val="none" w:sz="0" w:space="0" w:color="auto"/>
                                <w:bottom w:val="none" w:sz="0" w:space="0" w:color="auto"/>
                                <w:right w:val="none" w:sz="0" w:space="0" w:color="auto"/>
                              </w:divBdr>
                            </w:div>
                            <w:div w:id="767189726">
                              <w:marLeft w:val="0"/>
                              <w:marRight w:val="0"/>
                              <w:marTop w:val="0"/>
                              <w:marBottom w:val="0"/>
                              <w:divBdr>
                                <w:top w:val="none" w:sz="0" w:space="0" w:color="auto"/>
                                <w:left w:val="none" w:sz="0" w:space="0" w:color="auto"/>
                                <w:bottom w:val="none" w:sz="0" w:space="0" w:color="auto"/>
                                <w:right w:val="none" w:sz="0" w:space="0" w:color="auto"/>
                              </w:divBdr>
                            </w:div>
                            <w:div w:id="353267683">
                              <w:marLeft w:val="0"/>
                              <w:marRight w:val="0"/>
                              <w:marTop w:val="0"/>
                              <w:marBottom w:val="0"/>
                              <w:divBdr>
                                <w:top w:val="none" w:sz="0" w:space="0" w:color="auto"/>
                                <w:left w:val="none" w:sz="0" w:space="0" w:color="auto"/>
                                <w:bottom w:val="none" w:sz="0" w:space="0" w:color="auto"/>
                                <w:right w:val="none" w:sz="0" w:space="0" w:color="auto"/>
                              </w:divBdr>
                            </w:div>
                            <w:div w:id="2091191738">
                              <w:marLeft w:val="0"/>
                              <w:marRight w:val="0"/>
                              <w:marTop w:val="0"/>
                              <w:marBottom w:val="0"/>
                              <w:divBdr>
                                <w:top w:val="none" w:sz="0" w:space="0" w:color="auto"/>
                                <w:left w:val="none" w:sz="0" w:space="0" w:color="auto"/>
                                <w:bottom w:val="none" w:sz="0" w:space="0" w:color="auto"/>
                                <w:right w:val="none" w:sz="0" w:space="0" w:color="auto"/>
                              </w:divBdr>
                            </w:div>
                            <w:div w:id="766078737">
                              <w:marLeft w:val="0"/>
                              <w:marRight w:val="0"/>
                              <w:marTop w:val="0"/>
                              <w:marBottom w:val="0"/>
                              <w:divBdr>
                                <w:top w:val="none" w:sz="0" w:space="0" w:color="auto"/>
                                <w:left w:val="none" w:sz="0" w:space="0" w:color="auto"/>
                                <w:bottom w:val="none" w:sz="0" w:space="0" w:color="auto"/>
                                <w:right w:val="none" w:sz="0" w:space="0" w:color="auto"/>
                              </w:divBdr>
                            </w:div>
                            <w:div w:id="192154921">
                              <w:marLeft w:val="0"/>
                              <w:marRight w:val="0"/>
                              <w:marTop w:val="0"/>
                              <w:marBottom w:val="0"/>
                              <w:divBdr>
                                <w:top w:val="none" w:sz="0" w:space="0" w:color="auto"/>
                                <w:left w:val="none" w:sz="0" w:space="0" w:color="auto"/>
                                <w:bottom w:val="none" w:sz="0" w:space="0" w:color="auto"/>
                                <w:right w:val="none" w:sz="0" w:space="0" w:color="auto"/>
                              </w:divBdr>
                            </w:div>
                            <w:div w:id="1842697399">
                              <w:marLeft w:val="0"/>
                              <w:marRight w:val="0"/>
                              <w:marTop w:val="0"/>
                              <w:marBottom w:val="0"/>
                              <w:divBdr>
                                <w:top w:val="none" w:sz="0" w:space="0" w:color="auto"/>
                                <w:left w:val="none" w:sz="0" w:space="0" w:color="auto"/>
                                <w:bottom w:val="none" w:sz="0" w:space="0" w:color="auto"/>
                                <w:right w:val="none" w:sz="0" w:space="0" w:color="auto"/>
                              </w:divBdr>
                            </w:div>
                            <w:div w:id="384718986">
                              <w:marLeft w:val="0"/>
                              <w:marRight w:val="0"/>
                              <w:marTop w:val="0"/>
                              <w:marBottom w:val="0"/>
                              <w:divBdr>
                                <w:top w:val="none" w:sz="0" w:space="0" w:color="auto"/>
                                <w:left w:val="none" w:sz="0" w:space="0" w:color="auto"/>
                                <w:bottom w:val="none" w:sz="0" w:space="0" w:color="auto"/>
                                <w:right w:val="none" w:sz="0" w:space="0" w:color="auto"/>
                              </w:divBdr>
                            </w:div>
                            <w:div w:id="1391221757">
                              <w:marLeft w:val="0"/>
                              <w:marRight w:val="0"/>
                              <w:marTop w:val="0"/>
                              <w:marBottom w:val="0"/>
                              <w:divBdr>
                                <w:top w:val="none" w:sz="0" w:space="0" w:color="auto"/>
                                <w:left w:val="none" w:sz="0" w:space="0" w:color="auto"/>
                                <w:bottom w:val="none" w:sz="0" w:space="0" w:color="auto"/>
                                <w:right w:val="none" w:sz="0" w:space="0" w:color="auto"/>
                              </w:divBdr>
                            </w:div>
                          </w:divsChild>
                        </w:div>
                        <w:div w:id="870609372">
                          <w:marLeft w:val="0"/>
                          <w:marRight w:val="0"/>
                          <w:marTop w:val="0"/>
                          <w:marBottom w:val="0"/>
                          <w:divBdr>
                            <w:top w:val="none" w:sz="0" w:space="0" w:color="auto"/>
                            <w:left w:val="none" w:sz="0" w:space="0" w:color="auto"/>
                            <w:bottom w:val="none" w:sz="0" w:space="0" w:color="auto"/>
                            <w:right w:val="none" w:sz="0" w:space="0" w:color="auto"/>
                          </w:divBdr>
                          <w:divsChild>
                            <w:div w:id="241768223">
                              <w:marLeft w:val="0"/>
                              <w:marRight w:val="0"/>
                              <w:marTop w:val="0"/>
                              <w:marBottom w:val="0"/>
                              <w:divBdr>
                                <w:top w:val="none" w:sz="0" w:space="0" w:color="auto"/>
                                <w:left w:val="none" w:sz="0" w:space="0" w:color="auto"/>
                                <w:bottom w:val="none" w:sz="0" w:space="0" w:color="auto"/>
                                <w:right w:val="none" w:sz="0" w:space="0" w:color="auto"/>
                              </w:divBdr>
                            </w:div>
                            <w:div w:id="145899944">
                              <w:marLeft w:val="0"/>
                              <w:marRight w:val="0"/>
                              <w:marTop w:val="0"/>
                              <w:marBottom w:val="0"/>
                              <w:divBdr>
                                <w:top w:val="none" w:sz="0" w:space="0" w:color="auto"/>
                                <w:left w:val="none" w:sz="0" w:space="0" w:color="auto"/>
                                <w:bottom w:val="none" w:sz="0" w:space="0" w:color="auto"/>
                                <w:right w:val="none" w:sz="0" w:space="0" w:color="auto"/>
                              </w:divBdr>
                            </w:div>
                            <w:div w:id="1791901285">
                              <w:marLeft w:val="0"/>
                              <w:marRight w:val="0"/>
                              <w:marTop w:val="0"/>
                              <w:marBottom w:val="0"/>
                              <w:divBdr>
                                <w:top w:val="none" w:sz="0" w:space="0" w:color="auto"/>
                                <w:left w:val="none" w:sz="0" w:space="0" w:color="auto"/>
                                <w:bottom w:val="none" w:sz="0" w:space="0" w:color="auto"/>
                                <w:right w:val="none" w:sz="0" w:space="0" w:color="auto"/>
                              </w:divBdr>
                            </w:div>
                            <w:div w:id="1160585023">
                              <w:marLeft w:val="0"/>
                              <w:marRight w:val="0"/>
                              <w:marTop w:val="0"/>
                              <w:marBottom w:val="0"/>
                              <w:divBdr>
                                <w:top w:val="none" w:sz="0" w:space="0" w:color="auto"/>
                                <w:left w:val="none" w:sz="0" w:space="0" w:color="auto"/>
                                <w:bottom w:val="none" w:sz="0" w:space="0" w:color="auto"/>
                                <w:right w:val="none" w:sz="0" w:space="0" w:color="auto"/>
                              </w:divBdr>
                            </w:div>
                          </w:divsChild>
                        </w:div>
                        <w:div w:id="1118059942">
                          <w:marLeft w:val="0"/>
                          <w:marRight w:val="0"/>
                          <w:marTop w:val="0"/>
                          <w:marBottom w:val="0"/>
                          <w:divBdr>
                            <w:top w:val="none" w:sz="0" w:space="0" w:color="auto"/>
                            <w:left w:val="none" w:sz="0" w:space="0" w:color="auto"/>
                            <w:bottom w:val="none" w:sz="0" w:space="0" w:color="auto"/>
                            <w:right w:val="none" w:sz="0" w:space="0" w:color="auto"/>
                          </w:divBdr>
                          <w:divsChild>
                            <w:div w:id="530413698">
                              <w:marLeft w:val="0"/>
                              <w:marRight w:val="0"/>
                              <w:marTop w:val="0"/>
                              <w:marBottom w:val="0"/>
                              <w:divBdr>
                                <w:top w:val="none" w:sz="0" w:space="0" w:color="auto"/>
                                <w:left w:val="none" w:sz="0" w:space="0" w:color="auto"/>
                                <w:bottom w:val="none" w:sz="0" w:space="0" w:color="auto"/>
                                <w:right w:val="none" w:sz="0" w:space="0" w:color="auto"/>
                              </w:divBdr>
                            </w:div>
                          </w:divsChild>
                        </w:div>
                        <w:div w:id="1573812307">
                          <w:marLeft w:val="0"/>
                          <w:marRight w:val="0"/>
                          <w:marTop w:val="0"/>
                          <w:marBottom w:val="0"/>
                          <w:divBdr>
                            <w:top w:val="none" w:sz="0" w:space="0" w:color="auto"/>
                            <w:left w:val="none" w:sz="0" w:space="0" w:color="auto"/>
                            <w:bottom w:val="none" w:sz="0" w:space="0" w:color="auto"/>
                            <w:right w:val="none" w:sz="0" w:space="0" w:color="auto"/>
                          </w:divBdr>
                          <w:divsChild>
                            <w:div w:id="725223130">
                              <w:marLeft w:val="0"/>
                              <w:marRight w:val="0"/>
                              <w:marTop w:val="0"/>
                              <w:marBottom w:val="0"/>
                              <w:divBdr>
                                <w:top w:val="none" w:sz="0" w:space="0" w:color="auto"/>
                                <w:left w:val="none" w:sz="0" w:space="0" w:color="auto"/>
                                <w:bottom w:val="none" w:sz="0" w:space="0" w:color="auto"/>
                                <w:right w:val="none" w:sz="0" w:space="0" w:color="auto"/>
                              </w:divBdr>
                            </w:div>
                            <w:div w:id="1927379336">
                              <w:marLeft w:val="0"/>
                              <w:marRight w:val="0"/>
                              <w:marTop w:val="0"/>
                              <w:marBottom w:val="0"/>
                              <w:divBdr>
                                <w:top w:val="none" w:sz="0" w:space="0" w:color="auto"/>
                                <w:left w:val="none" w:sz="0" w:space="0" w:color="auto"/>
                                <w:bottom w:val="none" w:sz="0" w:space="0" w:color="auto"/>
                                <w:right w:val="none" w:sz="0" w:space="0" w:color="auto"/>
                              </w:divBdr>
                            </w:div>
                            <w:div w:id="2130852796">
                              <w:marLeft w:val="0"/>
                              <w:marRight w:val="0"/>
                              <w:marTop w:val="0"/>
                              <w:marBottom w:val="0"/>
                              <w:divBdr>
                                <w:top w:val="none" w:sz="0" w:space="0" w:color="auto"/>
                                <w:left w:val="none" w:sz="0" w:space="0" w:color="auto"/>
                                <w:bottom w:val="none" w:sz="0" w:space="0" w:color="auto"/>
                                <w:right w:val="none" w:sz="0" w:space="0" w:color="auto"/>
                              </w:divBdr>
                            </w:div>
                            <w:div w:id="868496453">
                              <w:marLeft w:val="0"/>
                              <w:marRight w:val="0"/>
                              <w:marTop w:val="0"/>
                              <w:marBottom w:val="0"/>
                              <w:divBdr>
                                <w:top w:val="none" w:sz="0" w:space="0" w:color="auto"/>
                                <w:left w:val="none" w:sz="0" w:space="0" w:color="auto"/>
                                <w:bottom w:val="none" w:sz="0" w:space="0" w:color="auto"/>
                                <w:right w:val="none" w:sz="0" w:space="0" w:color="auto"/>
                              </w:divBdr>
                            </w:div>
                          </w:divsChild>
                        </w:div>
                        <w:div w:id="2046560077">
                          <w:marLeft w:val="0"/>
                          <w:marRight w:val="0"/>
                          <w:marTop w:val="0"/>
                          <w:marBottom w:val="0"/>
                          <w:divBdr>
                            <w:top w:val="none" w:sz="0" w:space="0" w:color="auto"/>
                            <w:left w:val="none" w:sz="0" w:space="0" w:color="auto"/>
                            <w:bottom w:val="none" w:sz="0" w:space="0" w:color="auto"/>
                            <w:right w:val="none" w:sz="0" w:space="0" w:color="auto"/>
                          </w:divBdr>
                          <w:divsChild>
                            <w:div w:id="719210777">
                              <w:marLeft w:val="0"/>
                              <w:marRight w:val="0"/>
                              <w:marTop w:val="0"/>
                              <w:marBottom w:val="0"/>
                              <w:divBdr>
                                <w:top w:val="none" w:sz="0" w:space="0" w:color="auto"/>
                                <w:left w:val="none" w:sz="0" w:space="0" w:color="auto"/>
                                <w:bottom w:val="none" w:sz="0" w:space="0" w:color="auto"/>
                                <w:right w:val="none" w:sz="0" w:space="0" w:color="auto"/>
                              </w:divBdr>
                            </w:div>
                            <w:div w:id="1555968807">
                              <w:marLeft w:val="0"/>
                              <w:marRight w:val="0"/>
                              <w:marTop w:val="0"/>
                              <w:marBottom w:val="0"/>
                              <w:divBdr>
                                <w:top w:val="none" w:sz="0" w:space="0" w:color="auto"/>
                                <w:left w:val="none" w:sz="0" w:space="0" w:color="auto"/>
                                <w:bottom w:val="none" w:sz="0" w:space="0" w:color="auto"/>
                                <w:right w:val="none" w:sz="0" w:space="0" w:color="auto"/>
                              </w:divBdr>
                            </w:div>
                            <w:div w:id="2082096091">
                              <w:marLeft w:val="0"/>
                              <w:marRight w:val="0"/>
                              <w:marTop w:val="0"/>
                              <w:marBottom w:val="0"/>
                              <w:divBdr>
                                <w:top w:val="none" w:sz="0" w:space="0" w:color="auto"/>
                                <w:left w:val="none" w:sz="0" w:space="0" w:color="auto"/>
                                <w:bottom w:val="none" w:sz="0" w:space="0" w:color="auto"/>
                                <w:right w:val="none" w:sz="0" w:space="0" w:color="auto"/>
                              </w:divBdr>
                            </w:div>
                            <w:div w:id="953292833">
                              <w:marLeft w:val="0"/>
                              <w:marRight w:val="0"/>
                              <w:marTop w:val="0"/>
                              <w:marBottom w:val="0"/>
                              <w:divBdr>
                                <w:top w:val="none" w:sz="0" w:space="0" w:color="auto"/>
                                <w:left w:val="none" w:sz="0" w:space="0" w:color="auto"/>
                                <w:bottom w:val="none" w:sz="0" w:space="0" w:color="auto"/>
                                <w:right w:val="none" w:sz="0" w:space="0" w:color="auto"/>
                              </w:divBdr>
                            </w:div>
                            <w:div w:id="102749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466878">
                  <w:marLeft w:val="0"/>
                  <w:marRight w:val="0"/>
                  <w:marTop w:val="0"/>
                  <w:marBottom w:val="0"/>
                  <w:divBdr>
                    <w:top w:val="none" w:sz="0" w:space="0" w:color="auto"/>
                    <w:left w:val="none" w:sz="0" w:space="0" w:color="auto"/>
                    <w:bottom w:val="none" w:sz="0" w:space="0" w:color="auto"/>
                    <w:right w:val="none" w:sz="0" w:space="0" w:color="auto"/>
                  </w:divBdr>
                  <w:divsChild>
                    <w:div w:id="363749024">
                      <w:marLeft w:val="0"/>
                      <w:marRight w:val="0"/>
                      <w:marTop w:val="0"/>
                      <w:marBottom w:val="0"/>
                      <w:divBdr>
                        <w:top w:val="none" w:sz="0" w:space="0" w:color="auto"/>
                        <w:left w:val="none" w:sz="0" w:space="0" w:color="auto"/>
                        <w:bottom w:val="none" w:sz="0" w:space="0" w:color="auto"/>
                        <w:right w:val="none" w:sz="0" w:space="0" w:color="auto"/>
                      </w:divBdr>
                    </w:div>
                    <w:div w:id="1094016550">
                      <w:marLeft w:val="0"/>
                      <w:marRight w:val="0"/>
                      <w:marTop w:val="0"/>
                      <w:marBottom w:val="0"/>
                      <w:divBdr>
                        <w:top w:val="none" w:sz="0" w:space="0" w:color="auto"/>
                        <w:left w:val="none" w:sz="0" w:space="0" w:color="auto"/>
                        <w:bottom w:val="none" w:sz="0" w:space="0" w:color="auto"/>
                        <w:right w:val="none" w:sz="0" w:space="0" w:color="auto"/>
                      </w:divBdr>
                      <w:divsChild>
                        <w:div w:id="1235697300">
                          <w:marLeft w:val="0"/>
                          <w:marRight w:val="0"/>
                          <w:marTop w:val="0"/>
                          <w:marBottom w:val="0"/>
                          <w:divBdr>
                            <w:top w:val="none" w:sz="0" w:space="0" w:color="auto"/>
                            <w:left w:val="none" w:sz="0" w:space="0" w:color="auto"/>
                            <w:bottom w:val="none" w:sz="0" w:space="0" w:color="auto"/>
                            <w:right w:val="none" w:sz="0" w:space="0" w:color="auto"/>
                          </w:divBdr>
                        </w:div>
                        <w:div w:id="1081483791">
                          <w:marLeft w:val="0"/>
                          <w:marRight w:val="0"/>
                          <w:marTop w:val="0"/>
                          <w:marBottom w:val="0"/>
                          <w:divBdr>
                            <w:top w:val="none" w:sz="0" w:space="0" w:color="auto"/>
                            <w:left w:val="none" w:sz="0" w:space="0" w:color="auto"/>
                            <w:bottom w:val="none" w:sz="0" w:space="0" w:color="auto"/>
                            <w:right w:val="none" w:sz="0" w:space="0" w:color="auto"/>
                          </w:divBdr>
                        </w:div>
                        <w:div w:id="838690818">
                          <w:marLeft w:val="0"/>
                          <w:marRight w:val="0"/>
                          <w:marTop w:val="0"/>
                          <w:marBottom w:val="0"/>
                          <w:divBdr>
                            <w:top w:val="none" w:sz="0" w:space="0" w:color="auto"/>
                            <w:left w:val="none" w:sz="0" w:space="0" w:color="auto"/>
                            <w:bottom w:val="none" w:sz="0" w:space="0" w:color="auto"/>
                            <w:right w:val="none" w:sz="0" w:space="0" w:color="auto"/>
                          </w:divBdr>
                        </w:div>
                        <w:div w:id="1162508229">
                          <w:marLeft w:val="0"/>
                          <w:marRight w:val="0"/>
                          <w:marTop w:val="0"/>
                          <w:marBottom w:val="0"/>
                          <w:divBdr>
                            <w:top w:val="none" w:sz="0" w:space="0" w:color="auto"/>
                            <w:left w:val="none" w:sz="0" w:space="0" w:color="auto"/>
                            <w:bottom w:val="none" w:sz="0" w:space="0" w:color="auto"/>
                            <w:right w:val="none" w:sz="0" w:space="0" w:color="auto"/>
                          </w:divBdr>
                        </w:div>
                        <w:div w:id="1572085477">
                          <w:marLeft w:val="0"/>
                          <w:marRight w:val="0"/>
                          <w:marTop w:val="0"/>
                          <w:marBottom w:val="0"/>
                          <w:divBdr>
                            <w:top w:val="none" w:sz="0" w:space="0" w:color="auto"/>
                            <w:left w:val="none" w:sz="0" w:space="0" w:color="auto"/>
                            <w:bottom w:val="none" w:sz="0" w:space="0" w:color="auto"/>
                            <w:right w:val="none" w:sz="0" w:space="0" w:color="auto"/>
                          </w:divBdr>
                        </w:div>
                        <w:div w:id="1130170465">
                          <w:marLeft w:val="0"/>
                          <w:marRight w:val="0"/>
                          <w:marTop w:val="0"/>
                          <w:marBottom w:val="0"/>
                          <w:divBdr>
                            <w:top w:val="none" w:sz="0" w:space="0" w:color="auto"/>
                            <w:left w:val="none" w:sz="0" w:space="0" w:color="auto"/>
                            <w:bottom w:val="none" w:sz="0" w:space="0" w:color="auto"/>
                            <w:right w:val="none" w:sz="0" w:space="0" w:color="auto"/>
                          </w:divBdr>
                        </w:div>
                        <w:div w:id="191597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700352">
                  <w:marLeft w:val="0"/>
                  <w:marRight w:val="0"/>
                  <w:marTop w:val="0"/>
                  <w:marBottom w:val="0"/>
                  <w:divBdr>
                    <w:top w:val="none" w:sz="0" w:space="0" w:color="auto"/>
                    <w:left w:val="none" w:sz="0" w:space="0" w:color="auto"/>
                    <w:bottom w:val="none" w:sz="0" w:space="0" w:color="auto"/>
                    <w:right w:val="none" w:sz="0" w:space="0" w:color="auto"/>
                  </w:divBdr>
                  <w:divsChild>
                    <w:div w:id="1927762074">
                      <w:marLeft w:val="0"/>
                      <w:marRight w:val="0"/>
                      <w:marTop w:val="0"/>
                      <w:marBottom w:val="0"/>
                      <w:divBdr>
                        <w:top w:val="none" w:sz="0" w:space="0" w:color="auto"/>
                        <w:left w:val="none" w:sz="0" w:space="0" w:color="auto"/>
                        <w:bottom w:val="none" w:sz="0" w:space="0" w:color="auto"/>
                        <w:right w:val="none" w:sz="0" w:space="0" w:color="auto"/>
                      </w:divBdr>
                    </w:div>
                    <w:div w:id="849955389">
                      <w:marLeft w:val="0"/>
                      <w:marRight w:val="0"/>
                      <w:marTop w:val="0"/>
                      <w:marBottom w:val="0"/>
                      <w:divBdr>
                        <w:top w:val="none" w:sz="0" w:space="0" w:color="auto"/>
                        <w:left w:val="none" w:sz="0" w:space="0" w:color="auto"/>
                        <w:bottom w:val="none" w:sz="0" w:space="0" w:color="auto"/>
                        <w:right w:val="none" w:sz="0" w:space="0" w:color="auto"/>
                      </w:divBdr>
                      <w:divsChild>
                        <w:div w:id="1067459489">
                          <w:marLeft w:val="0"/>
                          <w:marRight w:val="0"/>
                          <w:marTop w:val="0"/>
                          <w:marBottom w:val="0"/>
                          <w:divBdr>
                            <w:top w:val="none" w:sz="0" w:space="0" w:color="auto"/>
                            <w:left w:val="none" w:sz="0" w:space="0" w:color="auto"/>
                            <w:bottom w:val="none" w:sz="0" w:space="0" w:color="auto"/>
                            <w:right w:val="none" w:sz="0" w:space="0" w:color="auto"/>
                          </w:divBdr>
                        </w:div>
                        <w:div w:id="2097047814">
                          <w:marLeft w:val="0"/>
                          <w:marRight w:val="0"/>
                          <w:marTop w:val="0"/>
                          <w:marBottom w:val="0"/>
                          <w:divBdr>
                            <w:top w:val="none" w:sz="0" w:space="0" w:color="auto"/>
                            <w:left w:val="none" w:sz="0" w:space="0" w:color="auto"/>
                            <w:bottom w:val="none" w:sz="0" w:space="0" w:color="auto"/>
                            <w:right w:val="none" w:sz="0" w:space="0" w:color="auto"/>
                          </w:divBdr>
                        </w:div>
                        <w:div w:id="770006360">
                          <w:marLeft w:val="0"/>
                          <w:marRight w:val="0"/>
                          <w:marTop w:val="0"/>
                          <w:marBottom w:val="0"/>
                          <w:divBdr>
                            <w:top w:val="none" w:sz="0" w:space="0" w:color="auto"/>
                            <w:left w:val="none" w:sz="0" w:space="0" w:color="auto"/>
                            <w:bottom w:val="none" w:sz="0" w:space="0" w:color="auto"/>
                            <w:right w:val="none" w:sz="0" w:space="0" w:color="auto"/>
                          </w:divBdr>
                        </w:div>
                        <w:div w:id="185411982">
                          <w:marLeft w:val="0"/>
                          <w:marRight w:val="0"/>
                          <w:marTop w:val="0"/>
                          <w:marBottom w:val="0"/>
                          <w:divBdr>
                            <w:top w:val="none" w:sz="0" w:space="0" w:color="auto"/>
                            <w:left w:val="none" w:sz="0" w:space="0" w:color="auto"/>
                            <w:bottom w:val="none" w:sz="0" w:space="0" w:color="auto"/>
                            <w:right w:val="none" w:sz="0" w:space="0" w:color="auto"/>
                          </w:divBdr>
                        </w:div>
                      </w:divsChild>
                    </w:div>
                    <w:div w:id="1724059401">
                      <w:marLeft w:val="0"/>
                      <w:marRight w:val="0"/>
                      <w:marTop w:val="0"/>
                      <w:marBottom w:val="0"/>
                      <w:divBdr>
                        <w:top w:val="none" w:sz="0" w:space="0" w:color="auto"/>
                        <w:left w:val="none" w:sz="0" w:space="0" w:color="auto"/>
                        <w:bottom w:val="none" w:sz="0" w:space="0" w:color="auto"/>
                        <w:right w:val="none" w:sz="0" w:space="0" w:color="auto"/>
                      </w:divBdr>
                      <w:divsChild>
                        <w:div w:id="536240895">
                          <w:marLeft w:val="0"/>
                          <w:marRight w:val="0"/>
                          <w:marTop w:val="0"/>
                          <w:marBottom w:val="0"/>
                          <w:divBdr>
                            <w:top w:val="none" w:sz="0" w:space="0" w:color="auto"/>
                            <w:left w:val="none" w:sz="0" w:space="0" w:color="auto"/>
                            <w:bottom w:val="none" w:sz="0" w:space="0" w:color="auto"/>
                            <w:right w:val="none" w:sz="0" w:space="0" w:color="auto"/>
                          </w:divBdr>
                        </w:div>
                      </w:divsChild>
                    </w:div>
                    <w:div w:id="1748918258">
                      <w:marLeft w:val="0"/>
                      <w:marRight w:val="0"/>
                      <w:marTop w:val="0"/>
                      <w:marBottom w:val="0"/>
                      <w:divBdr>
                        <w:top w:val="none" w:sz="0" w:space="0" w:color="auto"/>
                        <w:left w:val="none" w:sz="0" w:space="0" w:color="auto"/>
                        <w:bottom w:val="none" w:sz="0" w:space="0" w:color="auto"/>
                        <w:right w:val="none" w:sz="0" w:space="0" w:color="auto"/>
                      </w:divBdr>
                      <w:divsChild>
                        <w:div w:id="1251164414">
                          <w:marLeft w:val="0"/>
                          <w:marRight w:val="0"/>
                          <w:marTop w:val="0"/>
                          <w:marBottom w:val="0"/>
                          <w:divBdr>
                            <w:top w:val="none" w:sz="0" w:space="0" w:color="auto"/>
                            <w:left w:val="none" w:sz="0" w:space="0" w:color="auto"/>
                            <w:bottom w:val="none" w:sz="0" w:space="0" w:color="auto"/>
                            <w:right w:val="none" w:sz="0" w:space="0" w:color="auto"/>
                          </w:divBdr>
                        </w:div>
                        <w:div w:id="1873691173">
                          <w:marLeft w:val="0"/>
                          <w:marRight w:val="0"/>
                          <w:marTop w:val="0"/>
                          <w:marBottom w:val="0"/>
                          <w:divBdr>
                            <w:top w:val="none" w:sz="0" w:space="0" w:color="auto"/>
                            <w:left w:val="none" w:sz="0" w:space="0" w:color="auto"/>
                            <w:bottom w:val="none" w:sz="0" w:space="0" w:color="auto"/>
                            <w:right w:val="none" w:sz="0" w:space="0" w:color="auto"/>
                          </w:divBdr>
                        </w:div>
                        <w:div w:id="1735934810">
                          <w:marLeft w:val="0"/>
                          <w:marRight w:val="0"/>
                          <w:marTop w:val="0"/>
                          <w:marBottom w:val="0"/>
                          <w:divBdr>
                            <w:top w:val="none" w:sz="0" w:space="0" w:color="auto"/>
                            <w:left w:val="none" w:sz="0" w:space="0" w:color="auto"/>
                            <w:bottom w:val="none" w:sz="0" w:space="0" w:color="auto"/>
                            <w:right w:val="none" w:sz="0" w:space="0" w:color="auto"/>
                          </w:divBdr>
                        </w:div>
                      </w:divsChild>
                    </w:div>
                    <w:div w:id="2098821996">
                      <w:marLeft w:val="0"/>
                      <w:marRight w:val="0"/>
                      <w:marTop w:val="0"/>
                      <w:marBottom w:val="0"/>
                      <w:divBdr>
                        <w:top w:val="none" w:sz="0" w:space="0" w:color="auto"/>
                        <w:left w:val="none" w:sz="0" w:space="0" w:color="auto"/>
                        <w:bottom w:val="none" w:sz="0" w:space="0" w:color="auto"/>
                        <w:right w:val="none" w:sz="0" w:space="0" w:color="auto"/>
                      </w:divBdr>
                      <w:divsChild>
                        <w:div w:id="2048145116">
                          <w:marLeft w:val="0"/>
                          <w:marRight w:val="0"/>
                          <w:marTop w:val="0"/>
                          <w:marBottom w:val="0"/>
                          <w:divBdr>
                            <w:top w:val="none" w:sz="0" w:space="0" w:color="auto"/>
                            <w:left w:val="none" w:sz="0" w:space="0" w:color="auto"/>
                            <w:bottom w:val="none" w:sz="0" w:space="0" w:color="auto"/>
                            <w:right w:val="none" w:sz="0" w:space="0" w:color="auto"/>
                          </w:divBdr>
                        </w:div>
                        <w:div w:id="783034305">
                          <w:marLeft w:val="0"/>
                          <w:marRight w:val="0"/>
                          <w:marTop w:val="0"/>
                          <w:marBottom w:val="0"/>
                          <w:divBdr>
                            <w:top w:val="none" w:sz="0" w:space="0" w:color="auto"/>
                            <w:left w:val="none" w:sz="0" w:space="0" w:color="auto"/>
                            <w:bottom w:val="none" w:sz="0" w:space="0" w:color="auto"/>
                            <w:right w:val="none" w:sz="0" w:space="0" w:color="auto"/>
                          </w:divBdr>
                        </w:div>
                        <w:div w:id="666325522">
                          <w:marLeft w:val="0"/>
                          <w:marRight w:val="0"/>
                          <w:marTop w:val="0"/>
                          <w:marBottom w:val="0"/>
                          <w:divBdr>
                            <w:top w:val="none" w:sz="0" w:space="0" w:color="auto"/>
                            <w:left w:val="none" w:sz="0" w:space="0" w:color="auto"/>
                            <w:bottom w:val="none" w:sz="0" w:space="0" w:color="auto"/>
                            <w:right w:val="none" w:sz="0" w:space="0" w:color="auto"/>
                          </w:divBdr>
                        </w:div>
                        <w:div w:id="785005848">
                          <w:marLeft w:val="0"/>
                          <w:marRight w:val="0"/>
                          <w:marTop w:val="0"/>
                          <w:marBottom w:val="0"/>
                          <w:divBdr>
                            <w:top w:val="none" w:sz="0" w:space="0" w:color="auto"/>
                            <w:left w:val="none" w:sz="0" w:space="0" w:color="auto"/>
                            <w:bottom w:val="none" w:sz="0" w:space="0" w:color="auto"/>
                            <w:right w:val="none" w:sz="0" w:space="0" w:color="auto"/>
                          </w:divBdr>
                        </w:div>
                        <w:div w:id="1837768175">
                          <w:marLeft w:val="0"/>
                          <w:marRight w:val="0"/>
                          <w:marTop w:val="0"/>
                          <w:marBottom w:val="0"/>
                          <w:divBdr>
                            <w:top w:val="none" w:sz="0" w:space="0" w:color="auto"/>
                            <w:left w:val="none" w:sz="0" w:space="0" w:color="auto"/>
                            <w:bottom w:val="none" w:sz="0" w:space="0" w:color="auto"/>
                            <w:right w:val="none" w:sz="0" w:space="0" w:color="auto"/>
                          </w:divBdr>
                        </w:div>
                        <w:div w:id="2106723412">
                          <w:marLeft w:val="0"/>
                          <w:marRight w:val="0"/>
                          <w:marTop w:val="0"/>
                          <w:marBottom w:val="0"/>
                          <w:divBdr>
                            <w:top w:val="none" w:sz="0" w:space="0" w:color="auto"/>
                            <w:left w:val="none" w:sz="0" w:space="0" w:color="auto"/>
                            <w:bottom w:val="none" w:sz="0" w:space="0" w:color="auto"/>
                            <w:right w:val="none" w:sz="0" w:space="0" w:color="auto"/>
                          </w:divBdr>
                        </w:div>
                        <w:div w:id="1912961238">
                          <w:marLeft w:val="0"/>
                          <w:marRight w:val="0"/>
                          <w:marTop w:val="0"/>
                          <w:marBottom w:val="0"/>
                          <w:divBdr>
                            <w:top w:val="none" w:sz="0" w:space="0" w:color="auto"/>
                            <w:left w:val="none" w:sz="0" w:space="0" w:color="auto"/>
                            <w:bottom w:val="none" w:sz="0" w:space="0" w:color="auto"/>
                            <w:right w:val="none" w:sz="0" w:space="0" w:color="auto"/>
                          </w:divBdr>
                        </w:div>
                        <w:div w:id="1150093206">
                          <w:marLeft w:val="0"/>
                          <w:marRight w:val="0"/>
                          <w:marTop w:val="0"/>
                          <w:marBottom w:val="0"/>
                          <w:divBdr>
                            <w:top w:val="none" w:sz="0" w:space="0" w:color="auto"/>
                            <w:left w:val="none" w:sz="0" w:space="0" w:color="auto"/>
                            <w:bottom w:val="none" w:sz="0" w:space="0" w:color="auto"/>
                            <w:right w:val="none" w:sz="0" w:space="0" w:color="auto"/>
                          </w:divBdr>
                        </w:div>
                      </w:divsChild>
                    </w:div>
                    <w:div w:id="946036696">
                      <w:marLeft w:val="0"/>
                      <w:marRight w:val="0"/>
                      <w:marTop w:val="0"/>
                      <w:marBottom w:val="0"/>
                      <w:divBdr>
                        <w:top w:val="none" w:sz="0" w:space="0" w:color="auto"/>
                        <w:left w:val="none" w:sz="0" w:space="0" w:color="auto"/>
                        <w:bottom w:val="none" w:sz="0" w:space="0" w:color="auto"/>
                        <w:right w:val="none" w:sz="0" w:space="0" w:color="auto"/>
                      </w:divBdr>
                      <w:divsChild>
                        <w:div w:id="136336032">
                          <w:marLeft w:val="0"/>
                          <w:marRight w:val="0"/>
                          <w:marTop w:val="0"/>
                          <w:marBottom w:val="0"/>
                          <w:divBdr>
                            <w:top w:val="none" w:sz="0" w:space="0" w:color="auto"/>
                            <w:left w:val="none" w:sz="0" w:space="0" w:color="auto"/>
                            <w:bottom w:val="none" w:sz="0" w:space="0" w:color="auto"/>
                            <w:right w:val="none" w:sz="0" w:space="0" w:color="auto"/>
                          </w:divBdr>
                        </w:div>
                        <w:div w:id="2001690228">
                          <w:marLeft w:val="0"/>
                          <w:marRight w:val="0"/>
                          <w:marTop w:val="0"/>
                          <w:marBottom w:val="0"/>
                          <w:divBdr>
                            <w:top w:val="none" w:sz="0" w:space="0" w:color="auto"/>
                            <w:left w:val="none" w:sz="0" w:space="0" w:color="auto"/>
                            <w:bottom w:val="none" w:sz="0" w:space="0" w:color="auto"/>
                            <w:right w:val="none" w:sz="0" w:space="0" w:color="auto"/>
                          </w:divBdr>
                        </w:div>
                      </w:divsChild>
                    </w:div>
                    <w:div w:id="893272217">
                      <w:marLeft w:val="0"/>
                      <w:marRight w:val="0"/>
                      <w:marTop w:val="0"/>
                      <w:marBottom w:val="0"/>
                      <w:divBdr>
                        <w:top w:val="none" w:sz="0" w:space="0" w:color="auto"/>
                        <w:left w:val="none" w:sz="0" w:space="0" w:color="auto"/>
                        <w:bottom w:val="none" w:sz="0" w:space="0" w:color="auto"/>
                        <w:right w:val="none" w:sz="0" w:space="0" w:color="auto"/>
                      </w:divBdr>
                      <w:divsChild>
                        <w:div w:id="157312791">
                          <w:marLeft w:val="0"/>
                          <w:marRight w:val="0"/>
                          <w:marTop w:val="0"/>
                          <w:marBottom w:val="0"/>
                          <w:divBdr>
                            <w:top w:val="none" w:sz="0" w:space="0" w:color="auto"/>
                            <w:left w:val="none" w:sz="0" w:space="0" w:color="auto"/>
                            <w:bottom w:val="none" w:sz="0" w:space="0" w:color="auto"/>
                            <w:right w:val="none" w:sz="0" w:space="0" w:color="auto"/>
                          </w:divBdr>
                        </w:div>
                        <w:div w:id="184833405">
                          <w:marLeft w:val="0"/>
                          <w:marRight w:val="0"/>
                          <w:marTop w:val="0"/>
                          <w:marBottom w:val="0"/>
                          <w:divBdr>
                            <w:top w:val="none" w:sz="0" w:space="0" w:color="auto"/>
                            <w:left w:val="none" w:sz="0" w:space="0" w:color="auto"/>
                            <w:bottom w:val="none" w:sz="0" w:space="0" w:color="auto"/>
                            <w:right w:val="none" w:sz="0" w:space="0" w:color="auto"/>
                          </w:divBdr>
                        </w:div>
                      </w:divsChild>
                    </w:div>
                    <w:div w:id="824785750">
                      <w:marLeft w:val="0"/>
                      <w:marRight w:val="0"/>
                      <w:marTop w:val="0"/>
                      <w:marBottom w:val="0"/>
                      <w:divBdr>
                        <w:top w:val="none" w:sz="0" w:space="0" w:color="auto"/>
                        <w:left w:val="none" w:sz="0" w:space="0" w:color="auto"/>
                        <w:bottom w:val="none" w:sz="0" w:space="0" w:color="auto"/>
                        <w:right w:val="none" w:sz="0" w:space="0" w:color="auto"/>
                      </w:divBdr>
                      <w:divsChild>
                        <w:div w:id="1255475054">
                          <w:marLeft w:val="0"/>
                          <w:marRight w:val="0"/>
                          <w:marTop w:val="0"/>
                          <w:marBottom w:val="0"/>
                          <w:divBdr>
                            <w:top w:val="none" w:sz="0" w:space="0" w:color="auto"/>
                            <w:left w:val="none" w:sz="0" w:space="0" w:color="auto"/>
                            <w:bottom w:val="none" w:sz="0" w:space="0" w:color="auto"/>
                            <w:right w:val="none" w:sz="0" w:space="0" w:color="auto"/>
                          </w:divBdr>
                        </w:div>
                      </w:divsChild>
                    </w:div>
                    <w:div w:id="1769037644">
                      <w:marLeft w:val="0"/>
                      <w:marRight w:val="0"/>
                      <w:marTop w:val="0"/>
                      <w:marBottom w:val="0"/>
                      <w:divBdr>
                        <w:top w:val="none" w:sz="0" w:space="0" w:color="auto"/>
                        <w:left w:val="none" w:sz="0" w:space="0" w:color="auto"/>
                        <w:bottom w:val="none" w:sz="0" w:space="0" w:color="auto"/>
                        <w:right w:val="none" w:sz="0" w:space="0" w:color="auto"/>
                      </w:divBdr>
                      <w:divsChild>
                        <w:div w:id="1533809328">
                          <w:marLeft w:val="0"/>
                          <w:marRight w:val="0"/>
                          <w:marTop w:val="0"/>
                          <w:marBottom w:val="0"/>
                          <w:divBdr>
                            <w:top w:val="none" w:sz="0" w:space="0" w:color="auto"/>
                            <w:left w:val="none" w:sz="0" w:space="0" w:color="auto"/>
                            <w:bottom w:val="none" w:sz="0" w:space="0" w:color="auto"/>
                            <w:right w:val="none" w:sz="0" w:space="0" w:color="auto"/>
                          </w:divBdr>
                        </w:div>
                      </w:divsChild>
                    </w:div>
                    <w:div w:id="213666145">
                      <w:marLeft w:val="0"/>
                      <w:marRight w:val="0"/>
                      <w:marTop w:val="0"/>
                      <w:marBottom w:val="0"/>
                      <w:divBdr>
                        <w:top w:val="none" w:sz="0" w:space="0" w:color="auto"/>
                        <w:left w:val="none" w:sz="0" w:space="0" w:color="auto"/>
                        <w:bottom w:val="none" w:sz="0" w:space="0" w:color="auto"/>
                        <w:right w:val="none" w:sz="0" w:space="0" w:color="auto"/>
                      </w:divBdr>
                      <w:divsChild>
                        <w:div w:id="2135055403">
                          <w:marLeft w:val="0"/>
                          <w:marRight w:val="0"/>
                          <w:marTop w:val="0"/>
                          <w:marBottom w:val="0"/>
                          <w:divBdr>
                            <w:top w:val="none" w:sz="0" w:space="0" w:color="auto"/>
                            <w:left w:val="none" w:sz="0" w:space="0" w:color="auto"/>
                            <w:bottom w:val="none" w:sz="0" w:space="0" w:color="auto"/>
                            <w:right w:val="none" w:sz="0" w:space="0" w:color="auto"/>
                          </w:divBdr>
                        </w:div>
                        <w:div w:id="1853448776">
                          <w:marLeft w:val="0"/>
                          <w:marRight w:val="0"/>
                          <w:marTop w:val="0"/>
                          <w:marBottom w:val="0"/>
                          <w:divBdr>
                            <w:top w:val="none" w:sz="0" w:space="0" w:color="auto"/>
                            <w:left w:val="none" w:sz="0" w:space="0" w:color="auto"/>
                            <w:bottom w:val="none" w:sz="0" w:space="0" w:color="auto"/>
                            <w:right w:val="none" w:sz="0" w:space="0" w:color="auto"/>
                          </w:divBdr>
                        </w:div>
                        <w:div w:id="25177068">
                          <w:marLeft w:val="0"/>
                          <w:marRight w:val="0"/>
                          <w:marTop w:val="0"/>
                          <w:marBottom w:val="0"/>
                          <w:divBdr>
                            <w:top w:val="none" w:sz="0" w:space="0" w:color="auto"/>
                            <w:left w:val="none" w:sz="0" w:space="0" w:color="auto"/>
                            <w:bottom w:val="none" w:sz="0" w:space="0" w:color="auto"/>
                            <w:right w:val="none" w:sz="0" w:space="0" w:color="auto"/>
                          </w:divBdr>
                        </w:div>
                      </w:divsChild>
                    </w:div>
                    <w:div w:id="1932202085">
                      <w:marLeft w:val="0"/>
                      <w:marRight w:val="0"/>
                      <w:marTop w:val="0"/>
                      <w:marBottom w:val="0"/>
                      <w:divBdr>
                        <w:top w:val="none" w:sz="0" w:space="0" w:color="auto"/>
                        <w:left w:val="none" w:sz="0" w:space="0" w:color="auto"/>
                        <w:bottom w:val="none" w:sz="0" w:space="0" w:color="auto"/>
                        <w:right w:val="none" w:sz="0" w:space="0" w:color="auto"/>
                      </w:divBdr>
                      <w:divsChild>
                        <w:div w:id="716852660">
                          <w:marLeft w:val="0"/>
                          <w:marRight w:val="0"/>
                          <w:marTop w:val="0"/>
                          <w:marBottom w:val="0"/>
                          <w:divBdr>
                            <w:top w:val="none" w:sz="0" w:space="0" w:color="auto"/>
                            <w:left w:val="none" w:sz="0" w:space="0" w:color="auto"/>
                            <w:bottom w:val="none" w:sz="0" w:space="0" w:color="auto"/>
                            <w:right w:val="none" w:sz="0" w:space="0" w:color="auto"/>
                          </w:divBdr>
                        </w:div>
                        <w:div w:id="58671166">
                          <w:marLeft w:val="0"/>
                          <w:marRight w:val="0"/>
                          <w:marTop w:val="0"/>
                          <w:marBottom w:val="0"/>
                          <w:divBdr>
                            <w:top w:val="none" w:sz="0" w:space="0" w:color="auto"/>
                            <w:left w:val="none" w:sz="0" w:space="0" w:color="auto"/>
                            <w:bottom w:val="none" w:sz="0" w:space="0" w:color="auto"/>
                            <w:right w:val="none" w:sz="0" w:space="0" w:color="auto"/>
                          </w:divBdr>
                        </w:div>
                        <w:div w:id="453134056">
                          <w:marLeft w:val="0"/>
                          <w:marRight w:val="0"/>
                          <w:marTop w:val="0"/>
                          <w:marBottom w:val="0"/>
                          <w:divBdr>
                            <w:top w:val="none" w:sz="0" w:space="0" w:color="auto"/>
                            <w:left w:val="none" w:sz="0" w:space="0" w:color="auto"/>
                            <w:bottom w:val="none" w:sz="0" w:space="0" w:color="auto"/>
                            <w:right w:val="none" w:sz="0" w:space="0" w:color="auto"/>
                          </w:divBdr>
                        </w:div>
                        <w:div w:id="1589851667">
                          <w:marLeft w:val="0"/>
                          <w:marRight w:val="0"/>
                          <w:marTop w:val="0"/>
                          <w:marBottom w:val="0"/>
                          <w:divBdr>
                            <w:top w:val="none" w:sz="0" w:space="0" w:color="auto"/>
                            <w:left w:val="none" w:sz="0" w:space="0" w:color="auto"/>
                            <w:bottom w:val="none" w:sz="0" w:space="0" w:color="auto"/>
                            <w:right w:val="none" w:sz="0" w:space="0" w:color="auto"/>
                          </w:divBdr>
                        </w:div>
                        <w:div w:id="31025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761517">
              <w:marLeft w:val="0"/>
              <w:marRight w:val="0"/>
              <w:marTop w:val="0"/>
              <w:marBottom w:val="0"/>
              <w:divBdr>
                <w:top w:val="none" w:sz="0" w:space="0" w:color="auto"/>
                <w:left w:val="none" w:sz="0" w:space="0" w:color="auto"/>
                <w:bottom w:val="none" w:sz="0" w:space="0" w:color="auto"/>
                <w:right w:val="none" w:sz="0" w:space="0" w:color="auto"/>
              </w:divBdr>
              <w:divsChild>
                <w:div w:id="421875335">
                  <w:marLeft w:val="810"/>
                  <w:marRight w:val="810"/>
                  <w:marTop w:val="360"/>
                  <w:marBottom w:val="0"/>
                  <w:divBdr>
                    <w:top w:val="none" w:sz="0" w:space="0" w:color="auto"/>
                    <w:left w:val="none" w:sz="0" w:space="0" w:color="auto"/>
                    <w:bottom w:val="none" w:sz="0" w:space="0" w:color="auto"/>
                    <w:right w:val="none" w:sz="0" w:space="0" w:color="auto"/>
                  </w:divBdr>
                  <w:divsChild>
                    <w:div w:id="2138446474">
                      <w:marLeft w:val="4005"/>
                      <w:marRight w:val="810"/>
                      <w:marTop w:val="0"/>
                      <w:marBottom w:val="0"/>
                      <w:divBdr>
                        <w:top w:val="none" w:sz="0" w:space="0" w:color="auto"/>
                        <w:left w:val="none" w:sz="0" w:space="0" w:color="auto"/>
                        <w:bottom w:val="none" w:sz="0" w:space="0" w:color="auto"/>
                        <w:right w:val="none" w:sz="0" w:space="0" w:color="auto"/>
                      </w:divBdr>
                    </w:div>
                    <w:div w:id="1073772469">
                      <w:marLeft w:val="4005"/>
                      <w:marRight w:val="810"/>
                      <w:marTop w:val="0"/>
                      <w:marBottom w:val="0"/>
                      <w:divBdr>
                        <w:top w:val="none" w:sz="0" w:space="0" w:color="auto"/>
                        <w:left w:val="none" w:sz="0" w:space="0" w:color="auto"/>
                        <w:bottom w:val="none" w:sz="0" w:space="0" w:color="auto"/>
                        <w:right w:val="none" w:sz="0" w:space="0" w:color="auto"/>
                      </w:divBdr>
                    </w:div>
                  </w:divsChild>
                </w:div>
              </w:divsChild>
            </w:div>
          </w:divsChild>
        </w:div>
        <w:div w:id="697390643">
          <w:marLeft w:val="0"/>
          <w:marRight w:val="0"/>
          <w:marTop w:val="0"/>
          <w:marBottom w:val="0"/>
          <w:divBdr>
            <w:top w:val="none" w:sz="0" w:space="0" w:color="auto"/>
            <w:left w:val="none" w:sz="0" w:space="0" w:color="auto"/>
            <w:bottom w:val="none" w:sz="0" w:space="0" w:color="auto"/>
            <w:right w:val="none" w:sz="0" w:space="0" w:color="auto"/>
          </w:divBdr>
          <w:divsChild>
            <w:div w:id="1538541928">
              <w:marLeft w:val="0"/>
              <w:marRight w:val="0"/>
              <w:marTop w:val="0"/>
              <w:marBottom w:val="0"/>
              <w:divBdr>
                <w:top w:val="none" w:sz="0" w:space="0" w:color="auto"/>
                <w:left w:val="none" w:sz="0" w:space="0" w:color="auto"/>
                <w:bottom w:val="none" w:sz="0" w:space="0" w:color="auto"/>
                <w:right w:val="none" w:sz="0" w:space="0" w:color="auto"/>
              </w:divBdr>
            </w:div>
          </w:divsChild>
        </w:div>
        <w:div w:id="90666950">
          <w:marLeft w:val="0"/>
          <w:marRight w:val="0"/>
          <w:marTop w:val="0"/>
          <w:marBottom w:val="0"/>
          <w:divBdr>
            <w:top w:val="none" w:sz="0" w:space="0" w:color="auto"/>
            <w:left w:val="none" w:sz="0" w:space="0" w:color="auto"/>
            <w:bottom w:val="none" w:sz="0" w:space="0" w:color="auto"/>
            <w:right w:val="none" w:sz="0" w:space="0" w:color="auto"/>
          </w:divBdr>
          <w:divsChild>
            <w:div w:id="873345411">
              <w:marLeft w:val="0"/>
              <w:marRight w:val="0"/>
              <w:marTop w:val="0"/>
              <w:marBottom w:val="0"/>
              <w:divBdr>
                <w:top w:val="none" w:sz="0" w:space="0" w:color="auto"/>
                <w:left w:val="none" w:sz="0" w:space="0" w:color="auto"/>
                <w:bottom w:val="none" w:sz="0" w:space="0" w:color="auto"/>
                <w:right w:val="none" w:sz="0" w:space="0" w:color="auto"/>
              </w:divBdr>
            </w:div>
          </w:divsChild>
        </w:div>
        <w:div w:id="1161198532">
          <w:marLeft w:val="0"/>
          <w:marRight w:val="0"/>
          <w:marTop w:val="0"/>
          <w:marBottom w:val="0"/>
          <w:divBdr>
            <w:top w:val="none" w:sz="0" w:space="0" w:color="auto"/>
            <w:left w:val="none" w:sz="0" w:space="0" w:color="auto"/>
            <w:bottom w:val="none" w:sz="0" w:space="0" w:color="auto"/>
            <w:right w:val="none" w:sz="0" w:space="0" w:color="auto"/>
          </w:divBdr>
          <w:divsChild>
            <w:div w:id="1287005528">
              <w:marLeft w:val="0"/>
              <w:marRight w:val="0"/>
              <w:marTop w:val="0"/>
              <w:marBottom w:val="0"/>
              <w:divBdr>
                <w:top w:val="none" w:sz="0" w:space="0" w:color="auto"/>
                <w:left w:val="none" w:sz="0" w:space="0" w:color="auto"/>
                <w:bottom w:val="none" w:sz="0" w:space="0" w:color="auto"/>
                <w:right w:val="none" w:sz="0" w:space="0" w:color="auto"/>
              </w:divBdr>
            </w:div>
          </w:divsChild>
        </w:div>
        <w:div w:id="680206030">
          <w:marLeft w:val="0"/>
          <w:marRight w:val="0"/>
          <w:marTop w:val="0"/>
          <w:marBottom w:val="0"/>
          <w:divBdr>
            <w:top w:val="none" w:sz="0" w:space="0" w:color="auto"/>
            <w:left w:val="none" w:sz="0" w:space="0" w:color="auto"/>
            <w:bottom w:val="none" w:sz="0" w:space="0" w:color="auto"/>
            <w:right w:val="none" w:sz="0" w:space="0" w:color="auto"/>
          </w:divBdr>
          <w:divsChild>
            <w:div w:id="610429650">
              <w:marLeft w:val="0"/>
              <w:marRight w:val="0"/>
              <w:marTop w:val="0"/>
              <w:marBottom w:val="0"/>
              <w:divBdr>
                <w:top w:val="none" w:sz="0" w:space="0" w:color="auto"/>
                <w:left w:val="none" w:sz="0" w:space="0" w:color="auto"/>
                <w:bottom w:val="none" w:sz="0" w:space="0" w:color="auto"/>
                <w:right w:val="none" w:sz="0" w:space="0" w:color="auto"/>
              </w:divBdr>
            </w:div>
          </w:divsChild>
        </w:div>
        <w:div w:id="2061123344">
          <w:marLeft w:val="0"/>
          <w:marRight w:val="0"/>
          <w:marTop w:val="0"/>
          <w:marBottom w:val="0"/>
          <w:divBdr>
            <w:top w:val="none" w:sz="0" w:space="0" w:color="auto"/>
            <w:left w:val="none" w:sz="0" w:space="0" w:color="auto"/>
            <w:bottom w:val="none" w:sz="0" w:space="0" w:color="auto"/>
            <w:right w:val="none" w:sz="0" w:space="0" w:color="auto"/>
          </w:divBdr>
          <w:divsChild>
            <w:div w:id="1503818703">
              <w:marLeft w:val="0"/>
              <w:marRight w:val="0"/>
              <w:marTop w:val="0"/>
              <w:marBottom w:val="0"/>
              <w:divBdr>
                <w:top w:val="none" w:sz="0" w:space="0" w:color="auto"/>
                <w:left w:val="none" w:sz="0" w:space="0" w:color="auto"/>
                <w:bottom w:val="none" w:sz="0" w:space="0" w:color="auto"/>
                <w:right w:val="none" w:sz="0" w:space="0" w:color="auto"/>
              </w:divBdr>
            </w:div>
          </w:divsChild>
        </w:div>
        <w:div w:id="255988566">
          <w:marLeft w:val="0"/>
          <w:marRight w:val="0"/>
          <w:marTop w:val="0"/>
          <w:marBottom w:val="0"/>
          <w:divBdr>
            <w:top w:val="none" w:sz="0" w:space="0" w:color="auto"/>
            <w:left w:val="none" w:sz="0" w:space="0" w:color="auto"/>
            <w:bottom w:val="none" w:sz="0" w:space="0" w:color="auto"/>
            <w:right w:val="none" w:sz="0" w:space="0" w:color="auto"/>
          </w:divBdr>
          <w:divsChild>
            <w:div w:id="46034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951783">
      <w:bodyDiv w:val="1"/>
      <w:marLeft w:val="0"/>
      <w:marRight w:val="0"/>
      <w:marTop w:val="0"/>
      <w:marBottom w:val="0"/>
      <w:divBdr>
        <w:top w:val="none" w:sz="0" w:space="0" w:color="auto"/>
        <w:left w:val="none" w:sz="0" w:space="0" w:color="auto"/>
        <w:bottom w:val="none" w:sz="0" w:space="0" w:color="auto"/>
        <w:right w:val="none" w:sz="0" w:space="0" w:color="auto"/>
      </w:divBdr>
    </w:div>
    <w:div w:id="1906330051">
      <w:bodyDiv w:val="1"/>
      <w:marLeft w:val="0"/>
      <w:marRight w:val="0"/>
      <w:marTop w:val="0"/>
      <w:marBottom w:val="0"/>
      <w:divBdr>
        <w:top w:val="none" w:sz="0" w:space="0" w:color="auto"/>
        <w:left w:val="none" w:sz="0" w:space="0" w:color="auto"/>
        <w:bottom w:val="none" w:sz="0" w:space="0" w:color="auto"/>
        <w:right w:val="none" w:sz="0" w:space="0" w:color="auto"/>
      </w:divBdr>
    </w:div>
    <w:div w:id="2003704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ur-lex.europa.eu/legal-content/PT/AUTO/?uri=OJ:L:2018:295:TOC" TargetMode="External"/><Relationship Id="rId21" Type="http://schemas.openxmlformats.org/officeDocument/2006/relationships/hyperlink" Target="https://eur-lex.europa.eu/legal-content/PT/TXT/?uri=celex%3A32023R1114" TargetMode="External"/><Relationship Id="rId42" Type="http://schemas.openxmlformats.org/officeDocument/2006/relationships/hyperlink" Target="https://eur-lex.europa.eu/legal-content/PT/TXT/?uri=celex%3A32023R1114" TargetMode="External"/><Relationship Id="rId63" Type="http://schemas.openxmlformats.org/officeDocument/2006/relationships/hyperlink" Target="https://eur-lex.europa.eu/legal-content/PT/TXT/?uri=celex%3A32023R1114" TargetMode="External"/><Relationship Id="rId84" Type="http://schemas.openxmlformats.org/officeDocument/2006/relationships/hyperlink" Target="https://eur-lex.europa.eu/legal-content/PT/TXT/?uri=celex%3A32023R1114" TargetMode="External"/><Relationship Id="rId138" Type="http://schemas.openxmlformats.org/officeDocument/2006/relationships/hyperlink" Target="https://eur-lex.europa.eu/legal-content/PT/TXT/?uri=celex%3A32023R1114" TargetMode="External"/><Relationship Id="rId159" Type="http://schemas.openxmlformats.org/officeDocument/2006/relationships/hyperlink" Target="https://eur-lex.europa.eu/legal-content/PT/AUTO/?uri=OJ:L:2019:314:TOC" TargetMode="External"/><Relationship Id="rId107" Type="http://schemas.openxmlformats.org/officeDocument/2006/relationships/hyperlink" Target="https://eur-lex.europa.eu/legal-content/PT/AUTO/?uri=OJ:L:2015:141:TOC" TargetMode="External"/><Relationship Id="rId11" Type="http://schemas.openxmlformats.org/officeDocument/2006/relationships/hyperlink" Target="https://eur-lex.europa.eu/legal-content/PT/TXT/?uri=celex%3A32023R1114" TargetMode="External"/><Relationship Id="rId32" Type="http://schemas.openxmlformats.org/officeDocument/2006/relationships/hyperlink" Target="https://eur-lex.europa.eu/legal-content/PT/TXT/?uri=celex%3A32023R1114" TargetMode="External"/><Relationship Id="rId53" Type="http://schemas.openxmlformats.org/officeDocument/2006/relationships/hyperlink" Target="https://eur-lex.europa.eu/legal-content/PT/TXT/?uri=celex%3A32023R1114" TargetMode="External"/><Relationship Id="rId74" Type="http://schemas.openxmlformats.org/officeDocument/2006/relationships/hyperlink" Target="https://eur-lex.europa.eu/legal-content/PT/TXT/?uri=celex%3A32023R1114" TargetMode="External"/><Relationship Id="rId128" Type="http://schemas.openxmlformats.org/officeDocument/2006/relationships/hyperlink" Target="https://eur-lex.europa.eu/legal-content/PT/TXT/?uri=celex%3A32023R1114" TargetMode="External"/><Relationship Id="rId149" Type="http://schemas.openxmlformats.org/officeDocument/2006/relationships/hyperlink" Target="https://eur-lex.europa.eu/legal-content/PT/AUTO/?uri=OJ:L:2015:011:TOC" TargetMode="External"/><Relationship Id="rId5" Type="http://schemas.openxmlformats.org/officeDocument/2006/relationships/styles" Target="styles.xml"/><Relationship Id="rId95" Type="http://schemas.openxmlformats.org/officeDocument/2006/relationships/hyperlink" Target="https://eur-lex.europa.eu/legal-content/PT/AUTO/?uri=OJ:L:2005:149:TOC" TargetMode="External"/><Relationship Id="rId160" Type="http://schemas.openxmlformats.org/officeDocument/2006/relationships/hyperlink" Target="https://eur-lex.europa.eu/legal-content/PT/TXT/?uri=celex%3A32023R1114" TargetMode="External"/><Relationship Id="rId22" Type="http://schemas.openxmlformats.org/officeDocument/2006/relationships/hyperlink" Target="https://eur-lex.europa.eu/legal-content/PT/TXT/?uri=celex%3A32023R1114" TargetMode="External"/><Relationship Id="rId43" Type="http://schemas.openxmlformats.org/officeDocument/2006/relationships/hyperlink" Target="https://eur-lex.europa.eu/legal-content/PT/TXT/?uri=celex%3A32023R1114" TargetMode="External"/><Relationship Id="rId64" Type="http://schemas.openxmlformats.org/officeDocument/2006/relationships/hyperlink" Target="https://eur-lex.europa.eu/legal-content/PT/TXT/?uri=celex%3A32023R1114" TargetMode="External"/><Relationship Id="rId118" Type="http://schemas.openxmlformats.org/officeDocument/2006/relationships/hyperlink" Target="https://eur-lex.europa.eu/legal-content/PT/TXT/?uri=celex%3A32023R1114" TargetMode="External"/><Relationship Id="rId139" Type="http://schemas.openxmlformats.org/officeDocument/2006/relationships/hyperlink" Target="https://eur-lex.europa.eu/legal-content/PT/AUTO/?uri=OJ:L:2017:168:TOC" TargetMode="External"/><Relationship Id="rId85" Type="http://schemas.openxmlformats.org/officeDocument/2006/relationships/hyperlink" Target="https://eur-lex.europa.eu/legal-content/PT/AUTO/?uri=OJ:L:2017:347:TOC" TargetMode="External"/><Relationship Id="rId150" Type="http://schemas.openxmlformats.org/officeDocument/2006/relationships/hyperlink" Target="https://eur-lex.europa.eu/legal-content/PT/TXT/?uri=celex%3A32023R1114" TargetMode="External"/><Relationship Id="rId12" Type="http://schemas.openxmlformats.org/officeDocument/2006/relationships/hyperlink" Target="https://eur-lex.europa.eu/legal-content/PT/TXT/?uri=celex%3A32023R1114" TargetMode="External"/><Relationship Id="rId17" Type="http://schemas.openxmlformats.org/officeDocument/2006/relationships/hyperlink" Target="https://eur-lex.europa.eu/legal-content/PT/TXT/?uri=celex%3A32023R1114" TargetMode="External"/><Relationship Id="rId33" Type="http://schemas.openxmlformats.org/officeDocument/2006/relationships/hyperlink" Target="https://eur-lex.europa.eu/legal-content/PT/TXT/?uri=celex%3A32023R1114" TargetMode="External"/><Relationship Id="rId38" Type="http://schemas.openxmlformats.org/officeDocument/2006/relationships/hyperlink" Target="https://eur-lex.europa.eu/legal-content/PT/TXT/?uri=celex%3A32023R1114" TargetMode="External"/><Relationship Id="rId59" Type="http://schemas.openxmlformats.org/officeDocument/2006/relationships/hyperlink" Target="https://eur-lex.europa.eu/legal-content/PT/TXT/?uri=celex%3A32023R1114" TargetMode="External"/><Relationship Id="rId103" Type="http://schemas.openxmlformats.org/officeDocument/2006/relationships/hyperlink" Target="https://eur-lex.europa.eu/legal-content/PT/AUTO/?uri=OJ:L:2014:173:TOC" TargetMode="External"/><Relationship Id="rId108" Type="http://schemas.openxmlformats.org/officeDocument/2006/relationships/hyperlink" Target="https://eur-lex.europa.eu/legal-content/PT/TXT/?uri=celex%3A32023R1114" TargetMode="External"/><Relationship Id="rId124" Type="http://schemas.openxmlformats.org/officeDocument/2006/relationships/hyperlink" Target="https://eur-lex.europa.eu/legal-content/PT/TXT/?uri=celex%3A32023R1114" TargetMode="External"/><Relationship Id="rId129" Type="http://schemas.openxmlformats.org/officeDocument/2006/relationships/hyperlink" Target="https://eur-lex.europa.eu/legal-content/PT/AUTO/?uri=OJ:L:2009:284:TOC" TargetMode="External"/><Relationship Id="rId54" Type="http://schemas.openxmlformats.org/officeDocument/2006/relationships/hyperlink" Target="https://eur-lex.europa.eu/legal-content/PT/TXT/?uri=celex%3A32023R1114" TargetMode="External"/><Relationship Id="rId70" Type="http://schemas.openxmlformats.org/officeDocument/2006/relationships/hyperlink" Target="https://eur-lex.europa.eu/legal-content/PT/AUTO/?uri=OJ:C:2021:152:TOC" TargetMode="External"/><Relationship Id="rId75" Type="http://schemas.openxmlformats.org/officeDocument/2006/relationships/hyperlink" Target="https://eur-lex.europa.eu/legal-content/PT/AUTO/?uri=OJ:L:2014:173:TOC" TargetMode="External"/><Relationship Id="rId91" Type="http://schemas.openxmlformats.org/officeDocument/2006/relationships/hyperlink" Target="https://eur-lex.europa.eu/legal-content/PT/AUTO/?uri=OJ:L:2013:287:TOC" TargetMode="External"/><Relationship Id="rId96" Type="http://schemas.openxmlformats.org/officeDocument/2006/relationships/hyperlink" Target="https://eur-lex.europa.eu/legal-content/PT/TXT/?uri=celex%3A32023R1114" TargetMode="External"/><Relationship Id="rId140" Type="http://schemas.openxmlformats.org/officeDocument/2006/relationships/hyperlink" Target="https://eur-lex.europa.eu/legal-content/PT/TXT/?uri=celex%3A32023R1114" TargetMode="External"/><Relationship Id="rId145" Type="http://schemas.openxmlformats.org/officeDocument/2006/relationships/hyperlink" Target="https://eur-lex.europa.eu/legal-content/PT/AUTO/?uri=OJ:L:2002:168:TOC" TargetMode="External"/><Relationship Id="rId161" Type="http://schemas.openxmlformats.org/officeDocument/2006/relationships/hyperlink" Target="https://eur-lex.europa.eu/legal-content/PT/AUTO/?uri=OJ:L:2019:314:TOC" TargetMode="External"/><Relationship Id="rId1" Type="http://schemas.openxmlformats.org/officeDocument/2006/relationships/customXml" Target="../customXml/item1.xml"/><Relationship Id="rId6" Type="http://schemas.openxmlformats.org/officeDocument/2006/relationships/settings" Target="settings.xml"/><Relationship Id="rId23" Type="http://schemas.openxmlformats.org/officeDocument/2006/relationships/hyperlink" Target="https://eur-lex.europa.eu/legal-content/PT/TXT/?uri=celex%3A32023R1114" TargetMode="External"/><Relationship Id="rId28" Type="http://schemas.openxmlformats.org/officeDocument/2006/relationships/hyperlink" Target="https://eur-lex.europa.eu/legal-content/PT/TXT/?uri=celex%3A32023R1114" TargetMode="External"/><Relationship Id="rId49" Type="http://schemas.openxmlformats.org/officeDocument/2006/relationships/hyperlink" Target="https://eur-lex.europa.eu/legal-content/PT/TXT/?uri=celex%3A32023R1114" TargetMode="External"/><Relationship Id="rId114" Type="http://schemas.openxmlformats.org/officeDocument/2006/relationships/hyperlink" Target="https://eur-lex.europa.eu/legal-content/PT/TXT/?uri=celex%3A32023R1114" TargetMode="External"/><Relationship Id="rId119" Type="http://schemas.openxmlformats.org/officeDocument/2006/relationships/hyperlink" Target="https://eur-lex.europa.eu/legal-content/PT/AUTO/?uri=OJ:C:2021:337:TOC" TargetMode="External"/><Relationship Id="rId44" Type="http://schemas.openxmlformats.org/officeDocument/2006/relationships/hyperlink" Target="https://eur-lex.europa.eu/legal-content/PT/TXT/?uri=celex%3A32023R1114" TargetMode="External"/><Relationship Id="rId60" Type="http://schemas.openxmlformats.org/officeDocument/2006/relationships/hyperlink" Target="https://eur-lex.europa.eu/legal-content/PT/TXT/?uri=celex%3A32023R1114" TargetMode="External"/><Relationship Id="rId65" Type="http://schemas.openxmlformats.org/officeDocument/2006/relationships/hyperlink" Target="https://eur-lex.europa.eu/legal-content/PT/TXT/?uri=celex%3A32023R1114" TargetMode="External"/><Relationship Id="rId81" Type="http://schemas.openxmlformats.org/officeDocument/2006/relationships/hyperlink" Target="https://eur-lex.europa.eu/legal-content/PT/AUTO/?uri=OJ:L:2014:173:TOC" TargetMode="External"/><Relationship Id="rId86" Type="http://schemas.openxmlformats.org/officeDocument/2006/relationships/hyperlink" Target="https://eur-lex.europa.eu/legal-content/PT/TXT/?uri=celex%3A32023R1114" TargetMode="External"/><Relationship Id="rId130" Type="http://schemas.openxmlformats.org/officeDocument/2006/relationships/hyperlink" Target="https://eur-lex.europa.eu/legal-content/PT/TXT/?uri=celex%3A32023R1114" TargetMode="External"/><Relationship Id="rId135" Type="http://schemas.openxmlformats.org/officeDocument/2006/relationships/hyperlink" Target="https://eur-lex.europa.eu/legal-content/PT/AUTO/?uri=OJ:L:2011:174:TOC" TargetMode="External"/><Relationship Id="rId151" Type="http://schemas.openxmlformats.org/officeDocument/2006/relationships/hyperlink" Target="https://eur-lex.europa.eu/legal-content/PT/AUTO/?uri=OJ:L:2013:182:TOC" TargetMode="External"/><Relationship Id="rId156" Type="http://schemas.openxmlformats.org/officeDocument/2006/relationships/hyperlink" Target="https://eur-lex.europa.eu/legal-content/PT/TXT/?uri=celex%3A32023R1114" TargetMode="External"/><Relationship Id="rId13" Type="http://schemas.openxmlformats.org/officeDocument/2006/relationships/hyperlink" Target="https://eur-lex.europa.eu/legal-content/PT/TXT/?uri=celex%3A32023R1114" TargetMode="External"/><Relationship Id="rId18" Type="http://schemas.openxmlformats.org/officeDocument/2006/relationships/hyperlink" Target="https://eur-lex.europa.eu/legal-content/PT/TXT/?uri=celex%3A32023R1114" TargetMode="External"/><Relationship Id="rId39" Type="http://schemas.openxmlformats.org/officeDocument/2006/relationships/hyperlink" Target="https://eur-lex.europa.eu/legal-content/PT/TXT/?uri=celex%3A32023R1114" TargetMode="External"/><Relationship Id="rId109" Type="http://schemas.openxmlformats.org/officeDocument/2006/relationships/hyperlink" Target="https://eur-lex.europa.eu/legal-content/PT/AUTO/?uri=OJ:L:2014:173:TOC" TargetMode="External"/><Relationship Id="rId34" Type="http://schemas.openxmlformats.org/officeDocument/2006/relationships/hyperlink" Target="https://eur-lex.europa.eu/legal-content/PT/TXT/?uri=celex%3A32023R1114" TargetMode="External"/><Relationship Id="rId50" Type="http://schemas.openxmlformats.org/officeDocument/2006/relationships/hyperlink" Target="https://eur-lex.europa.eu/legal-content/PT/TXT/?uri=celex%3A32023R1114" TargetMode="External"/><Relationship Id="rId55" Type="http://schemas.openxmlformats.org/officeDocument/2006/relationships/hyperlink" Target="https://eur-lex.europa.eu/legal-content/PT/TXT/?uri=celex%3A32023R1114" TargetMode="External"/><Relationship Id="rId76" Type="http://schemas.openxmlformats.org/officeDocument/2006/relationships/hyperlink" Target="https://eur-lex.europa.eu/legal-content/PT/TXT/?uri=celex%3A32023R1114" TargetMode="External"/><Relationship Id="rId97" Type="http://schemas.openxmlformats.org/officeDocument/2006/relationships/hyperlink" Target="https://eur-lex.europa.eu/legal-content/PT/AUTO/?uri=OJ:L:1993:095:TOC" TargetMode="External"/><Relationship Id="rId104" Type="http://schemas.openxmlformats.org/officeDocument/2006/relationships/hyperlink" Target="https://eur-lex.europa.eu/legal-content/PT/TXT/?uri=celex%3A32023R1114" TargetMode="External"/><Relationship Id="rId120" Type="http://schemas.openxmlformats.org/officeDocument/2006/relationships/hyperlink" Target="https://eur-lex.europa.eu/legal-content/PT/TXT/?uri=celex%3A32023R1114" TargetMode="External"/><Relationship Id="rId125" Type="http://schemas.openxmlformats.org/officeDocument/2006/relationships/hyperlink" Target="https://eur-lex.europa.eu/legal-content/PT/AUTO/?uri=OJ:L:2019:198:TOC" TargetMode="External"/><Relationship Id="rId141" Type="http://schemas.openxmlformats.org/officeDocument/2006/relationships/hyperlink" Target="https://eur-lex.europa.eu/legal-content/PT/AUTO/?uri=OJ:L:2022:333:TOC" TargetMode="External"/><Relationship Id="rId146" Type="http://schemas.openxmlformats.org/officeDocument/2006/relationships/hyperlink" Target="https://eur-lex.europa.eu/legal-content/PT/TXT/?uri=celex%3A32023R1114" TargetMode="External"/><Relationship Id="rId7" Type="http://schemas.openxmlformats.org/officeDocument/2006/relationships/webSettings" Target="webSettings.xml"/><Relationship Id="rId71" Type="http://schemas.openxmlformats.org/officeDocument/2006/relationships/hyperlink" Target="https://eur-lex.europa.eu/legal-content/PT/TXT/?uri=celex%3A32023R1114" TargetMode="External"/><Relationship Id="rId92" Type="http://schemas.openxmlformats.org/officeDocument/2006/relationships/hyperlink" Target="https://eur-lex.europa.eu/legal-content/PT/TXT/?uri=celex%3A32023R1114" TargetMode="External"/><Relationship Id="rId162" Type="http://schemas.openxmlformats.org/officeDocument/2006/relationships/fontTable" Target="fontTable.xml"/><Relationship Id="rId2" Type="http://schemas.openxmlformats.org/officeDocument/2006/relationships/customXml" Target="../customXml/item2.xml"/><Relationship Id="rId29" Type="http://schemas.openxmlformats.org/officeDocument/2006/relationships/hyperlink" Target="https://eur-lex.europa.eu/legal-content/PT/TXT/?uri=celex%3A32023R1114" TargetMode="External"/><Relationship Id="rId24" Type="http://schemas.openxmlformats.org/officeDocument/2006/relationships/hyperlink" Target="https://eur-lex.europa.eu/legal-content/PT/TXT/?uri=celex%3A32023R1114" TargetMode="External"/><Relationship Id="rId40" Type="http://schemas.openxmlformats.org/officeDocument/2006/relationships/hyperlink" Target="https://eur-lex.europa.eu/legal-content/PT/TXT/?uri=celex%3A32023R1114" TargetMode="External"/><Relationship Id="rId45" Type="http://schemas.openxmlformats.org/officeDocument/2006/relationships/hyperlink" Target="https://eur-lex.europa.eu/legal-content/PT/TXT/?uri=celex%3A32023R1114" TargetMode="External"/><Relationship Id="rId66" Type="http://schemas.openxmlformats.org/officeDocument/2006/relationships/hyperlink" Target="https://eur-lex.europa.eu/legal-content/PT/TXT/?uri=celex%3A32023R1114" TargetMode="External"/><Relationship Id="rId87" Type="http://schemas.openxmlformats.org/officeDocument/2006/relationships/hyperlink" Target="https://eur-lex.europa.eu/legal-content/PT/AUTO/?uri=OJ:L:2009:267:TOC" TargetMode="External"/><Relationship Id="rId110" Type="http://schemas.openxmlformats.org/officeDocument/2006/relationships/hyperlink" Target="https://eur-lex.europa.eu/legal-content/PT/TXT/?uri=celex%3A32023R1114" TargetMode="External"/><Relationship Id="rId115" Type="http://schemas.openxmlformats.org/officeDocument/2006/relationships/hyperlink" Target="https://eur-lex.europa.eu/legal-content/PT/AUTO/?uri=OJ:L:2016:119:TOC" TargetMode="External"/><Relationship Id="rId131" Type="http://schemas.openxmlformats.org/officeDocument/2006/relationships/hyperlink" Target="https://eur-lex.europa.eu/legal-content/PT/AUTO/?uri=OJ:L:2004:390:TOC" TargetMode="External"/><Relationship Id="rId136" Type="http://schemas.openxmlformats.org/officeDocument/2006/relationships/hyperlink" Target="https://eur-lex.europa.eu/legal-content/PT/TXT/?uri=celex%3A32023R1114" TargetMode="External"/><Relationship Id="rId157" Type="http://schemas.openxmlformats.org/officeDocument/2006/relationships/hyperlink" Target="https://eur-lex.europa.eu/legal-content/PT/AUTO/?uri=OJ:L:2014:257:TOC" TargetMode="External"/><Relationship Id="rId61" Type="http://schemas.openxmlformats.org/officeDocument/2006/relationships/hyperlink" Target="https://eur-lex.europa.eu/legal-content/PT/TXT/?uri=celex%3A32023R1114" TargetMode="External"/><Relationship Id="rId82" Type="http://schemas.openxmlformats.org/officeDocument/2006/relationships/hyperlink" Target="https://eur-lex.europa.eu/legal-content/PT/TXT/?uri=celex%3A32023R1114" TargetMode="External"/><Relationship Id="rId152" Type="http://schemas.openxmlformats.org/officeDocument/2006/relationships/hyperlink" Target="https://eur-lex.europa.eu/legal-content/PT/TXT/?uri=celex%3A32023R1114" TargetMode="External"/><Relationship Id="rId19" Type="http://schemas.openxmlformats.org/officeDocument/2006/relationships/hyperlink" Target="https://eur-lex.europa.eu/legal-content/PT/TXT/?uri=celex%3A32023R1114" TargetMode="External"/><Relationship Id="rId14" Type="http://schemas.openxmlformats.org/officeDocument/2006/relationships/hyperlink" Target="https://eur-lex.europa.eu/legal-content/PT/TXT/?uri=celex%3A32023R1114" TargetMode="External"/><Relationship Id="rId30" Type="http://schemas.openxmlformats.org/officeDocument/2006/relationships/hyperlink" Target="https://eur-lex.europa.eu/legal-content/PT/TXT/?uri=celex%3A32023R1114" TargetMode="External"/><Relationship Id="rId35" Type="http://schemas.openxmlformats.org/officeDocument/2006/relationships/hyperlink" Target="https://eur-lex.europa.eu/legal-content/PT/TXT/?uri=celex%3A32023R1114" TargetMode="External"/><Relationship Id="rId56" Type="http://schemas.openxmlformats.org/officeDocument/2006/relationships/hyperlink" Target="https://eur-lex.europa.eu/legal-content/PT/TXT/?uri=celex%3A32023R1114" TargetMode="External"/><Relationship Id="rId77" Type="http://schemas.openxmlformats.org/officeDocument/2006/relationships/hyperlink" Target="https://eur-lex.europa.eu/legal-content/PT/AUTO/?uri=OJ:L:2010:331:TOC" TargetMode="External"/><Relationship Id="rId100" Type="http://schemas.openxmlformats.org/officeDocument/2006/relationships/hyperlink" Target="https://eur-lex.europa.eu/legal-content/PT/TXT/?uri=celex%3A32023R1114" TargetMode="External"/><Relationship Id="rId105" Type="http://schemas.openxmlformats.org/officeDocument/2006/relationships/hyperlink" Target="https://eur-lex.europa.eu/legal-content/PT/AUTO/?uri=OJ:L:2014:225:TOC" TargetMode="External"/><Relationship Id="rId126" Type="http://schemas.openxmlformats.org/officeDocument/2006/relationships/hyperlink" Target="https://eur-lex.europa.eu/legal-content/PT/TXT/?uri=celex%3A32023R1114" TargetMode="External"/><Relationship Id="rId147" Type="http://schemas.openxmlformats.org/officeDocument/2006/relationships/hyperlink" Target="https://eur-lex.europa.eu/legal-content/PT/AUTO/?uri=OJ:L:2006:241:TOC" TargetMode="External"/><Relationship Id="rId8" Type="http://schemas.openxmlformats.org/officeDocument/2006/relationships/hyperlink" Target="https://eur-lex.europa.eu/legal-content/PT/TXT/?uri=celex%3A32023R1114" TargetMode="External"/><Relationship Id="rId51" Type="http://schemas.openxmlformats.org/officeDocument/2006/relationships/hyperlink" Target="https://eur-lex.europa.eu/legal-content/PT/TXT/?uri=celex%3A32023R1114" TargetMode="External"/><Relationship Id="rId72" Type="http://schemas.openxmlformats.org/officeDocument/2006/relationships/hyperlink" Target="https://eur-lex.europa.eu/legal-content/PT/AUTO/?uri=OJ:C:2021:155:TOC" TargetMode="External"/><Relationship Id="rId93" Type="http://schemas.openxmlformats.org/officeDocument/2006/relationships/hyperlink" Target="https://eur-lex.europa.eu/legal-content/PT/AUTO/?uri=OJ:L:2013:176:TOC" TargetMode="External"/><Relationship Id="rId98" Type="http://schemas.openxmlformats.org/officeDocument/2006/relationships/hyperlink" Target="https://eur-lex.europa.eu/legal-content/PT/TXT/?uri=celex%3A32023R1114" TargetMode="External"/><Relationship Id="rId121" Type="http://schemas.openxmlformats.org/officeDocument/2006/relationships/hyperlink" Target="https://eur-lex.europa.eu/legal-content/PT/AUTO/?uri=OJ:L:2009:335:TOC" TargetMode="External"/><Relationship Id="rId142" Type="http://schemas.openxmlformats.org/officeDocument/2006/relationships/hyperlink" Target="https://eur-lex.europa.eu/legal-content/PT/TXT/?uri=celex%3A32023R1114" TargetMode="External"/><Relationship Id="rId163" Type="http://schemas.openxmlformats.org/officeDocument/2006/relationships/theme" Target="theme/theme1.xml"/><Relationship Id="rId3" Type="http://schemas.openxmlformats.org/officeDocument/2006/relationships/customXml" Target="../customXml/item3.xml"/><Relationship Id="rId25" Type="http://schemas.openxmlformats.org/officeDocument/2006/relationships/hyperlink" Target="https://eur-lex.europa.eu/legal-content/PT/TXT/?uri=celex%3A32023R1114" TargetMode="External"/><Relationship Id="rId46" Type="http://schemas.openxmlformats.org/officeDocument/2006/relationships/hyperlink" Target="https://eur-lex.europa.eu/legal-content/PT/TXT/?uri=celex%3A32023R1114" TargetMode="External"/><Relationship Id="rId67" Type="http://schemas.openxmlformats.org/officeDocument/2006/relationships/hyperlink" Target="https://eur-lex.europa.eu/legal-content/PT/TXT/?uri=celex%3A32023R1114" TargetMode="External"/><Relationship Id="rId116" Type="http://schemas.openxmlformats.org/officeDocument/2006/relationships/hyperlink" Target="https://eur-lex.europa.eu/legal-content/PT/TXT/?uri=celex%3A32023R1114" TargetMode="External"/><Relationship Id="rId137" Type="http://schemas.openxmlformats.org/officeDocument/2006/relationships/hyperlink" Target="https://eur-lex.europa.eu/legal-content/PT/AUTO/?uri=OJ:L:1997:084:TOC" TargetMode="External"/><Relationship Id="rId158" Type="http://schemas.openxmlformats.org/officeDocument/2006/relationships/hyperlink" Target="https://eur-lex.europa.eu/legal-content/PT/TXT/?uri=celex%3A32023R1114" TargetMode="External"/><Relationship Id="rId20" Type="http://schemas.openxmlformats.org/officeDocument/2006/relationships/hyperlink" Target="https://eur-lex.europa.eu/legal-content/PT/TXT/?uri=celex%3A32023R1114" TargetMode="External"/><Relationship Id="rId41" Type="http://schemas.openxmlformats.org/officeDocument/2006/relationships/hyperlink" Target="https://eur-lex.europa.eu/legal-content/PT/TXT/?uri=celex%3A32023R1114" TargetMode="External"/><Relationship Id="rId62" Type="http://schemas.openxmlformats.org/officeDocument/2006/relationships/hyperlink" Target="https://eur-lex.europa.eu/legal-content/PT/TXT/?uri=celex%3A32023R1114" TargetMode="External"/><Relationship Id="rId83" Type="http://schemas.openxmlformats.org/officeDocument/2006/relationships/hyperlink" Target="https://eur-lex.europa.eu/legal-content/PT/AUTO/?uri=OJ:L:2015:337:TOC" TargetMode="External"/><Relationship Id="rId88" Type="http://schemas.openxmlformats.org/officeDocument/2006/relationships/hyperlink" Target="https://eur-lex.europa.eu/legal-content/PT/TXT/?uri=celex%3A32023R1114" TargetMode="External"/><Relationship Id="rId111" Type="http://schemas.openxmlformats.org/officeDocument/2006/relationships/hyperlink" Target="https://eur-lex.europa.eu/legal-content/PT/AUTO/?uri=OJ:L:2016:123:TOC" TargetMode="External"/><Relationship Id="rId132" Type="http://schemas.openxmlformats.org/officeDocument/2006/relationships/hyperlink" Target="https://eur-lex.europa.eu/legal-content/PT/TXT/?uri=celex%3A32023R1114" TargetMode="External"/><Relationship Id="rId153" Type="http://schemas.openxmlformats.org/officeDocument/2006/relationships/hyperlink" Target="https://eur-lex.europa.eu/legal-content/PT/AUTO/?uri=OJ:L:2022:265:TOC" TargetMode="External"/><Relationship Id="rId15" Type="http://schemas.openxmlformats.org/officeDocument/2006/relationships/hyperlink" Target="https://eur-lex.europa.eu/legal-content/PT/TXT/?uri=celex%3A32023R1114" TargetMode="External"/><Relationship Id="rId36" Type="http://schemas.openxmlformats.org/officeDocument/2006/relationships/hyperlink" Target="https://eur-lex.europa.eu/legal-content/PT/TXT/?uri=celex%3A32023R1114" TargetMode="External"/><Relationship Id="rId57" Type="http://schemas.openxmlformats.org/officeDocument/2006/relationships/hyperlink" Target="https://eur-lex.europa.eu/legal-content/PT/TXT/?uri=celex%3A32023R1114" TargetMode="External"/><Relationship Id="rId106" Type="http://schemas.openxmlformats.org/officeDocument/2006/relationships/hyperlink" Target="https://eur-lex.europa.eu/legal-content/PT/TXT/?uri=celex%3A32023R1114" TargetMode="External"/><Relationship Id="rId127" Type="http://schemas.openxmlformats.org/officeDocument/2006/relationships/hyperlink" Target="https://eur-lex.europa.eu/legal-content/PT/AUTO/?uri=OJ:L:2004:166:TOC" TargetMode="External"/><Relationship Id="rId10" Type="http://schemas.openxmlformats.org/officeDocument/2006/relationships/hyperlink" Target="https://eur-lex.europa.eu/legal-content/PT/TXT/?uri=celex%3A32023R1114" TargetMode="External"/><Relationship Id="rId31" Type="http://schemas.openxmlformats.org/officeDocument/2006/relationships/hyperlink" Target="https://eur-lex.europa.eu/legal-content/PT/TXT/?uri=celex%3A32023R1114" TargetMode="External"/><Relationship Id="rId52" Type="http://schemas.openxmlformats.org/officeDocument/2006/relationships/hyperlink" Target="https://eur-lex.europa.eu/legal-content/PT/TXT/?uri=celex%3A32023R1114" TargetMode="External"/><Relationship Id="rId73" Type="http://schemas.openxmlformats.org/officeDocument/2006/relationships/hyperlink" Target="https://eur-lex.europa.eu/legal-content/PT/TXT/?uri=celex%3A32023R1114" TargetMode="External"/><Relationship Id="rId78" Type="http://schemas.openxmlformats.org/officeDocument/2006/relationships/hyperlink" Target="https://eur-lex.europa.eu/legal-content/PT/TXT/?uri=celex%3A32023R1114" TargetMode="External"/><Relationship Id="rId94" Type="http://schemas.openxmlformats.org/officeDocument/2006/relationships/hyperlink" Target="https://eur-lex.europa.eu/legal-content/PT/TXT/?uri=celex%3A32023R1114" TargetMode="External"/><Relationship Id="rId99" Type="http://schemas.openxmlformats.org/officeDocument/2006/relationships/hyperlink" Target="https://eur-lex.europa.eu/legal-content/PT/AUTO/?uri=OJ:L:2002:271:TOC" TargetMode="External"/><Relationship Id="rId101" Type="http://schemas.openxmlformats.org/officeDocument/2006/relationships/hyperlink" Target="https://eur-lex.europa.eu/legal-content/PT/AUTO/?uri=OJ:L:2013:176:TOC" TargetMode="External"/><Relationship Id="rId122" Type="http://schemas.openxmlformats.org/officeDocument/2006/relationships/hyperlink" Target="https://eur-lex.europa.eu/legal-content/PT/TXT/?uri=celex%3A32023R1114" TargetMode="External"/><Relationship Id="rId143" Type="http://schemas.openxmlformats.org/officeDocument/2006/relationships/hyperlink" Target="https://eur-lex.europa.eu/legal-content/PT/AUTO/?uri=OJ:L:2017:169:TOC" TargetMode="External"/><Relationship Id="rId148" Type="http://schemas.openxmlformats.org/officeDocument/2006/relationships/hyperlink" Target="https://eur-lex.europa.eu/legal-content/PT/TXT/?uri=celex%3A32023R1114" TargetMode="External"/><Relationship Id="rId4" Type="http://schemas.openxmlformats.org/officeDocument/2006/relationships/numbering" Target="numbering.xml"/><Relationship Id="rId9" Type="http://schemas.openxmlformats.org/officeDocument/2006/relationships/hyperlink" Target="https://eur-lex.europa.eu/legal-content/PT/TXT/?uri=celex%3A32023R1114" TargetMode="External"/><Relationship Id="rId26" Type="http://schemas.openxmlformats.org/officeDocument/2006/relationships/hyperlink" Target="https://eur-lex.europa.eu/legal-content/PT/TXT/?uri=celex%3A32023R1114" TargetMode="External"/><Relationship Id="rId47" Type="http://schemas.openxmlformats.org/officeDocument/2006/relationships/hyperlink" Target="https://eur-lex.europa.eu/legal-content/PT/TXT/?uri=celex%3A32023R1114" TargetMode="External"/><Relationship Id="rId68" Type="http://schemas.openxmlformats.org/officeDocument/2006/relationships/hyperlink" Target="https://eur-lex.europa.eu/legal-content/PT/AUTO/?uri=OJ:L:2023:150:TOC" TargetMode="External"/><Relationship Id="rId89" Type="http://schemas.openxmlformats.org/officeDocument/2006/relationships/hyperlink" Target="https://eur-lex.europa.eu/legal-content/PT/AUTO/?uri=OJ:L:2010:331:TOC" TargetMode="External"/><Relationship Id="rId112" Type="http://schemas.openxmlformats.org/officeDocument/2006/relationships/hyperlink" Target="https://eur-lex.europa.eu/legal-content/PT/TXT/?uri=celex%3A32023R1114" TargetMode="External"/><Relationship Id="rId133" Type="http://schemas.openxmlformats.org/officeDocument/2006/relationships/hyperlink" Target="https://eur-lex.europa.eu/legal-content/PT/AUTO/?uri=OJ:L:2009:302:TOC" TargetMode="External"/><Relationship Id="rId154" Type="http://schemas.openxmlformats.org/officeDocument/2006/relationships/hyperlink" Target="https://eur-lex.europa.eu/legal-content/PT/TXT/?uri=celex%3A32023R1114" TargetMode="External"/><Relationship Id="rId16" Type="http://schemas.openxmlformats.org/officeDocument/2006/relationships/hyperlink" Target="https://eur-lex.europa.eu/legal-content/PT/TXT/?uri=celex%3A32023R1114" TargetMode="External"/><Relationship Id="rId37" Type="http://schemas.openxmlformats.org/officeDocument/2006/relationships/hyperlink" Target="https://eur-lex.europa.eu/legal-content/PT/TXT/?uri=celex%3A32023R1114" TargetMode="External"/><Relationship Id="rId58" Type="http://schemas.openxmlformats.org/officeDocument/2006/relationships/hyperlink" Target="https://eur-lex.europa.eu/legal-content/PT/TXT/?uri=celex%3A32023R1114" TargetMode="External"/><Relationship Id="rId79" Type="http://schemas.openxmlformats.org/officeDocument/2006/relationships/hyperlink" Target="https://eur-lex.europa.eu/legal-content/PT/AUTO/?uri=OJ:L:2010:331:TOC" TargetMode="External"/><Relationship Id="rId102" Type="http://schemas.openxmlformats.org/officeDocument/2006/relationships/hyperlink" Target="https://eur-lex.europa.eu/legal-content/PT/TXT/?uri=celex%3A32023R1114" TargetMode="External"/><Relationship Id="rId123" Type="http://schemas.openxmlformats.org/officeDocument/2006/relationships/hyperlink" Target="https://eur-lex.europa.eu/legal-content/PT/AUTO/?uri=OJ:L:2016:354:TOC" TargetMode="External"/><Relationship Id="rId144" Type="http://schemas.openxmlformats.org/officeDocument/2006/relationships/hyperlink" Target="https://eur-lex.europa.eu/legal-content/PT/TXT/?uri=celex%3A32023R1114" TargetMode="External"/><Relationship Id="rId90" Type="http://schemas.openxmlformats.org/officeDocument/2006/relationships/hyperlink" Target="https://eur-lex.europa.eu/legal-content/PT/TXT/?uri=celex%3A32023R1114" TargetMode="External"/><Relationship Id="rId27" Type="http://schemas.openxmlformats.org/officeDocument/2006/relationships/hyperlink" Target="https://eur-lex.europa.eu/legal-content/PT/TXT/?uri=celex%3A32023R1114" TargetMode="External"/><Relationship Id="rId48" Type="http://schemas.openxmlformats.org/officeDocument/2006/relationships/hyperlink" Target="https://eur-lex.europa.eu/legal-content/PT/TXT/?uri=celex%3A32023R1114" TargetMode="External"/><Relationship Id="rId69" Type="http://schemas.openxmlformats.org/officeDocument/2006/relationships/hyperlink" Target="https://eur-lex.europa.eu/legal-content/PT/TXT/?uri=celex%3A32023R1114" TargetMode="External"/><Relationship Id="rId113" Type="http://schemas.openxmlformats.org/officeDocument/2006/relationships/hyperlink" Target="https://eur-lex.europa.eu/legal-content/PT/AUTO/?uri=OJ:L:2019:305:TOC" TargetMode="External"/><Relationship Id="rId134" Type="http://schemas.openxmlformats.org/officeDocument/2006/relationships/hyperlink" Target="https://eur-lex.europa.eu/legal-content/PT/TXT/?uri=celex%3A32023R1114" TargetMode="External"/><Relationship Id="rId80" Type="http://schemas.openxmlformats.org/officeDocument/2006/relationships/hyperlink" Target="https://eur-lex.europa.eu/legal-content/PT/TXT/?uri=celex%3A32023R1114" TargetMode="External"/><Relationship Id="rId155" Type="http://schemas.openxmlformats.org/officeDocument/2006/relationships/hyperlink" Target="https://eur-lex.europa.eu/legal-content/PT/AUTO/?uri=OJ:L:2021:022:T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045FEEE7F0AC140A979F164159D7305" ma:contentTypeVersion="7" ma:contentTypeDescription="Criar um novo documento." ma:contentTypeScope="" ma:versionID="148ddb31ee84ca0ec72748d57434f133">
  <xsd:schema xmlns:xsd="http://www.w3.org/2001/XMLSchema" xmlns:xs="http://www.w3.org/2001/XMLSchema" xmlns:p="http://schemas.microsoft.com/office/2006/metadata/properties" xmlns:ns3="fe65e326-8443-448a-bd45-0a06d44d1a2b" targetNamespace="http://schemas.microsoft.com/office/2006/metadata/properties" ma:root="true" ma:fieldsID="3936e5044747fadb4b3461e9272c8dc5" ns3:_="">
    <xsd:import namespace="fe65e326-8443-448a-bd45-0a06d44d1a2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65e326-8443-448a-bd45-0a06d44d1a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2068F0B-7FBD-49D1-873C-C01A568758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65e326-8443-448a-bd45-0a06d44d1a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B4B0B87-2C13-4B1C-8574-CF0256C98CCB}">
  <ds:schemaRefs>
    <ds:schemaRef ds:uri="http://schemas.microsoft.com/sharepoint/v3/contenttype/forms"/>
  </ds:schemaRefs>
</ds:datastoreItem>
</file>

<file path=customXml/itemProps3.xml><?xml version="1.0" encoding="utf-8"?>
<ds:datastoreItem xmlns:ds="http://schemas.openxmlformats.org/officeDocument/2006/customXml" ds:itemID="{C5130D94-BD86-4830-B3E2-F7E5CE0FA730}">
  <ds:schemaRefs>
    <ds:schemaRef ds:uri="http://schemas.microsoft.com/office/2006/metadata/properties"/>
    <ds:schemaRef ds:uri="http://purl.org/dc/elements/1.1/"/>
    <ds:schemaRef ds:uri="http://purl.org/dc/terms/"/>
    <ds:schemaRef ds:uri="fe65e326-8443-448a-bd45-0a06d44d1a2b"/>
    <ds:schemaRef ds:uri="http://schemas.openxmlformats.org/package/2006/metadata/core-properties"/>
    <ds:schemaRef ds:uri="http://purl.org/dc/dcmitype/"/>
    <ds:schemaRef ds:uri="http://schemas.microsoft.com/office/2006/documentManagement/types"/>
    <ds:schemaRef ds:uri="http://schemas.microsoft.com/office/infopath/2007/PartnerControl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232</Pages>
  <Words>106935</Words>
  <Characters>609536</Characters>
  <Application>Microsoft Office Word</Application>
  <DocSecurity>0</DocSecurity>
  <Lines>5079</Lines>
  <Paragraphs>1430</Paragraphs>
  <ScaleCrop>false</ScaleCrop>
  <Company/>
  <LinksUpToDate>false</LinksUpToDate>
  <CharactersWithSpaces>715041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Oliveira</dc:creator>
  <cp:keywords/>
  <dc:description/>
  <cp:lastModifiedBy>João Oliveira</cp:lastModifiedBy>
  <cp:revision>2</cp:revision>
  <dcterms:created xsi:type="dcterms:W3CDTF">2024-11-01T15:55:00Z</dcterms:created>
  <dcterms:modified xsi:type="dcterms:W3CDTF">2024-11-01T15:55:00Z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0x0101005045FEEE7F0AC140A979F164159D7305</vt:lpwstr>
  </property>
</Properties>
</file>