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K562 顺式（cis）增强子–启动子互作预测：特征配置对比</w:t>
      </w:r>
    </w:p>
    <w:p>
      <w:pPr>
        <w:jc w:val="center"/>
      </w:pPr>
      <w:r>
        <w:t>ABC 模型特征与 Genos 序列 Embedding 的融合对比 | 参考基因组 hg19（GRCh37）</w:t>
      </w:r>
    </w:p>
    <w:p>
      <w:pPr>
        <w:pStyle w:val="Heading1"/>
      </w:pPr>
      <w:r>
        <w:t>摘要</w:t>
      </w:r>
    </w:p>
    <w:p>
      <w:r>
        <w:t>增强子是调控基因转录的重要顺式元件，识别“哪个增强子调控哪个启动子”是理解基因调控的核心问题。本研究在 K562 细胞系中构建顺式（同染色体）增强子–启动子（E–P）互作二分类器，系统比较了五种特征配置的表现：仅 ABC 特征、ABC+降维 Embedding、ABC+原始 Embedding、仅原始 Embedding、仅降维 Embedding。结果显示，融合 ABC 特征与降维后的 Genos 序列 Embedding 的分类器表现最佳，测试集 AUC 达到 0.753，PR-AUC 0.785，明显优于仅用单一特征源，也优于直接拼接原始高维 Embedding。</w:t>
      </w:r>
    </w:p>
    <w:p>
      <w:pPr>
        <w:pStyle w:val="Heading1"/>
      </w:pPr>
      <w:r>
        <w:t>1. 研究背景与目标</w:t>
      </w:r>
    </w:p>
    <w:p>
      <w:r>
        <w:t>增强子通过与靶基因启动子形成染色质环来激活转录，其互作关系可跨越很长基因组距离甚至不同染色体。预测增强子–启动子互作对于注释基因调控、解读疾病相关变异具有重要意义。本工作聚焦 K562 细胞的顺式（同染色体）互作，目标是用序列衍生特征构建一个可靠的互作二分类器，并回答一个关键问题：ABC 模型特征与深度学习序列 Embedding 如何融合才能取得最优效果。</w:t>
      </w:r>
    </w:p>
    <w:p>
      <w:pPr>
        <w:pStyle w:val="Heading1"/>
      </w:pPr>
      <w:r>
        <w:t>2. 数据</w:t>
      </w:r>
    </w:p>
    <w:p>
      <w:r>
        <w:t>正样本（n=1,263）为 K562 中经 RIC-seq 或 KARR-seq 实验支持的 E–P 互作（EP-ATLAS 资源）。负样本（n=1,263）通过顺式增强子/启动子池打乱配对生成：约束为同染色体，按基因组距离分箱分层抽样以匹配正样本距离分布，并剔除完整互作集（91,310 条）中出现的任何配对，确保负样本无实验证据。最终构成 2×2 平衡设计（顺式/反式 × 正/负），本报告仅分析顺式臂。</w:t>
      </w:r>
    </w:p>
    <w:p>
      <w:pPr>
        <w:pStyle w:val="Heading1"/>
      </w:pPr>
      <w:r>
        <w:t>3. 方法</w:t>
      </w:r>
    </w:p>
    <w:p>
      <w:pPr>
        <w:pStyle w:val="Heading2"/>
      </w:pPr>
      <w:r>
        <w:t>3.1 特征构建</w:t>
      </w:r>
    </w:p>
    <w:p>
      <w:r>
        <w:t>ABC 特征（194 维）：对增强子和启动子各提取 93 维序列组成特征（核苷酸频率、GC 含量、CpG/GpC 密度、香农熵、16 种二核苷酸与 64 种三核苷酸频率、TATA/CAAT 基序、同聚物、对数长度、AT/GC 偏斜），外加 7 维联合特征（Hi-C 接触、余弦/GC/CpG/欧氏相似度）、log10 距离与 ABC 评分（活性×接触，按基因归一）。</w:t>
      </w:r>
    </w:p>
    <w:p>
      <w:r>
        <w:t>Embedding 特征：增强子与启动子序列分别用 Genos（Genos-1.2B，均值池化，1024 维）编码，并与二者余弦相似度拼接（共 2049 维）。为去除噪声，采用 KernelPCA（RBF 核）将 2049 维降为 100 维主成分。</w:t>
      </w:r>
    </w:p>
    <w:p>
      <w:r>
        <w:t>据此构建五种特征配置：(1) ABC；(2) ABC+降维 Embedding；(3) ABC+原始 Embedding；(4) 原始 Embedding；(5) 降维 Embedding。</w:t>
      </w:r>
    </w:p>
    <w:p>
      <w:pPr>
        <w:pStyle w:val="Heading2"/>
      </w:pPr>
      <w:r>
        <w:t>3.2 分类器与评估协议（工具性说明）</w:t>
      </w:r>
    </w:p>
    <w:p>
      <w:r>
        <w:t>所有配置统一采用梯度提升（Gradient Boosting）分类器，降维方法统一为 KernelPCA(RBF)、降维数 100。这些均为工具性选择，不作为本报告重点。数据按增强子身份划分为训练+验证（70/15）与测试（15），保证增强子不跨折；所有降维与标准化仅在训练集拟合以防止泄漏。以留出测试集（n=377）评估，报告 AUC、PR-AUC、准确率与 F1。</w:t>
      </w:r>
    </w:p>
    <w:p>
      <w:pPr>
        <w:pStyle w:val="Heading1"/>
      </w:pPr>
      <w:r>
        <w:t>4. 结果</w:t>
      </w:r>
    </w:p>
    <w:p>
      <w:r>
        <w:t>表 1. 五种特征配置在测试集（cis，n=377）上的表现。</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特征配置</w:t>
            </w:r>
          </w:p>
        </w:tc>
        <w:tc>
          <w:tcPr>
            <w:tcW w:type="dxa" w:w="1440"/>
          </w:tcPr>
          <w:p>
            <w:r>
              <w:t>维度</w:t>
            </w:r>
          </w:p>
        </w:tc>
        <w:tc>
          <w:tcPr>
            <w:tcW w:type="dxa" w:w="1440"/>
          </w:tcPr>
          <w:p>
            <w:r>
              <w:t>AUC</w:t>
            </w:r>
          </w:p>
        </w:tc>
        <w:tc>
          <w:tcPr>
            <w:tcW w:type="dxa" w:w="1440"/>
          </w:tcPr>
          <w:p>
            <w:r>
              <w:t>PR-AUC</w:t>
            </w:r>
          </w:p>
        </w:tc>
        <w:tc>
          <w:tcPr>
            <w:tcW w:type="dxa" w:w="1440"/>
          </w:tcPr>
          <w:p>
            <w:r>
              <w:t>准确率</w:t>
            </w:r>
          </w:p>
        </w:tc>
        <w:tc>
          <w:tcPr>
            <w:tcW w:type="dxa" w:w="1440"/>
          </w:tcPr>
          <w:p>
            <w:r>
              <w:t>F1</w:t>
            </w:r>
          </w:p>
        </w:tc>
      </w:tr>
      <w:tr>
        <w:tc>
          <w:tcPr>
            <w:tcW w:type="dxa" w:w="1440"/>
          </w:tcPr>
          <w:p>
            <w:r>
              <w:t>ABC</w:t>
            </w:r>
          </w:p>
        </w:tc>
        <w:tc>
          <w:tcPr>
            <w:tcW w:type="dxa" w:w="1440"/>
          </w:tcPr>
          <w:p>
            <w:r>
              <w:t>194</w:t>
            </w:r>
          </w:p>
        </w:tc>
        <w:tc>
          <w:tcPr>
            <w:tcW w:type="dxa" w:w="1440"/>
          </w:tcPr>
          <w:p>
            <w:r>
              <w:t>0.6967</w:t>
            </w:r>
          </w:p>
        </w:tc>
        <w:tc>
          <w:tcPr>
            <w:tcW w:type="dxa" w:w="1440"/>
          </w:tcPr>
          <w:p>
            <w:r>
              <w:t>0.7476</w:t>
            </w:r>
          </w:p>
        </w:tc>
        <w:tc>
          <w:tcPr>
            <w:tcW w:type="dxa" w:w="1440"/>
          </w:tcPr>
          <w:p>
            <w:r>
              <w:t>0.6446</w:t>
            </w:r>
          </w:p>
        </w:tc>
        <w:tc>
          <w:tcPr>
            <w:tcW w:type="dxa" w:w="1440"/>
          </w:tcPr>
          <w:p>
            <w:r>
              <w:t>0.6105</w:t>
            </w:r>
          </w:p>
        </w:tc>
      </w:tr>
      <w:tr>
        <w:tc>
          <w:tcPr>
            <w:tcW w:type="dxa" w:w="1440"/>
          </w:tcPr>
          <w:p>
            <w:r>
              <w:t>ABC+Embed(red)</w:t>
            </w:r>
          </w:p>
        </w:tc>
        <w:tc>
          <w:tcPr>
            <w:tcW w:type="dxa" w:w="1440"/>
          </w:tcPr>
          <w:p>
            <w:r>
              <w:t>294</w:t>
            </w:r>
          </w:p>
        </w:tc>
        <w:tc>
          <w:tcPr>
            <w:tcW w:type="dxa" w:w="1440"/>
          </w:tcPr>
          <w:p>
            <w:r>
              <w:t>0.7531</w:t>
            </w:r>
          </w:p>
        </w:tc>
        <w:tc>
          <w:tcPr>
            <w:tcW w:type="dxa" w:w="1440"/>
          </w:tcPr>
          <w:p>
            <w:r>
              <w:t>0.7849</w:t>
            </w:r>
          </w:p>
        </w:tc>
        <w:tc>
          <w:tcPr>
            <w:tcW w:type="dxa" w:w="1440"/>
          </w:tcPr>
          <w:p>
            <w:r>
              <w:t>0.6684</w:t>
            </w:r>
          </w:p>
        </w:tc>
        <w:tc>
          <w:tcPr>
            <w:tcW w:type="dxa" w:w="1440"/>
          </w:tcPr>
          <w:p>
            <w:r>
              <w:t>0.6334</w:t>
            </w:r>
          </w:p>
        </w:tc>
      </w:tr>
      <w:tr>
        <w:tc>
          <w:tcPr>
            <w:tcW w:type="dxa" w:w="1440"/>
          </w:tcPr>
          <w:p>
            <w:r>
              <w:t>ABC+Embed(raw)</w:t>
            </w:r>
          </w:p>
        </w:tc>
        <w:tc>
          <w:tcPr>
            <w:tcW w:type="dxa" w:w="1440"/>
          </w:tcPr>
          <w:p>
            <w:r>
              <w:t>2243</w:t>
            </w:r>
          </w:p>
        </w:tc>
        <w:tc>
          <w:tcPr>
            <w:tcW w:type="dxa" w:w="1440"/>
          </w:tcPr>
          <w:p>
            <w:r>
              <w:t>0.7115</w:t>
            </w:r>
          </w:p>
        </w:tc>
        <w:tc>
          <w:tcPr>
            <w:tcW w:type="dxa" w:w="1440"/>
          </w:tcPr>
          <w:p>
            <w:r>
              <w:t>0.7699</w:t>
            </w:r>
          </w:p>
        </w:tc>
        <w:tc>
          <w:tcPr>
            <w:tcW w:type="dxa" w:w="1440"/>
          </w:tcPr>
          <w:p>
            <w:r>
              <w:t>0.6552</w:t>
            </w:r>
          </w:p>
        </w:tc>
        <w:tc>
          <w:tcPr>
            <w:tcW w:type="dxa" w:w="1440"/>
          </w:tcPr>
          <w:p>
            <w:r>
              <w:t>0.6467</w:t>
            </w:r>
          </w:p>
        </w:tc>
      </w:tr>
      <w:tr>
        <w:tc>
          <w:tcPr>
            <w:tcW w:type="dxa" w:w="1440"/>
          </w:tcPr>
          <w:p>
            <w:r>
              <w:t>Embed(raw)</w:t>
            </w:r>
          </w:p>
        </w:tc>
        <w:tc>
          <w:tcPr>
            <w:tcW w:type="dxa" w:w="1440"/>
          </w:tcPr>
          <w:p>
            <w:r>
              <w:t>2049</w:t>
            </w:r>
          </w:p>
        </w:tc>
        <w:tc>
          <w:tcPr>
            <w:tcW w:type="dxa" w:w="1440"/>
          </w:tcPr>
          <w:p>
            <w:r>
              <w:t>0.5103</w:t>
            </w:r>
          </w:p>
        </w:tc>
        <w:tc>
          <w:tcPr>
            <w:tcW w:type="dxa" w:w="1440"/>
          </w:tcPr>
          <w:p>
            <w:r>
              <w:t>0.5149</w:t>
            </w:r>
          </w:p>
        </w:tc>
        <w:tc>
          <w:tcPr>
            <w:tcW w:type="dxa" w:w="1440"/>
          </w:tcPr>
          <w:p>
            <w:r>
              <w:t>0.5225</w:t>
            </w:r>
          </w:p>
        </w:tc>
        <w:tc>
          <w:tcPr>
            <w:tcW w:type="dxa" w:w="1440"/>
          </w:tcPr>
          <w:p>
            <w:r>
              <w:t>0.5500</w:t>
            </w:r>
          </w:p>
        </w:tc>
      </w:tr>
      <w:tr>
        <w:tc>
          <w:tcPr>
            <w:tcW w:type="dxa" w:w="1440"/>
          </w:tcPr>
          <w:p>
            <w:r>
              <w:t>Embed(red)</w:t>
            </w:r>
          </w:p>
        </w:tc>
        <w:tc>
          <w:tcPr>
            <w:tcW w:type="dxa" w:w="1440"/>
          </w:tcPr>
          <w:p>
            <w:r>
              <w:t>100</w:t>
            </w:r>
          </w:p>
        </w:tc>
        <w:tc>
          <w:tcPr>
            <w:tcW w:type="dxa" w:w="1440"/>
          </w:tcPr>
          <w:p>
            <w:r>
              <w:t>0.5387</w:t>
            </w:r>
          </w:p>
        </w:tc>
        <w:tc>
          <w:tcPr>
            <w:tcW w:type="dxa" w:w="1440"/>
          </w:tcPr>
          <w:p>
            <w:r>
              <w:t>0.5194</w:t>
            </w:r>
          </w:p>
        </w:tc>
        <w:tc>
          <w:tcPr>
            <w:tcW w:type="dxa" w:w="1440"/>
          </w:tcPr>
          <w:p>
            <w:r>
              <w:t>0.5385</w:t>
            </w:r>
          </w:p>
        </w:tc>
        <w:tc>
          <w:tcPr>
            <w:tcW w:type="dxa" w:w="1440"/>
          </w:tcPr>
          <w:p>
            <w:r>
              <w:t>0.5650</w:t>
            </w:r>
          </w:p>
        </w:tc>
      </w:tr>
    </w:tbl>
    <w:p>
      <w:pPr>
        <w:pStyle w:val="Heading2"/>
      </w:pPr>
      <w:r>
        <w:t>4.1 五种特征配置对比（核心结果）</w:t>
      </w:r>
    </w:p>
    <w:p>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cn_fig1_config_comparison.png"/>
                    <pic:cNvPicPr/>
                  </pic:nvPicPr>
                  <pic:blipFill>
                    <a:blip r:embed="rId9"/>
                    <a:stretch>
                      <a:fillRect/>
                    </a:stretch>
                  </pic:blipFill>
                  <pic:spPr>
                    <a:xfrm>
                      <a:off x="0" y="0"/>
                      <a:ext cx="4114800" cy="2743200"/>
                    </a:xfrm>
                    <a:prstGeom prst="rect"/>
                  </pic:spPr>
                </pic:pic>
              </a:graphicData>
            </a:graphic>
          </wp:inline>
        </w:drawing>
      </w:r>
    </w:p>
    <w:p>
      <w:pPr>
        <w:pStyle w:val="Heading2"/>
      </w:pPr>
      <w:r>
        <w:t>4.2 ROC 与 PR 曲线</w:t>
      </w:r>
    </w:p>
    <w:p>
      <w:r>
        <w:drawing>
          <wp:inline xmlns:a="http://schemas.openxmlformats.org/drawingml/2006/main" xmlns:pic="http://schemas.openxmlformats.org/drawingml/2006/picture">
            <wp:extent cx="3291840" cy="2743200"/>
            <wp:docPr id="2" name="Picture 2"/>
            <wp:cNvGraphicFramePr>
              <a:graphicFrameLocks noChangeAspect="1"/>
            </wp:cNvGraphicFramePr>
            <a:graphic>
              <a:graphicData uri="http://schemas.openxmlformats.org/drawingml/2006/picture">
                <pic:pic>
                  <pic:nvPicPr>
                    <pic:cNvPr id="0" name="cn_fig2_roc.png"/>
                    <pic:cNvPicPr/>
                  </pic:nvPicPr>
                  <pic:blipFill>
                    <a:blip r:embed="rId10"/>
                    <a:stretch>
                      <a:fillRect/>
                    </a:stretch>
                  </pic:blipFill>
                  <pic:spPr>
                    <a:xfrm>
                      <a:off x="0" y="0"/>
                      <a:ext cx="3291840" cy="2743200"/>
                    </a:xfrm>
                    <a:prstGeom prst="rect"/>
                  </pic:spPr>
                </pic:pic>
              </a:graphicData>
            </a:graphic>
          </wp:inline>
        </w:drawing>
      </w:r>
    </w:p>
    <w:p>
      <w:r>
        <w:drawing>
          <wp:inline xmlns:a="http://schemas.openxmlformats.org/drawingml/2006/main" xmlns:pic="http://schemas.openxmlformats.org/drawingml/2006/picture">
            <wp:extent cx="3291840" cy="2743200"/>
            <wp:docPr id="3" name="Picture 3"/>
            <wp:cNvGraphicFramePr>
              <a:graphicFrameLocks noChangeAspect="1"/>
            </wp:cNvGraphicFramePr>
            <a:graphic>
              <a:graphicData uri="http://schemas.openxmlformats.org/drawingml/2006/picture">
                <pic:pic>
                  <pic:nvPicPr>
                    <pic:cNvPr id="0" name="cn_fig3_pr.png"/>
                    <pic:cNvPicPr/>
                  </pic:nvPicPr>
                  <pic:blipFill>
                    <a:blip r:embed="rId11"/>
                    <a:stretch>
                      <a:fillRect/>
                    </a:stretch>
                  </pic:blipFill>
                  <pic:spPr>
                    <a:xfrm>
                      <a:off x="0" y="0"/>
                      <a:ext cx="3291840" cy="2743200"/>
                    </a:xfrm>
                    <a:prstGeom prst="rect"/>
                  </pic:spPr>
                </pic:pic>
              </a:graphicData>
            </a:graphic>
          </wp:inline>
        </w:drawing>
      </w:r>
    </w:p>
    <w:p>
      <w:pPr>
        <w:pStyle w:val="Heading2"/>
      </w:pPr>
      <w:r>
        <w:t>4.3 最佳配置细节</w:t>
      </w:r>
    </w:p>
    <w:p>
      <w:r>
        <w:t>最佳配置为 ABC+降维 Embedding。</w:t>
      </w:r>
    </w:p>
    <w:p>
      <w:r>
        <w:drawing>
          <wp:inline xmlns:a="http://schemas.openxmlformats.org/drawingml/2006/main" xmlns:pic="http://schemas.openxmlformats.org/drawingml/2006/picture">
            <wp:extent cx="2743200" cy="2560320"/>
            <wp:docPr id="4" name="Picture 4"/>
            <wp:cNvGraphicFramePr>
              <a:graphicFrameLocks noChangeAspect="1"/>
            </wp:cNvGraphicFramePr>
            <a:graphic>
              <a:graphicData uri="http://schemas.openxmlformats.org/drawingml/2006/picture">
                <pic:pic>
                  <pic:nvPicPr>
                    <pic:cNvPr id="0" name="cn_fig4_confusion.png"/>
                    <pic:cNvPicPr/>
                  </pic:nvPicPr>
                  <pic:blipFill>
                    <a:blip r:embed="rId12"/>
                    <a:stretch>
                      <a:fillRect/>
                    </a:stretch>
                  </pic:blipFill>
                  <pic:spPr>
                    <a:xfrm>
                      <a:off x="0" y="0"/>
                      <a:ext cx="2743200" cy="2560320"/>
                    </a:xfrm>
                    <a:prstGeom prst="rect"/>
                  </pic:spPr>
                </pic:pic>
              </a:graphicData>
            </a:graphic>
          </wp:inline>
        </w:drawing>
      </w:r>
    </w:p>
    <w:p>
      <w:r>
        <w:drawing>
          <wp:inline xmlns:a="http://schemas.openxmlformats.org/drawingml/2006/main" xmlns:pic="http://schemas.openxmlformats.org/drawingml/2006/picture">
            <wp:extent cx="2926080" cy="2743200"/>
            <wp:docPr id="5" name="Picture 5"/>
            <wp:cNvGraphicFramePr>
              <a:graphicFrameLocks noChangeAspect="1"/>
            </wp:cNvGraphicFramePr>
            <a:graphic>
              <a:graphicData uri="http://schemas.openxmlformats.org/drawingml/2006/picture">
                <pic:pic>
                  <pic:nvPicPr>
                    <pic:cNvPr id="0" name="cn_fig5_prob_dist.png"/>
                    <pic:cNvPicPr/>
                  </pic:nvPicPr>
                  <pic:blipFill>
                    <a:blip r:embed="rId13"/>
                    <a:stretch>
                      <a:fillRect/>
                    </a:stretch>
                  </pic:blipFill>
                  <pic:spPr>
                    <a:xfrm>
                      <a:off x="0" y="0"/>
                      <a:ext cx="2926080" cy="2743200"/>
                    </a:xfrm>
                    <a:prstGeom prst="rect"/>
                  </pic:spPr>
                </pic:pic>
              </a:graphicData>
            </a:graphic>
          </wp:inline>
        </w:drawing>
      </w:r>
    </w:p>
    <w:p>
      <w:pPr>
        <w:pStyle w:val="Heading1"/>
      </w:pPr>
      <w:r>
        <w:t>5. 讨论</w:t>
      </w:r>
    </w:p>
    <w:p>
      <w:r>
        <w:t>对比结果显示：仅 ABC 特征即可达到较高性能（AUC 0.697），说明基因组距离、Hi-C 接触与增强子活性是顺式互作的主导信号；仅使用 Embedding（无论是否降维）性能明显较低（AUC 0.510–0.539），表明独立编码的序列 Embedding 单独不足以捕捉互作关系。将 ABC 与降维后的 Embedding 融合（AUC 0.753）取得最佳效果，且优于直接拼接原始高维 Embedding（AUC 0.712），说明非线性降维（KernelPCA）有效去除了 Embedding 中的噪声并保留互补的序列信息。</w:t>
      </w:r>
    </w:p>
    <w:p>
      <w:pPr>
        <w:pStyle w:val="Heading1"/>
      </w:pPr>
      <w:r>
        <w:t>6. 结论</w:t>
      </w:r>
    </w:p>
    <w:p>
      <w:r>
        <w:t>ABC 模型特征与 KernelPCA 降维后的 Genos 序列 Embedding 融合，可在留出测试集上以约 0.753 的 AUC 预测 K562 顺式增强子–启动子互作。该方法验证了距离/接触信号的主导作用，并表明经过恰当降维的深度学习序列表征能为互作预测提供互补增益。</w:t>
      </w:r>
    </w:p>
    <w:p>
      <w:pPr>
        <w:pStyle w:val="Heading1"/>
      </w:pPr>
      <w:r>
        <w:t>7. 局限</w:t>
      </w:r>
    </w:p>
    <w:p>
      <w:r>
        <w:t>(1) “负样本”指无实验证据，而非实验证实的非互作；(2) 本报告仅评估顺式互作，反式需按类似协议分析；(3) Embedding 带来的增益相对有限，更大提升可能需要将增强子与启动子联合编码；(4) 未直接纳入染色质状态（如 ATAC、H3K27ac）特征。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