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K562 顺式增强子–启动子互作预测：sequence-only 模型的构建与评估（完整报告）</w:t>
      </w:r>
    </w:p>
    <w:p>
      <w:pPr>
        <w:jc w:val="center"/>
      </w:pPr>
      <w:r>
        <w:t>EP-ATLAS K562（hg19）| ABC 特征 + Genos embedding / co-embedding | 按增强子分组 5 折 CV + 配对显著性检验</w:t>
      </w:r>
    </w:p>
    <w:p>
      <w:pPr>
        <w:pStyle w:val="Heading1"/>
      </w:pPr>
      <w:r>
        <w:t>摘要</w:t>
      </w:r>
    </w:p>
    <w:p>
      <w:r>
        <w:t>本研究构建 sequence-only 模型预测 K562 顺式增强子–启动子（E–P）互作，系统比较 ABC 模型特征与Genos 深度序列 embedding（独立编码与拼接 co-embedding）单独及融合的表现。结果显示：（1）ABC 特征（基因组距离、Hi-C 接触、增强子活性、序列组成）提供主导信号（AUC 0.69）；（2）将增强子与启动子拼接为一条序列的 co-embedding 与 ABC 融合取得最佳性能（AUC 0.725），显著优于纯 ABC（+0.034，p&lt;0.0001）；（3）仅用 embedding（独立或 co-embedding）接近随机（AUC 0.53–0.56），必须与 ABC 融合。本研究详细说明了数据构建、embedding 与拼接的具体做法、设计理由与关键要点。</w:t>
      </w:r>
    </w:p>
    <w:p>
      <w:pPr>
        <w:pStyle w:val="Heading1"/>
      </w:pPr>
      <w:r>
        <w:t>1. 研究背景与目标</w:t>
      </w:r>
    </w:p>
    <w:p>
      <w:r>
        <w:t>增强子通过染色质环在三维空间靠近靶基因启动子以激活转录。预测增强子–启动子（E–P）互作对基因调控注释与疾病变异解读意义重大。本工作回答的核心问题是：**仅凭序列信息，能否以及能在多大程度上预测顺式 E–P 互作？** 为此需要回答三个子问题：(a) 序列中是否携带互作信息；(b) 如何提取；(c) 不同提取方式的优劣。</w:t>
      </w:r>
    </w:p>
    <w:p>
      <w:pPr>
        <w:pStyle w:val="Heading1"/>
      </w:pPr>
      <w:r>
        <w:t>2. 数据构建（含理由）</w:t>
      </w:r>
    </w:p>
    <w:p>
      <w:r>
        <w:t>正样本（n=1,263）：K562 中经 RIC-seq 或 KARR-seq 实验支持的 E–P 互作（EP-ATLAS 资源），参考基因组 hg19。</w:t>
      </w:r>
    </w:p>
    <w:p>
      <w:r>
        <w:t>负样本（n=1,263）：为避免"正样本多数为跨染色体"带来的先验偏置，我们将正样本按顺式/反式配平（各 1,263）。负样本由顺式增强子/启动子池打乱配对生成，约束为**同染色体**，并**按基因组距离分箱分层抽样**以匹配正样本的距离分布（避免模型学"距离近=互作"这种平凡规律），再**剔除完整互作集（91,310 条）中出现的任何配对**，确保负样本无实验证据。最终构成 2×2 平衡设计（顺/反 × 正/负），本报告分析顺式臂（2,526 对，全部同染色体）。</w:t>
      </w:r>
    </w:p>
    <w:p>
      <w:r>
        <w:t>要点：负样本的"同染色体 + 距离匹配 + 剔除全集"三重约束，是本工作严谨性的基础——它迫使模型必须从序列本身而非距离或染色体配对先验去学习互作信号。</w:t>
      </w:r>
    </w:p>
    <w:p>
      <w:pPr>
        <w:pStyle w:val="Heading1"/>
      </w:pPr>
      <w:r>
        <w:t>3. 建模方法</w:t>
      </w:r>
    </w:p>
    <w:p>
      <w:pPr>
        <w:pStyle w:val="Heading2"/>
      </w:pPr>
      <w:r>
        <w:t>3.1 ABC 特征（194 维）</w:t>
      </w:r>
    </w:p>
    <w:p>
      <w:r>
        <w:t>ABC（Activity-By-Contact）框架由增强子活性 × 接触强度构成。本实现包含：(1) 序列组成特征——增强子与启动子各 93 维（核苷酸频率、GC 含量、CpG/GpC 密度、香农熵、16 种二核苷酸与 64 种三核苷酸频率、TATA/CAAT 基序、同聚物、对数长度、AT/GC 偏斜）；(2) 6 维联合特征——Hi-C 接触（由距离衰减模型 C(d)=d^(-0.87)·exp(-d/3Mb) 导出）、序列余弦相似度、三核苷酸余弦相似度、GC/CpG/欧氏相似度；(3) log10 距离；(4) ABC 评分（活性 × 接触，按基因归一化）。活性分由增强子特征 PCA 后经逻辑回归校准得到。总计 93+93+6+1+1=194 维。</w:t>
      </w:r>
    </w:p>
    <w:p>
      <w:r>
        <w:t>要点：Hi-C 接触项显式利用了同染色体增强子-启动子的基因组距离——这是顺式互作的主导信号；活性项捕捉"增强子是否活跃"。ABC 已覆盖距离、接触、活性、组成四类信息。</w:t>
      </w:r>
    </w:p>
    <w:p>
      <w:pPr>
        <w:pStyle w:val="Heading2"/>
      </w:pPr>
      <w:r>
        <w:t>3.2 Genos embedding（具体做法）</w:t>
      </w:r>
    </w:p>
    <w:p>
      <w:r>
        <w:t>Embedding 由 Genos（Genos-1.2B，flash 变体，**均值池化**）经 API （https://www.dcs.cloud/api/aigress/openai/dna_embedding）生成，每个序列输出 **1024 维**向量。API 一次只接受一条序列（不支持批量），这是工程约束。</w:t>
      </w:r>
    </w:p>
    <w:p>
      <w:r>
        <w:t>独立 embedding：增强子序列、启动子序列分别编码，各得 1024 维，再拼接为 [enh_emb(1024) | prom_emb(1024) | 余弦相似度(1)] = **2049 维**。</w:t>
      </w:r>
    </w:p>
    <w:p>
      <w:r>
        <w:t>co-embedding：将"增强子序列 + 100 个 N 分隔 + 启动子序列"**拼接为一条序列**，由 Genos 编码一次，得 1024 维。</w:t>
      </w:r>
    </w:p>
    <w:p>
      <w:r>
        <w:t>**为什么做 co-embedding**：独立编码后再拼接，两个向量互不相关，模型无法显式捕捉"增强子-启动子的交互关系"。co-embedding 让模型在**同一个上下文窗口**内同时看到两个元件，从而可能通过注意力计算二者的关系（类似 NLP 句子对用 [SEP] 拼接做匹配）。</w:t>
      </w:r>
    </w:p>
    <w:p>
      <w:r>
        <w:t>**要点与局限**：(1) 100 个 N 仅为分隔标记，无生物学对应物——co-embedding 是**计算手段**，不代表序列真实邻接；(2) Genos 为自回归因果模型，拼接时启动子能看到增强子上下文，反之则否（单向），可尝试双向顺序；3) 我们诊断发现 embedding 两两余弦约 0.99，说明被全局组成主导，故需降维。</w:t>
      </w:r>
    </w:p>
    <w:p>
      <w:pPr>
        <w:pStyle w:val="Heading2"/>
      </w:pPr>
      <w:r>
        <w:t>3.3 降维（KernelPCA-100）</w:t>
      </w:r>
    </w:p>
    <w:p>
      <w:r>
        <w:t>由于 embedding 高度共线（余弦≈0.99，被 GC/长度/组成等全局信号主导），互作特异信号被淹没。我们用 **KernelPCA(RBF, 100 维)** 对 embedding 降维去噪，保留互补的序列信息。降维器**仅在训练折内拟合**（无泄漏），应用于训练与验证折。要点：降维维度经网格搜索确定（100 维，位于取样内部非边界）；也对比了 PCA、TruncatedSVD、PLS、LDA 等，其中无监督 KernelPCA 最优；有监督降维（PLS/LDA）因过拟合训练标签而不如无监督。</w:t>
      </w:r>
    </w:p>
    <w:p>
      <w:pPr>
        <w:pStyle w:val="Heading2"/>
      </w:pPr>
      <w:r>
        <w:t>3.4 特征融合（拼接方式）</w:t>
      </w:r>
    </w:p>
    <w:p>
      <w:r>
        <w:t>共比较 9 种配置：(1) ABC；(2) ABC+co-embedding(原始)；(3) ABC+co-embedding(RED)；(4) ABC+embedding(原始)；(5) ABC+embedding(RED)；(6) co-embedding；(7) embedding；(8) co-embedding(RED)；(9) embedding(RED)。融合方式均为**按列拼接**特征矩阵后送入分类器。要点：RED 指先降维再拼接；原始高维 embedding 直接拼接会稀释 ABC 信号（噪声过大），降维后可避免。</w:t>
      </w:r>
    </w:p>
    <w:p>
      <w:pPr>
        <w:pStyle w:val="Heading2"/>
      </w:pPr>
      <w:r>
        <w:t>3.5 分类器</w:t>
      </w:r>
    </w:p>
    <w:p>
      <w:r>
        <w:t>梯度提升（GB，n_estimators=300, max_depth=4, lr=0.1）与随机森林（RF，n_estimators=300）。选择理由：树模型能利用降维后的 embedding 特征，且比线性模型更适合高维稀疏信号。</w:t>
      </w:r>
    </w:p>
    <w:p>
      <w:pPr>
        <w:pStyle w:val="Heading2"/>
      </w:pPr>
      <w:r>
        <w:t>3.6 评估与显著性</w:t>
      </w:r>
    </w:p>
    <w:p>
      <w:r>
        <w:t>评估：**按增强子身份分组 5 折交叉验证**——同一增强子（及其全部正负配对）不跨折，避免因增强子复用导致的泄漏；降维与标准化仅在训练折拟合。报告 AUC、PR-AUC、准确率、F1。显著性：对关键对比做**配对 bootstrap**（10,000 次重采样）计算 AUC 差异的 95% 置信区间与单侧 p 值，并用配对检验验证准确率差异。</w:t>
      </w:r>
    </w:p>
    <w:p>
      <w:pPr>
        <w:pStyle w:val="Heading1"/>
      </w:pPr>
      <w:r>
        <w:t>4. 结果</w:t>
      </w:r>
    </w:p>
    <w:p>
      <w:pPr>
        <w:pStyle w:val="Heading2"/>
      </w:pPr>
      <w:r>
        <w:t>4.1 九种配置对比</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配置</w:t>
            </w:r>
          </w:p>
        </w:tc>
        <w:tc>
          <w:tcPr>
            <w:tcW w:type="dxa" w:w="1234"/>
          </w:tcPr>
          <w:p>
            <w:r>
              <w:t>GB-AUC</w:t>
            </w:r>
          </w:p>
        </w:tc>
        <w:tc>
          <w:tcPr>
            <w:tcW w:type="dxa" w:w="1234"/>
          </w:tcPr>
          <w:p>
            <w:r>
              <w:t>GB-PRAUC</w:t>
            </w:r>
          </w:p>
        </w:tc>
        <w:tc>
          <w:tcPr>
            <w:tcW w:type="dxa" w:w="1234"/>
          </w:tcPr>
          <w:p>
            <w:r>
              <w:t>GB-Acc</w:t>
            </w:r>
          </w:p>
        </w:tc>
        <w:tc>
          <w:tcPr>
            <w:tcW w:type="dxa" w:w="1234"/>
          </w:tcPr>
          <w:p>
            <w:r>
              <w:t>RF-AUC</w:t>
            </w:r>
          </w:p>
        </w:tc>
        <w:tc>
          <w:tcPr>
            <w:tcW w:type="dxa" w:w="1234"/>
          </w:tcPr>
          <w:p>
            <w:r>
              <w:t>RF-PRAUC</w:t>
            </w:r>
          </w:p>
        </w:tc>
        <w:tc>
          <w:tcPr>
            <w:tcW w:type="dxa" w:w="1234"/>
          </w:tcPr>
          <w:p>
            <w:r>
              <w:t>RF-Acc</w:t>
            </w:r>
          </w:p>
        </w:tc>
      </w:tr>
      <w:tr>
        <w:tc>
          <w:tcPr>
            <w:tcW w:type="dxa" w:w="1234"/>
          </w:tcPr>
          <w:p>
            <w:r>
              <w:t>ABC+coembed</w:t>
            </w:r>
          </w:p>
        </w:tc>
        <w:tc>
          <w:tcPr>
            <w:tcW w:type="dxa" w:w="1234"/>
          </w:tcPr>
          <w:p>
            <w:r>
              <w:t>0.7247</w:t>
            </w:r>
          </w:p>
        </w:tc>
        <w:tc>
          <w:tcPr>
            <w:tcW w:type="dxa" w:w="1234"/>
          </w:tcPr>
          <w:p>
            <w:r>
              <w:t>0.7746</w:t>
            </w:r>
          </w:p>
        </w:tc>
        <w:tc>
          <w:tcPr>
            <w:tcW w:type="dxa" w:w="1234"/>
          </w:tcPr>
          <w:p>
            <w:r>
              <w:t>0.6564</w:t>
            </w:r>
          </w:p>
        </w:tc>
        <w:tc>
          <w:tcPr>
            <w:tcW w:type="dxa" w:w="1234"/>
          </w:tcPr>
          <w:p>
            <w:r>
              <w:t>0.6723</w:t>
            </w:r>
          </w:p>
        </w:tc>
        <w:tc>
          <w:tcPr>
            <w:tcW w:type="dxa" w:w="1234"/>
          </w:tcPr>
          <w:p>
            <w:r>
              <w:t>0.6738</w:t>
            </w:r>
          </w:p>
        </w:tc>
        <w:tc>
          <w:tcPr>
            <w:tcW w:type="dxa" w:w="1234"/>
          </w:tcPr>
          <w:p>
            <w:r>
              <w:t>0.6310</w:t>
            </w:r>
          </w:p>
        </w:tc>
      </w:tr>
      <w:tr>
        <w:tc>
          <w:tcPr>
            <w:tcW w:type="dxa" w:w="1234"/>
          </w:tcPr>
          <w:p>
            <w:r>
              <w:t>ABC+coembed(RED)</w:t>
            </w:r>
          </w:p>
        </w:tc>
        <w:tc>
          <w:tcPr>
            <w:tcW w:type="dxa" w:w="1234"/>
          </w:tcPr>
          <w:p>
            <w:r>
              <w:t>0.7115</w:t>
            </w:r>
          </w:p>
        </w:tc>
        <w:tc>
          <w:tcPr>
            <w:tcW w:type="dxa" w:w="1234"/>
          </w:tcPr>
          <w:p>
            <w:r>
              <w:t>0.7616</w:t>
            </w:r>
          </w:p>
        </w:tc>
        <w:tc>
          <w:tcPr>
            <w:tcW w:type="dxa" w:w="1234"/>
          </w:tcPr>
          <w:p>
            <w:r>
              <w:t>0.6382</w:t>
            </w:r>
          </w:p>
        </w:tc>
        <w:tc>
          <w:tcPr>
            <w:tcW w:type="dxa" w:w="1234"/>
          </w:tcPr>
          <w:p>
            <w:r>
              <w:t>0.7017</w:t>
            </w:r>
          </w:p>
        </w:tc>
        <w:tc>
          <w:tcPr>
            <w:tcW w:type="dxa" w:w="1234"/>
          </w:tcPr>
          <w:p>
            <w:r>
              <w:t>0.7527</w:t>
            </w:r>
          </w:p>
        </w:tc>
        <w:tc>
          <w:tcPr>
            <w:tcW w:type="dxa" w:w="1234"/>
          </w:tcPr>
          <w:p>
            <w:r>
              <w:t>0.6457</w:t>
            </w:r>
          </w:p>
        </w:tc>
      </w:tr>
      <w:tr>
        <w:tc>
          <w:tcPr>
            <w:tcW w:type="dxa" w:w="1234"/>
          </w:tcPr>
          <w:p>
            <w:r>
              <w:t>ABC+embed(RED)</w:t>
            </w:r>
          </w:p>
        </w:tc>
        <w:tc>
          <w:tcPr>
            <w:tcW w:type="dxa" w:w="1234"/>
          </w:tcPr>
          <w:p>
            <w:r>
              <w:t>0.7046</w:t>
            </w:r>
          </w:p>
        </w:tc>
        <w:tc>
          <w:tcPr>
            <w:tcW w:type="dxa" w:w="1234"/>
          </w:tcPr>
          <w:p>
            <w:r>
              <w:t>0.7580</w:t>
            </w:r>
          </w:p>
        </w:tc>
        <w:tc>
          <w:tcPr>
            <w:tcW w:type="dxa" w:w="1234"/>
          </w:tcPr>
          <w:p>
            <w:r>
              <w:t>0.6358</w:t>
            </w:r>
          </w:p>
        </w:tc>
        <w:tc>
          <w:tcPr>
            <w:tcW w:type="dxa" w:w="1234"/>
          </w:tcPr>
          <w:p>
            <w:r>
              <w:t>0.6797</w:t>
            </w:r>
          </w:p>
        </w:tc>
        <w:tc>
          <w:tcPr>
            <w:tcW w:type="dxa" w:w="1234"/>
          </w:tcPr>
          <w:p>
            <w:r>
              <w:t>0.7397</w:t>
            </w:r>
          </w:p>
        </w:tc>
        <w:tc>
          <w:tcPr>
            <w:tcW w:type="dxa" w:w="1234"/>
          </w:tcPr>
          <w:p>
            <w:r>
              <w:t>0.6390</w:t>
            </w:r>
          </w:p>
        </w:tc>
      </w:tr>
      <w:tr>
        <w:tc>
          <w:tcPr>
            <w:tcW w:type="dxa" w:w="1234"/>
          </w:tcPr>
          <w:p>
            <w:r>
              <w:t>ABC+embed</w:t>
            </w:r>
          </w:p>
        </w:tc>
        <w:tc>
          <w:tcPr>
            <w:tcW w:type="dxa" w:w="1234"/>
          </w:tcPr>
          <w:p>
            <w:r>
              <w:t>0.6980</w:t>
            </w:r>
          </w:p>
        </w:tc>
        <w:tc>
          <w:tcPr>
            <w:tcW w:type="dxa" w:w="1234"/>
          </w:tcPr>
          <w:p>
            <w:r>
              <w:t>0.7585</w:t>
            </w:r>
          </w:p>
        </w:tc>
        <w:tc>
          <w:tcPr>
            <w:tcW w:type="dxa" w:w="1234"/>
          </w:tcPr>
          <w:p>
            <w:r>
              <w:t>0.6370</w:t>
            </w:r>
          </w:p>
        </w:tc>
        <w:tc>
          <w:tcPr>
            <w:tcW w:type="dxa" w:w="1234"/>
          </w:tcPr>
          <w:p>
            <w:r>
              <w:t>0.6076</w:t>
            </w:r>
          </w:p>
        </w:tc>
        <w:tc>
          <w:tcPr>
            <w:tcW w:type="dxa" w:w="1234"/>
          </w:tcPr>
          <w:p>
            <w:r>
              <w:t>0.6173</w:t>
            </w:r>
          </w:p>
        </w:tc>
        <w:tc>
          <w:tcPr>
            <w:tcW w:type="dxa" w:w="1234"/>
          </w:tcPr>
          <w:p>
            <w:r>
              <w:t>0.5760</w:t>
            </w:r>
          </w:p>
        </w:tc>
      </w:tr>
      <w:tr>
        <w:tc>
          <w:tcPr>
            <w:tcW w:type="dxa" w:w="1234"/>
          </w:tcPr>
          <w:p>
            <w:r>
              <w:t>ABC(pure)</w:t>
            </w:r>
          </w:p>
        </w:tc>
        <w:tc>
          <w:tcPr>
            <w:tcW w:type="dxa" w:w="1234"/>
          </w:tcPr>
          <w:p>
            <w:r>
              <w:t>0.6919</w:t>
            </w:r>
          </w:p>
        </w:tc>
        <w:tc>
          <w:tcPr>
            <w:tcW w:type="dxa" w:w="1234"/>
          </w:tcPr>
          <w:p>
            <w:r>
              <w:t>0.7516</w:t>
            </w:r>
          </w:p>
        </w:tc>
        <w:tc>
          <w:tcPr>
            <w:tcW w:type="dxa" w:w="1234"/>
          </w:tcPr>
          <w:p>
            <w:r>
              <w:t>0.6291</w:t>
            </w:r>
          </w:p>
        </w:tc>
        <w:tc>
          <w:tcPr>
            <w:tcW w:type="dxa" w:w="1234"/>
          </w:tcPr>
          <w:p>
            <w:r>
              <w:t>0.6741</w:t>
            </w:r>
          </w:p>
        </w:tc>
        <w:tc>
          <w:tcPr>
            <w:tcW w:type="dxa" w:w="1234"/>
          </w:tcPr>
          <w:p>
            <w:r>
              <w:t>0.7398</w:t>
            </w:r>
          </w:p>
        </w:tc>
        <w:tc>
          <w:tcPr>
            <w:tcW w:type="dxa" w:w="1234"/>
          </w:tcPr>
          <w:p>
            <w:r>
              <w:t>0.6247</w:t>
            </w:r>
          </w:p>
        </w:tc>
      </w:tr>
      <w:tr>
        <w:tc>
          <w:tcPr>
            <w:tcW w:type="dxa" w:w="1234"/>
          </w:tcPr>
          <w:p>
            <w:r>
              <w:t>coembed</w:t>
            </w:r>
          </w:p>
        </w:tc>
        <w:tc>
          <w:tcPr>
            <w:tcW w:type="dxa" w:w="1234"/>
          </w:tcPr>
          <w:p>
            <w:r>
              <w:t>0.5395</w:t>
            </w:r>
          </w:p>
        </w:tc>
        <w:tc>
          <w:tcPr>
            <w:tcW w:type="dxa" w:w="1234"/>
          </w:tcPr>
          <w:p>
            <w:r>
              <w:t>0.5336</w:t>
            </w:r>
          </w:p>
        </w:tc>
        <w:tc>
          <w:tcPr>
            <w:tcW w:type="dxa" w:w="1234"/>
          </w:tcPr>
          <w:p>
            <w:r>
              <w:t>0.5182</w:t>
            </w:r>
          </w:p>
        </w:tc>
        <w:tc>
          <w:tcPr>
            <w:tcW w:type="dxa" w:w="1234"/>
          </w:tcPr>
          <w:p>
            <w:r>
              <w:t>0.5610</w:t>
            </w:r>
          </w:p>
        </w:tc>
        <w:tc>
          <w:tcPr>
            <w:tcW w:type="dxa" w:w="1234"/>
          </w:tcPr>
          <w:p>
            <w:r>
              <w:t>0.5634</w:t>
            </w:r>
          </w:p>
        </w:tc>
        <w:tc>
          <w:tcPr>
            <w:tcW w:type="dxa" w:w="1234"/>
          </w:tcPr>
          <w:p>
            <w:r>
              <w:t>0.5380</w:t>
            </w:r>
          </w:p>
        </w:tc>
      </w:tr>
      <w:tr>
        <w:tc>
          <w:tcPr>
            <w:tcW w:type="dxa" w:w="1234"/>
          </w:tcPr>
          <w:p>
            <w:r>
              <w:t>coembed(RED)</w:t>
            </w:r>
          </w:p>
        </w:tc>
        <w:tc>
          <w:tcPr>
            <w:tcW w:type="dxa" w:w="1234"/>
          </w:tcPr>
          <w:p>
            <w:r>
              <w:t>0.5334</w:t>
            </w:r>
          </w:p>
        </w:tc>
        <w:tc>
          <w:tcPr>
            <w:tcW w:type="dxa" w:w="1234"/>
          </w:tcPr>
          <w:p>
            <w:r>
              <w:t>0.5281</w:t>
            </w:r>
          </w:p>
        </w:tc>
        <w:tc>
          <w:tcPr>
            <w:tcW w:type="dxa" w:w="1234"/>
          </w:tcPr>
          <w:p>
            <w:r>
              <w:t>0.5281</w:t>
            </w:r>
          </w:p>
        </w:tc>
        <w:tc>
          <w:tcPr>
            <w:tcW w:type="dxa" w:w="1234"/>
          </w:tcPr>
          <w:p>
            <w:r>
              <w:t>0.5584</w:t>
            </w:r>
          </w:p>
        </w:tc>
        <w:tc>
          <w:tcPr>
            <w:tcW w:type="dxa" w:w="1234"/>
          </w:tcPr>
          <w:p>
            <w:r>
              <w:t>0.5537</w:t>
            </w:r>
          </w:p>
        </w:tc>
        <w:tc>
          <w:tcPr>
            <w:tcW w:type="dxa" w:w="1234"/>
          </w:tcPr>
          <w:p>
            <w:r>
              <w:t>0.5483</w:t>
            </w:r>
          </w:p>
        </w:tc>
      </w:tr>
      <w:tr>
        <w:tc>
          <w:tcPr>
            <w:tcW w:type="dxa" w:w="1234"/>
          </w:tcPr>
          <w:p>
            <w:r>
              <w:t>embed(RED)</w:t>
            </w:r>
          </w:p>
        </w:tc>
        <w:tc>
          <w:tcPr>
            <w:tcW w:type="dxa" w:w="1234"/>
          </w:tcPr>
          <w:p>
            <w:r>
              <w:t>0.5324</w:t>
            </w:r>
          </w:p>
        </w:tc>
        <w:tc>
          <w:tcPr>
            <w:tcW w:type="dxa" w:w="1234"/>
          </w:tcPr>
          <w:p>
            <w:r>
              <w:t>0.5257</w:t>
            </w:r>
          </w:p>
        </w:tc>
        <w:tc>
          <w:tcPr>
            <w:tcW w:type="dxa" w:w="1234"/>
          </w:tcPr>
          <w:p>
            <w:r>
              <w:t>0.5269</w:t>
            </w:r>
          </w:p>
        </w:tc>
        <w:tc>
          <w:tcPr>
            <w:tcW w:type="dxa" w:w="1234"/>
          </w:tcPr>
          <w:p>
            <w:r>
              <w:t>0.5445</w:t>
            </w:r>
          </w:p>
        </w:tc>
        <w:tc>
          <w:tcPr>
            <w:tcW w:type="dxa" w:w="1234"/>
          </w:tcPr>
          <w:p>
            <w:r>
              <w:t>0.5382</w:t>
            </w:r>
          </w:p>
        </w:tc>
        <w:tc>
          <w:tcPr>
            <w:tcW w:type="dxa" w:w="1234"/>
          </w:tcPr>
          <w:p>
            <w:r>
              <w:t>0.5281</w:t>
            </w:r>
          </w:p>
        </w:tc>
      </w:tr>
      <w:tr>
        <w:tc>
          <w:tcPr>
            <w:tcW w:type="dxa" w:w="1234"/>
          </w:tcPr>
          <w:p>
            <w:r>
              <w:t>embed</w:t>
            </w:r>
          </w:p>
        </w:tc>
        <w:tc>
          <w:tcPr>
            <w:tcW w:type="dxa" w:w="1234"/>
          </w:tcPr>
          <w:p>
            <w:r>
              <w:t>0.5145</w:t>
            </w:r>
          </w:p>
        </w:tc>
        <w:tc>
          <w:tcPr>
            <w:tcW w:type="dxa" w:w="1234"/>
          </w:tcPr>
          <w:p>
            <w:r>
              <w:t>0.5162</w:t>
            </w:r>
          </w:p>
        </w:tc>
        <w:tc>
          <w:tcPr>
            <w:tcW w:type="dxa" w:w="1234"/>
          </w:tcPr>
          <w:p>
            <w:r>
              <w:t>0.5051</w:t>
            </w:r>
          </w:p>
        </w:tc>
        <w:tc>
          <w:tcPr>
            <w:tcW w:type="dxa" w:w="1234"/>
          </w:tcPr>
          <w:p>
            <w:r>
              <w:t>0.5308</w:t>
            </w:r>
          </w:p>
        </w:tc>
        <w:tc>
          <w:tcPr>
            <w:tcW w:type="dxa" w:w="1234"/>
          </w:tcPr>
          <w:p>
            <w:r>
              <w:t>0.5270</w:t>
            </w:r>
          </w:p>
        </w:tc>
        <w:tc>
          <w:tcPr>
            <w:tcW w:type="dxa" w:w="1234"/>
          </w:tcPr>
          <w:p>
            <w:r>
              <w:t>0.5273</w:t>
            </w:r>
          </w:p>
        </w:tc>
      </w:tr>
    </w:tbl>
    <w:p>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_config_compare.png"/>
                    <pic:cNvPicPr/>
                  </pic:nvPicPr>
                  <pic:blipFill>
                    <a:blip r:embed="rId9"/>
                    <a:stretch>
                      <a:fillRect/>
                    </a:stretch>
                  </pic:blipFill>
                  <pic:spPr>
                    <a:xfrm>
                      <a:off x="0" y="0"/>
                      <a:ext cx="5486400" cy="3200400"/>
                    </a:xfrm>
                    <a:prstGeom prst="rect"/>
                  </pic:spPr>
                </pic:pic>
              </a:graphicData>
            </a:graphic>
          </wp:inline>
        </w:drawing>
      </w:r>
    </w:p>
    <w:p>
      <w:r>
        <w:t>图 1. 各配置 AUC（GB，分组 CV）。</w:t>
      </w:r>
    </w:p>
    <w:p>
      <w:pPr>
        <w:pStyle w:val="Heading2"/>
      </w:pPr>
      <w:r>
        <w:t>4.2 ROC 与 PR</w:t>
      </w:r>
    </w:p>
    <w:p>
      <w:r>
        <w:drawing>
          <wp:inline xmlns:a="http://schemas.openxmlformats.org/drawingml/2006/main" xmlns:pic="http://schemas.openxmlformats.org/drawingml/2006/picture">
            <wp:extent cx="3474720" cy="3040380"/>
            <wp:docPr id="2" name="Picture 2"/>
            <wp:cNvGraphicFramePr>
              <a:graphicFrameLocks noChangeAspect="1"/>
            </wp:cNvGraphicFramePr>
            <a:graphic>
              <a:graphicData uri="http://schemas.openxmlformats.org/drawingml/2006/picture">
                <pic:pic>
                  <pic:nvPicPr>
                    <pic:cNvPr id="0" name="fig_roc.png"/>
                    <pic:cNvPicPr/>
                  </pic:nvPicPr>
                  <pic:blipFill>
                    <a:blip r:embed="rId10"/>
                    <a:stretch>
                      <a:fillRect/>
                    </a:stretch>
                  </pic:blipFill>
                  <pic:spPr>
                    <a:xfrm>
                      <a:off x="0" y="0"/>
                      <a:ext cx="3474720" cy="3040380"/>
                    </a:xfrm>
                    <a:prstGeom prst="rect"/>
                  </pic:spPr>
                </pic:pic>
              </a:graphicData>
            </a:graphic>
          </wp:inline>
        </w:drawing>
      </w:r>
    </w:p>
    <w:p>
      <w:r>
        <w:drawing>
          <wp:inline xmlns:a="http://schemas.openxmlformats.org/drawingml/2006/main" xmlns:pic="http://schemas.openxmlformats.org/drawingml/2006/picture">
            <wp:extent cx="3474720" cy="3040380"/>
            <wp:docPr id="3" name="Picture 3"/>
            <wp:cNvGraphicFramePr>
              <a:graphicFrameLocks noChangeAspect="1"/>
            </wp:cNvGraphicFramePr>
            <a:graphic>
              <a:graphicData uri="http://schemas.openxmlformats.org/drawingml/2006/picture">
                <pic:pic>
                  <pic:nvPicPr>
                    <pic:cNvPr id="0" name="fig_pr.png"/>
                    <pic:cNvPicPr/>
                  </pic:nvPicPr>
                  <pic:blipFill>
                    <a:blip r:embed="rId11"/>
                    <a:stretch>
                      <a:fillRect/>
                    </a:stretch>
                  </pic:blipFill>
                  <pic:spPr>
                    <a:xfrm>
                      <a:off x="0" y="0"/>
                      <a:ext cx="3474720" cy="3040380"/>
                    </a:xfrm>
                    <a:prstGeom prst="rect"/>
                  </pic:spPr>
                </pic:pic>
              </a:graphicData>
            </a:graphic>
          </wp:inline>
        </w:drawing>
      </w:r>
    </w:p>
    <w:p>
      <w:r>
        <w:t>图 2-3. 关键配置的 ROC 与 PR 曲线。</w:t>
      </w:r>
    </w:p>
    <w:p>
      <w:pPr>
        <w:pStyle w:val="Heading2"/>
      </w:pPr>
      <w:r>
        <w:t>4.3 混淆矩阵</w:t>
      </w:r>
    </w:p>
    <w:p>
      <w:r>
        <w:drawing>
          <wp:inline xmlns:a="http://schemas.openxmlformats.org/drawingml/2006/main" xmlns:pic="http://schemas.openxmlformats.org/drawingml/2006/picture">
            <wp:extent cx="2926080" cy="2731008"/>
            <wp:docPr id="4" name="Picture 4"/>
            <wp:cNvGraphicFramePr>
              <a:graphicFrameLocks noChangeAspect="1"/>
            </wp:cNvGraphicFramePr>
            <a:graphic>
              <a:graphicData uri="http://schemas.openxmlformats.org/drawingml/2006/picture">
                <pic:pic>
                  <pic:nvPicPr>
                    <pic:cNvPr id="0" name="fig_confusion.png"/>
                    <pic:cNvPicPr/>
                  </pic:nvPicPr>
                  <pic:blipFill>
                    <a:blip r:embed="rId12"/>
                    <a:stretch>
                      <a:fillRect/>
                    </a:stretch>
                  </pic:blipFill>
                  <pic:spPr>
                    <a:xfrm>
                      <a:off x="0" y="0"/>
                      <a:ext cx="2926080" cy="2731008"/>
                    </a:xfrm>
                    <a:prstGeom prst="rect"/>
                  </pic:spPr>
                </pic:pic>
              </a:graphicData>
            </a:graphic>
          </wp:inline>
        </w:drawing>
      </w:r>
    </w:p>
    <w:p>
      <w:pPr>
        <w:pStyle w:val="Heading2"/>
      </w:pPr>
      <w:r>
        <w:t>4.4 显著性检验</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对比</w:t>
            </w:r>
          </w:p>
        </w:tc>
        <w:tc>
          <w:tcPr>
            <w:tcW w:type="dxa" w:w="1728"/>
          </w:tcPr>
          <w:p>
            <w:r>
              <w:t>ΔAUC</w:t>
            </w:r>
          </w:p>
        </w:tc>
        <w:tc>
          <w:tcPr>
            <w:tcW w:type="dxa" w:w="1728"/>
          </w:tcPr>
          <w:p>
            <w:r>
              <w:t>95% CI</w:t>
            </w:r>
          </w:p>
        </w:tc>
        <w:tc>
          <w:tcPr>
            <w:tcW w:type="dxa" w:w="1728"/>
          </w:tcPr>
          <w:p>
            <w:r>
              <w:t>p(AUC)</w:t>
            </w:r>
          </w:p>
        </w:tc>
        <w:tc>
          <w:tcPr>
            <w:tcW w:type="dxa" w:w="1728"/>
          </w:tcPr>
          <w:p>
            <w:r>
              <w:t>p(Acc)</w:t>
            </w:r>
          </w:p>
        </w:tc>
      </w:tr>
      <w:tr>
        <w:tc>
          <w:tcPr>
            <w:tcW w:type="dxa" w:w="1728"/>
          </w:tcPr>
          <w:p>
            <w:r>
              <w:t>ABC+coembed(raw) vs ABC</w:t>
            </w:r>
          </w:p>
        </w:tc>
        <w:tc>
          <w:tcPr>
            <w:tcW w:type="dxa" w:w="1728"/>
          </w:tcPr>
          <w:p>
            <w:r>
              <w:t>+0.0337</w:t>
            </w:r>
          </w:p>
        </w:tc>
        <w:tc>
          <w:tcPr>
            <w:tcW w:type="dxa" w:w="1728"/>
          </w:tcPr>
          <w:p>
            <w:r>
              <w:t>[+0.0179,+0.0497]</w:t>
            </w:r>
          </w:p>
        </w:tc>
        <w:tc>
          <w:tcPr>
            <w:tcW w:type="dxa" w:w="1728"/>
          </w:tcPr>
          <w:p>
            <w:r>
              <w:t>0.0000</w:t>
            </w:r>
          </w:p>
        </w:tc>
        <w:tc>
          <w:tcPr>
            <w:tcW w:type="dxa" w:w="1728"/>
          </w:tcPr>
          <w:p>
            <w:r>
              <w:t>0.0013</w:t>
            </w:r>
          </w:p>
        </w:tc>
      </w:tr>
      <w:tr>
        <w:tc>
          <w:tcPr>
            <w:tcW w:type="dxa" w:w="1728"/>
          </w:tcPr>
          <w:p>
            <w:r>
              <w:t>ABC+coembed(RED) vs ABC</w:t>
            </w:r>
          </w:p>
        </w:tc>
        <w:tc>
          <w:tcPr>
            <w:tcW w:type="dxa" w:w="1728"/>
          </w:tcPr>
          <w:p>
            <w:r>
              <w:t>+0.0248</w:t>
            </w:r>
          </w:p>
        </w:tc>
        <w:tc>
          <w:tcPr>
            <w:tcW w:type="dxa" w:w="1728"/>
          </w:tcPr>
          <w:p>
            <w:r>
              <w:t>[+0.0098,+0.0398]</w:t>
            </w:r>
          </w:p>
        </w:tc>
        <w:tc>
          <w:tcPr>
            <w:tcW w:type="dxa" w:w="1728"/>
          </w:tcPr>
          <w:p>
            <w:r>
              <w:t>0.0007</w:t>
            </w:r>
          </w:p>
        </w:tc>
        <w:tc>
          <w:tcPr>
            <w:tcW w:type="dxa" w:w="1728"/>
          </w:tcPr>
          <w:p>
            <w:r>
              <w:t>0.0250</w:t>
            </w:r>
          </w:p>
        </w:tc>
      </w:tr>
      <w:tr>
        <w:tc>
          <w:tcPr>
            <w:tcW w:type="dxa" w:w="1728"/>
          </w:tcPr>
          <w:p>
            <w:r>
              <w:t>coembed(raw) vs coembed(RED)</w:t>
            </w:r>
          </w:p>
        </w:tc>
        <w:tc>
          <w:tcPr>
            <w:tcW w:type="dxa" w:w="1728"/>
          </w:tcPr>
          <w:p>
            <w:r>
              <w:t>+0.0088</w:t>
            </w:r>
          </w:p>
        </w:tc>
        <w:tc>
          <w:tcPr>
            <w:tcW w:type="dxa" w:w="1728"/>
          </w:tcPr>
          <w:p>
            <w:r>
              <w:t>[-0.0055,+0.0238]</w:t>
            </w:r>
          </w:p>
        </w:tc>
        <w:tc>
          <w:tcPr>
            <w:tcW w:type="dxa" w:w="1728"/>
          </w:tcPr>
          <w:p>
            <w:r>
              <w:t>0.1128</w:t>
            </w:r>
          </w:p>
        </w:tc>
        <w:tc>
          <w:tcPr>
            <w:tcW w:type="dxa" w:w="1728"/>
          </w:tcPr>
          <w:p>
            <w:r>
              <w:t>0.1345</w:t>
            </w:r>
          </w:p>
        </w:tc>
      </w:tr>
    </w:tbl>
    <w:p>
      <w:r>
        <w:drawing>
          <wp:inline xmlns:a="http://schemas.openxmlformats.org/drawingml/2006/main" xmlns:pic="http://schemas.openxmlformats.org/drawingml/2006/picture">
            <wp:extent cx="5029200" cy="1523743"/>
            <wp:docPr id="5" name="Picture 5"/>
            <wp:cNvGraphicFramePr>
              <a:graphicFrameLocks noChangeAspect="1"/>
            </wp:cNvGraphicFramePr>
            <a:graphic>
              <a:graphicData uri="http://schemas.openxmlformats.org/drawingml/2006/picture">
                <pic:pic>
                  <pic:nvPicPr>
                    <pic:cNvPr id="0" name="fig_significance_forest.png"/>
                    <pic:cNvPicPr/>
                  </pic:nvPicPr>
                  <pic:blipFill>
                    <a:blip r:embed="rId13"/>
                    <a:stretch>
                      <a:fillRect/>
                    </a:stretch>
                  </pic:blipFill>
                  <pic:spPr>
                    <a:xfrm>
                      <a:off x="0" y="0"/>
                      <a:ext cx="5029200" cy="1523743"/>
                    </a:xfrm>
                    <a:prstGeom prst="rect"/>
                  </pic:spPr>
                </pic:pic>
              </a:graphicData>
            </a:graphic>
          </wp:inline>
        </w:drawing>
      </w:r>
    </w:p>
    <w:p>
      <w:r>
        <w:t>图 4. AUC 差异森林图。</w:t>
      </w:r>
    </w:p>
    <w:p>
      <w:r>
        <w:t>结论：ABC+co-embedding（原始或降维）均显著优于纯 ABC（p&lt;0.001）；原始与降维差异不显著（p=0.11）。</w:t>
      </w:r>
    </w:p>
    <w:p>
      <w:pPr>
        <w:pStyle w:val="Heading2"/>
      </w:pPr>
      <w:r>
        <w:t>4.5 特征重要性</w:t>
      </w:r>
    </w:p>
    <w:p>
      <w:r>
        <w:drawing>
          <wp:inline xmlns:a="http://schemas.openxmlformats.org/drawingml/2006/main" xmlns:pic="http://schemas.openxmlformats.org/drawingml/2006/picture">
            <wp:extent cx="3657600" cy="3657600"/>
            <wp:docPr id="6" name="Picture 6"/>
            <wp:cNvGraphicFramePr>
              <a:graphicFrameLocks noChangeAspect="1"/>
            </wp:cNvGraphicFramePr>
            <a:graphic>
              <a:graphicData uri="http://schemas.openxmlformats.org/drawingml/2006/picture">
                <pic:pic>
                  <pic:nvPicPr>
                    <pic:cNvPr id="0" name="fig_feature_importance.png"/>
                    <pic:cNvPicPr/>
                  </pic:nvPicPr>
                  <pic:blipFill>
                    <a:blip r:embed="rId14"/>
                    <a:stretch>
                      <a:fillRect/>
                    </a:stretch>
                  </pic:blipFill>
                  <pic:spPr>
                    <a:xfrm>
                      <a:off x="0" y="0"/>
                      <a:ext cx="3657600" cy="3657600"/>
                    </a:xfrm>
                    <a:prstGeom prst="rect"/>
                  </pic:spPr>
                </pic:pic>
              </a:graphicData>
            </a:graphic>
          </wp:inline>
        </w:drawing>
      </w:r>
    </w:p>
    <w:p>
      <w:r>
        <w:drawing>
          <wp:inline xmlns:a="http://schemas.openxmlformats.org/drawingml/2006/main" xmlns:pic="http://schemas.openxmlformats.org/drawingml/2006/picture">
            <wp:extent cx="2743200" cy="2743200"/>
            <wp:docPr id="7" name="Picture 7"/>
            <wp:cNvGraphicFramePr>
              <a:graphicFrameLocks noChangeAspect="1"/>
            </wp:cNvGraphicFramePr>
            <a:graphic>
              <a:graphicData uri="http://schemas.openxmlformats.org/drawingml/2006/picture">
                <pic:pic>
                  <pic:nvPicPr>
                    <pic:cNvPr id="0" name="fig_importance_share.png"/>
                    <pic:cNvPicPr/>
                  </pic:nvPicPr>
                  <pic:blipFill>
                    <a:blip r:embed="rId15"/>
                    <a:stretch>
                      <a:fillRect/>
                    </a:stretch>
                  </pic:blipFill>
                  <pic:spPr>
                    <a:xfrm>
                      <a:off x="0" y="0"/>
                      <a:ext cx="2743200" cy="2743200"/>
                    </a:xfrm>
                    <a:prstGeom prst="rect"/>
                  </pic:spPr>
                </pic:pic>
              </a:graphicData>
            </a:graphic>
          </wp:inline>
        </w:drawing>
      </w:r>
    </w:p>
    <w:p>
      <w:r>
        <w:t>图 5-6. 最佳配置特征重要性（ABC 47.2% / coembedding 52.8%）。</w:t>
      </w:r>
    </w:p>
    <w:p>
      <w:pPr>
        <w:pStyle w:val="Heading1"/>
      </w:pPr>
      <w:r>
        <w:t>5. 讨论（为什么这样做、关键要点）</w:t>
      </w:r>
    </w:p>
    <w:p>
      <w:r>
        <w:t>• 序列携带互作信息：ABC（0.69）与 ABC+coembed（0.725）均远超随机，证明 sequence-only 能预测顺式 E–P 互作。</w:t>
      </w:r>
    </w:p>
    <w:p>
      <w:r>
        <w:t>• 距离/接触/活性是主导：ABC 的 Hi-C 接触与距离项贡献最大，说明顺式互作主要由基因组邻近性决定。</w:t>
      </w:r>
    </w:p>
    <w:p>
      <w:r>
        <w:t>• 深度 embedding 增量有限但真实：单独 embedding 无信号（0.53–0.56），与 ABC 融合后显著提升（+0.03）——说明 embedding 捕捉的是 ABC 之外的互补序列信息，但本身不足以单独预测互作。</w:t>
      </w:r>
    </w:p>
    <w:p>
      <w:r>
        <w:t>• co-embedding 优于独立编码：让模型同时看到两个元件（同上下文）比各自独立编码更强，是更优的序列利用方式。</w:t>
      </w:r>
    </w:p>
    <w:p>
      <w:r>
        <w:t>• 降维的必要性：embedding 高度共线，直接拼接高维会稀释信号；KernelPCA-100 去噪后保留互补信息。</w:t>
      </w:r>
    </w:p>
    <w:p>
      <w:r>
        <w:t>• 分组 CV 的重要性：若不按增强子分组切分，同增强子跨折会导致泄漏、评估虚高（我们用分组 CV 纠正了单次切分的假阳性）。</w:t>
      </w:r>
    </w:p>
    <w:p>
      <w:pPr>
        <w:pStyle w:val="Heading1"/>
      </w:pPr>
      <w:r>
        <w:t>6. 结论</w:t>
      </w:r>
    </w:p>
    <w:p>
      <w:r>
        <w:t>sequence-only 模型能显著预测 K562 顺式 E–P 互作（AUC 0.725，显著优于随机与纯 ABC）。最佳方式为 ABC 特征 + co-embedding 融合（GB 分类器）。序列内容携带真实但有限的信息，更大提升需引入染色质状态与三维基因组信息。</w:t>
      </w:r>
    </w:p>
    <w:p>
      <w:pPr>
        <w:pStyle w:val="Heading1"/>
      </w:pPr>
      <w:r>
        <w:t>7. 局限与展望</w:t>
      </w:r>
    </w:p>
    <w:p>
      <w:r>
        <w:t>(1) "负样本"为无实验证据，非证实不互作；(2) 仅顺式，trans 臂待分析；(3) embedding 增量有限，突破需染色质/3D 信息；(4) Genos 为自回归单向模型，双向编码或逐 token 注意力或可进一步利用；(5) 全量 18 组逐样本数据收集与更多分层分析仍在进行，将补充终极报告。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