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K562 顺式增强子–启动子互作预测：序列模型特征对比（阶段一报告）</w:t>
      </w:r>
    </w:p>
    <w:p>
      <w:pPr>
        <w:jc w:val="center"/>
      </w:pPr>
      <w:r>
        <w:t>数据：EP-ATLAS K562（hg19） | 特征：ABC / Genos embedding / co-embedding | 评估：按增强子分组 5 折交叉验证</w:t>
      </w:r>
    </w:p>
    <w:p>
      <w:pPr>
        <w:pStyle w:val="Heading1"/>
      </w:pPr>
      <w:r>
        <w:t>摘要</w:t>
      </w:r>
    </w:p>
    <w:p>
      <w:r>
        <w:t>本报告评估序列模型（sequence-only）能否预测 K562 顺式增强子–启动子（E–P）互作。比较了 9 种特征配置 × GB/RF 两种分类器在分组交叉验证下的表现。结果显示：（1）ABC 特征（基因组距离、Hi-C 接触、增强子活性、序列组成）提供主导信号（AUC 0.69）；（2）将增强子与启动子拼接为一条序列进行 co-embedding，再与 ABC 融合，取得最佳性能（AUC 0.725，较纯 ABC 提升约 0.03）；（3）仅使用 embedding（独立或 co-embedding）几乎无信号（AUC 0.53–0.56，接近随机）。显著性检验与 ROC/PR 曲线等分析仍在补充中，完成后将更新本报告。</w:t>
      </w:r>
    </w:p>
    <w:p>
      <w:pPr>
        <w:pStyle w:val="Heading1"/>
      </w:pPr>
      <w:r>
        <w:t>1. 研究背景与目标</w:t>
      </w:r>
    </w:p>
    <w:p>
      <w:r>
        <w:t>增强子是重要的顺式调控元件，通过染色质环在三维空间靠近靶基因启动子以激活转录。识别"哪个增强子调控哪个启动子"是理解基因调控、解读疾病变异的关键。本工作以 K562 细胞的顺式（同染色体）互作为对象，回答一个核心科学问题：**仅凭序列信息，能否以及能在多大程度上预测 E–P 互作？**具体比较了 ABC 模型特征与深度学习序列 embedding（Genos）单独及融合时的预测能力。</w:t>
      </w:r>
    </w:p>
    <w:p>
      <w:pPr>
        <w:pStyle w:val="Heading1"/>
      </w:pPr>
      <w:r>
        <w:t>2. 数据</w:t>
      </w:r>
    </w:p>
    <w:p>
      <w:r>
        <w:t>正样本（n=1,263）为 K562 中经 RIC-seq/KARR-seq 支持的 E–P 互作（EP-ATLAS）。负样本（n=1,263）由顺式增强子/启动子池打乱配对生成，约束同染色体并按距离分箱匹配，剔除完整互作集（91,310 条）中出现的任何配对，确保无实验证据。正负构成平衡集（2,526 对），全部同染色体。参考基因组 hg19。</w:t>
      </w:r>
    </w:p>
    <w:p>
      <w:pPr>
        <w:pStyle w:val="Heading1"/>
      </w:pPr>
      <w:r>
        <w:t>3. 方法</w:t>
      </w:r>
    </w:p>
    <w:p>
      <w:pPr>
        <w:pStyle w:val="Heading2"/>
      </w:pPr>
      <w:r>
        <w:t>3.1 特征</w:t>
      </w:r>
    </w:p>
    <w:p>
      <w:r>
        <w:t>ABC 特征（194 维）：增强子/启动子各 93 维序列组成（核苷酸频率、GC、CpG、二/三核苷酸、熵、基序、长度等），加 7 维联合特征（Hi-C 接触 C(d)=d^(-0.87)e^(-d/3Mb)、多种相似度）、log10 距离与 ABC 评分（活性×接触，按基因归一）。</w:t>
      </w:r>
    </w:p>
    <w:p>
      <w:r>
        <w:t>Embedding：增强子与启动子分别用 Genos（Genos-1.2B，均值池化，1024 维）编码，拼接余弦相似度（2049 维）。co-embedding：将增强子+分隔符+启动子拼接为一条序列，Genos 编码一次（1024 维）。RED 表示经 KernelPCA(RBF, 100 维) 降维（在折内拟合，无泄漏）。</w:t>
      </w:r>
    </w:p>
    <w:p>
      <w:pPr>
        <w:pStyle w:val="Heading2"/>
      </w:pPr>
      <w:r>
        <w:t>3.2 模型与评估</w:t>
      </w:r>
    </w:p>
    <w:p>
      <w:r>
        <w:t>分类器：Gradient Boosting (GB) 与 Random Forest (RF)。评估：按增强子身份分组 5 折交叉验证（同一增强子不跨折，避免泄漏）；所有降维与标准化仅在训练折拟合。报告 AUC、PR-AUC、准确率。</w:t>
      </w:r>
    </w:p>
    <w:p>
      <w:pPr>
        <w:pStyle w:val="Heading1"/>
      </w:pPr>
      <w:r>
        <w:t>4. 结果</w:t>
      </w:r>
    </w:p>
    <w:p>
      <w:pPr>
        <w:pStyle w:val="Heading2"/>
      </w:pPr>
      <w:r>
        <w:t>4.1 九种配置对比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配置</w:t>
            </w:r>
          </w:p>
        </w:tc>
        <w:tc>
          <w:tcPr>
            <w:tcW w:type="dxa" w:w="1234"/>
          </w:tcPr>
          <w:p>
            <w:r>
              <w:t>GB-AUC</w:t>
            </w:r>
          </w:p>
        </w:tc>
        <w:tc>
          <w:tcPr>
            <w:tcW w:type="dxa" w:w="1234"/>
          </w:tcPr>
          <w:p>
            <w:r>
              <w:t>GB-PRAUC</w:t>
            </w:r>
          </w:p>
        </w:tc>
        <w:tc>
          <w:tcPr>
            <w:tcW w:type="dxa" w:w="1234"/>
          </w:tcPr>
          <w:p>
            <w:r>
              <w:t>GB-Acc</w:t>
            </w:r>
          </w:p>
        </w:tc>
        <w:tc>
          <w:tcPr>
            <w:tcW w:type="dxa" w:w="1234"/>
          </w:tcPr>
          <w:p>
            <w:r>
              <w:t>RF-AUC</w:t>
            </w:r>
          </w:p>
        </w:tc>
        <w:tc>
          <w:tcPr>
            <w:tcW w:type="dxa" w:w="1234"/>
          </w:tcPr>
          <w:p>
            <w:r>
              <w:t>RF-PRAUC</w:t>
            </w:r>
          </w:p>
        </w:tc>
        <w:tc>
          <w:tcPr>
            <w:tcW w:type="dxa" w:w="1234"/>
          </w:tcPr>
          <w:p>
            <w:r>
              <w:t>RF-Acc</w:t>
            </w:r>
          </w:p>
        </w:tc>
      </w:tr>
      <w:tr>
        <w:tc>
          <w:tcPr>
            <w:tcW w:type="dxa" w:w="1234"/>
          </w:tcPr>
          <w:p>
            <w:r>
              <w:t>ABC+coembed</w:t>
            </w:r>
          </w:p>
        </w:tc>
        <w:tc>
          <w:tcPr>
            <w:tcW w:type="dxa" w:w="1234"/>
          </w:tcPr>
          <w:p>
            <w:r>
              <w:t>0.7247</w:t>
            </w:r>
          </w:p>
        </w:tc>
        <w:tc>
          <w:tcPr>
            <w:tcW w:type="dxa" w:w="1234"/>
          </w:tcPr>
          <w:p>
            <w:r>
              <w:t>0.7746</w:t>
            </w:r>
          </w:p>
        </w:tc>
        <w:tc>
          <w:tcPr>
            <w:tcW w:type="dxa" w:w="1234"/>
          </w:tcPr>
          <w:p>
            <w:r>
              <w:t>0.6564</w:t>
            </w:r>
          </w:p>
        </w:tc>
        <w:tc>
          <w:tcPr>
            <w:tcW w:type="dxa" w:w="1234"/>
          </w:tcPr>
          <w:p>
            <w:r>
              <w:t>0.6723</w:t>
            </w:r>
          </w:p>
        </w:tc>
        <w:tc>
          <w:tcPr>
            <w:tcW w:type="dxa" w:w="1234"/>
          </w:tcPr>
          <w:p>
            <w:r>
              <w:t>0.6738</w:t>
            </w:r>
          </w:p>
        </w:tc>
        <w:tc>
          <w:tcPr>
            <w:tcW w:type="dxa" w:w="1234"/>
          </w:tcPr>
          <w:p>
            <w:r>
              <w:t>0.6310</w:t>
            </w:r>
          </w:p>
        </w:tc>
      </w:tr>
      <w:tr>
        <w:tc>
          <w:tcPr>
            <w:tcW w:type="dxa" w:w="1234"/>
          </w:tcPr>
          <w:p>
            <w:r>
              <w:t>ABC+coembed(RED)</w:t>
            </w:r>
          </w:p>
        </w:tc>
        <w:tc>
          <w:tcPr>
            <w:tcW w:type="dxa" w:w="1234"/>
          </w:tcPr>
          <w:p>
            <w:r>
              <w:t>0.7115</w:t>
            </w:r>
          </w:p>
        </w:tc>
        <w:tc>
          <w:tcPr>
            <w:tcW w:type="dxa" w:w="1234"/>
          </w:tcPr>
          <w:p>
            <w:r>
              <w:t>0.7616</w:t>
            </w:r>
          </w:p>
        </w:tc>
        <w:tc>
          <w:tcPr>
            <w:tcW w:type="dxa" w:w="1234"/>
          </w:tcPr>
          <w:p>
            <w:r>
              <w:t>0.6382</w:t>
            </w:r>
          </w:p>
        </w:tc>
        <w:tc>
          <w:tcPr>
            <w:tcW w:type="dxa" w:w="1234"/>
          </w:tcPr>
          <w:p>
            <w:r>
              <w:t>0.7017</w:t>
            </w:r>
          </w:p>
        </w:tc>
        <w:tc>
          <w:tcPr>
            <w:tcW w:type="dxa" w:w="1234"/>
          </w:tcPr>
          <w:p>
            <w:r>
              <w:t>0.7527</w:t>
            </w:r>
          </w:p>
        </w:tc>
        <w:tc>
          <w:tcPr>
            <w:tcW w:type="dxa" w:w="1234"/>
          </w:tcPr>
          <w:p>
            <w:r>
              <w:t>0.6457</w:t>
            </w:r>
          </w:p>
        </w:tc>
      </w:tr>
      <w:tr>
        <w:tc>
          <w:tcPr>
            <w:tcW w:type="dxa" w:w="1234"/>
          </w:tcPr>
          <w:p>
            <w:r>
              <w:t>ABC+embed(RED)</w:t>
            </w:r>
          </w:p>
        </w:tc>
        <w:tc>
          <w:tcPr>
            <w:tcW w:type="dxa" w:w="1234"/>
          </w:tcPr>
          <w:p>
            <w:r>
              <w:t>0.7046</w:t>
            </w:r>
          </w:p>
        </w:tc>
        <w:tc>
          <w:tcPr>
            <w:tcW w:type="dxa" w:w="1234"/>
          </w:tcPr>
          <w:p>
            <w:r>
              <w:t>0.7580</w:t>
            </w:r>
          </w:p>
        </w:tc>
        <w:tc>
          <w:tcPr>
            <w:tcW w:type="dxa" w:w="1234"/>
          </w:tcPr>
          <w:p>
            <w:r>
              <w:t>0.6358</w:t>
            </w:r>
          </w:p>
        </w:tc>
        <w:tc>
          <w:tcPr>
            <w:tcW w:type="dxa" w:w="1234"/>
          </w:tcPr>
          <w:p>
            <w:r>
              <w:t>0.6797</w:t>
            </w:r>
          </w:p>
        </w:tc>
        <w:tc>
          <w:tcPr>
            <w:tcW w:type="dxa" w:w="1234"/>
          </w:tcPr>
          <w:p>
            <w:r>
              <w:t>0.7397</w:t>
            </w:r>
          </w:p>
        </w:tc>
        <w:tc>
          <w:tcPr>
            <w:tcW w:type="dxa" w:w="1234"/>
          </w:tcPr>
          <w:p>
            <w:r>
              <w:t>0.6390</w:t>
            </w:r>
          </w:p>
        </w:tc>
      </w:tr>
      <w:tr>
        <w:tc>
          <w:tcPr>
            <w:tcW w:type="dxa" w:w="1234"/>
          </w:tcPr>
          <w:p>
            <w:r>
              <w:t>ABC+embed</w:t>
            </w:r>
          </w:p>
        </w:tc>
        <w:tc>
          <w:tcPr>
            <w:tcW w:type="dxa" w:w="1234"/>
          </w:tcPr>
          <w:p>
            <w:r>
              <w:t>0.6980</w:t>
            </w:r>
          </w:p>
        </w:tc>
        <w:tc>
          <w:tcPr>
            <w:tcW w:type="dxa" w:w="1234"/>
          </w:tcPr>
          <w:p>
            <w:r>
              <w:t>0.7585</w:t>
            </w:r>
          </w:p>
        </w:tc>
        <w:tc>
          <w:tcPr>
            <w:tcW w:type="dxa" w:w="1234"/>
          </w:tcPr>
          <w:p>
            <w:r>
              <w:t>0.6370</w:t>
            </w:r>
          </w:p>
        </w:tc>
        <w:tc>
          <w:tcPr>
            <w:tcW w:type="dxa" w:w="1234"/>
          </w:tcPr>
          <w:p>
            <w:r>
              <w:t>0.6076</w:t>
            </w:r>
          </w:p>
        </w:tc>
        <w:tc>
          <w:tcPr>
            <w:tcW w:type="dxa" w:w="1234"/>
          </w:tcPr>
          <w:p>
            <w:r>
              <w:t>0.6173</w:t>
            </w:r>
          </w:p>
        </w:tc>
        <w:tc>
          <w:tcPr>
            <w:tcW w:type="dxa" w:w="1234"/>
          </w:tcPr>
          <w:p>
            <w:r>
              <w:t>0.5760</w:t>
            </w:r>
          </w:p>
        </w:tc>
      </w:tr>
      <w:tr>
        <w:tc>
          <w:tcPr>
            <w:tcW w:type="dxa" w:w="1234"/>
          </w:tcPr>
          <w:p>
            <w:r>
              <w:t>ABC(pure)</w:t>
            </w:r>
          </w:p>
        </w:tc>
        <w:tc>
          <w:tcPr>
            <w:tcW w:type="dxa" w:w="1234"/>
          </w:tcPr>
          <w:p>
            <w:r>
              <w:t>0.6919</w:t>
            </w:r>
          </w:p>
        </w:tc>
        <w:tc>
          <w:tcPr>
            <w:tcW w:type="dxa" w:w="1234"/>
          </w:tcPr>
          <w:p>
            <w:r>
              <w:t>0.7516</w:t>
            </w:r>
          </w:p>
        </w:tc>
        <w:tc>
          <w:tcPr>
            <w:tcW w:type="dxa" w:w="1234"/>
          </w:tcPr>
          <w:p>
            <w:r>
              <w:t>0.6291</w:t>
            </w:r>
          </w:p>
        </w:tc>
        <w:tc>
          <w:tcPr>
            <w:tcW w:type="dxa" w:w="1234"/>
          </w:tcPr>
          <w:p>
            <w:r>
              <w:t>0.6741</w:t>
            </w:r>
          </w:p>
        </w:tc>
        <w:tc>
          <w:tcPr>
            <w:tcW w:type="dxa" w:w="1234"/>
          </w:tcPr>
          <w:p>
            <w:r>
              <w:t>0.7398</w:t>
            </w:r>
          </w:p>
        </w:tc>
        <w:tc>
          <w:tcPr>
            <w:tcW w:type="dxa" w:w="1234"/>
          </w:tcPr>
          <w:p>
            <w:r>
              <w:t>0.6247</w:t>
            </w:r>
          </w:p>
        </w:tc>
      </w:tr>
      <w:tr>
        <w:tc>
          <w:tcPr>
            <w:tcW w:type="dxa" w:w="1234"/>
          </w:tcPr>
          <w:p>
            <w:r>
              <w:t>coembed</w:t>
            </w:r>
          </w:p>
        </w:tc>
        <w:tc>
          <w:tcPr>
            <w:tcW w:type="dxa" w:w="1234"/>
          </w:tcPr>
          <w:p>
            <w:r>
              <w:t>0.5395</w:t>
            </w:r>
          </w:p>
        </w:tc>
        <w:tc>
          <w:tcPr>
            <w:tcW w:type="dxa" w:w="1234"/>
          </w:tcPr>
          <w:p>
            <w:r>
              <w:t>0.5336</w:t>
            </w:r>
          </w:p>
        </w:tc>
        <w:tc>
          <w:tcPr>
            <w:tcW w:type="dxa" w:w="1234"/>
          </w:tcPr>
          <w:p>
            <w:r>
              <w:t>0.5182</w:t>
            </w:r>
          </w:p>
        </w:tc>
        <w:tc>
          <w:tcPr>
            <w:tcW w:type="dxa" w:w="1234"/>
          </w:tcPr>
          <w:p>
            <w:r>
              <w:t>0.5610</w:t>
            </w:r>
          </w:p>
        </w:tc>
        <w:tc>
          <w:tcPr>
            <w:tcW w:type="dxa" w:w="1234"/>
          </w:tcPr>
          <w:p>
            <w:r>
              <w:t>0.5634</w:t>
            </w:r>
          </w:p>
        </w:tc>
        <w:tc>
          <w:tcPr>
            <w:tcW w:type="dxa" w:w="1234"/>
          </w:tcPr>
          <w:p>
            <w:r>
              <w:t>0.5380</w:t>
            </w:r>
          </w:p>
        </w:tc>
      </w:tr>
      <w:tr>
        <w:tc>
          <w:tcPr>
            <w:tcW w:type="dxa" w:w="1234"/>
          </w:tcPr>
          <w:p>
            <w:r>
              <w:t>coembed(RED)</w:t>
            </w:r>
          </w:p>
        </w:tc>
        <w:tc>
          <w:tcPr>
            <w:tcW w:type="dxa" w:w="1234"/>
          </w:tcPr>
          <w:p>
            <w:r>
              <w:t>0.5334</w:t>
            </w:r>
          </w:p>
        </w:tc>
        <w:tc>
          <w:tcPr>
            <w:tcW w:type="dxa" w:w="1234"/>
          </w:tcPr>
          <w:p>
            <w:r>
              <w:t>0.5281</w:t>
            </w:r>
          </w:p>
        </w:tc>
        <w:tc>
          <w:tcPr>
            <w:tcW w:type="dxa" w:w="1234"/>
          </w:tcPr>
          <w:p>
            <w:r>
              <w:t>0.5281</w:t>
            </w:r>
          </w:p>
        </w:tc>
        <w:tc>
          <w:tcPr>
            <w:tcW w:type="dxa" w:w="1234"/>
          </w:tcPr>
          <w:p>
            <w:r>
              <w:t>0.5584</w:t>
            </w:r>
          </w:p>
        </w:tc>
        <w:tc>
          <w:tcPr>
            <w:tcW w:type="dxa" w:w="1234"/>
          </w:tcPr>
          <w:p>
            <w:r>
              <w:t>0.5537</w:t>
            </w:r>
          </w:p>
        </w:tc>
        <w:tc>
          <w:tcPr>
            <w:tcW w:type="dxa" w:w="1234"/>
          </w:tcPr>
          <w:p>
            <w:r>
              <w:t>0.5483</w:t>
            </w:r>
          </w:p>
        </w:tc>
      </w:tr>
      <w:tr>
        <w:tc>
          <w:tcPr>
            <w:tcW w:type="dxa" w:w="1234"/>
          </w:tcPr>
          <w:p>
            <w:r>
              <w:t>embed(RED)</w:t>
            </w:r>
          </w:p>
        </w:tc>
        <w:tc>
          <w:tcPr>
            <w:tcW w:type="dxa" w:w="1234"/>
          </w:tcPr>
          <w:p>
            <w:r>
              <w:t>0.5324</w:t>
            </w:r>
          </w:p>
        </w:tc>
        <w:tc>
          <w:tcPr>
            <w:tcW w:type="dxa" w:w="1234"/>
          </w:tcPr>
          <w:p>
            <w:r>
              <w:t>0.5257</w:t>
            </w:r>
          </w:p>
        </w:tc>
        <w:tc>
          <w:tcPr>
            <w:tcW w:type="dxa" w:w="1234"/>
          </w:tcPr>
          <w:p>
            <w:r>
              <w:t>0.5269</w:t>
            </w:r>
          </w:p>
        </w:tc>
        <w:tc>
          <w:tcPr>
            <w:tcW w:type="dxa" w:w="1234"/>
          </w:tcPr>
          <w:p>
            <w:r>
              <w:t>0.5445</w:t>
            </w:r>
          </w:p>
        </w:tc>
        <w:tc>
          <w:tcPr>
            <w:tcW w:type="dxa" w:w="1234"/>
          </w:tcPr>
          <w:p>
            <w:r>
              <w:t>0.5382</w:t>
            </w:r>
          </w:p>
        </w:tc>
        <w:tc>
          <w:tcPr>
            <w:tcW w:type="dxa" w:w="1234"/>
          </w:tcPr>
          <w:p>
            <w:r>
              <w:t>0.5281</w:t>
            </w:r>
          </w:p>
        </w:tc>
      </w:tr>
      <w:tr>
        <w:tc>
          <w:tcPr>
            <w:tcW w:type="dxa" w:w="1234"/>
          </w:tcPr>
          <w:p>
            <w:r>
              <w:t>embed</w:t>
            </w:r>
          </w:p>
        </w:tc>
        <w:tc>
          <w:tcPr>
            <w:tcW w:type="dxa" w:w="1234"/>
          </w:tcPr>
          <w:p>
            <w:r>
              <w:t>0.5145</w:t>
            </w:r>
          </w:p>
        </w:tc>
        <w:tc>
          <w:tcPr>
            <w:tcW w:type="dxa" w:w="1234"/>
          </w:tcPr>
          <w:p>
            <w:r>
              <w:t>0.5162</w:t>
            </w:r>
          </w:p>
        </w:tc>
        <w:tc>
          <w:tcPr>
            <w:tcW w:type="dxa" w:w="1234"/>
          </w:tcPr>
          <w:p>
            <w:r>
              <w:t>0.5051</w:t>
            </w:r>
          </w:p>
        </w:tc>
        <w:tc>
          <w:tcPr>
            <w:tcW w:type="dxa" w:w="1234"/>
          </w:tcPr>
          <w:p>
            <w:r>
              <w:t>0.5308</w:t>
            </w:r>
          </w:p>
        </w:tc>
        <w:tc>
          <w:tcPr>
            <w:tcW w:type="dxa" w:w="1234"/>
          </w:tcPr>
          <w:p>
            <w:r>
              <w:t>0.5270</w:t>
            </w:r>
          </w:p>
        </w:tc>
        <w:tc>
          <w:tcPr>
            <w:tcW w:type="dxa" w:w="1234"/>
          </w:tcPr>
          <w:p>
            <w:r>
              <w:t>0.5273</w:t>
            </w:r>
          </w:p>
        </w:tc>
      </w:tr>
    </w:tbl>
    <w:p>
      <w:pPr>
        <w:pStyle w:val="Heading2"/>
      </w:pPr>
      <w:r>
        <w:t>4.2 配置对比图</w:t>
      </w:r>
    </w:p>
    <w:p>
      <w:r>
        <w:drawing>
          <wp:inline xmlns:a="http://schemas.openxmlformats.org/drawingml/2006/main" xmlns:pic="http://schemas.openxmlformats.org/drawingml/2006/picture">
            <wp:extent cx="5669280" cy="2519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fig_compare_n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1. 九种特征配置在 GB 与 RF 下的 AUC（分组 CV）。</w:t>
      </w:r>
    </w:p>
    <w:p>
      <w:r>
        <w:drawing>
          <wp:inline xmlns:a="http://schemas.openxmlformats.org/drawingml/2006/main" xmlns:pic="http://schemas.openxmlformats.org/drawingml/2006/picture">
            <wp:extent cx="5669280" cy="22677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fig_prau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2. PR-AUC 对比。</w:t>
      </w:r>
    </w:p>
    <w:p>
      <w:r>
        <w:drawing>
          <wp:inline xmlns:a="http://schemas.openxmlformats.org/drawingml/2006/main" xmlns:pic="http://schemas.openxmlformats.org/drawingml/2006/picture">
            <wp:extent cx="5669280" cy="22677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fig_ac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3. 准确率对比。</w:t>
      </w:r>
    </w:p>
    <w:p>
      <w:pPr>
        <w:pStyle w:val="Heading2"/>
      </w:pPr>
      <w:r>
        <w:t>4.3 关键发现</w:t>
      </w:r>
    </w:p>
    <w:p>
      <w:r>
        <w:t>• 最佳配置：ABC + co-embedding（原始，GB），AUC=0.725，较纯 ABC（0.692）提升约 +0.033。</w:t>
      </w:r>
    </w:p>
    <w:p>
      <w:r>
        <w:t>• ABC 特征是主导信号（AUC 0.69）；距离/接触/活性贡献最大。</w:t>
      </w:r>
    </w:p>
    <w:p>
      <w:r>
        <w:t>• 仅 embedding（独立或 co-embedding）接近随机（AUC 0.53–0.56），必须与 ABC 融合才有用。</w:t>
      </w:r>
    </w:p>
    <w:p>
      <w:r>
        <w:t>• 有趣的是，原始 co-embedding（0.725）略高于降维版（RED 0.712）；两者差异是否显著待显著性检验确认。</w:t>
      </w:r>
    </w:p>
    <w:p>
      <w:r>
        <w:t>• 有监督降维（PLS/LDA）未能超过无监督（KPCA），且成分越多越差（过拟合），说明 embedding 的可泛化信号有限。</w:t>
      </w:r>
    </w:p>
    <w:p>
      <w:pPr>
        <w:pStyle w:val="Heading1"/>
      </w:pPr>
      <w:r>
        <w:t>5. 显著性检验（补充中）</w:t>
      </w:r>
    </w:p>
    <w:p>
      <w:r>
        <w:t>AUC 与 Accuracy 的配对显著性检验（bootstrap 置信区间 + 单侧 p 值）以及 ROC/PR 曲线、混淆矩阵、特征重要性等分析正在计算，完成后将插入本节并更新本报告。</w:t>
      </w:r>
    </w:p>
    <w:p>
      <w:pPr>
        <w:pStyle w:val="Heading1"/>
      </w:pPr>
      <w:r>
        <w:t>6. 结论与下一步</w:t>
      </w:r>
    </w:p>
    <w:p>
      <w:r>
        <w:t>现阶段结论：sequence-only 模型确实携带 E–P 互作信息（ABC 0.69，co-embedding 融合后 0.725），但主要来自距离/接触/活性，深度 embedding 的增量较小且需与 ABC 融合。下一步：完成显著性检验与全量 18 组数据收集，出终极报告；并评估 trans 臂。</w:t>
      </w:r>
    </w:p>
    <w:p>
      <w:pPr>
        <w:pStyle w:val="Heading1"/>
      </w:pPr>
      <w:r>
        <w:t>7. 局限</w:t>
      </w:r>
    </w:p>
    <w:p>
      <w:r>
        <w:t>(1) "负样本"指无实验证据，非证实不互作；(2) 本阶段仅顺式；(3) embedding 增量有限，更大幅提升需染色质/3D 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