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K562 顺式增强子–启动子互作预测：序列模型特征对比（更新版报告）</w:t>
      </w:r>
    </w:p>
    <w:p>
      <w:pPr>
        <w:jc w:val="center"/>
      </w:pPr>
      <w:r>
        <w:t>EP-ATLAS K562（hg19）| ABC / Genos embedding / co-embedding | 按增强子分组 5 折交叉验证 + 配对显著性检验</w:t>
      </w:r>
    </w:p>
    <w:p>
      <w:pPr>
        <w:pStyle w:val="Heading1"/>
      </w:pPr>
      <w:r>
        <w:t>摘要</w:t>
      </w:r>
    </w:p>
    <w:p>
      <w:r>
        <w:t>本研究评估序列模型预测 K562 顺式增强子–启动子（E–P）互作的能力。结果表明：（1）ABC 特征提供主导信号（AUC 0.69）；（2）增强子+启动子拼接的 co-embedding 与 ABC 融合取得最佳性能（AUC 0.725），显著优于纯 ABC（ΔAUC +0.034，p&lt;0.0001）；（3）仅 embedding 接近随机（AUC 0.53–0.56）。co-embedding 是否降维（RED）对性能无显著影响（p=0.11），两者均显著优于 ABC。特征重要性显示 ABC 与 co-embedding 各占约一半。</w:t>
      </w:r>
    </w:p>
    <w:p>
      <w:pPr>
        <w:pStyle w:val="Heading1"/>
      </w:pPr>
      <w:r>
        <w:t>1. 数据与方法</w:t>
      </w:r>
    </w:p>
    <w:p>
      <w:r>
        <w:t>数据：1,263 正样本（RIC-seq/KARR-seq 支持的 E–P 互作）+ 1,263 负样本（打乱配对、同染色体、距离分箱匹配、剔除完整互作集）。共 2,526 对，全部同染色体，hg19。</w:t>
      </w:r>
    </w:p>
    <w:p>
      <w:r>
        <w:t>特征：ABC（194 维，含 Hi-C 接触/活性/序列组成）；embedding（Genos-1.2B，独立编码 2049 维）；co-embedding（拼接编码 1024 维）；RED 为 KernelPCA(RBF,100) 降维（折内拟合）。模型：GB 与 RF。评估：按增强子分组 5 折 CV + 配对 bootstrap 显著性检验。</w:t>
      </w:r>
    </w:p>
    <w:p>
      <w:pPr>
        <w:pStyle w:val="Heading1"/>
      </w:pPr>
      <w:r>
        <w:t>2. 结果</w:t>
      </w:r>
    </w:p>
    <w:p>
      <w:pPr>
        <w:pStyle w:val="Heading2"/>
      </w:pPr>
      <w:r>
        <w:t>2.1 九种配置对比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配置</w:t>
            </w:r>
          </w:p>
        </w:tc>
        <w:tc>
          <w:tcPr>
            <w:tcW w:type="dxa" w:w="1234"/>
          </w:tcPr>
          <w:p>
            <w:r>
              <w:t>GB-AUC</w:t>
            </w:r>
          </w:p>
        </w:tc>
        <w:tc>
          <w:tcPr>
            <w:tcW w:type="dxa" w:w="1234"/>
          </w:tcPr>
          <w:p>
            <w:r>
              <w:t>GB-PRAUC</w:t>
            </w:r>
          </w:p>
        </w:tc>
        <w:tc>
          <w:tcPr>
            <w:tcW w:type="dxa" w:w="1234"/>
          </w:tcPr>
          <w:p>
            <w:r>
              <w:t>GB-Acc</w:t>
            </w:r>
          </w:p>
        </w:tc>
        <w:tc>
          <w:tcPr>
            <w:tcW w:type="dxa" w:w="1234"/>
          </w:tcPr>
          <w:p>
            <w:r>
              <w:t>RF-AUC</w:t>
            </w:r>
          </w:p>
        </w:tc>
        <w:tc>
          <w:tcPr>
            <w:tcW w:type="dxa" w:w="1234"/>
          </w:tcPr>
          <w:p>
            <w:r>
              <w:t>RF-PRAUC</w:t>
            </w:r>
          </w:p>
        </w:tc>
        <w:tc>
          <w:tcPr>
            <w:tcW w:type="dxa" w:w="1234"/>
          </w:tcPr>
          <w:p>
            <w:r>
              <w:t>RF-Acc</w:t>
            </w:r>
          </w:p>
        </w:tc>
      </w:tr>
      <w:tr>
        <w:tc>
          <w:tcPr>
            <w:tcW w:type="dxa" w:w="1234"/>
          </w:tcPr>
          <w:p>
            <w:r>
              <w:t>ABC+coembed</w:t>
            </w:r>
          </w:p>
        </w:tc>
        <w:tc>
          <w:tcPr>
            <w:tcW w:type="dxa" w:w="1234"/>
          </w:tcPr>
          <w:p>
            <w:r>
              <w:t>0.7247</w:t>
            </w:r>
          </w:p>
        </w:tc>
        <w:tc>
          <w:tcPr>
            <w:tcW w:type="dxa" w:w="1234"/>
          </w:tcPr>
          <w:p>
            <w:r>
              <w:t>0.7746</w:t>
            </w:r>
          </w:p>
        </w:tc>
        <w:tc>
          <w:tcPr>
            <w:tcW w:type="dxa" w:w="1234"/>
          </w:tcPr>
          <w:p>
            <w:r>
              <w:t>0.6564</w:t>
            </w:r>
          </w:p>
        </w:tc>
        <w:tc>
          <w:tcPr>
            <w:tcW w:type="dxa" w:w="1234"/>
          </w:tcPr>
          <w:p>
            <w:r>
              <w:t>0.6723</w:t>
            </w:r>
          </w:p>
        </w:tc>
        <w:tc>
          <w:tcPr>
            <w:tcW w:type="dxa" w:w="1234"/>
          </w:tcPr>
          <w:p>
            <w:r>
              <w:t>0.6738</w:t>
            </w:r>
          </w:p>
        </w:tc>
        <w:tc>
          <w:tcPr>
            <w:tcW w:type="dxa" w:w="1234"/>
          </w:tcPr>
          <w:p>
            <w:r>
              <w:t>0.6310</w:t>
            </w:r>
          </w:p>
        </w:tc>
      </w:tr>
      <w:tr>
        <w:tc>
          <w:tcPr>
            <w:tcW w:type="dxa" w:w="1234"/>
          </w:tcPr>
          <w:p>
            <w:r>
              <w:t>ABC+coembed(RED)</w:t>
            </w:r>
          </w:p>
        </w:tc>
        <w:tc>
          <w:tcPr>
            <w:tcW w:type="dxa" w:w="1234"/>
          </w:tcPr>
          <w:p>
            <w:r>
              <w:t>0.7115</w:t>
            </w:r>
          </w:p>
        </w:tc>
        <w:tc>
          <w:tcPr>
            <w:tcW w:type="dxa" w:w="1234"/>
          </w:tcPr>
          <w:p>
            <w:r>
              <w:t>0.7616</w:t>
            </w:r>
          </w:p>
        </w:tc>
        <w:tc>
          <w:tcPr>
            <w:tcW w:type="dxa" w:w="1234"/>
          </w:tcPr>
          <w:p>
            <w:r>
              <w:t>0.6382</w:t>
            </w:r>
          </w:p>
        </w:tc>
        <w:tc>
          <w:tcPr>
            <w:tcW w:type="dxa" w:w="1234"/>
          </w:tcPr>
          <w:p>
            <w:r>
              <w:t>0.7017</w:t>
            </w:r>
          </w:p>
        </w:tc>
        <w:tc>
          <w:tcPr>
            <w:tcW w:type="dxa" w:w="1234"/>
          </w:tcPr>
          <w:p>
            <w:r>
              <w:t>0.7527</w:t>
            </w:r>
          </w:p>
        </w:tc>
        <w:tc>
          <w:tcPr>
            <w:tcW w:type="dxa" w:w="1234"/>
          </w:tcPr>
          <w:p>
            <w:r>
              <w:t>0.6457</w:t>
            </w:r>
          </w:p>
        </w:tc>
      </w:tr>
      <w:tr>
        <w:tc>
          <w:tcPr>
            <w:tcW w:type="dxa" w:w="1234"/>
          </w:tcPr>
          <w:p>
            <w:r>
              <w:t>ABC+embed(RED)</w:t>
            </w:r>
          </w:p>
        </w:tc>
        <w:tc>
          <w:tcPr>
            <w:tcW w:type="dxa" w:w="1234"/>
          </w:tcPr>
          <w:p>
            <w:r>
              <w:t>0.7046</w:t>
            </w:r>
          </w:p>
        </w:tc>
        <w:tc>
          <w:tcPr>
            <w:tcW w:type="dxa" w:w="1234"/>
          </w:tcPr>
          <w:p>
            <w:r>
              <w:t>0.7580</w:t>
            </w:r>
          </w:p>
        </w:tc>
        <w:tc>
          <w:tcPr>
            <w:tcW w:type="dxa" w:w="1234"/>
          </w:tcPr>
          <w:p>
            <w:r>
              <w:t>0.6358</w:t>
            </w:r>
          </w:p>
        </w:tc>
        <w:tc>
          <w:tcPr>
            <w:tcW w:type="dxa" w:w="1234"/>
          </w:tcPr>
          <w:p>
            <w:r>
              <w:t>0.6797</w:t>
            </w:r>
          </w:p>
        </w:tc>
        <w:tc>
          <w:tcPr>
            <w:tcW w:type="dxa" w:w="1234"/>
          </w:tcPr>
          <w:p>
            <w:r>
              <w:t>0.7397</w:t>
            </w:r>
          </w:p>
        </w:tc>
        <w:tc>
          <w:tcPr>
            <w:tcW w:type="dxa" w:w="1234"/>
          </w:tcPr>
          <w:p>
            <w:r>
              <w:t>0.6390</w:t>
            </w:r>
          </w:p>
        </w:tc>
      </w:tr>
      <w:tr>
        <w:tc>
          <w:tcPr>
            <w:tcW w:type="dxa" w:w="1234"/>
          </w:tcPr>
          <w:p>
            <w:r>
              <w:t>ABC+embed</w:t>
            </w:r>
          </w:p>
        </w:tc>
        <w:tc>
          <w:tcPr>
            <w:tcW w:type="dxa" w:w="1234"/>
          </w:tcPr>
          <w:p>
            <w:r>
              <w:t>0.6980</w:t>
            </w:r>
          </w:p>
        </w:tc>
        <w:tc>
          <w:tcPr>
            <w:tcW w:type="dxa" w:w="1234"/>
          </w:tcPr>
          <w:p>
            <w:r>
              <w:t>0.7585</w:t>
            </w:r>
          </w:p>
        </w:tc>
        <w:tc>
          <w:tcPr>
            <w:tcW w:type="dxa" w:w="1234"/>
          </w:tcPr>
          <w:p>
            <w:r>
              <w:t>0.6370</w:t>
            </w:r>
          </w:p>
        </w:tc>
        <w:tc>
          <w:tcPr>
            <w:tcW w:type="dxa" w:w="1234"/>
          </w:tcPr>
          <w:p>
            <w:r>
              <w:t>0.6076</w:t>
            </w:r>
          </w:p>
        </w:tc>
        <w:tc>
          <w:tcPr>
            <w:tcW w:type="dxa" w:w="1234"/>
          </w:tcPr>
          <w:p>
            <w:r>
              <w:t>0.6173</w:t>
            </w:r>
          </w:p>
        </w:tc>
        <w:tc>
          <w:tcPr>
            <w:tcW w:type="dxa" w:w="1234"/>
          </w:tcPr>
          <w:p>
            <w:r>
              <w:t>0.5760</w:t>
            </w:r>
          </w:p>
        </w:tc>
      </w:tr>
      <w:tr>
        <w:tc>
          <w:tcPr>
            <w:tcW w:type="dxa" w:w="1234"/>
          </w:tcPr>
          <w:p>
            <w:r>
              <w:t>ABC(pure)</w:t>
            </w:r>
          </w:p>
        </w:tc>
        <w:tc>
          <w:tcPr>
            <w:tcW w:type="dxa" w:w="1234"/>
          </w:tcPr>
          <w:p>
            <w:r>
              <w:t>0.6919</w:t>
            </w:r>
          </w:p>
        </w:tc>
        <w:tc>
          <w:tcPr>
            <w:tcW w:type="dxa" w:w="1234"/>
          </w:tcPr>
          <w:p>
            <w:r>
              <w:t>0.7516</w:t>
            </w:r>
          </w:p>
        </w:tc>
        <w:tc>
          <w:tcPr>
            <w:tcW w:type="dxa" w:w="1234"/>
          </w:tcPr>
          <w:p>
            <w:r>
              <w:t>0.6291</w:t>
            </w:r>
          </w:p>
        </w:tc>
        <w:tc>
          <w:tcPr>
            <w:tcW w:type="dxa" w:w="1234"/>
          </w:tcPr>
          <w:p>
            <w:r>
              <w:t>0.6741</w:t>
            </w:r>
          </w:p>
        </w:tc>
        <w:tc>
          <w:tcPr>
            <w:tcW w:type="dxa" w:w="1234"/>
          </w:tcPr>
          <w:p>
            <w:r>
              <w:t>0.7398</w:t>
            </w:r>
          </w:p>
        </w:tc>
        <w:tc>
          <w:tcPr>
            <w:tcW w:type="dxa" w:w="1234"/>
          </w:tcPr>
          <w:p>
            <w:r>
              <w:t>0.6247</w:t>
            </w:r>
          </w:p>
        </w:tc>
      </w:tr>
      <w:tr>
        <w:tc>
          <w:tcPr>
            <w:tcW w:type="dxa" w:w="1234"/>
          </w:tcPr>
          <w:p>
            <w:r>
              <w:t>coembed</w:t>
            </w:r>
          </w:p>
        </w:tc>
        <w:tc>
          <w:tcPr>
            <w:tcW w:type="dxa" w:w="1234"/>
          </w:tcPr>
          <w:p>
            <w:r>
              <w:t>0.5395</w:t>
            </w:r>
          </w:p>
        </w:tc>
        <w:tc>
          <w:tcPr>
            <w:tcW w:type="dxa" w:w="1234"/>
          </w:tcPr>
          <w:p>
            <w:r>
              <w:t>0.5336</w:t>
            </w:r>
          </w:p>
        </w:tc>
        <w:tc>
          <w:tcPr>
            <w:tcW w:type="dxa" w:w="1234"/>
          </w:tcPr>
          <w:p>
            <w:r>
              <w:t>0.5182</w:t>
            </w:r>
          </w:p>
        </w:tc>
        <w:tc>
          <w:tcPr>
            <w:tcW w:type="dxa" w:w="1234"/>
          </w:tcPr>
          <w:p>
            <w:r>
              <w:t>0.5610</w:t>
            </w:r>
          </w:p>
        </w:tc>
        <w:tc>
          <w:tcPr>
            <w:tcW w:type="dxa" w:w="1234"/>
          </w:tcPr>
          <w:p>
            <w:r>
              <w:t>0.5634</w:t>
            </w:r>
          </w:p>
        </w:tc>
        <w:tc>
          <w:tcPr>
            <w:tcW w:type="dxa" w:w="1234"/>
          </w:tcPr>
          <w:p>
            <w:r>
              <w:t>0.5380</w:t>
            </w:r>
          </w:p>
        </w:tc>
      </w:tr>
      <w:tr>
        <w:tc>
          <w:tcPr>
            <w:tcW w:type="dxa" w:w="1234"/>
          </w:tcPr>
          <w:p>
            <w:r>
              <w:t>coembed(RED)</w:t>
            </w:r>
          </w:p>
        </w:tc>
        <w:tc>
          <w:tcPr>
            <w:tcW w:type="dxa" w:w="1234"/>
          </w:tcPr>
          <w:p>
            <w:r>
              <w:t>0.5334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  <w:tc>
          <w:tcPr>
            <w:tcW w:type="dxa" w:w="1234"/>
          </w:tcPr>
          <w:p>
            <w:r>
              <w:t>0.5584</w:t>
            </w:r>
          </w:p>
        </w:tc>
        <w:tc>
          <w:tcPr>
            <w:tcW w:type="dxa" w:w="1234"/>
          </w:tcPr>
          <w:p>
            <w:r>
              <w:t>0.5537</w:t>
            </w:r>
          </w:p>
        </w:tc>
        <w:tc>
          <w:tcPr>
            <w:tcW w:type="dxa" w:w="1234"/>
          </w:tcPr>
          <w:p>
            <w:r>
              <w:t>0.5483</w:t>
            </w:r>
          </w:p>
        </w:tc>
      </w:tr>
      <w:tr>
        <w:tc>
          <w:tcPr>
            <w:tcW w:type="dxa" w:w="1234"/>
          </w:tcPr>
          <w:p>
            <w:r>
              <w:t>embed(RED)</w:t>
            </w:r>
          </w:p>
        </w:tc>
        <w:tc>
          <w:tcPr>
            <w:tcW w:type="dxa" w:w="1234"/>
          </w:tcPr>
          <w:p>
            <w:r>
              <w:t>0.5324</w:t>
            </w:r>
          </w:p>
        </w:tc>
        <w:tc>
          <w:tcPr>
            <w:tcW w:type="dxa" w:w="1234"/>
          </w:tcPr>
          <w:p>
            <w:r>
              <w:t>0.5257</w:t>
            </w:r>
          </w:p>
        </w:tc>
        <w:tc>
          <w:tcPr>
            <w:tcW w:type="dxa" w:w="1234"/>
          </w:tcPr>
          <w:p>
            <w:r>
              <w:t>0.5269</w:t>
            </w:r>
          </w:p>
        </w:tc>
        <w:tc>
          <w:tcPr>
            <w:tcW w:type="dxa" w:w="1234"/>
          </w:tcPr>
          <w:p>
            <w:r>
              <w:t>0.5445</w:t>
            </w:r>
          </w:p>
        </w:tc>
        <w:tc>
          <w:tcPr>
            <w:tcW w:type="dxa" w:w="1234"/>
          </w:tcPr>
          <w:p>
            <w:r>
              <w:t>0.5382</w:t>
            </w:r>
          </w:p>
        </w:tc>
        <w:tc>
          <w:tcPr>
            <w:tcW w:type="dxa" w:w="1234"/>
          </w:tcPr>
          <w:p>
            <w:r>
              <w:t>0.5281</w:t>
            </w:r>
          </w:p>
        </w:tc>
      </w:tr>
      <w:tr>
        <w:tc>
          <w:tcPr>
            <w:tcW w:type="dxa" w:w="1234"/>
          </w:tcPr>
          <w:p>
            <w:r>
              <w:t>embed</w:t>
            </w:r>
          </w:p>
        </w:tc>
        <w:tc>
          <w:tcPr>
            <w:tcW w:type="dxa" w:w="1234"/>
          </w:tcPr>
          <w:p>
            <w:r>
              <w:t>0.5145</w:t>
            </w:r>
          </w:p>
        </w:tc>
        <w:tc>
          <w:tcPr>
            <w:tcW w:type="dxa" w:w="1234"/>
          </w:tcPr>
          <w:p>
            <w:r>
              <w:t>0.5162</w:t>
            </w:r>
          </w:p>
        </w:tc>
        <w:tc>
          <w:tcPr>
            <w:tcW w:type="dxa" w:w="1234"/>
          </w:tcPr>
          <w:p>
            <w:r>
              <w:t>0.5051</w:t>
            </w:r>
          </w:p>
        </w:tc>
        <w:tc>
          <w:tcPr>
            <w:tcW w:type="dxa" w:w="1234"/>
          </w:tcPr>
          <w:p>
            <w:r>
              <w:t>0.5308</w:t>
            </w:r>
          </w:p>
        </w:tc>
        <w:tc>
          <w:tcPr>
            <w:tcW w:type="dxa" w:w="1234"/>
          </w:tcPr>
          <w:p>
            <w:r>
              <w:t>0.5270</w:t>
            </w:r>
          </w:p>
        </w:tc>
        <w:tc>
          <w:tcPr>
            <w:tcW w:type="dxa" w:w="1234"/>
          </w:tcPr>
          <w:p>
            <w:r>
              <w:t>0.5273</w:t>
            </w:r>
          </w:p>
        </w:tc>
      </w:tr>
    </w:tbl>
    <w:p>
      <w:pPr>
        <w:pStyle w:val="Heading2"/>
      </w:pPr>
      <w:r>
        <w:t>2.2 配置对比图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g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1. 各配置 AUC（GB，分组 CV）。</w:t>
      </w:r>
    </w:p>
    <w:p>
      <w:pPr>
        <w:pStyle w:val="Heading2"/>
      </w:pPr>
      <w:r>
        <w:t>2.3 ROC 与 PR 曲线</w:t>
      </w:r>
    </w:p>
    <w:p>
      <w:r>
        <w:drawing>
          <wp:inline xmlns:a="http://schemas.openxmlformats.org/drawingml/2006/main" xmlns:pic="http://schemas.openxmlformats.org/drawingml/2006/picture">
            <wp:extent cx="3474720" cy="3040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3040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2-3. 三个关键配置（ABC / ABC+coembed 原始 / ABC+coembed RED）的 ROC 与 PR 曲线。</w:t>
      </w:r>
    </w:p>
    <w:p>
      <w:pPr>
        <w:pStyle w:val="Heading2"/>
      </w:pPr>
      <w:r>
        <w:t>2.4 混淆矩阵（最佳配置：ABC+coembed 原始 GB）</w:t>
      </w:r>
    </w:p>
    <w:p>
      <w:r>
        <w:drawing>
          <wp:inline xmlns:a="http://schemas.openxmlformats.org/drawingml/2006/main" xmlns:pic="http://schemas.openxmlformats.org/drawingml/2006/picture">
            <wp:extent cx="2926080" cy="2731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显著性检验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对比</w:t>
            </w:r>
          </w:p>
        </w:tc>
        <w:tc>
          <w:tcPr>
            <w:tcW w:type="dxa" w:w="1728"/>
          </w:tcPr>
          <w:p>
            <w:r>
              <w:t>ΔAUC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p (AUC)</w:t>
            </w:r>
          </w:p>
        </w:tc>
        <w:tc>
          <w:tcPr>
            <w:tcW w:type="dxa" w:w="1728"/>
          </w:tcPr>
          <w:p>
            <w:r>
              <w:t>p (Acc)</w:t>
            </w:r>
          </w:p>
        </w:tc>
      </w:tr>
      <w:tr>
        <w:tc>
          <w:tcPr>
            <w:tcW w:type="dxa" w:w="1728"/>
          </w:tcPr>
          <w:p>
            <w:r>
              <w:t>ABC+coembed(raw) vs ABC</w:t>
            </w:r>
          </w:p>
        </w:tc>
        <w:tc>
          <w:tcPr>
            <w:tcW w:type="dxa" w:w="1728"/>
          </w:tcPr>
          <w:p>
            <w:r>
              <w:t>+0.0337</w:t>
            </w:r>
          </w:p>
        </w:tc>
        <w:tc>
          <w:tcPr>
            <w:tcW w:type="dxa" w:w="1728"/>
          </w:tcPr>
          <w:p>
            <w:r>
              <w:t>[+0.0179,+0.0497]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</w:tr>
      <w:tr>
        <w:tc>
          <w:tcPr>
            <w:tcW w:type="dxa" w:w="1728"/>
          </w:tcPr>
          <w:p>
            <w:r>
              <w:t>ABC+coembed(RED) vs ABC</w:t>
            </w:r>
          </w:p>
        </w:tc>
        <w:tc>
          <w:tcPr>
            <w:tcW w:type="dxa" w:w="1728"/>
          </w:tcPr>
          <w:p>
            <w:r>
              <w:t>+0.0248</w:t>
            </w:r>
          </w:p>
        </w:tc>
        <w:tc>
          <w:tcPr>
            <w:tcW w:type="dxa" w:w="1728"/>
          </w:tcPr>
          <w:p>
            <w:r>
              <w:t>[+0.0098,+0.0398]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0.0250</w:t>
            </w:r>
          </w:p>
        </w:tc>
      </w:tr>
      <w:tr>
        <w:tc>
          <w:tcPr>
            <w:tcW w:type="dxa" w:w="1728"/>
          </w:tcPr>
          <w:p>
            <w:r>
              <w:t>coembed(raw) vs coembed(RED)</w:t>
            </w:r>
          </w:p>
        </w:tc>
        <w:tc>
          <w:tcPr>
            <w:tcW w:type="dxa" w:w="1728"/>
          </w:tcPr>
          <w:p>
            <w:r>
              <w:t>+0.0088</w:t>
            </w:r>
          </w:p>
        </w:tc>
        <w:tc>
          <w:tcPr>
            <w:tcW w:type="dxa" w:w="1728"/>
          </w:tcPr>
          <w:p>
            <w:r>
              <w:t>[-0.0055,+0.0238]</w:t>
            </w:r>
          </w:p>
        </w:tc>
        <w:tc>
          <w:tcPr>
            <w:tcW w:type="dxa" w:w="1728"/>
          </w:tcPr>
          <w:p>
            <w:r>
              <w:t>0.1128</w:t>
            </w:r>
          </w:p>
        </w:tc>
        <w:tc>
          <w:tcPr>
            <w:tcW w:type="dxa" w:w="1728"/>
          </w:tcPr>
          <w:p>
            <w:r>
              <w:t>0.1345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gnificance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4. AUC 差异的配对 bootstrap 95% 置信区间森林图（* p&lt;0.05）。</w:t>
      </w:r>
    </w:p>
    <w:p>
      <w:r>
        <w:t>结论：ABC+co-embedding（原始或降维）均显著优于纯 ABC（p&lt;0.001）；原始与降维之间差异不显著（p=0.11），即降维与否对性能无显著影响。</w:t>
      </w:r>
    </w:p>
    <w:p>
      <w:pPr>
        <w:pStyle w:val="Heading2"/>
      </w:pPr>
      <w:r>
        <w:t>2.6 特征重要性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_sh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5-6. 最佳配置（ABC+coembed）的特征重要性 Top20（蓝=ABC 特征，红=coembed 维度）与整体占比（ABC 47.2% / coembedding 52.8%）。</w:t>
      </w:r>
    </w:p>
    <w:p>
      <w:pPr>
        <w:pStyle w:val="Heading1"/>
      </w:pPr>
      <w:r>
        <w:t>3. 关键发现</w:t>
      </w:r>
    </w:p>
    <w:p>
      <w:r>
        <w:t>• 最佳：ABC + co-embedding（GB）AUC=0.725，显著优于 ABC(pure) 0.692（+0.034，p&lt;0.0001）。</w:t>
      </w:r>
    </w:p>
    <w:p>
      <w:r>
        <w:t>• ABC+coembed(RED) 0.716 也显著优于 ABC（+0.025，p&lt;0.001）；与原始版差异不显著。</w:t>
      </w:r>
    </w:p>
    <w:p>
      <w:r>
        <w:t>• 仅 embedding（独立或 co）接近随机（0.53–0.56），必须与 ABC 融合。</w:t>
      </w:r>
    </w:p>
    <w:p>
      <w:r>
        <w:t>• 特征重要性：co-embedding 与 ABC 各占约一半，说明拼接编码确实贡献了互补的序列信息。</w:t>
      </w:r>
    </w:p>
    <w:p>
      <w:r>
        <w:t>• GB 全面优于 RF。</w:t>
      </w:r>
    </w:p>
    <w:p>
      <w:pPr>
        <w:pStyle w:val="Heading1"/>
      </w:pPr>
      <w:r>
        <w:t>4. 结论与下一步</w:t>
      </w:r>
    </w:p>
    <w:p>
      <w:r>
        <w:t>sequence-only 能显著预测顺式 E–P 互作（AUC 0.725，显著优于随机与纯 ABC），co-embedding 是优于独立编码的序列利用方式。下一步：完成全量 18 组数据收集与更多分层分析，出终极报告。</w:t>
      </w:r>
    </w:p>
    <w:p>
      <w:pPr>
        <w:pStyle w:val="Heading1"/>
      </w:pPr>
      <w:r>
        <w:t>5. 局限</w:t>
      </w:r>
    </w:p>
    <w:p>
      <w:r>
        <w:t>(1) "负样本"为无实验证据；(2) 仅顺式；(3) embedding 增量有限，突破需染色质/3D 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