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y Documentación Técnica de Ingeniería de Software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Sistema de Turnos Inteligentes - MVP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Modelo de Datos y Normalización (3FN)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base de datos relacional está estructurada y normalizada rigurosamente hasta la </w:t>
      </w:r>
      <w:r w:rsidDel="00000000" w:rsidR="00000000" w:rsidRPr="00000000">
        <w:rPr>
          <w:b w:val="1"/>
          <w:bCs w:val="1"/>
          <w:rtl w:val="0"/>
        </w:rPr>
        <w:t xml:space="preserve">Tercera Forma Normal (3FN)</w:t>
      </w:r>
      <w:r w:rsidDel="00000000" w:rsidR="00000000" w:rsidRPr="00000000">
        <w:rPr>
          <w:rtl w:val="0"/>
        </w:rPr>
        <w:t xml:space="preserve">, garantizando la eliminación de redundancias de información, dependencias parciales y anomalías transaccionales. Cada atributo no primo depende de manera exclusiva y transitiva de la clave primaria de su respectiva entidad.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Tabla Principal</w:t>
            </w:r>
          </w:p>
        </w:tc>
        <w:tc>
          <w:tcPr>
            <w:shd w:fill="f2f2f2"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Descripción Operativa e Integridad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Usuarios</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 las credenciales y perfiles del personal técnico y administrativo, vinculada con una relación de muchos a uno hacia la entidad Roles (id_rol).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Modulos</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 las terminales físicas de atención. Incorpora una restricción de chequeo estricta (CK_Modulos_Estado) que valida los estados válidos: 'Disponible', 'Ocupado' o 'Fuera de Servicio'.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Prioridades</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las reglas jerárquicas de negocio, almacenando el prefijo identificador único (prefijo_codigo) y el nivel de urgencia indexado (peso_prioridad).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Turnos</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Almacena las solicitudes temporales de los clientes asociados a un trámite. Modifica su estado dinámicamente ('Pendiente', 'Llamado', 'Atendido').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Atenciones</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histórica y de auditoría que vincula un turno con el asesor y módulo en un bloque unificado de tiempos.</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Capa de Programabilidad y Procedimientos Almacenados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capa de persistencia se encuentra completamente delegada en el motor de base de datos a través de procedimientos almacenados estructurados, aislando las sentencias operativas del código C# y mitigando vectores de ataque por inyección SQL.</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sp_Turnos_Crear:</w:t>
      </w:r>
      <w:r w:rsidDel="00000000" w:rsidR="00000000" w:rsidRPr="00000000">
        <w:rPr>
          <w:rtl w:val="0"/>
        </w:rPr>
        <w:t xml:space="preserve"> Valida de forma atómica la existencia de duplicados activos a través de la cédula del cliente en estado 'Pendiente'. Evalúa dinámicamente la longitud del prefijo y calcula el consecutivo exacto concatenado de salida (Ej: E-001).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sp_Sistema_GuardarConfiguracion:</w:t>
      </w:r>
      <w:r w:rsidDel="00000000" w:rsidR="00000000" w:rsidRPr="00000000">
        <w:rPr>
          <w:rtl w:val="0"/>
        </w:rPr>
        <w:t xml:space="preserve"> Centraliza las operaciones transaccionales del CRUD administrativo mediante bifurcaciones de control según el parámetro de entidad enviado.</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sp_Reporte_Trazabilidad:</w:t>
      </w:r>
      <w:r w:rsidDel="00000000" w:rsidR="00000000" w:rsidRPr="00000000">
        <w:rPr>
          <w:rtl w:val="0"/>
        </w:rPr>
        <w:t xml:space="preserve"> Realiza cálculos de agregación temporal mediante funciones matemáticas nativas del servidor (DATEDIFF) para obtener la duración exacta de los servicios en minutos.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Patrones de Diseño GoF e Ingeniería Aplicada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núcleo del software implementa patrones de diseño creacionales y estructurales reconocidos por la industria: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Patrón Singleton:</w:t>
      </w:r>
      <w:r w:rsidDel="00000000" w:rsidR="00000000" w:rsidRPr="00000000">
        <w:rPr>
          <w:rtl w:val="0"/>
        </w:rPr>
        <w:t xml:space="preserve"> Centralizado en la arquitectura mediante el objeto global SessionManager, asegurando que la instancia con la identidad del usuario autenticado persista en una única dirección de memoria compartida durante todo el ciclo de ejecución de la aplicación de escritorio.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Robustez en Conectividad:</w:t>
      </w:r>
      <w:r w:rsidDel="00000000" w:rsidR="00000000" w:rsidRPr="00000000">
        <w:rPr>
          <w:rtl w:val="0"/>
        </w:rPr>
        <w:t xml:space="preserve"> La clase base DatabaseConnection intercepta las excepciones nativas del proveedor (SqlException) y evalúa los flujos numéricos de retorno transaccional. Esto previene fallas de sincronización cuando el procedimiento almacenado utiliza directivas de optimización de red como SET NOCOUNT 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Principios SOLID Soportados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Single Responsibility Principle (SRP):</w:t>
      </w:r>
      <w:r w:rsidDel="00000000" w:rsidR="00000000" w:rsidRPr="00000000">
        <w:rPr>
          <w:rtl w:val="0"/>
        </w:rPr>
        <w:t xml:space="preserve"> Evidenciado en los repositorios independientes (como TurnoRepository), los cuales delegan la renderización visual a los formularios y se concentran únicamente en el empaquetado de parámetros y comandos SQL.</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Inversion Principle (DIP):</w:t>
      </w:r>
      <w:r w:rsidDel="00000000" w:rsidR="00000000" w:rsidRPr="00000000">
        <w:rPr>
          <w:rtl w:val="0"/>
        </w:rPr>
        <w:t xml:space="preserve"> Logrado mediante el uso de abstracciones genéricas (IRepository), logrando que los componentes lógicos consuman interfaces predefinidas en lugar de depender de clases concretas de infraestructura de bases de datos.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