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line="240" w:lineRule="auto"/>
      </w:pPr>
      <w:r>
        <w:rPr>
          <w:rFonts w:ascii="Arial" w:hAnsi="Arial"/>
          <w:b w:val="0"/>
          <w:color w:val="000000"/>
          <w:sz w:val="52"/>
        </w:rPr>
        <w:t>SupplyPoint Operations Automation</w:t>
      </w:r>
    </w:p>
    <w:p>
      <w:pPr>
        <w:keepNext/>
        <w:spacing w:before="0" w:after="160"/>
      </w:pPr>
      <w:r>
        <w:rPr>
          <w:rFonts w:ascii="Arial" w:hAnsi="Arial"/>
          <w:color w:val="555555"/>
          <w:sz w:val="28"/>
        </w:rPr>
        <w:t>Discovery recap, paid diagnostic scope, initial system design &amp; roadmap</w:t>
      </w:r>
    </w:p>
    <w:p>
      <w:pPr>
        <w:keepNext w:val="0"/>
        <w:spacing w:before="0" w:after="280"/>
      </w:pPr>
      <w:r>
        <w:rPr>
          <w:rFonts w:ascii="Arial" w:hAnsi="Arial"/>
          <w:color w:val="555555"/>
          <w:sz w:val="21"/>
        </w:rPr>
        <w:t>Prepared for Brian Haverkos  |  Prepared by John McCleskey  |  August 14, 2026</w:t>
      </w:r>
    </w:p>
    <w:p>
      <w:pPr>
        <w:keepNext/>
        <w:spacing w:before="80" w:after="40"/>
      </w:pPr>
      <w:r>
        <w:rPr>
          <w:rFonts w:ascii="Arial" w:hAnsi="Arial"/>
          <w:b/>
          <w:color w:val="555555"/>
          <w:sz w:val="20"/>
        </w:rPr>
        <w:t>RECOMMENDED NEXT STEP</w:t>
      </w:r>
    </w:p>
    <w:p>
      <w:pPr>
        <w:keepNext/>
        <w:spacing w:after="40"/>
      </w:pPr>
      <w:r>
        <w:rPr>
          <w:rFonts w:ascii="Arial" w:hAnsi="Arial"/>
          <w:b/>
          <w:color w:val="000000"/>
          <w:sz w:val="26"/>
        </w:rPr>
        <w:t>Authorize the $1,500 Paid Discovery &amp; Working Diagnostic</w:t>
      </w:r>
    </w:p>
    <w:p>
      <w:pPr>
        <w:spacing w:after="280"/>
      </w:pPr>
      <w:r>
        <w:rPr>
          <w:rFonts w:ascii="Arial" w:hAnsi="Arial"/>
          <w:color w:val="000000"/>
          <w:sz w:val="22"/>
        </w:rPr>
        <w:t>A 7–10 business day engagement to turn the current purchase-order and packing-slip workflow into a testable, review-first prototype and a decision-ready implementation plan.</w:t>
      </w:r>
    </w:p>
    <w:p>
      <w:pPr>
        <w:pStyle w:val="Heading1"/>
      </w:pPr>
      <w:r>
        <w:t>The opportunity</w:t>
      </w:r>
    </w:p>
    <w:p>
      <w:r>
        <w:rPr>
          <w:rFonts w:ascii="Arial" w:hAnsi="Arial"/>
          <w:i w:val="0"/>
          <w:color w:val="000000"/>
          <w:sz w:val="22"/>
        </w:rPr>
        <w:t>SupplyPoint’s administrative workflow is working—but it depends on repeated manual entry across email, Google Sheets, packing slips, and QuickBooks. The administrative assistant is effective and trusted; the goal is not to replace her. The opportunity is to give her more capacity, reduce missed or incorrect entries, and make the process easier to sustain as the business grows or staffing changes.</w:t>
      </w:r>
    </w:p>
    <w:p>
      <w:r>
        <w:rPr>
          <w:rFonts w:ascii="Arial" w:hAnsi="Arial"/>
          <w:i w:val="0"/>
          <w:color w:val="000000"/>
          <w:sz w:val="22"/>
        </w:rPr>
        <w:t>The most valuable first move is not full autonomy. It is a controlled system that prepares the work, shows its reasoning and source data, flags uncertainty, and keeps a person responsible for approval.</w:t>
      </w:r>
    </w:p>
    <w:p>
      <w:pPr>
        <w:pStyle w:val="Heading1"/>
      </w:pPr>
      <w:r>
        <w:t>What we heard</w:t>
      </w:r>
    </w:p>
    <w:p>
      <w:pPr>
        <w:pStyle w:val="ListBullet"/>
      </w:pPr>
      <w:r>
        <w:rPr>
          <w:rFonts w:ascii="Arial" w:hAnsi="Arial"/>
          <w:b/>
          <w:color w:val="000000"/>
          <w:sz w:val="22"/>
        </w:rPr>
        <w:t>Administrative throughput is the priority.</w:t>
      </w:r>
      <w:r>
        <w:rPr>
          <w:rFonts w:ascii="Arial" w:hAnsi="Arial"/>
          <w:color w:val="000000"/>
          <w:sz w:val="22"/>
        </w:rPr>
        <w:t xml:space="preserve"> Lead generation may matter later, but it is not the first problem to solve.</w:t>
      </w:r>
    </w:p>
    <w:p>
      <w:pPr>
        <w:pStyle w:val="ListBullet"/>
      </w:pPr>
      <w:r>
        <w:rPr>
          <w:rFonts w:ascii="Arial" w:hAnsi="Arial"/>
          <w:b/>
          <w:color w:val="000000"/>
          <w:sz w:val="22"/>
        </w:rPr>
        <w:t>The current process spans</w:t>
      </w:r>
      <w:r>
        <w:rPr>
          <w:rFonts w:ascii="Arial" w:hAnsi="Arial"/>
          <w:color w:val="000000"/>
          <w:sz w:val="22"/>
        </w:rPr>
        <w:t xml:space="preserve"> customer emails or POs, a customer/pricing ledger in Google Sheets, purchase orders and packing slips, and QuickBooks bills and customer invoices.</w:t>
      </w:r>
    </w:p>
    <w:p>
      <w:pPr>
        <w:pStyle w:val="ListBullet"/>
      </w:pPr>
      <w:r>
        <w:rPr>
          <w:rFonts w:ascii="Arial" w:hAnsi="Arial"/>
          <w:b/>
          <w:color w:val="000000"/>
          <w:sz w:val="22"/>
        </w:rPr>
        <w:t>Customer requests are inconsistent.</w:t>
      </w:r>
      <w:r>
        <w:rPr>
          <w:rFonts w:ascii="Arial" w:hAnsi="Arial"/>
          <w:color w:val="000000"/>
          <w:sz w:val="22"/>
        </w:rPr>
        <w:t xml:space="preserve"> The same intent may arrive as a formal PO, informal email, shorthand, or customer-specific terminology; some requests even contain errors that people currently correct from experience.</w:t>
      </w:r>
    </w:p>
    <w:p>
      <w:pPr>
        <w:pStyle w:val="ListBullet"/>
      </w:pPr>
      <w:r>
        <w:rPr>
          <w:rFonts w:ascii="Arial" w:hAnsi="Arial"/>
          <w:b/>
          <w:color w:val="000000"/>
          <w:sz w:val="22"/>
        </w:rPr>
        <w:t>Human approval remains essential.</w:t>
      </w:r>
      <w:r>
        <w:rPr>
          <w:rFonts w:ascii="Arial" w:hAnsi="Arial"/>
          <w:color w:val="000000"/>
          <w:sz w:val="22"/>
        </w:rPr>
        <w:t xml:space="preserve"> Both the administrative assistant and Brian need an efficient way to verify quantities, descriptions, prices, and margin before financial records are finalized.</w:t>
      </w:r>
    </w:p>
    <w:p>
      <w:pPr>
        <w:pStyle w:val="ListBullet"/>
      </w:pPr>
      <w:r>
        <w:rPr>
          <w:rFonts w:ascii="Arial" w:hAnsi="Arial"/>
          <w:b/>
          <w:color w:val="000000"/>
          <w:sz w:val="22"/>
        </w:rPr>
        <w:t>The current data foundation is useful.</w:t>
      </w:r>
      <w:r>
        <w:rPr>
          <w:rFonts w:ascii="Arial" w:hAnsi="Arial"/>
          <w:color w:val="000000"/>
          <w:sz w:val="22"/>
        </w:rPr>
        <w:t xml:space="preserve"> Approximately 125 active customers, customer-specific pricing, supplier relationships, and operating details already live in Google Sheets, with additional records in QuickBooks.</w:t>
      </w:r>
    </w:p>
    <w:p>
      <w:pPr>
        <w:pStyle w:val="ListBullet"/>
      </w:pPr>
      <w:r>
        <w:rPr>
          <w:rFonts w:ascii="Arial" w:hAnsi="Arial"/>
          <w:b/>
          <w:color w:val="000000"/>
          <w:sz w:val="22"/>
        </w:rPr>
        <w:t>Success must be measured</w:t>
      </w:r>
      <w:r>
        <w:rPr>
          <w:rFonts w:ascii="Arial" w:hAnsi="Arial"/>
          <w:color w:val="000000"/>
          <w:sz w:val="22"/>
        </w:rPr>
        <w:t xml:space="preserve"> in time saved and errors prevented—not simply in the number of automated steps.</w:t>
      </w:r>
    </w:p>
    <w:p>
      <w:pPr>
        <w:pStyle w:val="Heading1"/>
      </w:pPr>
      <w:r>
        <w:t>Proposed first investment: $1,500 paid diagnostic</w:t>
      </w:r>
    </w:p>
    <w:p>
      <w:r>
        <w:rPr>
          <w:rFonts w:ascii="Arial" w:hAnsi="Arial"/>
          <w:i w:val="0"/>
          <w:color w:val="000000"/>
          <w:sz w:val="22"/>
        </w:rPr>
        <w:t>This first engagement will convert the discovery conversation into a working, testable representation of the highest-value workflow. It is designed to answer the questions that should be resolved before either side commits to a production build: What can be automated reliably? Where must a person review? What data is missing? How much time can be removed? What should the production MVP actually include?</w:t>
      </w:r>
    </w:p>
    <w:p>
      <w:pPr>
        <w:pStyle w:val="Heading2"/>
      </w:pPr>
      <w:r>
        <w:t>What Brian will receive</w:t>
      </w:r>
    </w:p>
    <w:p>
      <w:pPr>
        <w:pStyle w:val="ListNumber"/>
        <w:numPr>
          <w:ilvl w:val="0"/>
          <w:numId w:val="10"/>
        </w:numPr>
      </w:pPr>
      <w:r>
        <w:rPr>
          <w:rFonts w:ascii="Arial" w:hAnsi="Arial"/>
          <w:b/>
          <w:color w:val="000000"/>
          <w:sz w:val="22"/>
        </w:rPr>
        <w:t>A working prototype</w:t>
      </w:r>
      <w:r>
        <w:rPr>
          <w:rFonts w:ascii="Arial" w:hAnsi="Arial"/>
          <w:color w:val="000000"/>
          <w:sz w:val="22"/>
        </w:rPr>
        <w:t xml:space="preserve"> of the initial purchase-order and packing-slip workflow using representative source data.</w:t>
      </w:r>
    </w:p>
    <w:p>
      <w:pPr>
        <w:pStyle w:val="ListNumber"/>
        <w:numPr>
          <w:ilvl w:val="0"/>
          <w:numId w:val="10"/>
        </w:numPr>
      </w:pPr>
      <w:r>
        <w:rPr>
          <w:rFonts w:ascii="Arial" w:hAnsi="Arial"/>
          <w:b/>
          <w:color w:val="000000"/>
          <w:sz w:val="22"/>
        </w:rPr>
        <w:t>A structured review screen</w:t>
      </w:r>
      <w:r>
        <w:rPr>
          <w:rFonts w:ascii="Arial" w:hAnsi="Arial"/>
          <w:color w:val="000000"/>
          <w:sz w:val="22"/>
        </w:rPr>
        <w:t xml:space="preserve"> that places the original request, customer context, proposed fields, validation results, and exceptions together.</w:t>
      </w:r>
    </w:p>
    <w:p>
      <w:pPr>
        <w:pStyle w:val="ListNumber"/>
        <w:numPr>
          <w:ilvl w:val="0"/>
          <w:numId w:val="10"/>
        </w:numPr>
      </w:pPr>
      <w:r>
        <w:rPr>
          <w:rFonts w:ascii="Arial" w:hAnsi="Arial"/>
          <w:b/>
          <w:color w:val="000000"/>
          <w:sz w:val="22"/>
        </w:rPr>
        <w:t>A workflow and data map</w:t>
      </w:r>
      <w:r>
        <w:rPr>
          <w:rFonts w:ascii="Arial" w:hAnsi="Arial"/>
          <w:color w:val="000000"/>
          <w:sz w:val="22"/>
        </w:rPr>
        <w:t xml:space="preserve"> covering email/PDF intake, Google Sheets, QuickBooks, approvals, and document outputs.</w:t>
      </w:r>
    </w:p>
    <w:p>
      <w:pPr>
        <w:pStyle w:val="ListNumber"/>
        <w:numPr>
          <w:ilvl w:val="0"/>
          <w:numId w:val="10"/>
        </w:numPr>
      </w:pPr>
      <w:r>
        <w:rPr>
          <w:rFonts w:ascii="Arial" w:hAnsi="Arial"/>
          <w:b/>
          <w:color w:val="000000"/>
          <w:sz w:val="22"/>
        </w:rPr>
        <w:t>Customer-specific context rules</w:t>
      </w:r>
      <w:r>
        <w:rPr>
          <w:rFonts w:ascii="Arial" w:hAnsi="Arial"/>
          <w:color w:val="000000"/>
          <w:sz w:val="22"/>
        </w:rPr>
        <w:t xml:space="preserve"> showing how informal terminology, recurring item descriptions, pricing, delivery instructions, and known exceptions can be handled.</w:t>
      </w:r>
    </w:p>
    <w:p>
      <w:pPr>
        <w:pStyle w:val="ListNumber"/>
        <w:numPr>
          <w:ilvl w:val="0"/>
          <w:numId w:val="10"/>
        </w:numPr>
      </w:pPr>
      <w:r>
        <w:rPr>
          <w:rFonts w:ascii="Arial" w:hAnsi="Arial"/>
          <w:b/>
          <w:color w:val="000000"/>
          <w:sz w:val="22"/>
        </w:rPr>
        <w:t>A test report</w:t>
      </w:r>
      <w:r>
        <w:rPr>
          <w:rFonts w:ascii="Arial" w:hAnsi="Arial"/>
          <w:color w:val="000000"/>
          <w:sz w:val="22"/>
        </w:rPr>
        <w:t xml:space="preserve"> identifying which fields can be filled deterministically, which require AI interpretation, and which must be confirmed by a person.</w:t>
      </w:r>
    </w:p>
    <w:p>
      <w:pPr>
        <w:pStyle w:val="ListNumber"/>
        <w:numPr>
          <w:ilvl w:val="0"/>
          <w:numId w:val="10"/>
        </w:numPr>
      </w:pPr>
      <w:r>
        <w:rPr>
          <w:rFonts w:ascii="Arial" w:hAnsi="Arial"/>
          <w:b/>
          <w:color w:val="000000"/>
          <w:sz w:val="22"/>
        </w:rPr>
        <w:t>A production MVP specification</w:t>
      </w:r>
      <w:r>
        <w:rPr>
          <w:rFonts w:ascii="Arial" w:hAnsi="Arial"/>
          <w:color w:val="000000"/>
          <w:sz w:val="22"/>
        </w:rPr>
        <w:t xml:space="preserve"> with acceptance criteria, security boundaries, implementation estimate, and phased roadmap.</w:t>
      </w:r>
    </w:p>
    <w:p>
      <w:pPr>
        <w:pStyle w:val="Heading2"/>
      </w:pPr>
      <w:r>
        <w:t>Scope boundary</w:t>
      </w:r>
    </w:p>
    <w:p>
      <w:r>
        <w:rPr>
          <w:rFonts w:ascii="Arial" w:hAnsi="Arial"/>
          <w:i w:val="0"/>
          <w:color w:val="000000"/>
          <w:sz w:val="22"/>
        </w:rPr>
        <w:t>The diagnostic is a working proof and design engagement—not yet the live production system. It may use sample data, read-only access, a QuickBooks sandbox, or generated draft records. Production deployment, live write access, full authentication, monitoring, and ongoing support belong to the implementation stage after the workflow is validated.</w:t>
      </w:r>
    </w:p>
    <w:p>
      <w:r>
        <w:br w:type="page"/>
      </w:r>
    </w:p>
    <w:p>
      <w:pPr>
        <w:pStyle w:val="Heading1"/>
      </w:pPr>
      <w:r>
        <w:t>Proposed MVP workflow</w:t>
      </w:r>
    </w:p>
    <w:p>
      <w:r>
        <w:rPr>
          <w:rFonts w:ascii="Arial" w:hAnsi="Arial"/>
          <w:i w:val="0"/>
          <w:color w:val="000000"/>
          <w:sz w:val="22"/>
        </w:rPr>
        <w:t>The proposed MVP turns today’s scattered steps into one review-first operating loop. It is intentionally designed to cope with inconsistent customer language without treating uncertain interpretations as facts.</w:t>
      </w:r>
    </w:p>
    <w:tbl>
      <w:tblPr>
        <w:tblStyle w:val="TableGrid"/>
        <w:tblW w:type="dxa" w:w="9360"/>
        <w:tblLayout w:type="fixed"/>
        <w:tblLook w:firstColumn="1" w:firstRow="1" w:lastColumn="0" w:lastRow="0" w:noHBand="0" w:noVBand="1" w:val="04A0"/>
        <w:jc w:val="left"/>
        <w:tblInd w:w="0" w:type="dxa"/>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2400"/>
        <w:gridCol w:w="6960"/>
      </w:tblGrid>
      <w:tr>
        <w:trPr>
          <w:tblHeader w:val="true"/>
        </w:trPr>
        <w:tc>
          <w:tcPr>
            <w:tcW w:type="dxa" w:w="2400"/>
            <w:tcMar>
              <w:top w:w="80" w:type="dxa"/>
              <w:start w:w="120" w:type="dxa"/>
              <w:bottom w:w="80" w:type="dxa"/>
              <w:end w:w="120" w:type="dxa"/>
            </w:tcMar>
            <w:vAlign w:val="center"/>
          </w:tcPr>
          <w:p>
            <w:pPr>
              <w:spacing w:after="0"/>
            </w:pPr>
            <w:r>
              <w:rPr>
                <w:rFonts w:ascii="Arial" w:hAnsi="Arial"/>
                <w:b/>
                <w:color w:val="000000"/>
                <w:sz w:val="21"/>
              </w:rPr>
              <w:t>Component</w:t>
            </w:r>
          </w:p>
        </w:tc>
        <w:tc>
          <w:tcPr>
            <w:tcW w:type="dxa" w:w="6960"/>
            <w:tcMar>
              <w:top w:w="80" w:type="dxa"/>
              <w:start w:w="120" w:type="dxa"/>
              <w:bottom w:w="80" w:type="dxa"/>
              <w:end w:w="120" w:type="dxa"/>
            </w:tcMar>
            <w:vAlign w:val="center"/>
          </w:tcPr>
          <w:p>
            <w:pPr>
              <w:spacing w:after="0"/>
            </w:pPr>
            <w:r>
              <w:rPr>
                <w:rFonts w:ascii="Arial" w:hAnsi="Arial"/>
                <w:b/>
                <w:color w:val="000000"/>
                <w:sz w:val="21"/>
              </w:rPr>
              <w:t>Role in the workflow</w:t>
            </w:r>
          </w:p>
        </w:tc>
      </w:tr>
      <w:tr>
        <w:tc>
          <w:tcPr>
            <w:tcW w:type="dxa" w:w="2400"/>
            <w:tcMar>
              <w:top w:w="80" w:type="dxa"/>
              <w:start w:w="120" w:type="dxa"/>
              <w:bottom w:w="80" w:type="dxa"/>
              <w:end w:w="120" w:type="dxa"/>
            </w:tcMar>
            <w:vAlign w:val="center"/>
          </w:tcPr>
          <w:p>
            <w:pPr>
              <w:spacing w:after="0"/>
            </w:pPr>
            <w:r>
              <w:rPr>
                <w:rFonts w:ascii="Arial" w:hAnsi="Arial"/>
                <w:b/>
                <w:color w:val="000000"/>
                <w:sz w:val="20"/>
              </w:rPr>
              <w:t>1. Source intake</w:t>
            </w:r>
          </w:p>
        </w:tc>
        <w:tc>
          <w:tcPr>
            <w:tcW w:type="dxa" w:w="6960"/>
            <w:tcMar>
              <w:top w:w="80" w:type="dxa"/>
              <w:start w:w="120" w:type="dxa"/>
              <w:bottom w:w="80" w:type="dxa"/>
              <w:end w:w="120" w:type="dxa"/>
            </w:tcMar>
            <w:vAlign w:val="center"/>
          </w:tcPr>
          <w:p>
            <w:pPr>
              <w:spacing w:after="0"/>
            </w:pPr>
            <w:r>
              <w:rPr>
                <w:rFonts w:ascii="Arial" w:hAnsi="Arial"/>
                <w:b w:val="0"/>
                <w:color w:val="000000"/>
                <w:sz w:val="20"/>
              </w:rPr>
              <w:t>Customer request from email or PDF; existing customer, supplier, pricing, and ledger data from Google Sheets; selected QuickBooks reference data.</w:t>
            </w:r>
          </w:p>
        </w:tc>
      </w:tr>
      <w:tr>
        <w:tc>
          <w:tcPr>
            <w:tcW w:type="dxa" w:w="2400"/>
            <w:tcMar>
              <w:top w:w="80" w:type="dxa"/>
              <w:start w:w="120" w:type="dxa"/>
              <w:bottom w:w="80" w:type="dxa"/>
              <w:end w:w="120" w:type="dxa"/>
            </w:tcMar>
            <w:vAlign w:val="center"/>
          </w:tcPr>
          <w:p>
            <w:pPr>
              <w:spacing w:after="0"/>
            </w:pPr>
            <w:r>
              <w:rPr>
                <w:rFonts w:ascii="Arial" w:hAnsi="Arial"/>
                <w:b/>
                <w:color w:val="000000"/>
                <w:sz w:val="20"/>
              </w:rPr>
              <w:t>2. Context layer</w:t>
            </w:r>
          </w:p>
        </w:tc>
        <w:tc>
          <w:tcPr>
            <w:tcW w:type="dxa" w:w="6960"/>
            <w:tcMar>
              <w:top w:w="80" w:type="dxa"/>
              <w:start w:w="120" w:type="dxa"/>
              <w:bottom w:w="80" w:type="dxa"/>
              <w:end w:w="120" w:type="dxa"/>
            </w:tcMar>
            <w:vAlign w:val="center"/>
          </w:tcPr>
          <w:p>
            <w:pPr>
              <w:spacing w:after="0"/>
            </w:pPr>
            <w:r>
              <w:rPr>
                <w:rFonts w:ascii="Arial" w:hAnsi="Arial"/>
                <w:b w:val="0"/>
                <w:color w:val="000000"/>
                <w:sz w:val="20"/>
              </w:rPr>
              <w:t>Customer-specific terminology, pricing rules, delivery instructions, payment terms, tax status, vendor relationships, and known exceptions.</w:t>
            </w:r>
          </w:p>
        </w:tc>
      </w:tr>
      <w:tr>
        <w:tc>
          <w:tcPr>
            <w:tcW w:type="dxa" w:w="2400"/>
            <w:tcMar>
              <w:top w:w="80" w:type="dxa"/>
              <w:start w:w="120" w:type="dxa"/>
              <w:bottom w:w="80" w:type="dxa"/>
              <w:end w:w="120" w:type="dxa"/>
            </w:tcMar>
            <w:vAlign w:val="center"/>
          </w:tcPr>
          <w:p>
            <w:pPr>
              <w:spacing w:after="0"/>
            </w:pPr>
            <w:r>
              <w:rPr>
                <w:rFonts w:ascii="Arial" w:hAnsi="Arial"/>
                <w:b/>
                <w:color w:val="000000"/>
                <w:sz w:val="20"/>
              </w:rPr>
              <w:t>3. Interpretation</w:t>
            </w:r>
          </w:p>
        </w:tc>
        <w:tc>
          <w:tcPr>
            <w:tcW w:type="dxa" w:w="6960"/>
            <w:tcMar>
              <w:top w:w="80" w:type="dxa"/>
              <w:start w:w="120" w:type="dxa"/>
              <w:bottom w:w="80" w:type="dxa"/>
              <w:end w:w="120" w:type="dxa"/>
            </w:tcMar>
            <w:vAlign w:val="center"/>
          </w:tcPr>
          <w:p>
            <w:pPr>
              <w:spacing w:after="0"/>
            </w:pPr>
            <w:r>
              <w:rPr>
                <w:rFonts w:ascii="Arial" w:hAnsi="Arial"/>
                <w:b w:val="0"/>
                <w:color w:val="000000"/>
                <w:sz w:val="20"/>
              </w:rPr>
              <w:t>AI converts the request into a structured draft while preserving the original source for comparison. Ambiguity is flagged—not guessed through silently.</w:t>
            </w:r>
          </w:p>
        </w:tc>
      </w:tr>
      <w:tr>
        <w:tc>
          <w:tcPr>
            <w:tcW w:type="dxa" w:w="2400"/>
            <w:tcMar>
              <w:top w:w="80" w:type="dxa"/>
              <w:start w:w="120" w:type="dxa"/>
              <w:bottom w:w="80" w:type="dxa"/>
              <w:end w:w="120" w:type="dxa"/>
            </w:tcMar>
            <w:vAlign w:val="center"/>
          </w:tcPr>
          <w:p>
            <w:pPr>
              <w:spacing w:after="0"/>
            </w:pPr>
            <w:r>
              <w:rPr>
                <w:rFonts w:ascii="Arial" w:hAnsi="Arial"/>
                <w:b/>
                <w:color w:val="000000"/>
                <w:sz w:val="20"/>
              </w:rPr>
              <w:t>4. Validation</w:t>
            </w:r>
          </w:p>
        </w:tc>
        <w:tc>
          <w:tcPr>
            <w:tcW w:type="dxa" w:w="6960"/>
            <w:tcMar>
              <w:top w:w="80" w:type="dxa"/>
              <w:start w:w="120" w:type="dxa"/>
              <w:bottom w:w="80" w:type="dxa"/>
              <w:end w:w="120" w:type="dxa"/>
            </w:tcMar>
            <w:vAlign w:val="center"/>
          </w:tcPr>
          <w:p>
            <w:pPr>
              <w:spacing w:after="0"/>
            </w:pPr>
            <w:r>
              <w:rPr>
                <w:rFonts w:ascii="Arial" w:hAnsi="Arial"/>
                <w:b w:val="0"/>
                <w:color w:val="000000"/>
                <w:sz w:val="20"/>
              </w:rPr>
              <w:t>Rules check customer/vendor identity, item and quantity, pricing, PO numbering, addresses, and missing or conflicting fields.</w:t>
            </w:r>
          </w:p>
        </w:tc>
      </w:tr>
      <w:tr>
        <w:tc>
          <w:tcPr>
            <w:tcW w:type="dxa" w:w="2400"/>
            <w:tcMar>
              <w:top w:w="80" w:type="dxa"/>
              <w:start w:w="120" w:type="dxa"/>
              <w:bottom w:w="80" w:type="dxa"/>
              <w:end w:w="120" w:type="dxa"/>
            </w:tcMar>
            <w:vAlign w:val="center"/>
          </w:tcPr>
          <w:p>
            <w:pPr>
              <w:spacing w:after="0"/>
            </w:pPr>
            <w:r>
              <w:rPr>
                <w:rFonts w:ascii="Arial" w:hAnsi="Arial"/>
                <w:b/>
                <w:color w:val="000000"/>
                <w:sz w:val="20"/>
              </w:rPr>
              <w:t>5. Review queue</w:t>
            </w:r>
          </w:p>
        </w:tc>
        <w:tc>
          <w:tcPr>
            <w:tcW w:type="dxa" w:w="6960"/>
            <w:tcMar>
              <w:top w:w="80" w:type="dxa"/>
              <w:start w:w="120" w:type="dxa"/>
              <w:bottom w:w="80" w:type="dxa"/>
              <w:end w:w="120" w:type="dxa"/>
            </w:tcMar>
            <w:vAlign w:val="center"/>
          </w:tcPr>
          <w:p>
            <w:pPr>
              <w:spacing w:after="0"/>
            </w:pPr>
            <w:r>
              <w:rPr>
                <w:rFonts w:ascii="Arial" w:hAnsi="Arial"/>
                <w:b w:val="0"/>
                <w:color w:val="000000"/>
                <w:sz w:val="20"/>
              </w:rPr>
              <w:t>The administrative assistant sees the source and proposed output together, corrects exceptions, and approves. Brian retains final approval where required.</w:t>
            </w:r>
          </w:p>
        </w:tc>
      </w:tr>
      <w:tr>
        <w:tc>
          <w:tcPr>
            <w:tcW w:type="dxa" w:w="2400"/>
            <w:tcMar>
              <w:top w:w="80" w:type="dxa"/>
              <w:start w:w="120" w:type="dxa"/>
              <w:bottom w:w="80" w:type="dxa"/>
              <w:end w:w="120" w:type="dxa"/>
            </w:tcMar>
            <w:vAlign w:val="center"/>
          </w:tcPr>
          <w:p>
            <w:pPr>
              <w:spacing w:after="0"/>
            </w:pPr>
            <w:r>
              <w:rPr>
                <w:rFonts w:ascii="Arial" w:hAnsi="Arial"/>
                <w:b/>
                <w:color w:val="000000"/>
                <w:sz w:val="20"/>
              </w:rPr>
              <w:t>6. Outputs</w:t>
            </w:r>
          </w:p>
        </w:tc>
        <w:tc>
          <w:tcPr>
            <w:tcW w:type="dxa" w:w="6960"/>
            <w:tcMar>
              <w:top w:w="80" w:type="dxa"/>
              <w:start w:w="120" w:type="dxa"/>
              <w:bottom w:w="80" w:type="dxa"/>
              <w:end w:w="120" w:type="dxa"/>
            </w:tcMar>
            <w:vAlign w:val="center"/>
          </w:tcPr>
          <w:p>
            <w:pPr>
              <w:spacing w:after="0"/>
            </w:pPr>
            <w:r>
              <w:rPr>
                <w:rFonts w:ascii="Arial" w:hAnsi="Arial"/>
                <w:b w:val="0"/>
                <w:color w:val="000000"/>
                <w:sz w:val="20"/>
              </w:rPr>
              <w:t>Initially: purchase-order and packing-slip drafts. Later: QuickBooks bills and customer invoices, proof-of-delivery matching, and status tracking.</w:t>
            </w:r>
          </w:p>
        </w:tc>
      </w:tr>
      <w:tr>
        <w:tc>
          <w:tcPr>
            <w:tcW w:type="dxa" w:w="2400"/>
            <w:tcMar>
              <w:top w:w="80" w:type="dxa"/>
              <w:start w:w="120" w:type="dxa"/>
              <w:bottom w:w="80" w:type="dxa"/>
              <w:end w:w="120" w:type="dxa"/>
            </w:tcMar>
            <w:vAlign w:val="center"/>
          </w:tcPr>
          <w:p>
            <w:pPr>
              <w:spacing w:after="0"/>
            </w:pPr>
            <w:r>
              <w:rPr>
                <w:rFonts w:ascii="Arial" w:hAnsi="Arial"/>
                <w:b/>
                <w:color w:val="000000"/>
                <w:sz w:val="20"/>
              </w:rPr>
              <w:t>7. Audit trail</w:t>
            </w:r>
          </w:p>
        </w:tc>
        <w:tc>
          <w:tcPr>
            <w:tcW w:type="dxa" w:w="6960"/>
            <w:tcMar>
              <w:top w:w="80" w:type="dxa"/>
              <w:start w:w="120" w:type="dxa"/>
              <w:bottom w:w="80" w:type="dxa"/>
              <w:end w:w="120" w:type="dxa"/>
            </w:tcMar>
            <w:vAlign w:val="center"/>
          </w:tcPr>
          <w:p>
            <w:pPr>
              <w:spacing w:after="0"/>
            </w:pPr>
            <w:r>
              <w:rPr>
                <w:rFonts w:ascii="Arial" w:hAnsi="Arial"/>
                <w:b w:val="0"/>
                <w:color w:val="000000"/>
                <w:sz w:val="20"/>
              </w:rPr>
              <w:t>Every source, transformation, validation result, edit, and approval is logged so errors can be traced and rules improved.</w:t>
            </w:r>
          </w:p>
        </w:tc>
      </w:tr>
    </w:tbl>
    <w:p>
      <w:pPr>
        <w:pStyle w:val="Heading2"/>
      </w:pPr>
      <w:r>
        <w:t>How one order would move through the system</w:t>
      </w:r>
    </w:p>
    <w:p>
      <w:pPr>
        <w:pStyle w:val="ListNumber"/>
        <w:numPr>
          <w:ilvl w:val="0"/>
          <w:numId w:val="11"/>
        </w:numPr>
      </w:pPr>
      <w:r>
        <w:rPr>
          <w:rFonts w:ascii="Arial" w:hAnsi="Arial"/>
          <w:b/>
          <w:color w:val="000000"/>
          <w:sz w:val="22"/>
        </w:rPr>
        <w:t>Capture the request.</w:t>
      </w:r>
      <w:r>
        <w:rPr>
          <w:rFonts w:ascii="Arial" w:hAnsi="Arial"/>
          <w:color w:val="000000"/>
          <w:sz w:val="22"/>
        </w:rPr>
        <w:t xml:space="preserve"> An email or attached PO enters the workflow, and the original source remains attached to the record.</w:t>
      </w:r>
    </w:p>
    <w:p>
      <w:pPr>
        <w:pStyle w:val="ListNumber"/>
        <w:numPr>
          <w:ilvl w:val="0"/>
          <w:numId w:val="11"/>
        </w:numPr>
      </w:pPr>
      <w:r>
        <w:rPr>
          <w:rFonts w:ascii="Arial" w:hAnsi="Arial"/>
          <w:b/>
          <w:color w:val="000000"/>
          <w:sz w:val="22"/>
        </w:rPr>
        <w:t>Identify the context.</w:t>
      </w:r>
      <w:r>
        <w:rPr>
          <w:rFonts w:ascii="Arial" w:hAnsi="Arial"/>
          <w:color w:val="000000"/>
          <w:sz w:val="22"/>
        </w:rPr>
        <w:t xml:space="preserve"> The system matches the customer and supplier, then loads the applicable pricing, terms, addresses, naming conventions, and known exceptions.</w:t>
      </w:r>
    </w:p>
    <w:p>
      <w:pPr>
        <w:pStyle w:val="ListNumber"/>
        <w:numPr>
          <w:ilvl w:val="0"/>
          <w:numId w:val="11"/>
        </w:numPr>
      </w:pPr>
      <w:r>
        <w:rPr>
          <w:rFonts w:ascii="Arial" w:hAnsi="Arial"/>
          <w:b/>
          <w:color w:val="000000"/>
          <w:sz w:val="22"/>
        </w:rPr>
        <w:t>Prepare drafts.</w:t>
      </w:r>
      <w:r>
        <w:rPr>
          <w:rFonts w:ascii="Arial" w:hAnsi="Arial"/>
          <w:color w:val="000000"/>
          <w:sz w:val="22"/>
        </w:rPr>
        <w:t xml:space="preserve"> The system proposes structured order fields and generates the purchase-order and packing-slip drafts.</w:t>
      </w:r>
    </w:p>
    <w:p>
      <w:pPr>
        <w:pStyle w:val="ListNumber"/>
        <w:numPr>
          <w:ilvl w:val="0"/>
          <w:numId w:val="11"/>
        </w:numPr>
      </w:pPr>
      <w:r>
        <w:rPr>
          <w:rFonts w:ascii="Arial" w:hAnsi="Arial"/>
          <w:b/>
          <w:color w:val="000000"/>
          <w:sz w:val="22"/>
        </w:rPr>
        <w:t>Validate and flag.</w:t>
      </w:r>
      <w:r>
        <w:rPr>
          <w:rFonts w:ascii="Arial" w:hAnsi="Arial"/>
          <w:color w:val="000000"/>
          <w:sz w:val="22"/>
        </w:rPr>
        <w:t xml:space="preserve"> Deterministic checks compare source, quantity, item, price, margin, PO logic, and required fields. Any mismatch or low-confidence interpretation is highlighted.</w:t>
      </w:r>
    </w:p>
    <w:p>
      <w:pPr>
        <w:pStyle w:val="ListNumber"/>
        <w:numPr>
          <w:ilvl w:val="0"/>
          <w:numId w:val="11"/>
        </w:numPr>
      </w:pPr>
      <w:r>
        <w:rPr>
          <w:rFonts w:ascii="Arial" w:hAnsi="Arial"/>
          <w:b/>
          <w:color w:val="000000"/>
          <w:sz w:val="22"/>
        </w:rPr>
        <w:t>Review and approve.</w:t>
      </w:r>
      <w:r>
        <w:rPr>
          <w:rFonts w:ascii="Arial" w:hAnsi="Arial"/>
          <w:color w:val="000000"/>
          <w:sz w:val="22"/>
        </w:rPr>
        <w:t xml:space="preserve"> The administrative assistant corrects or approves the draft; Brian retains the final approval step that matters to him.</w:t>
      </w:r>
    </w:p>
    <w:p>
      <w:pPr>
        <w:pStyle w:val="ListNumber"/>
        <w:numPr>
          <w:ilvl w:val="0"/>
          <w:numId w:val="11"/>
        </w:numPr>
      </w:pPr>
      <w:r>
        <w:rPr>
          <w:rFonts w:ascii="Arial" w:hAnsi="Arial"/>
          <w:b/>
          <w:color w:val="000000"/>
          <w:sz w:val="22"/>
        </w:rPr>
        <w:t>Create and record.</w:t>
      </w:r>
      <w:r>
        <w:rPr>
          <w:rFonts w:ascii="Arial" w:hAnsi="Arial"/>
          <w:color w:val="000000"/>
          <w:sz w:val="22"/>
        </w:rPr>
        <w:t xml:space="preserve"> Once approved in a production version, the system creates the permitted QuickBooks records, generates the documents, and records the outcome in the ledger and audit history.</w:t>
      </w:r>
    </w:p>
    <w:p>
      <w:pPr>
        <w:pStyle w:val="Heading1"/>
      </w:pPr>
      <w:r>
        <w:t>Guardrails from day one</w:t>
      </w:r>
    </w:p>
    <w:p>
      <w:pPr>
        <w:pStyle w:val="ListBullet"/>
      </w:pPr>
      <w:r>
        <w:rPr>
          <w:rFonts w:ascii="Arial" w:hAnsi="Arial"/>
          <w:b/>
          <w:color w:val="000000"/>
          <w:sz w:val="22"/>
        </w:rPr>
        <w:t>Review-first operation:</w:t>
      </w:r>
      <w:r>
        <w:rPr>
          <w:rFonts w:ascii="Arial" w:hAnsi="Arial"/>
          <w:color w:val="000000"/>
          <w:sz w:val="22"/>
        </w:rPr>
        <w:t xml:space="preserve"> no autonomous financial posting in the initial trust-building stage.</w:t>
      </w:r>
    </w:p>
    <w:p>
      <w:pPr>
        <w:pStyle w:val="ListBullet"/>
      </w:pPr>
      <w:r>
        <w:rPr>
          <w:rFonts w:ascii="Arial" w:hAnsi="Arial"/>
          <w:b/>
          <w:color w:val="000000"/>
          <w:sz w:val="22"/>
        </w:rPr>
        <w:t>Least-privilege access:</w:t>
      </w:r>
      <w:r>
        <w:rPr>
          <w:rFonts w:ascii="Arial" w:hAnsi="Arial"/>
          <w:color w:val="000000"/>
          <w:sz w:val="22"/>
        </w:rPr>
        <w:t xml:space="preserve"> QuickBooks permissions limited to the specific read/write actions required; no general administrative access.</w:t>
      </w:r>
    </w:p>
    <w:p>
      <w:pPr>
        <w:pStyle w:val="ListBullet"/>
      </w:pPr>
      <w:r>
        <w:rPr>
          <w:rFonts w:ascii="Arial" w:hAnsi="Arial"/>
          <w:b/>
          <w:color w:val="000000"/>
          <w:sz w:val="22"/>
        </w:rPr>
        <w:t>Source visibility:</w:t>
      </w:r>
      <w:r>
        <w:rPr>
          <w:rFonts w:ascii="Arial" w:hAnsi="Arial"/>
          <w:color w:val="000000"/>
          <w:sz w:val="22"/>
        </w:rPr>
        <w:t xml:space="preserve"> every proposed field can be traced back to the order request, spreadsheet record, or QuickBooks reference.</w:t>
      </w:r>
    </w:p>
    <w:p>
      <w:pPr>
        <w:pStyle w:val="ListBullet"/>
      </w:pPr>
      <w:r>
        <w:rPr>
          <w:rFonts w:ascii="Arial" w:hAnsi="Arial"/>
          <w:b/>
          <w:color w:val="000000"/>
          <w:sz w:val="22"/>
        </w:rPr>
        <w:t>Confidence and exception handling:</w:t>
      </w:r>
      <w:r>
        <w:rPr>
          <w:rFonts w:ascii="Arial" w:hAnsi="Arial"/>
          <w:color w:val="000000"/>
          <w:sz w:val="22"/>
        </w:rPr>
        <w:t xml:space="preserve"> uncertain language, missing data, and conflicts are routed to a person instead of silently resolved.</w:t>
      </w:r>
    </w:p>
    <w:p>
      <w:pPr>
        <w:pStyle w:val="ListBullet"/>
      </w:pPr>
      <w:r>
        <w:rPr>
          <w:rFonts w:ascii="Arial" w:hAnsi="Arial"/>
          <w:b/>
          <w:color w:val="000000"/>
          <w:sz w:val="22"/>
        </w:rPr>
        <w:t>Separate account boundaries:</w:t>
      </w:r>
      <w:r>
        <w:rPr>
          <w:rFonts w:ascii="Arial" w:hAnsi="Arial"/>
          <w:color w:val="000000"/>
          <w:sz w:val="22"/>
        </w:rPr>
        <w:t xml:space="preserve"> if the Indianapolis franchisee participates later, each business keeps separate credentials, storage, and records while reusing the workflow pattern.</w:t>
      </w:r>
    </w:p>
    <w:p>
      <w:pPr>
        <w:pStyle w:val="ListBullet"/>
      </w:pPr>
      <w:r>
        <w:rPr>
          <w:rFonts w:ascii="Arial" w:hAnsi="Arial"/>
          <w:b/>
          <w:color w:val="000000"/>
          <w:sz w:val="22"/>
        </w:rPr>
        <w:t>Reversible rollout:</w:t>
      </w:r>
      <w:r>
        <w:rPr>
          <w:rFonts w:ascii="Arial" w:hAnsi="Arial"/>
          <w:color w:val="000000"/>
          <w:sz w:val="22"/>
        </w:rPr>
        <w:t xml:space="preserve"> the current Google Sheets ledger can remain in place and be updated during the transition rather than replaced abruptly.</w:t>
      </w:r>
    </w:p>
    <w:p>
      <w:pPr>
        <w:pStyle w:val="Heading1"/>
      </w:pPr>
      <w:r>
        <w:t>Inputs needed to begin</w:t>
      </w:r>
    </w:p>
    <w:p>
      <w:r>
        <w:rPr>
          <w:rFonts w:ascii="Arial" w:hAnsi="Arial"/>
          <w:i w:val="0"/>
          <w:color w:val="000000"/>
          <w:sz w:val="22"/>
        </w:rPr>
        <w:t>Brian can provide these through the secure upload link:</w:t>
      </w:r>
    </w:p>
    <w:p>
      <w:pPr>
        <w:pStyle w:val="ListBullet"/>
      </w:pPr>
      <w:r>
        <w:rPr>
          <w:rFonts w:ascii="Arial" w:hAnsi="Arial"/>
          <w:color w:val="000000"/>
          <w:sz w:val="22"/>
        </w:rPr>
        <w:t>The recorded franchisee walkthrough video referenced during the call.</w:t>
      </w:r>
    </w:p>
    <w:p>
      <w:pPr>
        <w:pStyle w:val="ListBullet"/>
      </w:pPr>
      <w:r>
        <w:rPr>
          <w:rFonts w:ascii="Arial" w:hAnsi="Arial"/>
          <w:color w:val="000000"/>
          <w:sz w:val="22"/>
        </w:rPr>
        <w:t>The relevant customer, supplier, pricing, and ledger Google Sheets—or a representative export.</w:t>
      </w:r>
    </w:p>
    <w:p>
      <w:pPr>
        <w:pStyle w:val="ListBullet"/>
      </w:pPr>
      <w:r>
        <w:rPr>
          <w:rFonts w:ascii="Arial" w:hAnsi="Arial"/>
          <w:color w:val="000000"/>
          <w:sz w:val="22"/>
        </w:rPr>
        <w:t>Five to ten varied order examples, including informal requests, formal POs, customer-specific shorthand, and at least one known error or edge case.</w:t>
      </w:r>
    </w:p>
    <w:p>
      <w:pPr>
        <w:pStyle w:val="ListBullet"/>
      </w:pPr>
      <w:r>
        <w:rPr>
          <w:rFonts w:ascii="Arial" w:hAnsi="Arial"/>
          <w:color w:val="000000"/>
          <w:sz w:val="22"/>
        </w:rPr>
        <w:t>Current purchase-order and packing-slip templates, plus the expected field definitions.</w:t>
      </w:r>
    </w:p>
    <w:p>
      <w:pPr>
        <w:pStyle w:val="ListBullet"/>
      </w:pPr>
      <w:r>
        <w:rPr>
          <w:rFonts w:ascii="Arial" w:hAnsi="Arial"/>
          <w:color w:val="000000"/>
          <w:sz w:val="22"/>
        </w:rPr>
        <w:t>Representative QuickBooks screenshots or sandbox/read-only access sufficient to map the target records.</w:t>
      </w:r>
    </w:p>
    <w:p>
      <w:pPr>
        <w:pStyle w:val="ListBullet"/>
      </w:pPr>
      <w:r>
        <w:rPr>
          <w:rFonts w:ascii="Arial" w:hAnsi="Arial"/>
          <w:color w:val="000000"/>
          <w:sz w:val="22"/>
        </w:rPr>
        <w:t>A short review session with Brian and, if useful, the administrative assistant to verify the current workflow and approval logic.</w:t>
      </w:r>
    </w:p>
    <w:p>
      <w:pPr>
        <w:pStyle w:val="Heading1"/>
      </w:pPr>
      <w:r>
        <w:t>Diagnostic success criteria</w:t>
      </w:r>
    </w:p>
    <w:p>
      <w:r>
        <w:rPr>
          <w:rFonts w:ascii="Arial" w:hAnsi="Arial"/>
          <w:i w:val="0"/>
          <w:color w:val="000000"/>
          <w:sz w:val="22"/>
        </w:rPr>
        <w:t>The diagnostic will be considered successful when it gives Brian enough evidence to make a confident production decision. Specifically:</w:t>
      </w:r>
    </w:p>
    <w:p>
      <w:pPr>
        <w:pStyle w:val="ListBullet"/>
      </w:pPr>
      <w:r>
        <w:rPr>
          <w:rFonts w:ascii="Arial" w:hAnsi="Arial"/>
          <w:color w:val="000000"/>
          <w:sz w:val="22"/>
        </w:rPr>
        <w:t>The prototype processes representative order types and produces usable purchase-order and packing-slip drafts.</w:t>
      </w:r>
    </w:p>
    <w:p>
      <w:pPr>
        <w:pStyle w:val="ListBullet"/>
      </w:pPr>
      <w:r>
        <w:rPr>
          <w:rFonts w:ascii="Arial" w:hAnsi="Arial"/>
          <w:color w:val="000000"/>
          <w:sz w:val="22"/>
        </w:rPr>
        <w:t>The system distinguishes reliable fields from ambiguous ones and clearly requests human input where needed.</w:t>
      </w:r>
    </w:p>
    <w:p>
      <w:pPr>
        <w:pStyle w:val="ListBullet"/>
      </w:pPr>
      <w:r>
        <w:rPr>
          <w:rFonts w:ascii="Arial" w:hAnsi="Arial"/>
          <w:color w:val="000000"/>
          <w:sz w:val="22"/>
        </w:rPr>
        <w:t>A reviewer can compare source and output faster than performing the full current entry process.</w:t>
      </w:r>
    </w:p>
    <w:p>
      <w:pPr>
        <w:pStyle w:val="ListBullet"/>
      </w:pPr>
      <w:r>
        <w:rPr>
          <w:rFonts w:ascii="Arial" w:hAnsi="Arial"/>
          <w:color w:val="000000"/>
          <w:sz w:val="22"/>
        </w:rPr>
        <w:t>Known pricing, quantity, customer, and PO-number errors are detected or explicitly surfaced during testing.</w:t>
      </w:r>
    </w:p>
    <w:p>
      <w:pPr>
        <w:pStyle w:val="ListBullet"/>
      </w:pPr>
      <w:r>
        <w:rPr>
          <w:rFonts w:ascii="Arial" w:hAnsi="Arial"/>
          <w:color w:val="000000"/>
          <w:sz w:val="22"/>
        </w:rPr>
        <w:t>The implementation scope, expected value, security model, and remaining unknowns are concrete enough to price and approve the next stage.</w:t>
      </w:r>
    </w:p>
    <w:p>
      <w:pPr>
        <w:pStyle w:val="Heading1"/>
      </w:pPr>
      <w:r>
        <w:t>Roadmap and commercial path</w:t>
      </w:r>
    </w:p>
    <w:tbl>
      <w:tblPr>
        <w:tblStyle w:val="TableGrid"/>
        <w:tblW w:type="dxa" w:w="9360"/>
        <w:tblLayout w:type="fixed"/>
        <w:tblLook w:firstColumn="1" w:firstRow="1" w:lastColumn="0" w:lastRow="0" w:noHBand="0" w:noVBand="1" w:val="04A0"/>
        <w:jc w:val="left"/>
        <w:tblInd w:w="0" w:type="dxa"/>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650"/>
        <w:gridCol w:w="2250"/>
        <w:gridCol w:w="1450"/>
        <w:gridCol w:w="1650"/>
        <w:gridCol w:w="3360"/>
      </w:tblGrid>
      <w:tr>
        <w:trPr>
          <w:tblHeader w:val="true"/>
        </w:trPr>
        <w:tc>
          <w:tcPr>
            <w:tcW w:type="dxa" w:w="650"/>
            <w:tcMar>
              <w:top w:w="80" w:type="dxa"/>
              <w:start w:w="120" w:type="dxa"/>
              <w:bottom w:w="80" w:type="dxa"/>
              <w:end w:w="120" w:type="dxa"/>
            </w:tcMar>
            <w:vAlign w:val="center"/>
          </w:tcPr>
          <w:p>
            <w:pPr>
              <w:spacing w:after="0"/>
            </w:pPr>
            <w:r>
              <w:rPr>
                <w:rFonts w:ascii="Arial" w:hAnsi="Arial"/>
                <w:b/>
                <w:color w:val="000000"/>
                <w:sz w:val="19"/>
              </w:rPr>
              <w:t>Stage</w:t>
            </w:r>
          </w:p>
        </w:tc>
        <w:tc>
          <w:tcPr>
            <w:tcW w:type="dxa" w:w="2250"/>
            <w:tcMar>
              <w:top w:w="80" w:type="dxa"/>
              <w:start w:w="120" w:type="dxa"/>
              <w:bottom w:w="80" w:type="dxa"/>
              <w:end w:w="120" w:type="dxa"/>
            </w:tcMar>
            <w:vAlign w:val="center"/>
          </w:tcPr>
          <w:p>
            <w:pPr>
              <w:spacing w:after="0"/>
            </w:pPr>
            <w:r>
              <w:rPr>
                <w:rFonts w:ascii="Arial" w:hAnsi="Arial"/>
                <w:b/>
                <w:color w:val="000000"/>
                <w:sz w:val="19"/>
              </w:rPr>
              <w:t>Purpose</w:t>
            </w:r>
          </w:p>
        </w:tc>
        <w:tc>
          <w:tcPr>
            <w:tcW w:type="dxa" w:w="1450"/>
            <w:tcMar>
              <w:top w:w="80" w:type="dxa"/>
              <w:start w:w="120" w:type="dxa"/>
              <w:bottom w:w="80" w:type="dxa"/>
              <w:end w:w="120" w:type="dxa"/>
            </w:tcMar>
            <w:vAlign w:val="center"/>
          </w:tcPr>
          <w:p>
            <w:pPr>
              <w:spacing w:after="0"/>
            </w:pPr>
            <w:r>
              <w:rPr>
                <w:rFonts w:ascii="Arial" w:hAnsi="Arial"/>
                <w:b/>
                <w:color w:val="000000"/>
                <w:sz w:val="19"/>
              </w:rPr>
              <w:t>Investment</w:t>
            </w:r>
          </w:p>
        </w:tc>
        <w:tc>
          <w:tcPr>
            <w:tcW w:type="dxa" w:w="1650"/>
            <w:tcMar>
              <w:top w:w="80" w:type="dxa"/>
              <w:start w:w="120" w:type="dxa"/>
              <w:bottom w:w="80" w:type="dxa"/>
              <w:end w:w="120" w:type="dxa"/>
            </w:tcMar>
            <w:vAlign w:val="center"/>
          </w:tcPr>
          <w:p>
            <w:pPr>
              <w:spacing w:after="0"/>
            </w:pPr>
            <w:r>
              <w:rPr>
                <w:rFonts w:ascii="Arial" w:hAnsi="Arial"/>
                <w:b/>
                <w:color w:val="000000"/>
                <w:sz w:val="19"/>
              </w:rPr>
              <w:t>Timing</w:t>
            </w:r>
          </w:p>
        </w:tc>
        <w:tc>
          <w:tcPr>
            <w:tcW w:type="dxa" w:w="3360"/>
            <w:tcMar>
              <w:top w:w="80" w:type="dxa"/>
              <w:start w:w="120" w:type="dxa"/>
              <w:bottom w:w="80" w:type="dxa"/>
              <w:end w:w="120" w:type="dxa"/>
            </w:tcMar>
            <w:vAlign w:val="center"/>
          </w:tcPr>
          <w:p>
            <w:pPr>
              <w:spacing w:after="0"/>
            </w:pPr>
            <w:r>
              <w:rPr>
                <w:rFonts w:ascii="Arial" w:hAnsi="Arial"/>
                <w:b/>
                <w:color w:val="000000"/>
                <w:sz w:val="19"/>
              </w:rPr>
              <w:t>Decision unlocked</w:t>
            </w:r>
          </w:p>
        </w:tc>
      </w:tr>
      <w:tr>
        <w:tc>
          <w:tcPr>
            <w:tcW w:type="dxa" w:w="650"/>
            <w:tcMar>
              <w:top w:w="80" w:type="dxa"/>
              <w:start w:w="120" w:type="dxa"/>
              <w:bottom w:w="80" w:type="dxa"/>
              <w:end w:w="120" w:type="dxa"/>
            </w:tcMar>
            <w:vAlign w:val="center"/>
          </w:tcPr>
          <w:p>
            <w:pPr>
              <w:spacing w:after="0"/>
              <w:jc w:val="center"/>
            </w:pPr>
            <w:r>
              <w:rPr>
                <w:rFonts w:ascii="Arial" w:hAnsi="Arial"/>
                <w:b/>
                <w:color w:val="000000"/>
                <w:sz w:val="18"/>
              </w:rPr>
              <w:t>1</w:t>
            </w:r>
          </w:p>
        </w:tc>
        <w:tc>
          <w:tcPr>
            <w:tcW w:type="dxa" w:w="2250"/>
            <w:tcMar>
              <w:top w:w="80" w:type="dxa"/>
              <w:start w:w="120" w:type="dxa"/>
              <w:bottom w:w="80" w:type="dxa"/>
              <w:end w:w="120" w:type="dxa"/>
            </w:tcMar>
            <w:vAlign w:val="center"/>
          </w:tcPr>
          <w:p>
            <w:pPr>
              <w:spacing w:after="0"/>
            </w:pPr>
            <w:r>
              <w:rPr>
                <w:rFonts w:ascii="Arial" w:hAnsi="Arial"/>
                <w:b w:val="0"/>
                <w:color w:val="000000"/>
                <w:sz w:val="18"/>
              </w:rPr>
              <w:t>Paid discovery &amp; working diagnostic</w:t>
            </w:r>
          </w:p>
        </w:tc>
        <w:tc>
          <w:tcPr>
            <w:tcW w:type="dxa" w:w="1450"/>
            <w:tcMar>
              <w:top w:w="80" w:type="dxa"/>
              <w:start w:w="120" w:type="dxa"/>
              <w:bottom w:w="80" w:type="dxa"/>
              <w:end w:w="120" w:type="dxa"/>
            </w:tcMar>
            <w:vAlign w:val="center"/>
          </w:tcPr>
          <w:p>
            <w:pPr>
              <w:spacing w:after="0"/>
              <w:jc w:val="center"/>
            </w:pPr>
            <w:r>
              <w:rPr>
                <w:rFonts w:ascii="Arial" w:hAnsi="Arial"/>
                <w:b w:val="0"/>
                <w:color w:val="000000"/>
                <w:sz w:val="18"/>
              </w:rPr>
              <w:t>$1,500</w:t>
            </w:r>
          </w:p>
        </w:tc>
        <w:tc>
          <w:tcPr>
            <w:tcW w:type="dxa" w:w="1650"/>
            <w:tcMar>
              <w:top w:w="80" w:type="dxa"/>
              <w:start w:w="120" w:type="dxa"/>
              <w:bottom w:w="80" w:type="dxa"/>
              <w:end w:w="120" w:type="dxa"/>
            </w:tcMar>
            <w:vAlign w:val="center"/>
          </w:tcPr>
          <w:p>
            <w:pPr>
              <w:spacing w:after="0"/>
              <w:jc w:val="center"/>
            </w:pPr>
            <w:r>
              <w:rPr>
                <w:rFonts w:ascii="Arial" w:hAnsi="Arial"/>
                <w:b w:val="0"/>
                <w:color w:val="000000"/>
                <w:sz w:val="18"/>
              </w:rPr>
              <w:t>7–10 business days</w:t>
            </w:r>
          </w:p>
        </w:tc>
        <w:tc>
          <w:tcPr>
            <w:tcW w:type="dxa" w:w="3360"/>
            <w:tcMar>
              <w:top w:w="80" w:type="dxa"/>
              <w:start w:w="120" w:type="dxa"/>
              <w:bottom w:w="80" w:type="dxa"/>
              <w:end w:w="120" w:type="dxa"/>
            </w:tcMar>
            <w:vAlign w:val="center"/>
          </w:tcPr>
          <w:p>
            <w:pPr>
              <w:spacing w:after="0"/>
            </w:pPr>
            <w:r>
              <w:rPr>
                <w:rFonts w:ascii="Arial" w:hAnsi="Arial"/>
                <w:b w:val="0"/>
                <w:color w:val="000000"/>
                <w:sz w:val="18"/>
              </w:rPr>
              <w:t>Testable prototype, validated workflow, acceptance criteria, and firm implementation scope.</w:t>
            </w:r>
          </w:p>
        </w:tc>
      </w:tr>
      <w:tr>
        <w:tc>
          <w:tcPr>
            <w:tcW w:type="dxa" w:w="650"/>
            <w:tcMar>
              <w:top w:w="80" w:type="dxa"/>
              <w:start w:w="120" w:type="dxa"/>
              <w:bottom w:w="80" w:type="dxa"/>
              <w:end w:w="120" w:type="dxa"/>
            </w:tcMar>
            <w:vAlign w:val="center"/>
          </w:tcPr>
          <w:p>
            <w:pPr>
              <w:spacing w:after="0"/>
              <w:jc w:val="center"/>
            </w:pPr>
            <w:r>
              <w:rPr>
                <w:rFonts w:ascii="Arial" w:hAnsi="Arial"/>
                <w:b/>
                <w:color w:val="000000"/>
                <w:sz w:val="18"/>
              </w:rPr>
              <w:t>2</w:t>
            </w:r>
          </w:p>
        </w:tc>
        <w:tc>
          <w:tcPr>
            <w:tcW w:type="dxa" w:w="2250"/>
            <w:tcMar>
              <w:top w:w="80" w:type="dxa"/>
              <w:start w:w="120" w:type="dxa"/>
              <w:bottom w:w="80" w:type="dxa"/>
              <w:end w:w="120" w:type="dxa"/>
            </w:tcMar>
            <w:vAlign w:val="center"/>
          </w:tcPr>
          <w:p>
            <w:pPr>
              <w:spacing w:after="0"/>
            </w:pPr>
            <w:r>
              <w:rPr>
                <w:rFonts w:ascii="Arial" w:hAnsi="Arial"/>
                <w:b w:val="0"/>
                <w:color w:val="000000"/>
                <w:sz w:val="18"/>
              </w:rPr>
              <w:t>Narrow production MVP</w:t>
            </w:r>
          </w:p>
        </w:tc>
        <w:tc>
          <w:tcPr>
            <w:tcW w:type="dxa" w:w="1450"/>
            <w:tcMar>
              <w:top w:w="80" w:type="dxa"/>
              <w:start w:w="120" w:type="dxa"/>
              <w:bottom w:w="80" w:type="dxa"/>
              <w:end w:w="120" w:type="dxa"/>
            </w:tcMar>
            <w:vAlign w:val="center"/>
          </w:tcPr>
          <w:p>
            <w:pPr>
              <w:spacing w:after="0"/>
              <w:jc w:val="center"/>
            </w:pPr>
            <w:r>
              <w:rPr>
                <w:rFonts w:ascii="Arial" w:hAnsi="Arial"/>
                <w:b w:val="0"/>
                <w:color w:val="000000"/>
                <w:sz w:val="18"/>
              </w:rPr>
              <w:t>$4,000–$7,500</w:t>
            </w:r>
          </w:p>
        </w:tc>
        <w:tc>
          <w:tcPr>
            <w:tcW w:type="dxa" w:w="1650"/>
            <w:tcMar>
              <w:top w:w="80" w:type="dxa"/>
              <w:start w:w="120" w:type="dxa"/>
              <w:bottom w:w="80" w:type="dxa"/>
              <w:end w:w="120" w:type="dxa"/>
            </w:tcMar>
            <w:vAlign w:val="center"/>
          </w:tcPr>
          <w:p>
            <w:pPr>
              <w:spacing w:after="0"/>
              <w:jc w:val="center"/>
            </w:pPr>
            <w:r>
              <w:rPr>
                <w:rFonts w:ascii="Arial" w:hAnsi="Arial"/>
                <w:b w:val="0"/>
                <w:color w:val="000000"/>
                <w:sz w:val="18"/>
              </w:rPr>
              <w:t>Set after diagnostic</w:t>
            </w:r>
          </w:p>
        </w:tc>
        <w:tc>
          <w:tcPr>
            <w:tcW w:type="dxa" w:w="3360"/>
            <w:tcMar>
              <w:top w:w="80" w:type="dxa"/>
              <w:start w:w="120" w:type="dxa"/>
              <w:bottom w:w="80" w:type="dxa"/>
              <w:end w:w="120" w:type="dxa"/>
            </w:tcMar>
            <w:vAlign w:val="center"/>
          </w:tcPr>
          <w:p>
            <w:pPr>
              <w:spacing w:after="0"/>
            </w:pPr>
            <w:r>
              <w:rPr>
                <w:rFonts w:ascii="Arial" w:hAnsi="Arial"/>
                <w:b w:val="0"/>
                <w:color w:val="000000"/>
                <w:sz w:val="18"/>
              </w:rPr>
              <w:t>Cloud-hosted review workflow with live integrations selected from the diagnostic.</w:t>
            </w:r>
          </w:p>
        </w:tc>
      </w:tr>
      <w:tr>
        <w:tc>
          <w:tcPr>
            <w:tcW w:type="dxa" w:w="650"/>
            <w:tcMar>
              <w:top w:w="80" w:type="dxa"/>
              <w:start w:w="120" w:type="dxa"/>
              <w:bottom w:w="80" w:type="dxa"/>
              <w:end w:w="120" w:type="dxa"/>
            </w:tcMar>
            <w:vAlign w:val="center"/>
          </w:tcPr>
          <w:p>
            <w:pPr>
              <w:spacing w:after="0"/>
              <w:jc w:val="center"/>
            </w:pPr>
            <w:r>
              <w:rPr>
                <w:rFonts w:ascii="Arial" w:hAnsi="Arial"/>
                <w:b/>
                <w:color w:val="000000"/>
                <w:sz w:val="18"/>
              </w:rPr>
              <w:t>3</w:t>
            </w:r>
          </w:p>
        </w:tc>
        <w:tc>
          <w:tcPr>
            <w:tcW w:type="dxa" w:w="2250"/>
            <w:tcMar>
              <w:top w:w="80" w:type="dxa"/>
              <w:start w:w="120" w:type="dxa"/>
              <w:bottom w:w="80" w:type="dxa"/>
              <w:end w:w="120" w:type="dxa"/>
            </w:tcMar>
            <w:vAlign w:val="center"/>
          </w:tcPr>
          <w:p>
            <w:pPr>
              <w:spacing w:after="0"/>
            </w:pPr>
            <w:r>
              <w:rPr>
                <w:rFonts w:ascii="Arial" w:hAnsi="Arial"/>
                <w:b w:val="0"/>
                <w:color w:val="000000"/>
                <w:sz w:val="18"/>
              </w:rPr>
              <w:t>Operational expansion</w:t>
            </w:r>
          </w:p>
        </w:tc>
        <w:tc>
          <w:tcPr>
            <w:tcW w:type="dxa" w:w="1450"/>
            <w:tcMar>
              <w:top w:w="80" w:type="dxa"/>
              <w:start w:w="120" w:type="dxa"/>
              <w:bottom w:w="80" w:type="dxa"/>
              <w:end w:w="120" w:type="dxa"/>
            </w:tcMar>
            <w:vAlign w:val="center"/>
          </w:tcPr>
          <w:p>
            <w:pPr>
              <w:spacing w:after="0"/>
              <w:jc w:val="center"/>
            </w:pPr>
            <w:r>
              <w:rPr>
                <w:rFonts w:ascii="Arial" w:hAnsi="Arial"/>
                <w:b w:val="0"/>
                <w:color w:val="000000"/>
                <w:sz w:val="18"/>
              </w:rPr>
              <w:t>Scoped separately</w:t>
            </w:r>
          </w:p>
        </w:tc>
        <w:tc>
          <w:tcPr>
            <w:tcW w:type="dxa" w:w="1650"/>
            <w:tcMar>
              <w:top w:w="80" w:type="dxa"/>
              <w:start w:w="120" w:type="dxa"/>
              <w:bottom w:w="80" w:type="dxa"/>
              <w:end w:w="120" w:type="dxa"/>
            </w:tcMar>
            <w:vAlign w:val="center"/>
          </w:tcPr>
          <w:p>
            <w:pPr>
              <w:spacing w:after="0"/>
              <w:jc w:val="center"/>
            </w:pPr>
            <w:r>
              <w:rPr>
                <w:rFonts w:ascii="Arial" w:hAnsi="Arial"/>
                <w:b w:val="0"/>
                <w:color w:val="000000"/>
                <w:sz w:val="18"/>
              </w:rPr>
              <w:t>After MVP proof</w:t>
            </w:r>
          </w:p>
        </w:tc>
        <w:tc>
          <w:tcPr>
            <w:tcW w:type="dxa" w:w="3360"/>
            <w:tcMar>
              <w:top w:w="80" w:type="dxa"/>
              <w:start w:w="120" w:type="dxa"/>
              <w:bottom w:w="80" w:type="dxa"/>
              <w:end w:w="120" w:type="dxa"/>
            </w:tcMar>
            <w:vAlign w:val="center"/>
          </w:tcPr>
          <w:p>
            <w:pPr>
              <w:spacing w:after="0"/>
            </w:pPr>
            <w:r>
              <w:rPr>
                <w:rFonts w:ascii="Arial" w:hAnsi="Arial"/>
                <w:b w:val="0"/>
                <w:color w:val="000000"/>
                <w:sz w:val="18"/>
              </w:rPr>
              <w:t>Bills/invoices, proof-of-delivery matching, broader exception handling, reporting, and additional users.</w:t>
            </w:r>
          </w:p>
        </w:tc>
      </w:tr>
      <w:tr>
        <w:tc>
          <w:tcPr>
            <w:tcW w:type="dxa" w:w="650"/>
            <w:tcMar>
              <w:top w:w="80" w:type="dxa"/>
              <w:start w:w="120" w:type="dxa"/>
              <w:bottom w:w="80" w:type="dxa"/>
              <w:end w:w="120" w:type="dxa"/>
            </w:tcMar>
            <w:vAlign w:val="center"/>
          </w:tcPr>
          <w:p>
            <w:pPr>
              <w:spacing w:after="0"/>
              <w:jc w:val="center"/>
            </w:pPr>
            <w:r>
              <w:rPr>
                <w:rFonts w:ascii="Arial" w:hAnsi="Arial"/>
                <w:b/>
                <w:color w:val="000000"/>
                <w:sz w:val="18"/>
              </w:rPr>
              <w:t>4</w:t>
            </w:r>
          </w:p>
        </w:tc>
        <w:tc>
          <w:tcPr>
            <w:tcW w:type="dxa" w:w="2250"/>
            <w:tcMar>
              <w:top w:w="80" w:type="dxa"/>
              <w:start w:w="120" w:type="dxa"/>
              <w:bottom w:w="80" w:type="dxa"/>
              <w:end w:w="120" w:type="dxa"/>
            </w:tcMar>
            <w:vAlign w:val="center"/>
          </w:tcPr>
          <w:p>
            <w:pPr>
              <w:spacing w:after="0"/>
            </w:pPr>
            <w:r>
              <w:rPr>
                <w:rFonts w:ascii="Arial" w:hAnsi="Arial"/>
                <w:b w:val="0"/>
                <w:color w:val="000000"/>
                <w:sz w:val="18"/>
              </w:rPr>
              <w:t>Ongoing support</w:t>
            </w:r>
          </w:p>
        </w:tc>
        <w:tc>
          <w:tcPr>
            <w:tcW w:type="dxa" w:w="1450"/>
            <w:tcMar>
              <w:top w:w="80" w:type="dxa"/>
              <w:start w:w="120" w:type="dxa"/>
              <w:bottom w:w="80" w:type="dxa"/>
              <w:end w:w="120" w:type="dxa"/>
            </w:tcMar>
            <w:vAlign w:val="center"/>
          </w:tcPr>
          <w:p>
            <w:pPr>
              <w:spacing w:after="0"/>
              <w:jc w:val="center"/>
            </w:pPr>
            <w:r>
              <w:rPr>
                <w:rFonts w:ascii="Arial" w:hAnsi="Arial"/>
                <w:b w:val="0"/>
                <w:color w:val="000000"/>
                <w:sz w:val="18"/>
              </w:rPr>
              <w:t>Usage + 20% service markup</w:t>
            </w:r>
          </w:p>
        </w:tc>
        <w:tc>
          <w:tcPr>
            <w:tcW w:type="dxa" w:w="1650"/>
            <w:tcMar>
              <w:top w:w="80" w:type="dxa"/>
              <w:start w:w="120" w:type="dxa"/>
              <w:bottom w:w="80" w:type="dxa"/>
              <w:end w:w="120" w:type="dxa"/>
            </w:tcMar>
            <w:vAlign w:val="center"/>
          </w:tcPr>
          <w:p>
            <w:pPr>
              <w:spacing w:after="0"/>
              <w:jc w:val="center"/>
            </w:pPr>
            <w:r>
              <w:rPr>
                <w:rFonts w:ascii="Arial" w:hAnsi="Arial"/>
                <w:b w:val="0"/>
                <w:color w:val="000000"/>
                <w:sz w:val="18"/>
              </w:rPr>
              <w:t>Ongoing</w:t>
            </w:r>
          </w:p>
        </w:tc>
        <w:tc>
          <w:tcPr>
            <w:tcW w:type="dxa" w:w="3360"/>
            <w:tcMar>
              <w:top w:w="80" w:type="dxa"/>
              <w:start w:w="120" w:type="dxa"/>
              <w:bottom w:w="80" w:type="dxa"/>
              <w:end w:w="120" w:type="dxa"/>
            </w:tcMar>
            <w:vAlign w:val="center"/>
          </w:tcPr>
          <w:p>
            <w:pPr>
              <w:spacing w:after="0"/>
            </w:pPr>
            <w:r>
              <w:rPr>
                <w:rFonts w:ascii="Arial" w:hAnsi="Arial"/>
                <w:b w:val="0"/>
                <w:color w:val="000000"/>
                <w:sz w:val="18"/>
              </w:rPr>
              <w:t>Monitoring, model usage, maintenance, fixes, and incremental rule improvements.</w:t>
            </w:r>
          </w:p>
        </w:tc>
      </w:tr>
    </w:tbl>
    <w:p>
      <w:pPr>
        <w:pStyle w:val="Heading2"/>
      </w:pPr>
      <w:r>
        <w:t>Likely expansion after the first MVP</w:t>
      </w:r>
    </w:p>
    <w:p>
      <w:pPr>
        <w:pStyle w:val="ListBullet"/>
      </w:pPr>
      <w:r>
        <w:rPr>
          <w:rFonts w:ascii="Arial" w:hAnsi="Arial"/>
          <w:color w:val="000000"/>
          <w:sz w:val="22"/>
        </w:rPr>
        <w:t>Create QuickBooks bills from vendor invoices and create corresponding customer invoices after delivery.</w:t>
      </w:r>
    </w:p>
    <w:p>
      <w:pPr>
        <w:pStyle w:val="ListBullet"/>
      </w:pPr>
      <w:r>
        <w:rPr>
          <w:rFonts w:ascii="Arial" w:hAnsi="Arial"/>
          <w:color w:val="000000"/>
          <w:sz w:val="22"/>
        </w:rPr>
        <w:t>Match proof of delivery, vendor bill, customer invoice, and order record before approval.</w:t>
      </w:r>
    </w:p>
    <w:p>
      <w:pPr>
        <w:pStyle w:val="ListBullet"/>
      </w:pPr>
      <w:r>
        <w:rPr>
          <w:rFonts w:ascii="Arial" w:hAnsi="Arial"/>
          <w:color w:val="000000"/>
          <w:sz w:val="22"/>
        </w:rPr>
        <w:t>Add a unified work queue for missing documents, discrepancies, overdue approvals, and exceptions.</w:t>
      </w:r>
    </w:p>
    <w:p>
      <w:pPr>
        <w:pStyle w:val="ListBullet"/>
      </w:pPr>
      <w:r>
        <w:rPr>
          <w:rFonts w:ascii="Arial" w:hAnsi="Arial"/>
          <w:color w:val="000000"/>
          <w:sz w:val="22"/>
        </w:rPr>
        <w:t>Measure time-to-process, exception rate, corrections, and administrative capacity gained.</w:t>
      </w:r>
    </w:p>
    <w:p>
      <w:pPr>
        <w:pStyle w:val="ListBullet"/>
      </w:pPr>
      <w:r>
        <w:rPr>
          <w:rFonts w:ascii="Arial" w:hAnsi="Arial"/>
          <w:color w:val="000000"/>
          <w:sz w:val="22"/>
        </w:rPr>
        <w:t>Extend the same operating pattern to a second franchisee while keeping data and credentials isolated.</w:t>
      </w:r>
    </w:p>
    <w:p>
      <w:pPr>
        <w:pStyle w:val="ListBullet"/>
      </w:pPr>
      <w:r>
        <w:rPr>
          <w:rFonts w:ascii="Arial" w:hAnsi="Arial"/>
          <w:color w:val="000000"/>
          <w:sz w:val="22"/>
        </w:rPr>
        <w:t>Evaluate quoting and carefully targeted growth workflows only after the administrative foundation is proven.</w:t>
      </w:r>
    </w:p>
    <w:p>
      <w:r>
        <w:br w:type="page"/>
      </w:r>
    </w:p>
    <w:p>
      <w:pPr>
        <w:pStyle w:val="Heading1"/>
      </w:pPr>
      <w:r>
        <w:t>Decision and next steps</w:t>
      </w:r>
    </w:p>
    <w:p>
      <w:r>
        <w:rPr>
          <w:rFonts w:ascii="Arial" w:hAnsi="Arial"/>
          <w:i w:val="0"/>
          <w:color w:val="000000"/>
          <w:sz w:val="22"/>
        </w:rPr>
        <w:t>The $1,500 engagement buys a concrete answer—not a promise that every order can be automated. It produces a working prototype, tests the difficult customer-specific variations against real examples, and defines the smallest production build worth funding.</w:t>
      </w:r>
    </w:p>
    <w:p>
      <w:pPr>
        <w:pStyle w:val="ListNumber"/>
        <w:numPr>
          <w:ilvl w:val="0"/>
          <w:numId w:val="12"/>
        </w:numPr>
      </w:pPr>
      <w:r>
        <w:rPr>
          <w:rFonts w:ascii="Arial" w:hAnsi="Arial"/>
          <w:b/>
          <w:color w:val="000000"/>
          <w:sz w:val="22"/>
        </w:rPr>
        <w:t>Approve the $1,500</w:t>
      </w:r>
      <w:r>
        <w:rPr>
          <w:rFonts w:ascii="Arial" w:hAnsi="Arial"/>
          <w:color w:val="000000"/>
          <w:sz w:val="22"/>
        </w:rPr>
        <w:t xml:space="preserve"> Paid Discovery &amp; Working Diagnostic through the payment link in John’s email.</w:t>
      </w:r>
    </w:p>
    <w:p>
      <w:pPr>
        <w:pStyle w:val="ListNumber"/>
        <w:numPr>
          <w:ilvl w:val="0"/>
          <w:numId w:val="12"/>
        </w:numPr>
      </w:pPr>
      <w:r>
        <w:rPr>
          <w:rFonts w:ascii="Arial" w:hAnsi="Arial"/>
          <w:b/>
          <w:color w:val="000000"/>
          <w:sz w:val="22"/>
        </w:rPr>
        <w:t>Upload the walkthrough video</w:t>
      </w:r>
      <w:r>
        <w:rPr>
          <w:rFonts w:ascii="Arial" w:hAnsi="Arial"/>
          <w:color w:val="000000"/>
          <w:sz w:val="22"/>
        </w:rPr>
        <w:t>, representative source files, templates, and order examples through the secure link.</w:t>
      </w:r>
    </w:p>
    <w:p>
      <w:pPr>
        <w:pStyle w:val="ListNumber"/>
        <w:numPr>
          <w:ilvl w:val="0"/>
          <w:numId w:val="12"/>
        </w:numPr>
      </w:pPr>
      <w:r>
        <w:rPr>
          <w:rFonts w:ascii="Arial" w:hAnsi="Arial"/>
          <w:b/>
          <w:color w:val="000000"/>
          <w:sz w:val="22"/>
        </w:rPr>
        <w:t>Confirm the kickoff</w:t>
      </w:r>
      <w:r>
        <w:rPr>
          <w:rFonts w:ascii="Arial" w:hAnsi="Arial"/>
          <w:color w:val="000000"/>
          <w:sz w:val="22"/>
        </w:rPr>
        <w:t xml:space="preserve"> and reviewer availability. Target delivery is 7–10 business days after payment and receipt of the core materials.</w:t>
      </w:r>
    </w:p>
    <w:p>
      <w:pPr>
        <w:pStyle w:val="ListNumber"/>
        <w:numPr>
          <w:ilvl w:val="0"/>
          <w:numId w:val="12"/>
        </w:numPr>
      </w:pPr>
      <w:r>
        <w:rPr>
          <w:rFonts w:ascii="Arial" w:hAnsi="Arial"/>
          <w:b/>
          <w:color w:val="000000"/>
          <w:sz w:val="22"/>
        </w:rPr>
        <w:t>Review the prototype</w:t>
      </w:r>
      <w:r>
        <w:rPr>
          <w:rFonts w:ascii="Arial" w:hAnsi="Arial"/>
          <w:color w:val="000000"/>
          <w:sz w:val="22"/>
        </w:rPr>
        <w:t xml:space="preserve"> together, select the production MVP scope, and decide whether to proceed to implementation.</w:t>
      </w:r>
    </w:p>
    <w:p>
      <w:r>
        <w:rPr>
          <w:rFonts w:ascii="Arial" w:hAnsi="Arial"/>
          <w:i/>
          <w:color w:val="000000"/>
          <w:sz w:val="22"/>
        </w:rPr>
        <w:t>Prepared from the August 14, 2026 discovery conversation between Brian Haverkos and John McCleskey. This document reflects an initial design direction; the paid diagnostic will validate assumptions against the source materials and live workflow.</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SupplyPoint Operations Automation — Discovery Recap and MVP Plan</dc:title>
  <dc:subject>Paid discovery diagnostic, initial system design, and roadmap</dc:subject>
  <dc:creator>John McCleskey</dc:creator>
  <cp:keywords>SupplyPoint, operations automation, QuickBooks, Google Sheets, MVP</cp:keywords>
  <dc:description>Prepared for client review following discovery call on August 14, 2026.</dc:description>
  <cp:lastModifiedBy/>
  <cp:revision>1</cp:revision>
  <dcterms:created xsi:type="dcterms:W3CDTF">2013-12-23T23:15:00Z</dcterms:created>
  <dcterms:modified xsi:type="dcterms:W3CDTF">2013-12-23T23:15:00Z</dcterms:modified>
  <cp:category/>
</cp:coreProperties>
</file>